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hAnsi="黑体" w:eastAsia="黑体"/>
          <w:lang w:eastAsia="zh-CN"/>
        </w:rPr>
      </w:pPr>
      <w:bookmarkStart w:id="0" w:name="PO_JJCD"/>
      <w:bookmarkEnd w:id="0"/>
      <w:bookmarkStart w:id="5" w:name="_GoBack"/>
      <w:bookmarkEnd w:id="5"/>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color w:val="FF0000"/>
          <w:spacing w:val="20"/>
          <w:w w:val="98"/>
        </w:rPr>
      </w:pPr>
      <w:r>
        <w:rPr>
          <w:rFonts w:eastAsia="方正小标宋_GBK"/>
          <w:color w:val="FF0000"/>
          <w:spacing w:val="86"/>
          <w:w w:val="81"/>
          <w:sz w:val="90"/>
          <w:szCs w:val="90"/>
          <w:fitText w:val="8787" w:id="0"/>
        </w:rPr>
        <w:t>湖南</w:t>
      </w:r>
      <w:r>
        <w:rPr>
          <w:rFonts w:hint="eastAsia" w:eastAsia="方正小标宋_GBK"/>
          <w:color w:val="FF0000"/>
          <w:spacing w:val="86"/>
          <w:w w:val="81"/>
          <w:sz w:val="90"/>
          <w:szCs w:val="90"/>
          <w:fitText w:val="8787" w:id="0"/>
        </w:rPr>
        <w:t>省生态环境厅文</w:t>
      </w:r>
      <w:r>
        <w:rPr>
          <w:rFonts w:hint="eastAsia" w:eastAsia="方正小标宋_GBK"/>
          <w:color w:val="FF0000"/>
          <w:spacing w:val="-1"/>
          <w:w w:val="81"/>
          <w:sz w:val="90"/>
          <w:szCs w:val="90"/>
          <w:fitText w:val="8787" w:id="0"/>
        </w:rPr>
        <w:t>件</w:t>
      </w:r>
    </w:p>
    <w:p/>
    <w:p>
      <w:pPr>
        <w:spacing w:after="115" w:afterLines="20"/>
        <w:jc w:val="center"/>
        <w:rPr>
          <w:rFonts w:hint="eastAsia" w:ascii="仿宋_GB2312" w:eastAsia="仿宋_GB2312"/>
          <w:lang w:eastAsia="zh-CN"/>
        </w:rPr>
      </w:pPr>
      <w:bookmarkStart w:id="1" w:name="PO_WH"/>
      <w:r>
        <w:rPr>
          <w:rFonts w:hint="eastAsia" w:ascii="仿宋_GB2312"/>
          <w:szCs w:val="32"/>
          <w:lang w:eastAsia="zh-CN"/>
        </w:rPr>
        <w:t>湘环评〔2019〕33号</w:t>
      </w:r>
      <w:bookmarkEnd w:id="1"/>
    </w:p>
    <w:tbl>
      <w:tblPr>
        <w:tblStyle w:val="5"/>
        <w:tblW w:w="8845" w:type="dxa"/>
        <w:jc w:val="center"/>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 w:hRule="atLeast"/>
          <w:jc w:val="center"/>
        </w:trPr>
        <w:tc>
          <w:tcPr>
            <w:tcW w:w="8845" w:type="dxa"/>
          </w:tcPr>
          <w:p>
            <w:pPr>
              <w:snapToGrid w:val="0"/>
              <w:spacing w:line="20" w:lineRule="exact"/>
              <w:jc w:val="center"/>
              <w:rPr>
                <w:rFonts w:ascii="方正小标宋_GBK" w:eastAsia="方正小标宋_GBK"/>
                <w:sz w:val="44"/>
                <w:szCs w:val="44"/>
              </w:rPr>
            </w:pPr>
          </w:p>
        </w:tc>
      </w:tr>
    </w:tbl>
    <w:p>
      <w:pPr>
        <w:snapToGrid w:val="0"/>
        <w:spacing w:before="800" w:after="600" w:line="800" w:lineRule="exact"/>
        <w:jc w:val="center"/>
        <w:rPr>
          <w:rFonts w:ascii="方正小标宋_GBK" w:eastAsia="方正小标宋_GBK"/>
          <w:sz w:val="44"/>
          <w:szCs w:val="44"/>
        </w:rPr>
      </w:pPr>
      <w:bookmarkStart w:id="2" w:name="PO_WORDZW"/>
      <w:r>
        <w:rPr>
          <w:rFonts w:hint="eastAsia" w:ascii="方正小标宋_GBK" w:eastAsia="方正小标宋_GBK"/>
          <w:sz w:val="44"/>
          <w:szCs w:val="44"/>
        </w:rPr>
        <w:t>湖南省生态环境厅</w:t>
      </w:r>
      <w:r>
        <w:rPr>
          <w:rFonts w:ascii="方正小标宋_GBK" w:eastAsia="方正小标宋_GBK"/>
          <w:sz w:val="44"/>
          <w:szCs w:val="44"/>
        </w:rPr>
        <w:br w:type="textWrapping"/>
      </w:r>
      <w:r>
        <w:rPr>
          <w:rFonts w:hint="eastAsia" w:ascii="方正小标宋_GBK" w:eastAsia="方正小标宋_GBK"/>
          <w:sz w:val="44"/>
          <w:szCs w:val="44"/>
        </w:rPr>
        <w:t>关于芷江至铜仁（湘黔界）公路</w:t>
      </w:r>
      <w:r>
        <w:rPr>
          <w:rFonts w:hint="eastAsia" w:ascii="方正小标宋_GBK" w:eastAsia="方正小标宋_GBK"/>
          <w:sz w:val="44"/>
          <w:szCs w:val="44"/>
        </w:rPr>
        <w:br w:type="textWrapping"/>
      </w:r>
      <w:r>
        <w:rPr>
          <w:rFonts w:hint="eastAsia" w:ascii="方正小标宋_GBK" w:eastAsia="方正小标宋_GBK"/>
          <w:sz w:val="44"/>
          <w:szCs w:val="44"/>
        </w:rPr>
        <w:t>环境影响报告书的批复</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仿宋_GB2312"/>
          <w:szCs w:val="32"/>
        </w:rPr>
      </w:pPr>
      <w:r>
        <w:rPr>
          <w:rFonts w:hint="eastAsia" w:ascii="仿宋_GB2312"/>
          <w:szCs w:val="32"/>
          <w:lang w:eastAsia="zh-CN"/>
        </w:rPr>
        <w:t>湖南</w:t>
      </w:r>
      <w:r>
        <w:rPr>
          <w:rFonts w:hint="eastAsia" w:ascii="仿宋_GB2312"/>
          <w:szCs w:val="32"/>
        </w:rPr>
        <w:t>省交通运输厅规划</w:t>
      </w:r>
      <w:r>
        <w:rPr>
          <w:rFonts w:hint="eastAsia" w:ascii="仿宋_GB2312"/>
          <w:szCs w:val="32"/>
          <w:lang w:eastAsia="zh-CN"/>
        </w:rPr>
        <w:t>与项目</w:t>
      </w:r>
      <w:r>
        <w:rPr>
          <w:rFonts w:hint="eastAsia" w:ascii="仿宋_GB2312"/>
          <w:szCs w:val="32"/>
        </w:rPr>
        <w:t>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rPr>
        <w:t xml:space="preserve">你办《关于审批&lt; </w:t>
      </w:r>
      <w:r>
        <w:rPr>
          <w:rFonts w:ascii="Times New Roman" w:hAnsi="Times New Roman" w:cs="Times New Roman"/>
        </w:rPr>
        <w:t>芷江至铜仁（湘黔界）公路</w:t>
      </w:r>
      <w:r>
        <w:rPr>
          <w:rFonts w:hint="eastAsia" w:ascii="仿宋_GB2312"/>
          <w:szCs w:val="32"/>
        </w:rPr>
        <w:t>环境影响报告书&gt;的</w:t>
      </w:r>
      <w:r>
        <w:rPr>
          <w:rFonts w:hint="eastAsia" w:ascii="仿宋_GB2312"/>
          <w:szCs w:val="32"/>
          <w:lang w:eastAsia="zh-CN"/>
        </w:rPr>
        <w:t>函</w:t>
      </w:r>
      <w:r>
        <w:rPr>
          <w:rFonts w:hint="eastAsia" w:ascii="仿宋_GB2312"/>
          <w:szCs w:val="32"/>
        </w:rPr>
        <w:t>》、省环境工程评估中心《</w:t>
      </w:r>
      <w:r>
        <w:rPr>
          <w:rFonts w:ascii="Times New Roman" w:hAnsi="Times New Roman" w:cs="Times New Roman"/>
        </w:rPr>
        <w:t>芷江至铜仁（湘黔界）公路</w:t>
      </w:r>
      <w:r>
        <w:rPr>
          <w:rFonts w:hint="eastAsia" w:ascii="仿宋_GB2312"/>
          <w:szCs w:val="32"/>
        </w:rPr>
        <w:t>环境影响报告书技术评估报告》及相关资料收悉。经研究，批复如下：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rPr>
        <w:t>一、</w:t>
      </w:r>
      <w:r>
        <w:rPr>
          <w:rFonts w:ascii="Times New Roman" w:hAnsi="Times New Roman" w:cs="Times New Roman"/>
        </w:rPr>
        <w:t>芷江至铜仁（湘黔界）公路</w:t>
      </w:r>
      <w:r>
        <w:rPr>
          <w:rFonts w:hint="eastAsia" w:ascii="仿宋_GB2312"/>
          <w:szCs w:val="32"/>
        </w:rPr>
        <w:t>位于怀化市</w:t>
      </w:r>
      <w:r>
        <w:rPr>
          <w:rFonts w:hint="eastAsia" w:ascii="仿宋_GB2312"/>
          <w:szCs w:val="32"/>
          <w:lang w:eastAsia="zh-CN"/>
        </w:rPr>
        <w:t>芷江县、麻阳县境内</w:t>
      </w:r>
      <w:r>
        <w:rPr>
          <w:rFonts w:hint="eastAsia" w:ascii="仿宋_GB2312"/>
          <w:szCs w:val="32"/>
        </w:rPr>
        <w:t>，</w:t>
      </w:r>
      <w:r>
        <w:rPr>
          <w:rFonts w:hint="eastAsia" w:ascii="仿宋_GB2312"/>
          <w:szCs w:val="32"/>
          <w:lang w:val="en-US" w:eastAsia="zh-CN"/>
        </w:rPr>
        <w:t>起点位于</w:t>
      </w:r>
      <w:r>
        <w:rPr>
          <w:rFonts w:ascii="Times New Roman" w:hAnsi="Times New Roman" w:cs="Times New Roman"/>
        </w:rPr>
        <w:t>怀化市芷江县芷江镇艾头坪，与怀化至芷江高速公路相接，路线往西延伸经芷江镇（艾头坪）、牛牯坪乡（肖家湾）、三道坑镇和尧市镇四个乡镇，终于怀化市与铜仁市交界处深坳坡，与怀化至铜仁公路贵州段对接，</w:t>
      </w:r>
      <w:r>
        <w:rPr>
          <w:rFonts w:hint="eastAsia" w:cs="Times New Roman"/>
          <w:lang w:eastAsia="zh-CN"/>
        </w:rPr>
        <w:t>主线全</w:t>
      </w:r>
      <w:r>
        <w:rPr>
          <w:rFonts w:ascii="Times New Roman" w:hAnsi="Times New Roman" w:cs="Times New Roman"/>
        </w:rPr>
        <w:t>长33.48</w:t>
      </w:r>
      <w:r>
        <w:rPr>
          <w:rFonts w:hint="eastAsia" w:cs="Times New Roman"/>
          <w:lang w:eastAsia="zh-CN"/>
        </w:rPr>
        <w:t>公里，</w:t>
      </w:r>
      <w:r>
        <w:rPr>
          <w:rFonts w:ascii="Times New Roman" w:hAnsi="Times New Roman" w:cs="Times New Roman"/>
        </w:rPr>
        <w:t>尧市连接线长2.5</w:t>
      </w:r>
      <w:r>
        <w:rPr>
          <w:rFonts w:hint="eastAsia" w:ascii="Times New Roman" w:hAnsi="Times New Roman" w:cs="Times New Roman"/>
        </w:rPr>
        <w:t>89</w:t>
      </w:r>
      <w:r>
        <w:rPr>
          <w:rFonts w:hint="eastAsia" w:cs="Times New Roman"/>
          <w:lang w:eastAsia="zh-CN"/>
        </w:rPr>
        <w:t>公里。</w:t>
      </w:r>
      <w:r>
        <w:rPr>
          <w:rFonts w:hint="eastAsia" w:ascii="仿宋_GB2312"/>
          <w:szCs w:val="32"/>
        </w:rPr>
        <w:t>全线采用</w:t>
      </w:r>
      <w:r>
        <w:rPr>
          <w:rFonts w:ascii="Times New Roman" w:hAnsi="Times New Roman" w:cs="Times New Roman"/>
        </w:rPr>
        <w:t>沥青混凝土路面</w:t>
      </w:r>
      <w:r>
        <w:rPr>
          <w:rFonts w:hint="eastAsia" w:cs="Times New Roman"/>
          <w:lang w:eastAsia="zh-CN"/>
        </w:rPr>
        <w:t>，</w:t>
      </w:r>
      <w:r>
        <w:rPr>
          <w:rFonts w:hint="eastAsia" w:ascii="仿宋_GB2312"/>
          <w:szCs w:val="32"/>
        </w:rPr>
        <w:t>主线采用</w:t>
      </w:r>
      <w:r>
        <w:rPr>
          <w:rFonts w:hint="eastAsia" w:ascii="仿宋_GB2312"/>
          <w:szCs w:val="32"/>
          <w:lang w:eastAsia="zh-CN"/>
        </w:rPr>
        <w:t>双向</w:t>
      </w:r>
      <w:r>
        <w:rPr>
          <w:rFonts w:hint="eastAsia" w:ascii="仿宋_GB2312"/>
          <w:szCs w:val="32"/>
        </w:rPr>
        <w:t>四车道高速公路标准建设，设计速度100</w:t>
      </w:r>
      <w:r>
        <w:rPr>
          <w:rFonts w:hint="eastAsia" w:ascii="仿宋_GB2312"/>
          <w:szCs w:val="32"/>
          <w:lang w:eastAsia="zh-CN"/>
        </w:rPr>
        <w:t>公里</w:t>
      </w:r>
      <w:r>
        <w:rPr>
          <w:rFonts w:hint="eastAsia" w:ascii="仿宋_GB2312"/>
          <w:szCs w:val="32"/>
        </w:rPr>
        <w:t>/</w:t>
      </w:r>
      <w:r>
        <w:rPr>
          <w:rFonts w:hint="eastAsia" w:ascii="仿宋_GB2312"/>
          <w:szCs w:val="32"/>
          <w:lang w:eastAsia="zh-CN"/>
        </w:rPr>
        <w:t>小时</w:t>
      </w:r>
      <w:r>
        <w:rPr>
          <w:rFonts w:hint="eastAsia" w:ascii="仿宋_GB2312"/>
          <w:szCs w:val="32"/>
        </w:rPr>
        <w:t>，路基宽</w:t>
      </w:r>
      <w:r>
        <w:rPr>
          <w:rFonts w:hint="eastAsia" w:ascii="仿宋_GB2312"/>
          <w:szCs w:val="32"/>
          <w:lang w:val="en-US" w:eastAsia="zh-CN"/>
        </w:rPr>
        <w:t>24.5米</w:t>
      </w:r>
      <w:r>
        <w:rPr>
          <w:rFonts w:hint="eastAsia" w:ascii="仿宋_GB2312"/>
          <w:szCs w:val="32"/>
        </w:rPr>
        <w:t>；连接线采用二级公路标准建设，设计速度40</w:t>
      </w:r>
      <w:r>
        <w:rPr>
          <w:rFonts w:hint="eastAsia" w:ascii="仿宋_GB2312"/>
          <w:szCs w:val="32"/>
          <w:lang w:eastAsia="zh-CN"/>
        </w:rPr>
        <w:t>公里</w:t>
      </w:r>
      <w:r>
        <w:rPr>
          <w:rFonts w:hint="eastAsia" w:ascii="仿宋_GB2312"/>
          <w:szCs w:val="32"/>
        </w:rPr>
        <w:t>/</w:t>
      </w:r>
      <w:r>
        <w:rPr>
          <w:rFonts w:hint="eastAsia" w:ascii="仿宋_GB2312"/>
          <w:szCs w:val="32"/>
          <w:lang w:eastAsia="zh-CN"/>
        </w:rPr>
        <w:t>小时</w:t>
      </w:r>
      <w:r>
        <w:rPr>
          <w:rFonts w:hint="eastAsia" w:ascii="仿宋_GB2312"/>
          <w:szCs w:val="32"/>
        </w:rPr>
        <w:t>、路基宽度8.5</w:t>
      </w:r>
      <w:r>
        <w:rPr>
          <w:rFonts w:hint="eastAsia" w:ascii="仿宋_GB2312"/>
          <w:szCs w:val="32"/>
          <w:lang w:eastAsia="zh-CN"/>
        </w:rPr>
        <w:t>米</w:t>
      </w:r>
      <w:r>
        <w:rPr>
          <w:rFonts w:hint="eastAsia" w:ascii="仿宋_GB2312"/>
          <w:szCs w:val="32"/>
        </w:rPr>
        <w:t>。全线共设桥梁</w:t>
      </w:r>
      <w:r>
        <w:rPr>
          <w:rFonts w:hint="eastAsia" w:ascii="仿宋_GB2312"/>
          <w:szCs w:val="32"/>
          <w:lang w:val="en-US" w:eastAsia="zh-CN"/>
        </w:rPr>
        <w:t>9634米/29</w:t>
      </w:r>
      <w:r>
        <w:rPr>
          <w:rFonts w:hint="eastAsia" w:ascii="仿宋_GB2312"/>
          <w:szCs w:val="32"/>
        </w:rPr>
        <w:t>座，隧道</w:t>
      </w:r>
      <w:r>
        <w:rPr>
          <w:rFonts w:ascii="Times New Roman" w:hAnsi="Times New Roman" w:cs="Times New Roman"/>
        </w:rPr>
        <w:t>隧道10984.7</w:t>
      </w:r>
      <w:r>
        <w:rPr>
          <w:rFonts w:hint="eastAsia" w:cs="Times New Roman"/>
          <w:lang w:eastAsia="zh-CN"/>
        </w:rPr>
        <w:t>米</w:t>
      </w:r>
      <w:r>
        <w:rPr>
          <w:rFonts w:ascii="Times New Roman" w:hAnsi="Times New Roman" w:cs="Times New Roman"/>
        </w:rPr>
        <w:t>/7.5座（省界罗水田隧道按0.5座计）</w:t>
      </w:r>
      <w:r>
        <w:rPr>
          <w:rFonts w:hint="eastAsia" w:ascii="仿宋_GB2312"/>
          <w:szCs w:val="32"/>
        </w:rPr>
        <w:t>，涵洞、通道</w:t>
      </w:r>
      <w:r>
        <w:rPr>
          <w:rFonts w:hint="eastAsia" w:ascii="仿宋_GB2312"/>
          <w:szCs w:val="32"/>
          <w:lang w:val="en-US" w:eastAsia="zh-CN"/>
        </w:rPr>
        <w:t>39</w:t>
      </w:r>
      <w:r>
        <w:rPr>
          <w:rFonts w:hint="eastAsia" w:ascii="仿宋_GB2312"/>
          <w:szCs w:val="32"/>
        </w:rPr>
        <w:t>道，互通式立交</w:t>
      </w:r>
      <w:r>
        <w:rPr>
          <w:rFonts w:hint="eastAsia" w:ascii="仿宋_GB2312"/>
          <w:szCs w:val="32"/>
          <w:lang w:val="en-US" w:eastAsia="zh-CN"/>
        </w:rPr>
        <w:t>3</w:t>
      </w:r>
      <w:r>
        <w:rPr>
          <w:rFonts w:hint="eastAsia" w:ascii="仿宋_GB2312"/>
          <w:szCs w:val="32"/>
        </w:rPr>
        <w:t>处，服务区</w:t>
      </w:r>
      <w:r>
        <w:rPr>
          <w:rFonts w:hint="eastAsia" w:ascii="仿宋_GB2312"/>
          <w:szCs w:val="32"/>
          <w:lang w:val="en-US" w:eastAsia="zh-CN"/>
        </w:rPr>
        <w:t>1</w:t>
      </w:r>
      <w:r>
        <w:rPr>
          <w:rFonts w:hint="eastAsia" w:ascii="仿宋_GB2312"/>
          <w:szCs w:val="32"/>
        </w:rPr>
        <w:t>处，收费站</w:t>
      </w:r>
      <w:r>
        <w:rPr>
          <w:rFonts w:hint="eastAsia" w:ascii="仿宋_GB2312"/>
          <w:szCs w:val="32"/>
          <w:lang w:val="en-US" w:eastAsia="zh-CN"/>
        </w:rPr>
        <w:t>2</w:t>
      </w:r>
      <w:r>
        <w:rPr>
          <w:rFonts w:hint="eastAsia" w:ascii="仿宋_GB2312"/>
          <w:szCs w:val="32"/>
        </w:rPr>
        <w:t>处，养护工区</w:t>
      </w:r>
      <w:r>
        <w:rPr>
          <w:rFonts w:hint="eastAsia" w:ascii="仿宋_GB2312"/>
          <w:szCs w:val="32"/>
          <w:lang w:val="en-US" w:eastAsia="zh-CN"/>
        </w:rPr>
        <w:t>1</w:t>
      </w:r>
      <w:r>
        <w:rPr>
          <w:rFonts w:hint="eastAsia" w:ascii="仿宋_GB2312"/>
          <w:szCs w:val="32"/>
        </w:rPr>
        <w:t>处，</w:t>
      </w:r>
      <w:r>
        <w:rPr>
          <w:rFonts w:hint="eastAsia" w:ascii="仿宋_GB2312"/>
          <w:szCs w:val="32"/>
          <w:lang w:eastAsia="zh-CN"/>
        </w:rPr>
        <w:t>隧道监控站</w:t>
      </w:r>
      <w:r>
        <w:rPr>
          <w:rFonts w:hint="eastAsia" w:ascii="仿宋_GB2312"/>
          <w:szCs w:val="32"/>
        </w:rPr>
        <w:t>1处。工程总投资</w:t>
      </w:r>
      <w:r>
        <w:rPr>
          <w:rFonts w:hint="eastAsia" w:ascii="仿宋_GB2312"/>
          <w:szCs w:val="32"/>
          <w:lang w:val="en-US" w:eastAsia="zh-CN"/>
        </w:rPr>
        <w:t>56.92</w:t>
      </w:r>
      <w:r>
        <w:rPr>
          <w:rFonts w:hint="eastAsia" w:ascii="仿宋_GB2312"/>
          <w:szCs w:val="32"/>
        </w:rPr>
        <w:t>亿元，</w:t>
      </w:r>
      <w:r>
        <w:rPr>
          <w:rFonts w:hint="eastAsia" w:ascii="仿宋_GB2312"/>
          <w:szCs w:val="32"/>
          <w:highlight w:val="none"/>
        </w:rPr>
        <w:t>工期4年</w:t>
      </w:r>
      <w:r>
        <w:rPr>
          <w:rFonts w:hint="eastAsia" w:ascii="仿宋_GB2312"/>
          <w:szCs w:val="32"/>
        </w:rPr>
        <w:t>。工程符合《湖南省高速公路网规划（修编）》</w:t>
      </w:r>
      <w:r>
        <w:rPr>
          <w:rFonts w:hint="eastAsia" w:ascii="仿宋_GB2312" w:hAnsi="仿宋"/>
          <w:szCs w:val="32"/>
        </w:rPr>
        <w:t>及规划环评要求，</w:t>
      </w:r>
      <w:r>
        <w:rPr>
          <w:rFonts w:hint="eastAsia" w:ascii="仿宋_GB2312" w:hAnsi="仿宋"/>
          <w:szCs w:val="32"/>
          <w:lang w:val="en-US" w:eastAsia="zh-CN"/>
        </w:rPr>
        <w:t>项目穿越</w:t>
      </w:r>
      <w:r>
        <w:rPr>
          <w:rFonts w:hint="eastAsia" w:ascii="仿宋_GB2312"/>
          <w:szCs w:val="32"/>
        </w:rPr>
        <w:t>芷江明山省级森林公园</w:t>
      </w:r>
      <w:r>
        <w:rPr>
          <w:rFonts w:hint="eastAsia" w:ascii="仿宋_GB2312"/>
          <w:szCs w:val="32"/>
          <w:lang w:eastAsia="zh-CN"/>
        </w:rPr>
        <w:t>，</w:t>
      </w:r>
      <w:r>
        <w:rPr>
          <w:rFonts w:hint="eastAsia" w:ascii="仿宋_GB2312"/>
          <w:szCs w:val="32"/>
          <w:lang w:val="en-US" w:eastAsia="zh-CN"/>
        </w:rPr>
        <w:t>符合《湖南</w:t>
      </w:r>
      <w:r>
        <w:rPr>
          <w:rFonts w:hint="eastAsia" w:ascii="仿宋_GB2312"/>
          <w:szCs w:val="32"/>
        </w:rPr>
        <w:t>芷江明山省级森林公园</w:t>
      </w:r>
      <w:r>
        <w:rPr>
          <w:rFonts w:hint="eastAsia" w:ascii="仿宋_GB2312"/>
          <w:szCs w:val="32"/>
          <w:lang w:val="en-US" w:eastAsia="zh-CN"/>
        </w:rPr>
        <w:t>总体规划（2019-2030年）》，省林业局已同意穿越湖南</w:t>
      </w:r>
      <w:r>
        <w:rPr>
          <w:rFonts w:hint="eastAsia" w:ascii="仿宋_GB2312"/>
          <w:szCs w:val="32"/>
        </w:rPr>
        <w:t>芷江三道坑省级自然保护区</w:t>
      </w:r>
      <w:r>
        <w:rPr>
          <w:rFonts w:hint="eastAsia" w:ascii="仿宋_GB2312"/>
          <w:szCs w:val="32"/>
          <w:lang w:val="en-US" w:eastAsia="zh-CN"/>
        </w:rPr>
        <w:t>实验区</w:t>
      </w:r>
      <w:r>
        <w:rPr>
          <w:rFonts w:hint="eastAsia" w:ascii="仿宋_GB2312"/>
          <w:szCs w:val="32"/>
          <w:lang w:eastAsia="zh-CN"/>
        </w:rPr>
        <w:t>，</w:t>
      </w:r>
      <w:r>
        <w:rPr>
          <w:rFonts w:hint="eastAsia" w:ascii="仿宋_GB2312"/>
          <w:szCs w:val="32"/>
          <w:highlight w:val="none"/>
          <w:lang w:val="en-US" w:eastAsia="zh-CN"/>
        </w:rPr>
        <w:t>芷江侗族自治县林业局已</w:t>
      </w:r>
      <w:r>
        <w:rPr>
          <w:rFonts w:hint="eastAsia" w:ascii="仿宋_GB2312"/>
          <w:szCs w:val="32"/>
          <w:lang w:val="en-US" w:eastAsia="zh-CN"/>
        </w:rPr>
        <w:t>同意跨越</w:t>
      </w:r>
      <w:r>
        <w:rPr>
          <w:rFonts w:hint="eastAsia" w:ascii="仿宋_GB2312"/>
          <w:szCs w:val="32"/>
        </w:rPr>
        <w:t>金厂坪水库县级湿地保护区</w:t>
      </w:r>
      <w:r>
        <w:rPr>
          <w:rFonts w:hint="eastAsia" w:ascii="仿宋_GB2312"/>
          <w:szCs w:val="32"/>
          <w:lang w:eastAsia="zh-CN"/>
        </w:rPr>
        <w:t>。</w:t>
      </w:r>
      <w:r>
        <w:rPr>
          <w:rFonts w:hint="eastAsia" w:ascii="仿宋_GB2312" w:hAnsi="仿宋"/>
          <w:szCs w:val="32"/>
        </w:rPr>
        <w:t>在全面落实环境影响报告书及本批复提出的各项环境保护措施后，工程建设对环境的不利影响能够得到缓解和控制。我厅原则</w:t>
      </w:r>
      <w:r>
        <w:rPr>
          <w:rFonts w:hint="eastAsia" w:ascii="仿宋_GB2312"/>
          <w:szCs w:val="32"/>
        </w:rPr>
        <w:t>同意该工程环境影响报告书中的环境影响评价结论和生态环境保护措施。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rPr>
        <w:t>二、项目的建设和营运必须全面落实环境影响报告书提出的各项环保措施，并着重做好以下环保工作：</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36" w:firstLineChars="200"/>
        <w:jc w:val="both"/>
        <w:textAlignment w:val="auto"/>
        <w:outlineLvl w:val="9"/>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rPr>
        <w:t>（一）</w:t>
      </w:r>
      <w:r>
        <w:rPr>
          <w:rFonts w:hint="eastAsia" w:ascii="仿宋_GB2312" w:hAnsi="Times New Roman" w:eastAsia="仿宋_GB2312" w:cs="Times New Roman"/>
          <w:sz w:val="32"/>
          <w:szCs w:val="32"/>
          <w:highlight w:val="none"/>
        </w:rPr>
        <w:t>工程建设应按国家的法律法规，做好土地调整、水土保持、基础设施、文物保护等工作。进一步优化线路，合理运用路线平纵指标，对路基、桥梁、隧道、交叉、防护等进行优化设计，减少占用耕地、生态公益林</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工程结束后及时进行</w:t>
      </w:r>
      <w:r>
        <w:rPr>
          <w:rFonts w:hint="eastAsia" w:ascii="仿宋_GB2312" w:hAnsi="Times New Roman" w:eastAsia="仿宋_GB2312" w:cs="Times New Roman"/>
          <w:sz w:val="32"/>
          <w:szCs w:val="32"/>
          <w:highlight w:val="none"/>
        </w:rPr>
        <w:t>生态恢复，</w:t>
      </w:r>
      <w:r>
        <w:rPr>
          <w:rFonts w:hint="eastAsia" w:ascii="仿宋_GB2312" w:hAnsi="Times New Roman" w:eastAsia="仿宋_GB2312" w:cs="Times New Roman"/>
          <w:sz w:val="32"/>
          <w:szCs w:val="32"/>
          <w:highlight w:val="none"/>
          <w:lang w:val="en-US" w:eastAsia="zh-CN"/>
        </w:rPr>
        <w:t>减缓对</w:t>
      </w:r>
      <w:r>
        <w:rPr>
          <w:rFonts w:hint="eastAsia" w:ascii="仿宋_GB2312" w:hAnsi="Times New Roman" w:eastAsia="仿宋_GB2312" w:cs="Times New Roman"/>
          <w:sz w:val="32"/>
          <w:szCs w:val="32"/>
          <w:highlight w:val="none"/>
        </w:rPr>
        <w:t>生态</w:t>
      </w:r>
      <w:r>
        <w:rPr>
          <w:rFonts w:hint="eastAsia" w:ascii="仿宋_GB2312" w:hAnsi="Times New Roman" w:eastAsia="仿宋_GB2312" w:cs="Times New Roman"/>
          <w:sz w:val="32"/>
          <w:szCs w:val="32"/>
          <w:highlight w:val="none"/>
          <w:lang w:val="en-US" w:eastAsia="zh-CN"/>
        </w:rPr>
        <w:t>环境的不利影响。</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rPr>
        <w:t>（二）按环评报告要求，对营运期声环境预测超标</w:t>
      </w:r>
      <w:r>
        <w:rPr>
          <w:rFonts w:hint="eastAsia" w:ascii="仿宋_GB2312"/>
          <w:szCs w:val="32"/>
          <w:lang w:eastAsia="zh-CN"/>
        </w:rPr>
        <w:t>的</w:t>
      </w:r>
      <w:r>
        <w:rPr>
          <w:rFonts w:hint="eastAsia" w:ascii="仿宋_GB2312"/>
          <w:szCs w:val="32"/>
        </w:rPr>
        <w:t>敏感点</w:t>
      </w:r>
      <w:r>
        <w:rPr>
          <w:rFonts w:hint="eastAsia" w:ascii="仿宋_GB2312"/>
          <w:szCs w:val="32"/>
          <w:lang w:eastAsia="zh-CN"/>
        </w:rPr>
        <w:t>路段</w:t>
      </w:r>
      <w:r>
        <w:rPr>
          <w:rFonts w:hint="eastAsia" w:ascii="仿宋_GB2312"/>
          <w:szCs w:val="32"/>
        </w:rPr>
        <w:t>采取</w:t>
      </w:r>
      <w:r>
        <w:rPr>
          <w:rFonts w:hint="eastAsia" w:ascii="仿宋_GB2312"/>
          <w:szCs w:val="32"/>
          <w:lang w:eastAsia="zh-CN"/>
        </w:rPr>
        <w:t>设置</w:t>
      </w:r>
      <w:r>
        <w:rPr>
          <w:rFonts w:hint="eastAsia" w:ascii="仿宋_GB2312"/>
          <w:szCs w:val="32"/>
        </w:rPr>
        <w:t>隔声屏障、预留环保资金等措施，确保敏感目标满足</w:t>
      </w:r>
      <w:r>
        <w:rPr>
          <w:rFonts w:hint="eastAsia" w:ascii="仿宋_GB2312"/>
          <w:szCs w:val="32"/>
          <w:lang w:eastAsia="zh-CN"/>
        </w:rPr>
        <w:t>相应环境功能区标准</w:t>
      </w:r>
      <w:r>
        <w:rPr>
          <w:rFonts w:hint="eastAsia" w:ascii="仿宋_GB2312"/>
          <w:szCs w:val="32"/>
        </w:rPr>
        <w:t>要求。运营期加强沿线敏感点的噪声跟踪监测，并根据监测结果及时增补完善降噪措施。配合有关部门合理规划沿线土地使用，线路两侧噪声超标范围内，不得新建学校、医院、疗养院及集中居民住宅区等敏感建筑。</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rPr>
      </w:pPr>
      <w:r>
        <w:rPr>
          <w:rFonts w:hint="eastAsia" w:ascii="仿宋_GB2312"/>
          <w:szCs w:val="32"/>
        </w:rPr>
        <w:t>（三）</w:t>
      </w:r>
      <w:r>
        <w:rPr>
          <w:rFonts w:hint="eastAsia" w:ascii="仿宋_GB2312"/>
          <w:szCs w:val="32"/>
          <w:lang w:eastAsia="zh-CN"/>
        </w:rPr>
        <w:t>高村溪</w:t>
      </w:r>
      <w:r>
        <w:rPr>
          <w:rFonts w:hint="eastAsia" w:ascii="仿宋_GB2312"/>
          <w:szCs w:val="32"/>
        </w:rPr>
        <w:t>服务区设置二级生化处理装置，生活污水经处理达到《污水综合排放标准》（GB8978－1996）一级标准后</w:t>
      </w:r>
      <w:r>
        <w:rPr>
          <w:rFonts w:hint="eastAsia" w:ascii="仿宋_GB2312"/>
          <w:szCs w:val="32"/>
          <w:lang w:val="en-US" w:eastAsia="zh-CN"/>
        </w:rPr>
        <w:t>排入</w:t>
      </w:r>
      <w:r>
        <w:rPr>
          <w:rFonts w:ascii="Times New Roman" w:hAnsi="Times New Roman" w:cs="Times New Roman"/>
        </w:rPr>
        <w:t>尧市河</w:t>
      </w:r>
      <w:r>
        <w:rPr>
          <w:rFonts w:hint="eastAsia" w:ascii="仿宋_GB2312"/>
          <w:szCs w:val="32"/>
        </w:rPr>
        <w:t>；收费站及</w:t>
      </w:r>
      <w:r>
        <w:rPr>
          <w:rFonts w:hint="eastAsia" w:ascii="仿宋_GB2312"/>
          <w:szCs w:val="32"/>
          <w:lang w:val="en-US" w:eastAsia="zh-CN"/>
        </w:rPr>
        <w:t>养护工区</w:t>
      </w:r>
      <w:r>
        <w:rPr>
          <w:rFonts w:hint="eastAsia" w:ascii="仿宋_GB2312"/>
          <w:szCs w:val="32"/>
        </w:rPr>
        <w:t>产生的污水</w:t>
      </w:r>
      <w:r>
        <w:rPr>
          <w:rFonts w:hint="eastAsia" w:ascii="仿宋_GB2312"/>
          <w:szCs w:val="32"/>
          <w:lang w:val="en-US" w:eastAsia="zh-CN"/>
        </w:rPr>
        <w:t>采用</w:t>
      </w:r>
      <w:r>
        <w:rPr>
          <w:rFonts w:hint="eastAsia" w:ascii="仿宋_GB2312"/>
          <w:szCs w:val="32"/>
        </w:rPr>
        <w:t>整体式污水处理池处理，定期清掏用作农肥或绿化。</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highlight w:val="none"/>
        </w:rPr>
      </w:pPr>
      <w:r>
        <w:rPr>
          <w:rFonts w:hint="eastAsia" w:ascii="仿宋_GB2312"/>
          <w:szCs w:val="32"/>
        </w:rPr>
        <w:t>（</w:t>
      </w:r>
      <w:r>
        <w:rPr>
          <w:rFonts w:hint="eastAsia" w:ascii="仿宋_GB2312"/>
          <w:szCs w:val="32"/>
          <w:highlight w:val="none"/>
        </w:rPr>
        <w:t>四）</w:t>
      </w:r>
      <w:r>
        <w:rPr>
          <w:rFonts w:hint="eastAsia" w:ascii="仿宋_GB2312"/>
          <w:szCs w:val="32"/>
          <w:highlight w:val="none"/>
          <w:lang w:eastAsia="zh-CN"/>
        </w:rPr>
        <w:t>公路沿线</w:t>
      </w:r>
      <w:r>
        <w:rPr>
          <w:rFonts w:hint="eastAsia" w:ascii="仿宋_GB2312"/>
          <w:szCs w:val="32"/>
          <w:highlight w:val="none"/>
          <w:lang w:val="en-US" w:eastAsia="zh-CN"/>
        </w:rPr>
        <w:t>设置必要的动物通道，减缓公</w:t>
      </w:r>
      <w:r>
        <w:rPr>
          <w:rFonts w:hint="eastAsia" w:ascii="仿宋_GB2312"/>
          <w:szCs w:val="32"/>
          <w:highlight w:val="none"/>
        </w:rPr>
        <w:t>路</w:t>
      </w:r>
      <w:r>
        <w:rPr>
          <w:rFonts w:hint="eastAsia" w:ascii="仿宋_GB2312"/>
          <w:szCs w:val="32"/>
          <w:highlight w:val="none"/>
          <w:lang w:val="en-US" w:eastAsia="zh-CN"/>
        </w:rPr>
        <w:t>阻隔对动物生境的影响。公路</w:t>
      </w:r>
      <w:r>
        <w:rPr>
          <w:rFonts w:hint="eastAsia" w:ascii="仿宋_GB2312"/>
          <w:szCs w:val="32"/>
          <w:highlight w:val="none"/>
        </w:rPr>
        <w:t>两侧的园林、绿化花草应以当地品种为主。</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eastAsia="仿宋_GB2312"/>
          <w:szCs w:val="32"/>
          <w:lang w:eastAsia="zh-CN"/>
        </w:rPr>
      </w:pPr>
      <w:r>
        <w:rPr>
          <w:rFonts w:hint="eastAsia" w:ascii="仿宋_GB2312"/>
          <w:szCs w:val="32"/>
        </w:rPr>
        <w:t>（五）加强</w:t>
      </w:r>
      <w:r>
        <w:rPr>
          <w:rFonts w:hint="eastAsia" w:ascii="仿宋_GB2312"/>
          <w:szCs w:val="32"/>
          <w:lang w:val="en-US" w:eastAsia="zh-CN"/>
        </w:rPr>
        <w:t>公</w:t>
      </w:r>
      <w:r>
        <w:rPr>
          <w:rFonts w:hint="eastAsia" w:ascii="仿宋_GB2312"/>
          <w:szCs w:val="32"/>
        </w:rPr>
        <w:t>路施工期环境管理，采取有效措施，控制施工扬尘、废水、噪声</w:t>
      </w:r>
      <w:r>
        <w:rPr>
          <w:rFonts w:hint="eastAsia" w:ascii="仿宋_GB2312"/>
          <w:szCs w:val="32"/>
          <w:lang w:eastAsia="zh-CN"/>
        </w:rPr>
        <w:t>、</w:t>
      </w:r>
      <w:r>
        <w:rPr>
          <w:rFonts w:hint="eastAsia" w:ascii="仿宋_GB2312"/>
          <w:szCs w:val="32"/>
          <w:lang w:val="en-US" w:eastAsia="zh-CN"/>
        </w:rPr>
        <w:t>固体废物</w:t>
      </w:r>
      <w:r>
        <w:rPr>
          <w:rFonts w:hint="eastAsia" w:ascii="仿宋_GB2312"/>
          <w:szCs w:val="32"/>
        </w:rPr>
        <w:t>等污染，防止</w:t>
      </w:r>
      <w:r>
        <w:rPr>
          <w:rFonts w:hint="eastAsia" w:ascii="仿宋_GB2312"/>
          <w:szCs w:val="32"/>
          <w:lang w:val="en-US" w:eastAsia="zh-CN"/>
        </w:rPr>
        <w:t>水土流失及</w:t>
      </w:r>
      <w:r>
        <w:rPr>
          <w:rFonts w:hint="eastAsia" w:ascii="仿宋_GB2312"/>
          <w:szCs w:val="32"/>
        </w:rPr>
        <w:t>生态破坏</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val="en-US" w:eastAsia="zh-CN"/>
        </w:rPr>
      </w:pPr>
      <w:r>
        <w:rPr>
          <w:rFonts w:hint="eastAsia" w:ascii="仿宋_GB2312"/>
          <w:szCs w:val="32"/>
        </w:rPr>
        <w:t>1、芷江三道坑省级自然保护区、芷江明山省级森林公园和金厂坪水库县级湿地保护区等生态敏感区内，不得设置取土场、弃渣场、施工生产区（含预制场、拌合站</w:t>
      </w:r>
      <w:r>
        <w:rPr>
          <w:rFonts w:hint="eastAsia" w:ascii="仿宋_GB2312"/>
          <w:szCs w:val="32"/>
          <w:lang w:eastAsia="zh-CN"/>
        </w:rPr>
        <w:t>、</w:t>
      </w:r>
      <w:r>
        <w:rPr>
          <w:rFonts w:hint="eastAsia" w:ascii="仿宋_GB2312"/>
          <w:szCs w:val="32"/>
        </w:rPr>
        <w:t>施工营地）、施工便道等</w:t>
      </w:r>
      <w:r>
        <w:rPr>
          <w:rFonts w:hint="eastAsia" w:ascii="仿宋_GB2312"/>
          <w:szCs w:val="32"/>
          <w:highlight w:val="none"/>
        </w:rPr>
        <w:t>临时工程</w:t>
      </w:r>
      <w:r>
        <w:rPr>
          <w:rFonts w:hint="eastAsia" w:ascii="仿宋_GB2312"/>
          <w:szCs w:val="32"/>
        </w:rPr>
        <w:t>。</w:t>
      </w:r>
      <w:r>
        <w:rPr>
          <w:rFonts w:hint="eastAsia" w:ascii="Times New Roman" w:hAnsi="Times New Roman" w:cs="Times New Roman"/>
          <w:bCs/>
          <w:szCs w:val="32"/>
          <w:u w:val="none"/>
        </w:rPr>
        <w:t>2标</w:t>
      </w:r>
      <w:r>
        <w:rPr>
          <w:rFonts w:ascii="Times New Roman" w:hAnsi="Times New Roman" w:cs="Times New Roman"/>
          <w:bCs/>
          <w:szCs w:val="32"/>
          <w:u w:val="none"/>
        </w:rPr>
        <w:t>施工场地、3-1标施工场地</w:t>
      </w:r>
      <w:r>
        <w:rPr>
          <w:rFonts w:hint="eastAsia" w:ascii="Times New Roman" w:hAnsi="Times New Roman" w:cs="Times New Roman"/>
          <w:bCs/>
          <w:szCs w:val="32"/>
          <w:u w:val="none"/>
        </w:rPr>
        <w:t>和3</w:t>
      </w:r>
      <w:r>
        <w:rPr>
          <w:rFonts w:ascii="Times New Roman" w:hAnsi="Times New Roman" w:cs="Times New Roman"/>
          <w:bCs/>
          <w:szCs w:val="32"/>
          <w:u w:val="none"/>
        </w:rPr>
        <w:t>-2标施工场</w:t>
      </w:r>
      <w:r>
        <w:rPr>
          <w:rFonts w:hint="eastAsia" w:cs="Times New Roman"/>
          <w:bCs/>
          <w:szCs w:val="32"/>
          <w:u w:val="none"/>
          <w:lang w:val="en-US" w:eastAsia="zh-CN"/>
        </w:rPr>
        <w:t>地应调出森林公园范围</w:t>
      </w:r>
      <w:r>
        <w:rPr>
          <w:rFonts w:hint="eastAsia" w:ascii="仿宋_GB2312"/>
          <w:szCs w:val="32"/>
          <w:u w:val="none"/>
          <w:lang w:eastAsia="zh-CN"/>
        </w:rPr>
        <w:t>。</w:t>
      </w:r>
      <w:r>
        <w:rPr>
          <w:rFonts w:hint="eastAsia" w:ascii="仿宋_GB2312"/>
          <w:szCs w:val="32"/>
          <w:u w:val="none"/>
          <w:lang w:val="en-US" w:eastAsia="zh-CN"/>
        </w:rPr>
        <w:t>5</w:t>
      </w:r>
      <w:r>
        <w:rPr>
          <w:rFonts w:hint="eastAsia" w:ascii="仿宋_GB2312"/>
          <w:szCs w:val="32"/>
          <w:u w:val="none"/>
          <w:vertAlign w:val="superscript"/>
          <w:lang w:val="en-US" w:eastAsia="zh-CN"/>
        </w:rPr>
        <w:t>#</w:t>
      </w:r>
      <w:r>
        <w:rPr>
          <w:rFonts w:hint="eastAsia" w:ascii="仿宋_GB2312"/>
          <w:szCs w:val="32"/>
          <w:u w:val="none"/>
          <w:lang w:val="en-US" w:eastAsia="zh-CN"/>
        </w:rPr>
        <w:t>-7</w:t>
      </w:r>
      <w:r>
        <w:rPr>
          <w:rFonts w:hint="eastAsia" w:ascii="仿宋_GB2312"/>
          <w:szCs w:val="32"/>
          <w:u w:val="none"/>
          <w:vertAlign w:val="superscript"/>
          <w:lang w:val="en-US" w:eastAsia="zh-CN"/>
        </w:rPr>
        <w:t>#</w:t>
      </w:r>
      <w:r>
        <w:rPr>
          <w:rFonts w:hint="eastAsia" w:ascii="仿宋_GB2312"/>
          <w:szCs w:val="32"/>
          <w:u w:val="none"/>
          <w:lang w:val="en-US" w:eastAsia="zh-CN"/>
        </w:rPr>
        <w:t>、9</w:t>
      </w:r>
      <w:r>
        <w:rPr>
          <w:rFonts w:hint="eastAsia" w:ascii="仿宋_GB2312"/>
          <w:szCs w:val="32"/>
          <w:u w:val="none"/>
          <w:vertAlign w:val="superscript"/>
          <w:lang w:val="en-US" w:eastAsia="zh-CN"/>
        </w:rPr>
        <w:t>#</w:t>
      </w:r>
      <w:r>
        <w:rPr>
          <w:rFonts w:hint="eastAsia" w:ascii="仿宋_GB2312"/>
          <w:szCs w:val="32"/>
          <w:u w:val="none"/>
          <w:lang w:val="en-US" w:eastAsia="zh-CN"/>
        </w:rPr>
        <w:t>、10</w:t>
      </w:r>
      <w:r>
        <w:rPr>
          <w:rFonts w:hint="eastAsia" w:ascii="仿宋_GB2312"/>
          <w:szCs w:val="32"/>
          <w:u w:val="none"/>
          <w:vertAlign w:val="superscript"/>
          <w:lang w:val="en-US" w:eastAsia="zh-CN"/>
        </w:rPr>
        <w:t>#</w:t>
      </w:r>
      <w:r>
        <w:rPr>
          <w:rFonts w:hint="eastAsia" w:ascii="仿宋_GB2312"/>
          <w:szCs w:val="32"/>
          <w:u w:val="none"/>
          <w:lang w:val="en-US" w:eastAsia="zh-CN"/>
        </w:rPr>
        <w:t>-13</w:t>
      </w:r>
      <w:r>
        <w:rPr>
          <w:rFonts w:hint="eastAsia" w:ascii="仿宋_GB2312"/>
          <w:szCs w:val="32"/>
          <w:u w:val="none"/>
          <w:vertAlign w:val="superscript"/>
          <w:lang w:val="en-US" w:eastAsia="zh-CN"/>
        </w:rPr>
        <w:t>#</w:t>
      </w:r>
      <w:r>
        <w:rPr>
          <w:rFonts w:hint="eastAsia" w:ascii="仿宋_GB2312"/>
          <w:szCs w:val="32"/>
          <w:u w:val="none"/>
          <w:lang w:val="en-US" w:eastAsia="zh-CN"/>
        </w:rPr>
        <w:t>、21</w:t>
      </w:r>
      <w:r>
        <w:rPr>
          <w:rFonts w:hint="eastAsia" w:ascii="仿宋_GB2312"/>
          <w:szCs w:val="32"/>
          <w:u w:val="none"/>
          <w:vertAlign w:val="superscript"/>
          <w:lang w:val="en-US" w:eastAsia="zh-CN"/>
        </w:rPr>
        <w:t>#</w:t>
      </w:r>
      <w:r>
        <w:rPr>
          <w:rFonts w:hint="eastAsia" w:ascii="仿宋_GB2312"/>
          <w:szCs w:val="32"/>
          <w:u w:val="none"/>
          <w:lang w:val="en-US" w:eastAsia="zh-CN"/>
        </w:rPr>
        <w:t>-22</w:t>
      </w:r>
      <w:r>
        <w:rPr>
          <w:rFonts w:hint="eastAsia" w:ascii="仿宋_GB2312"/>
          <w:szCs w:val="32"/>
          <w:u w:val="none"/>
          <w:vertAlign w:val="superscript"/>
          <w:lang w:val="en-US" w:eastAsia="zh-CN"/>
        </w:rPr>
        <w:t>#</w:t>
      </w:r>
      <w:r>
        <w:rPr>
          <w:rFonts w:hint="eastAsia" w:ascii="仿宋_GB2312"/>
          <w:szCs w:val="32"/>
          <w:u w:val="none"/>
          <w:lang w:val="en-US" w:eastAsia="zh-CN"/>
        </w:rPr>
        <w:t>、26</w:t>
      </w:r>
      <w:r>
        <w:rPr>
          <w:rFonts w:hint="eastAsia" w:ascii="仿宋_GB2312"/>
          <w:szCs w:val="32"/>
          <w:u w:val="none"/>
          <w:vertAlign w:val="superscript"/>
          <w:lang w:val="en-US" w:eastAsia="zh-CN"/>
        </w:rPr>
        <w:t>#</w:t>
      </w:r>
      <w:r>
        <w:rPr>
          <w:rFonts w:hint="eastAsia" w:ascii="仿宋_GB2312"/>
          <w:szCs w:val="32"/>
        </w:rPr>
        <w:t>施工便道</w:t>
      </w:r>
      <w:r>
        <w:rPr>
          <w:rFonts w:hint="eastAsia" w:ascii="仿宋_GB2312"/>
          <w:szCs w:val="32"/>
          <w:lang w:val="en-US" w:eastAsia="zh-CN"/>
        </w:rPr>
        <w:t>须调出自然保护区等生态敏感区。</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lang w:val="en-US" w:eastAsia="zh-CN"/>
        </w:rPr>
        <w:t>2</w:t>
      </w:r>
      <w:r>
        <w:rPr>
          <w:rFonts w:hint="eastAsia" w:ascii="仿宋_GB2312"/>
          <w:szCs w:val="32"/>
        </w:rPr>
        <w:t>、</w:t>
      </w:r>
      <w:r>
        <w:rPr>
          <w:rFonts w:hint="eastAsia" w:ascii="仿宋_GB2312"/>
          <w:szCs w:val="32"/>
          <w:u w:val="none"/>
          <w:lang w:val="en-US" w:eastAsia="zh-CN"/>
        </w:rPr>
        <w:t>本项目不设取土场，</w:t>
      </w:r>
      <w:r>
        <w:rPr>
          <w:rFonts w:hint="eastAsia" w:ascii="仿宋_GB2312"/>
          <w:szCs w:val="32"/>
        </w:rPr>
        <w:t>工程中的取土、填挖方、弃</w:t>
      </w:r>
      <w:r>
        <w:rPr>
          <w:rFonts w:hint="eastAsia" w:ascii="仿宋_GB2312"/>
          <w:szCs w:val="32"/>
          <w:lang w:val="en-US" w:eastAsia="zh-CN"/>
        </w:rPr>
        <w:t>土</w:t>
      </w:r>
      <w:r>
        <w:rPr>
          <w:rFonts w:hint="eastAsia" w:ascii="仿宋_GB2312"/>
          <w:szCs w:val="32"/>
        </w:rPr>
        <w:t>统筹安排，强化土石方纵向调配和利用，避免高填深挖。各弃土（石）场、砂料场、路基边坡施工采取设置挡土墙、挡渣坎、防护栏、截水排水沟、沉沙池等措施，防止水土流失。</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highlight w:val="none"/>
          <w:lang w:val="en-US" w:eastAsia="zh-CN"/>
        </w:rPr>
      </w:pPr>
      <w:r>
        <w:rPr>
          <w:rFonts w:hint="eastAsia" w:ascii="仿宋_GB2312"/>
          <w:szCs w:val="32"/>
          <w:highlight w:val="none"/>
          <w:lang w:val="en-US" w:eastAsia="zh-CN"/>
        </w:rPr>
        <w:t>3</w:t>
      </w:r>
      <w:r>
        <w:rPr>
          <w:rFonts w:hint="eastAsia" w:ascii="仿宋_GB2312"/>
          <w:szCs w:val="32"/>
          <w:highlight w:val="none"/>
        </w:rPr>
        <w:t>、</w:t>
      </w:r>
      <w:r>
        <w:rPr>
          <w:rFonts w:hint="eastAsia" w:ascii="仿宋_GB2312"/>
          <w:szCs w:val="32"/>
          <w:highlight w:val="none"/>
          <w:lang w:val="en-US" w:eastAsia="zh-CN"/>
        </w:rPr>
        <w:t>采用低噪声施工机械和工艺，合理安排施工时间，临近居民区的施工场地应设置临时移动隔声屏障。</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default" w:ascii="仿宋_GB2312" w:eastAsia="仿宋_GB2312"/>
          <w:szCs w:val="32"/>
          <w:highlight w:val="yellow"/>
          <w:lang w:val="en-US" w:eastAsia="zh-CN"/>
        </w:rPr>
      </w:pPr>
      <w:r>
        <w:rPr>
          <w:rFonts w:hint="eastAsia" w:ascii="仿宋_GB2312"/>
          <w:szCs w:val="32"/>
          <w:highlight w:val="none"/>
          <w:lang w:val="en-US" w:eastAsia="zh-CN"/>
        </w:rPr>
        <w:t>4、严格落实大气污染防治措施。合理布置施工材料堆场，采取运输车辆密闭、优化运输路线、场地洒水抑尘等措施，控制扬尘污染。</w:t>
      </w:r>
      <w:r>
        <w:rPr>
          <w:rFonts w:hint="eastAsia" w:ascii="仿宋_GB2312"/>
          <w:szCs w:val="32"/>
          <w:highlight w:val="none"/>
        </w:rPr>
        <w:t>混</w:t>
      </w:r>
      <w:r>
        <w:rPr>
          <w:rFonts w:hint="eastAsia" w:ascii="仿宋_GB2312"/>
          <w:szCs w:val="32"/>
        </w:rPr>
        <w:t>凝土、沥青砼拌合站</w:t>
      </w:r>
      <w:r>
        <w:rPr>
          <w:rFonts w:hint="eastAsia" w:ascii="仿宋_GB2312"/>
          <w:szCs w:val="32"/>
          <w:lang w:val="en-US" w:eastAsia="zh-CN"/>
        </w:rPr>
        <w:t>应</w:t>
      </w:r>
      <w:r>
        <w:rPr>
          <w:rFonts w:hint="eastAsia" w:ascii="仿宋_GB2312"/>
          <w:szCs w:val="32"/>
        </w:rPr>
        <w:t>采用全封闭搅拌机楼作业，</w:t>
      </w:r>
      <w:r>
        <w:rPr>
          <w:rFonts w:hint="eastAsia" w:ascii="仿宋_GB2312"/>
          <w:szCs w:val="32"/>
          <w:lang w:val="en-US" w:eastAsia="zh-CN"/>
        </w:rPr>
        <w:t>站内须配备烟气、粉尘收集和净化装置，经处理达标方可排</w:t>
      </w:r>
      <w:r>
        <w:rPr>
          <w:rFonts w:hint="eastAsia" w:ascii="仿宋_GB2312"/>
          <w:szCs w:val="32"/>
        </w:rPr>
        <w:t>放。</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highlight w:val="none"/>
          <w:lang w:val="en-US" w:eastAsia="zh-CN"/>
        </w:rPr>
        <w:t>5、</w:t>
      </w:r>
      <w:r>
        <w:rPr>
          <w:rFonts w:hint="eastAsia" w:ascii="仿宋_GB2312"/>
          <w:szCs w:val="32"/>
          <w:highlight w:val="none"/>
        </w:rPr>
        <w:t>桥梁涉水施工应选择在枯水期</w:t>
      </w:r>
      <w:r>
        <w:rPr>
          <w:rFonts w:hint="eastAsia" w:ascii="仿宋_GB2312"/>
          <w:szCs w:val="32"/>
          <w:highlight w:val="none"/>
          <w:lang w:eastAsia="zh-CN"/>
        </w:rPr>
        <w:t>，</w:t>
      </w:r>
      <w:r>
        <w:rPr>
          <w:rFonts w:hint="eastAsia" w:ascii="仿宋_GB2312"/>
          <w:szCs w:val="32"/>
          <w:highlight w:val="none"/>
        </w:rPr>
        <w:t>采用围堰工艺，桩基础钻孔产生</w:t>
      </w:r>
      <w:r>
        <w:rPr>
          <w:rFonts w:hint="eastAsia" w:ascii="仿宋_GB2312"/>
          <w:szCs w:val="32"/>
        </w:rPr>
        <w:t>的钻渣和淤泥及时运送至指定的弃渣场处置</w:t>
      </w:r>
      <w:r>
        <w:rPr>
          <w:rFonts w:hint="eastAsia" w:ascii="仿宋_GB2312"/>
          <w:szCs w:val="32"/>
          <w:lang w:eastAsia="zh-CN"/>
        </w:rPr>
        <w:t>。</w:t>
      </w:r>
      <w:r>
        <w:rPr>
          <w:rFonts w:hint="eastAsia" w:ascii="仿宋_GB2312"/>
          <w:szCs w:val="32"/>
        </w:rPr>
        <w:t>严禁将施工废渣排入沿线河流、水库、农田</w:t>
      </w:r>
      <w:r>
        <w:rPr>
          <w:rFonts w:hint="eastAsia" w:ascii="仿宋_GB2312"/>
          <w:szCs w:val="32"/>
          <w:lang w:val="en-US" w:eastAsia="zh-CN"/>
        </w:rPr>
        <w:t>及生态敏感区</w:t>
      </w:r>
      <w:r>
        <w:rPr>
          <w:rFonts w:hint="eastAsia" w:ascii="仿宋_GB2312"/>
          <w:szCs w:val="32"/>
        </w:rPr>
        <w:t>中</w:t>
      </w:r>
      <w:r>
        <w:rPr>
          <w:rFonts w:hint="eastAsia" w:ascii="仿宋_GB2312"/>
          <w:szCs w:val="32"/>
          <w:lang w:eastAsia="zh-CN"/>
        </w:rPr>
        <w:t>。</w:t>
      </w:r>
      <w:r>
        <w:rPr>
          <w:rFonts w:hint="eastAsia" w:ascii="仿宋_GB2312"/>
          <w:szCs w:val="32"/>
        </w:rPr>
        <w:t>施工废水经处理达标后回用或外排，禁止排入芷江三道坑省级自然保护区、芷江明山省级森林公园和金厂坪水库县级湿地保护区等生态敏感区。</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val="en-US" w:eastAsia="zh-CN"/>
        </w:rPr>
      </w:pPr>
      <w:r>
        <w:rPr>
          <w:rFonts w:hint="eastAsia" w:ascii="仿宋_GB2312"/>
          <w:szCs w:val="32"/>
          <w:lang w:val="en-US" w:eastAsia="zh-CN"/>
        </w:rPr>
        <w:t>6、对工程沿线古树及国家重点保护野生植物采取就地保护，施工前设置必要的隔离护栏和缓冲地，防止公路施工对其产生破坏。禁止捕杀野生动物。</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eastAsia="zh-CN"/>
        </w:rPr>
      </w:pPr>
      <w:r>
        <w:rPr>
          <w:rFonts w:hint="eastAsia" w:ascii="仿宋_GB2312"/>
          <w:szCs w:val="32"/>
          <w:lang w:val="en-US" w:eastAsia="zh-CN"/>
        </w:rPr>
        <w:t>7、</w:t>
      </w:r>
      <w:r>
        <w:rPr>
          <w:rFonts w:hint="eastAsia" w:ascii="仿宋_GB2312"/>
          <w:szCs w:val="32"/>
          <w:lang w:eastAsia="zh-CN"/>
        </w:rPr>
        <w:t>开展施工期环境监理，</w:t>
      </w:r>
      <w:r>
        <w:rPr>
          <w:rFonts w:hint="eastAsia" w:ascii="仿宋_GB2312"/>
          <w:szCs w:val="32"/>
          <w:lang w:val="en-US" w:eastAsia="zh-CN"/>
        </w:rPr>
        <w:t>严格控制施工范围。</w:t>
      </w:r>
      <w:r>
        <w:rPr>
          <w:rFonts w:hint="eastAsia" w:ascii="仿宋_GB2312"/>
          <w:szCs w:val="32"/>
          <w:lang w:eastAsia="zh-CN"/>
        </w:rPr>
        <w:t>对炭质页岩工区隧道开挖、隧道出渣及弃渣场堆渣，涉水桥墩施工引起的底泥扰动进行监控，一旦发现重金属、硫、磷和放射性超标或异常，立即停止施工，并采取应急措施。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default" w:ascii="仿宋_GB2312"/>
          <w:szCs w:val="32"/>
          <w:lang w:val="en-US" w:eastAsia="zh-CN"/>
        </w:rPr>
      </w:pPr>
      <w:r>
        <w:rPr>
          <w:rFonts w:hint="eastAsia" w:ascii="仿宋_GB2312"/>
          <w:szCs w:val="32"/>
          <w:lang w:val="en-US" w:eastAsia="zh-CN"/>
        </w:rPr>
        <w:t>(六)</w:t>
      </w:r>
      <w:r>
        <w:rPr>
          <w:rFonts w:hint="eastAsia" w:ascii="仿宋_GB2312"/>
          <w:szCs w:val="32"/>
        </w:rPr>
        <w:t>制定全线交通事故环境应急预案，落实应急措施，防范交通事故引发的环境污染风险。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ascii="仿宋_GB2312"/>
          <w:szCs w:val="32"/>
        </w:rPr>
      </w:pPr>
      <w:r>
        <w:rPr>
          <w:rFonts w:hint="eastAsia" w:ascii="仿宋_GB2312"/>
          <w:szCs w:val="32"/>
        </w:rPr>
        <w:t>三、环境影响报告书经批准后，该项目的性质、规模、地点、生产工艺和环境保护措施发生重大变动的，须重新报批环境影响报告书。自环境影响报告书批复文件批准之日起，如超过5年方决定工程开工建设的，环境影响报告书应当报我厅重新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default" w:ascii="仿宋_GB2312" w:eastAsia="仿宋_GB2312"/>
          <w:szCs w:val="32"/>
          <w:lang w:val="en-US" w:eastAsia="zh-CN"/>
        </w:rPr>
      </w:pPr>
      <w:r>
        <w:rPr>
          <w:rFonts w:hint="eastAsia" w:ascii="仿宋_GB2312"/>
          <w:szCs w:val="32"/>
        </w:rPr>
        <w:t>四、</w:t>
      </w:r>
      <w:r>
        <w:rPr>
          <w:rFonts w:hint="eastAsia" w:ascii="仿宋_GB2312"/>
          <w:szCs w:val="32"/>
          <w:lang w:val="en-US" w:eastAsia="zh-CN"/>
        </w:rPr>
        <w:t>项目建设</w:t>
      </w:r>
      <w:r>
        <w:rPr>
          <w:rFonts w:hint="eastAsia" w:ascii="仿宋_GB2312"/>
          <w:szCs w:val="32"/>
        </w:rPr>
        <w:t>必须严格执行</w:t>
      </w:r>
      <w:r>
        <w:rPr>
          <w:rFonts w:hint="eastAsia" w:ascii="仿宋_GB2312"/>
          <w:szCs w:val="32"/>
          <w:lang w:val="en-US" w:eastAsia="zh-CN"/>
        </w:rPr>
        <w:t>配套的</w:t>
      </w:r>
      <w:r>
        <w:rPr>
          <w:rFonts w:hint="eastAsia" w:ascii="仿宋_GB2312"/>
          <w:szCs w:val="32"/>
        </w:rPr>
        <w:t>环境保护</w:t>
      </w:r>
      <w:r>
        <w:rPr>
          <w:rFonts w:hint="eastAsia" w:ascii="仿宋_GB2312"/>
          <w:szCs w:val="32"/>
          <w:lang w:val="en-US" w:eastAsia="zh-CN"/>
        </w:rPr>
        <w:t>设施与主体工程同时设计、同时施工、同时投产使用的环境保护</w:t>
      </w:r>
      <w:r>
        <w:rPr>
          <w:rFonts w:hint="eastAsia" w:ascii="仿宋_GB2312"/>
          <w:szCs w:val="32"/>
        </w:rPr>
        <w:t>“三同时”</w:t>
      </w:r>
      <w:r>
        <w:rPr>
          <w:rFonts w:hint="eastAsia" w:ascii="仿宋_GB2312"/>
          <w:szCs w:val="32"/>
          <w:lang w:val="en-US" w:eastAsia="zh-CN"/>
        </w:rPr>
        <w:t>制度。</w:t>
      </w:r>
      <w:r>
        <w:rPr>
          <w:rFonts w:ascii="仿宋_GB2312"/>
          <w:szCs w:val="32"/>
        </w:rPr>
        <w:t>在施工招标文件、施工合同和工程监理招标文件中明确环保条款和责任，环保投资必须纳入工程投资概算。</w:t>
      </w:r>
      <w:r>
        <w:rPr>
          <w:rFonts w:hint="eastAsia" w:ascii="仿宋_GB2312"/>
          <w:szCs w:val="32"/>
          <w:lang w:val="en-US" w:eastAsia="zh-CN"/>
        </w:rPr>
        <w:t>项目完工后应按规定程序实施竣工环境保护验收。</w:t>
      </w: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val="en-US" w:eastAsia="zh-CN"/>
        </w:rPr>
      </w:pPr>
      <w:r>
        <w:rPr>
          <w:rFonts w:hint="eastAsia" w:ascii="仿宋_GB2312"/>
          <w:szCs w:val="32"/>
          <w:lang w:val="en-US" w:eastAsia="zh-CN"/>
        </w:rPr>
        <w:t>五、怀</w:t>
      </w:r>
      <w:r>
        <w:rPr>
          <w:rFonts w:hint="eastAsia" w:ascii="仿宋_GB2312"/>
          <w:szCs w:val="32"/>
        </w:rPr>
        <w:t>化市</w:t>
      </w:r>
      <w:r>
        <w:rPr>
          <w:rFonts w:hint="eastAsia" w:ascii="仿宋_GB2312"/>
          <w:szCs w:val="32"/>
          <w:lang w:val="en-US" w:eastAsia="zh-CN"/>
        </w:rPr>
        <w:t>生态环境</w:t>
      </w:r>
      <w:r>
        <w:rPr>
          <w:rFonts w:hint="eastAsia" w:ascii="仿宋_GB2312"/>
          <w:szCs w:val="32"/>
        </w:rPr>
        <w:t>局</w:t>
      </w:r>
      <w:r>
        <w:rPr>
          <w:rFonts w:hint="eastAsia" w:ascii="仿宋_GB2312"/>
          <w:szCs w:val="32"/>
          <w:lang w:eastAsia="zh-CN"/>
        </w:rPr>
        <w:t>、怀化市生态环境局芷江分局、麻阳分局</w:t>
      </w:r>
      <w:r>
        <w:rPr>
          <w:rFonts w:hint="eastAsia" w:ascii="仿宋_GB2312"/>
          <w:szCs w:val="32"/>
        </w:rPr>
        <w:t>具体负责本项目“三同时”监督检查和管理工作。你办应在收到本批复后的15个工作日内，将</w:t>
      </w:r>
      <w:r>
        <w:rPr>
          <w:rFonts w:hint="eastAsia" w:ascii="仿宋_GB2312"/>
          <w:szCs w:val="32"/>
          <w:lang w:val="en-US" w:eastAsia="zh-CN"/>
        </w:rPr>
        <w:t>批复</w:t>
      </w:r>
      <w:r>
        <w:rPr>
          <w:rFonts w:hint="eastAsia" w:ascii="仿宋_GB2312"/>
          <w:szCs w:val="32"/>
        </w:rPr>
        <w:t>批准后的环境影响报告</w:t>
      </w:r>
      <w:r>
        <w:rPr>
          <w:rFonts w:hint="eastAsia" w:ascii="仿宋_GB2312"/>
          <w:szCs w:val="32"/>
          <w:lang w:val="en-US" w:eastAsia="zh-CN"/>
        </w:rPr>
        <w:t>书</w:t>
      </w:r>
      <w:r>
        <w:rPr>
          <w:rFonts w:hint="eastAsia" w:ascii="仿宋_GB2312"/>
          <w:szCs w:val="32"/>
        </w:rPr>
        <w:t>送至</w:t>
      </w:r>
      <w:r>
        <w:rPr>
          <w:rFonts w:hint="eastAsia" w:ascii="仿宋_GB2312"/>
          <w:szCs w:val="32"/>
          <w:lang w:val="en-US" w:eastAsia="zh-CN"/>
        </w:rPr>
        <w:t>上述环境管理部门并按规定接受各级生态环境管理部门的日常监督检查。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outlineLvl w:val="9"/>
        <w:rPr>
          <w:rFonts w:hint="eastAsia" w:ascii="仿宋_GB2312"/>
          <w:szCs w:val="32"/>
          <w:lang w:val="en-US" w:eastAsia="zh-CN"/>
        </w:rPr>
      </w:pPr>
      <w:r>
        <w:rPr>
          <w:rFonts w:hint="eastAsia" w:ascii="仿宋_GB2312"/>
          <w:szCs w:val="32"/>
          <w:lang w:val="en-US" w:eastAsia="zh-CN"/>
        </w:rPr>
        <w:t xml:space="preserve">                              湖南省生态环境厅</w:t>
      </w:r>
    </w:p>
    <w:p>
      <w:pPr>
        <w:keepNext w:val="0"/>
        <w:keepLines w:val="0"/>
        <w:pageBreakBefore w:val="0"/>
        <w:widowControl w:val="0"/>
        <w:tabs>
          <w:tab w:val="left" w:pos="7608"/>
        </w:tabs>
        <w:kinsoku/>
        <w:wordWrap/>
        <w:overflowPunct/>
        <w:topLinePunct w:val="0"/>
        <w:autoSpaceDE/>
        <w:autoSpaceDN/>
        <w:bidi w:val="0"/>
        <w:adjustRightInd w:val="0"/>
        <w:snapToGrid w:val="0"/>
        <w:spacing w:line="560" w:lineRule="exact"/>
        <w:ind w:firstLine="636" w:firstLineChars="200"/>
        <w:textAlignment w:val="auto"/>
        <w:outlineLvl w:val="9"/>
        <w:rPr>
          <w:rFonts w:hint="default" w:ascii="仿宋_GB2312"/>
          <w:szCs w:val="32"/>
          <w:lang w:val="en-US" w:eastAsia="zh-CN"/>
        </w:rPr>
      </w:pPr>
      <w:r>
        <w:rPr>
          <w:rFonts w:hint="eastAsia" w:ascii="仿宋_GB2312"/>
          <w:szCs w:val="32"/>
          <w:lang w:val="en-US" w:eastAsia="zh-CN"/>
        </w:rPr>
        <w:t xml:space="preserve">                              2019年9月24日</w:t>
      </w:r>
    </w:p>
    <w:p>
      <w:pPr>
        <w:adjustRightInd w:val="0"/>
        <w:snapToGrid w:val="0"/>
        <w:spacing w:line="540" w:lineRule="exact"/>
        <w:rPr>
          <w:rFonts w:ascii="仿宋_GB2312"/>
          <w:szCs w:val="32"/>
        </w:rPr>
      </w:pPr>
    </w:p>
    <w:p>
      <w:pPr>
        <w:adjustRightInd w:val="0"/>
        <w:snapToGrid w:val="0"/>
        <w:spacing w:line="540" w:lineRule="exact"/>
        <w:ind w:firstLine="636" w:firstLineChars="200"/>
        <w:rPr>
          <w:rFonts w:ascii="仿宋_GB2312"/>
          <w:szCs w:val="32"/>
        </w:rPr>
      </w:pPr>
    </w:p>
    <w:p/>
    <w:bookmarkEnd w:id="2"/>
    <w:p>
      <w:pPr>
        <w:snapToGrid w:val="0"/>
        <w:spacing w:line="580" w:lineRule="exact"/>
        <w:jc w:val="center"/>
        <w:rPr>
          <w:rFonts w:hint="eastAsia" w:ascii="仿宋_GB2312" w:hAnsi="仿宋" w:eastAsia="仿宋_GB2312"/>
          <w:szCs w:val="32"/>
          <w:lang w:eastAsia="zh-CN"/>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tbl>
      <w:tblPr>
        <w:tblStyle w:val="6"/>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1106"/>
        <w:gridCol w:w="4406"/>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1106" w:type="dxa"/>
          </w:tcPr>
          <w:p>
            <w:pPr>
              <w:tabs>
                <w:tab w:val="left" w:pos="148"/>
                <w:tab w:val="left" w:pos="431"/>
              </w:tabs>
              <w:snapToGrid w:val="0"/>
              <w:spacing w:before="115" w:beforeLines="20"/>
              <w:ind w:right="-127" w:rightChars="-40"/>
              <w:jc w:val="right"/>
              <w:rPr>
                <w:rFonts w:ascii="仿宋_GB2312" w:hAnsi="仿宋"/>
                <w:sz w:val="28"/>
                <w:szCs w:val="28"/>
              </w:rPr>
            </w:pPr>
            <w:r>
              <w:rPr>
                <w:rFonts w:hint="eastAsia" w:ascii="仿宋_GB2312" w:hAnsi="仿宋"/>
                <w:sz w:val="28"/>
                <w:szCs w:val="28"/>
              </w:rPr>
              <w:t>抄送：</w:t>
            </w:r>
          </w:p>
        </w:tc>
        <w:tc>
          <w:tcPr>
            <w:tcW w:w="7739" w:type="dxa"/>
            <w:gridSpan w:val="2"/>
          </w:tcPr>
          <w:p>
            <w:pPr>
              <w:tabs>
                <w:tab w:val="left" w:pos="813"/>
                <w:tab w:val="left" w:pos="1026"/>
                <w:tab w:val="left" w:pos="2208"/>
                <w:tab w:val="left" w:pos="3138"/>
              </w:tabs>
              <w:snapToGrid w:val="0"/>
              <w:spacing w:before="115" w:beforeLines="20"/>
              <w:ind w:left="-111" w:leftChars="-35"/>
              <w:jc w:val="left"/>
              <w:rPr>
                <w:rFonts w:hint="eastAsia" w:ascii="仿宋_GB2312" w:hAnsi="仿宋" w:eastAsia="仿宋_GB2312"/>
                <w:sz w:val="28"/>
                <w:szCs w:val="28"/>
                <w:lang w:eastAsia="zh-CN"/>
              </w:rPr>
            </w:pPr>
            <w:bookmarkStart w:id="3" w:name="PO_CS"/>
            <w:r>
              <w:rPr>
                <w:rFonts w:hint="eastAsia" w:ascii="仿宋_GB2312" w:hAnsi="仿宋"/>
                <w:sz w:val="28"/>
                <w:szCs w:val="28"/>
                <w:lang w:eastAsia="zh-CN"/>
              </w:rPr>
              <w:t>怀化市生态环境局，怀化市生态环境局芷江分局，怀化市生态环境局麻阳分局，中海环境科技（上海）股份有限公司。</w:t>
            </w:r>
            <w:bookmarkEnd w:id="3"/>
          </w:p>
        </w:tc>
      </w:tr>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gridSpan w:val="2"/>
            <w:vAlign w:val="center"/>
          </w:tcPr>
          <w:p>
            <w:pPr>
              <w:snapToGrid w:val="0"/>
              <w:ind w:left="190" w:leftChars="60"/>
              <w:rPr>
                <w:rFonts w:ascii="仿宋_GB2312" w:hAnsi="仿宋"/>
                <w:sz w:val="28"/>
                <w:szCs w:val="28"/>
              </w:rPr>
            </w:pPr>
            <w:r>
              <w:rPr>
                <w:rFonts w:hint="eastAsia" w:ascii="仿宋_GB2312" w:hAnsi="仿宋"/>
                <w:sz w:val="28"/>
                <w:szCs w:val="28"/>
              </w:rPr>
              <w:t>湖南省生态环境厅办公室</w:t>
            </w:r>
          </w:p>
        </w:tc>
        <w:tc>
          <w:tcPr>
            <w:tcW w:w="3333" w:type="dxa"/>
            <w:vAlign w:val="center"/>
          </w:tcPr>
          <w:p>
            <w:pPr>
              <w:snapToGrid w:val="0"/>
              <w:ind w:right="159" w:rightChars="50"/>
              <w:jc w:val="right"/>
              <w:rPr>
                <w:rFonts w:ascii="仿宋_GB2312" w:hAnsi="仿宋"/>
                <w:sz w:val="28"/>
                <w:szCs w:val="28"/>
              </w:rPr>
            </w:pPr>
            <w:bookmarkStart w:id="4" w:name="PO_YFRQ"/>
            <w:r>
              <w:rPr>
                <w:rFonts w:hint="eastAsia" w:ascii="仿宋_GB2312" w:hAnsi="仿宋"/>
                <w:sz w:val="28"/>
                <w:szCs w:val="28"/>
                <w:lang w:eastAsia="zh-CN"/>
              </w:rPr>
              <w:t>2019年9月24日</w:t>
            </w:r>
            <w:bookmarkEnd w:id="4"/>
            <w:r>
              <w:rPr>
                <w:rFonts w:hint="eastAsia" w:ascii="仿宋_GB2312" w:hAnsi="仿宋"/>
                <w:sz w:val="28"/>
                <w:szCs w:val="28"/>
              </w:rPr>
              <w:t>印发　</w:t>
            </w:r>
          </w:p>
        </w:tc>
      </w:tr>
    </w:tbl>
    <w:p>
      <w:pPr>
        <w:snapToGrid w:val="0"/>
        <w:spacing w:line="20" w:lineRule="exact"/>
        <w:rPr>
          <w:rFonts w:ascii="仿宋_GB2312" w:hAnsi="仿宋"/>
          <w:szCs w:val="32"/>
        </w:rPr>
      </w:pPr>
    </w:p>
    <w:sectPr>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p>
    <w:pPr>
      <w:pStyle w:val="2"/>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63F"/>
    <w:rsid w:val="00044890"/>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720270E"/>
    <w:rsid w:val="088824E2"/>
    <w:rsid w:val="0B2D4E9A"/>
    <w:rsid w:val="16E8253E"/>
    <w:rsid w:val="23737EDF"/>
    <w:rsid w:val="2A174A55"/>
    <w:rsid w:val="40CF0CF0"/>
    <w:rsid w:val="41957F20"/>
    <w:rsid w:val="4E825CF8"/>
    <w:rsid w:val="5A095C62"/>
    <w:rsid w:val="5C08272F"/>
    <w:rsid w:val="5C2E1244"/>
    <w:rsid w:val="5D5541AD"/>
    <w:rsid w:val="5E8275BB"/>
    <w:rsid w:val="5E8D2287"/>
    <w:rsid w:val="618C2C6C"/>
    <w:rsid w:val="62E97B83"/>
    <w:rsid w:val="695A28EA"/>
    <w:rsid w:val="72321D59"/>
    <w:rsid w:val="73880E51"/>
    <w:rsid w:val="74340E46"/>
    <w:rsid w:val="7490474B"/>
    <w:rsid w:val="79A16EA6"/>
    <w:rsid w:val="7BCB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2"/>
    <w:qFormat/>
    <w:uiPriority w:val="99"/>
    <w:rPr>
      <w:rFonts w:ascii="Times New Roman" w:hAnsi="Times New Roman" w:eastAsia="仿宋_GB2312" w:cs="Times New Roman"/>
      <w:sz w:val="18"/>
      <w:szCs w:val="20"/>
    </w:rPr>
  </w:style>
  <w:style w:type="character" w:customStyle="1" w:styleId="9">
    <w:name w:val="页眉 Char"/>
    <w:basedOn w:val="7"/>
    <w:link w:val="3"/>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4B0AC-633F-4D3D-8F1F-38185E952B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60</Characters>
  <Lines>23</Lines>
  <Paragraphs>12</Paragraphs>
  <TotalTime>73</TotalTime>
  <ScaleCrop>false</ScaleCrop>
  <LinksUpToDate>false</LinksUpToDate>
  <CharactersWithSpaces>65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2017-03-05T14:02:00Z</dcterms:created>
  <dc:creator>陈炼</dc:creator>
  <cp:lastModifiedBy>ZhouTing</cp:lastModifiedBy>
  <cp:lastPrinted>2017-03-09T03:07:00Z</cp:lastPrinted>
  <dcterms:modified xsi:type="dcterms:W3CDTF">2019-11-06T03:39:18Z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