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8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099"/>
        <w:gridCol w:w="690"/>
        <w:gridCol w:w="944"/>
        <w:gridCol w:w="586"/>
        <w:gridCol w:w="855"/>
        <w:gridCol w:w="195"/>
        <w:gridCol w:w="685"/>
        <w:gridCol w:w="650"/>
        <w:gridCol w:w="57"/>
        <w:gridCol w:w="1366"/>
        <w:gridCol w:w="23"/>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151" w:hRule="atLeast"/>
          <w:jc w:val="center"/>
        </w:trPr>
        <w:tc>
          <w:tcPr>
            <w:tcW w:w="8845" w:type="dxa"/>
            <w:gridSpan w:val="12"/>
            <w:tcBorders>
              <w:top w:val="nil"/>
              <w:left w:val="nil"/>
              <w:right w:val="nil"/>
            </w:tcBorders>
            <w:vAlign w:val="center"/>
          </w:tcPr>
          <w:p>
            <w:pPr>
              <w:rPr>
                <w:b/>
                <w:bCs/>
                <w:color w:val="auto"/>
                <w:szCs w:val="24"/>
                <w:highlight w:val="yellow"/>
              </w:rPr>
            </w:pPr>
            <w:r>
              <w:rPr>
                <w:rFonts w:hint="eastAsia"/>
                <w:b/>
                <w:bCs/>
                <w:color w:val="auto"/>
                <w:szCs w:val="24"/>
                <w:highlight w:val="none"/>
                <w:lang w:eastAsia="zh-CN"/>
              </w:rPr>
              <w:t>建设项目</w:t>
            </w:r>
            <w:r>
              <w:rPr>
                <w:b/>
                <w:bCs/>
                <w:color w:val="auto"/>
                <w:szCs w:val="24"/>
                <w:highlight w:val="none"/>
              </w:rPr>
              <w:t xml:space="preserve">基本情况         </w:t>
            </w:r>
            <w:r>
              <w:rPr>
                <w:rFonts w:hint="eastAsia"/>
                <w:b/>
                <w:bCs/>
                <w:color w:val="auto"/>
                <w:szCs w:val="24"/>
                <w:highlight w:val="none"/>
                <w:lang w:val="en-US" w:eastAsia="zh-CN"/>
              </w:rPr>
              <w:t xml:space="preserve">              </w:t>
            </w:r>
            <w:r>
              <w:rPr>
                <w:b/>
                <w:bCs/>
                <w:color w:val="auto"/>
                <w:szCs w:val="24"/>
                <w:highlight w:val="none"/>
              </w:rPr>
              <w:t xml:space="preserve">                           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151" w:hRule="atLeast"/>
          <w:jc w:val="center"/>
        </w:trPr>
        <w:tc>
          <w:tcPr>
            <w:tcW w:w="1695" w:type="dxa"/>
            <w:vAlign w:val="center"/>
          </w:tcPr>
          <w:p>
            <w:pPr>
              <w:jc w:val="center"/>
              <w:rPr>
                <w:color w:val="auto"/>
                <w:szCs w:val="24"/>
                <w:highlight w:val="none"/>
                <w:u w:val="none"/>
              </w:rPr>
            </w:pPr>
            <w:r>
              <w:rPr>
                <w:color w:val="auto"/>
                <w:szCs w:val="24"/>
                <w:highlight w:val="none"/>
                <w:u w:val="none"/>
              </w:rPr>
              <w:t>项目名称</w:t>
            </w:r>
          </w:p>
        </w:tc>
        <w:tc>
          <w:tcPr>
            <w:tcW w:w="7150" w:type="dxa"/>
            <w:gridSpan w:val="11"/>
            <w:vAlign w:val="center"/>
          </w:tcPr>
          <w:p>
            <w:pPr>
              <w:jc w:val="center"/>
              <w:rPr>
                <w:rFonts w:hint="eastAsia" w:eastAsia="宋体"/>
                <w:color w:val="auto"/>
                <w:szCs w:val="24"/>
                <w:highlight w:val="none"/>
                <w:u w:val="none"/>
                <w:lang w:eastAsia="zh-CN"/>
              </w:rPr>
            </w:pPr>
            <w:r>
              <w:rPr>
                <w:rFonts w:hint="eastAsia" w:eastAsia="宋体"/>
                <w:color w:val="auto"/>
                <w:szCs w:val="24"/>
                <w:highlight w:val="none"/>
                <w:u w:val="none"/>
                <w:lang w:eastAsia="zh-CN"/>
              </w:rPr>
              <w:t>常德市鼎城区广播电视台广播发射塔建设项目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jc w:val="center"/>
        </w:trPr>
        <w:tc>
          <w:tcPr>
            <w:tcW w:w="1695" w:type="dxa"/>
            <w:vAlign w:val="center"/>
          </w:tcPr>
          <w:p>
            <w:pPr>
              <w:jc w:val="center"/>
              <w:rPr>
                <w:color w:val="auto"/>
                <w:szCs w:val="24"/>
                <w:highlight w:val="none"/>
                <w:u w:val="none"/>
              </w:rPr>
            </w:pPr>
            <w:r>
              <w:rPr>
                <w:color w:val="auto"/>
                <w:szCs w:val="24"/>
                <w:highlight w:val="none"/>
                <w:u w:val="none"/>
              </w:rPr>
              <w:t>建设单位</w:t>
            </w:r>
          </w:p>
        </w:tc>
        <w:tc>
          <w:tcPr>
            <w:tcW w:w="7150" w:type="dxa"/>
            <w:gridSpan w:val="11"/>
            <w:vAlign w:val="center"/>
          </w:tcPr>
          <w:p>
            <w:pPr>
              <w:jc w:val="center"/>
              <w:rPr>
                <w:color w:val="auto"/>
                <w:szCs w:val="24"/>
                <w:highlight w:val="none"/>
                <w:u w:val="none"/>
              </w:rPr>
            </w:pPr>
            <w:r>
              <w:rPr>
                <w:rFonts w:hint="eastAsia"/>
                <w:color w:val="auto"/>
                <w:szCs w:val="24"/>
                <w:highlight w:val="none"/>
                <w:u w:val="none"/>
                <w:lang w:eastAsia="zh-CN"/>
              </w:rPr>
              <w:t>常德市鼎城区广播电视台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jc w:val="center"/>
        </w:trPr>
        <w:tc>
          <w:tcPr>
            <w:tcW w:w="1695" w:type="dxa"/>
            <w:vAlign w:val="center"/>
          </w:tcPr>
          <w:p>
            <w:pPr>
              <w:jc w:val="center"/>
              <w:rPr>
                <w:color w:val="auto"/>
                <w:szCs w:val="24"/>
                <w:highlight w:val="none"/>
                <w:u w:val="none"/>
              </w:rPr>
            </w:pPr>
            <w:r>
              <w:rPr>
                <w:color w:val="auto"/>
                <w:szCs w:val="24"/>
                <w:highlight w:val="none"/>
                <w:u w:val="none"/>
              </w:rPr>
              <w:t>法定代表人</w:t>
            </w:r>
          </w:p>
        </w:tc>
        <w:tc>
          <w:tcPr>
            <w:tcW w:w="2733" w:type="dxa"/>
            <w:gridSpan w:val="3"/>
            <w:vAlign w:val="center"/>
          </w:tcPr>
          <w:p>
            <w:pPr>
              <w:jc w:val="center"/>
              <w:rPr>
                <w:rFonts w:hint="eastAsia" w:eastAsia="宋体"/>
                <w:color w:val="auto"/>
                <w:szCs w:val="24"/>
                <w:highlight w:val="none"/>
                <w:u w:val="none"/>
                <w:lang w:eastAsia="zh-CN"/>
              </w:rPr>
            </w:pPr>
            <w:r>
              <w:rPr>
                <w:rFonts w:hint="eastAsia"/>
                <w:color w:val="auto"/>
                <w:szCs w:val="24"/>
                <w:highlight w:val="none"/>
                <w:u w:val="none"/>
                <w:lang w:eastAsia="zh-CN"/>
              </w:rPr>
              <w:t>钟伟胜</w:t>
            </w:r>
          </w:p>
        </w:tc>
        <w:tc>
          <w:tcPr>
            <w:tcW w:w="2321" w:type="dxa"/>
            <w:gridSpan w:val="4"/>
            <w:vAlign w:val="center"/>
          </w:tcPr>
          <w:p>
            <w:pPr>
              <w:jc w:val="center"/>
              <w:rPr>
                <w:bCs/>
                <w:color w:val="auto"/>
                <w:highlight w:val="none"/>
                <w:u w:val="none"/>
              </w:rPr>
            </w:pPr>
            <w:r>
              <w:rPr>
                <w:color w:val="auto"/>
                <w:szCs w:val="24"/>
                <w:highlight w:val="none"/>
                <w:u w:val="none"/>
              </w:rPr>
              <w:t>联 系 人</w:t>
            </w:r>
          </w:p>
        </w:tc>
        <w:tc>
          <w:tcPr>
            <w:tcW w:w="2096" w:type="dxa"/>
            <w:gridSpan w:val="4"/>
            <w:vAlign w:val="center"/>
          </w:tcPr>
          <w:p>
            <w:pPr>
              <w:jc w:val="center"/>
              <w:rPr>
                <w:rFonts w:hint="eastAsia" w:eastAsia="宋体"/>
                <w:bCs/>
                <w:color w:val="auto"/>
                <w:highlight w:val="none"/>
                <w:u w:val="none"/>
                <w:lang w:eastAsia="zh-CN"/>
              </w:rPr>
            </w:pPr>
            <w:r>
              <w:rPr>
                <w:rFonts w:hint="eastAsia"/>
                <w:color w:val="auto"/>
                <w:sz w:val="24"/>
                <w:szCs w:val="24"/>
                <w:highlight w:val="none"/>
                <w:u w:val="none"/>
                <w:lang w:eastAsia="zh-CN"/>
              </w:rPr>
              <w:t>李洁智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jc w:val="center"/>
        </w:trPr>
        <w:tc>
          <w:tcPr>
            <w:tcW w:w="1695" w:type="dxa"/>
            <w:vAlign w:val="center"/>
          </w:tcPr>
          <w:p>
            <w:pPr>
              <w:jc w:val="center"/>
              <w:rPr>
                <w:color w:val="auto"/>
                <w:szCs w:val="24"/>
                <w:highlight w:val="none"/>
                <w:u w:val="none"/>
              </w:rPr>
            </w:pPr>
            <w:r>
              <w:rPr>
                <w:color w:val="auto"/>
                <w:szCs w:val="24"/>
                <w:highlight w:val="none"/>
                <w:u w:val="none"/>
              </w:rPr>
              <w:t>通讯地址</w:t>
            </w:r>
          </w:p>
        </w:tc>
        <w:tc>
          <w:tcPr>
            <w:tcW w:w="7150" w:type="dxa"/>
            <w:gridSpan w:val="11"/>
            <w:vAlign w:val="center"/>
          </w:tcPr>
          <w:p>
            <w:pPr>
              <w:jc w:val="center"/>
              <w:rPr>
                <w:rFonts w:hint="eastAsia" w:eastAsia="宋体"/>
                <w:bCs/>
                <w:color w:val="auto"/>
                <w:highlight w:val="none"/>
                <w:u w:val="none"/>
                <w:lang w:val="en-US" w:eastAsia="zh-CN"/>
              </w:rPr>
            </w:pPr>
            <w:r>
              <w:rPr>
                <w:rFonts w:hint="eastAsia"/>
                <w:bCs/>
                <w:color w:val="auto"/>
                <w:highlight w:val="none"/>
                <w:u w:val="none"/>
                <w:lang w:eastAsia="zh-CN"/>
              </w:rPr>
              <w:t>常德市鼎城区临沅路</w:t>
            </w:r>
            <w:r>
              <w:rPr>
                <w:rFonts w:hint="eastAsia"/>
                <w:bCs/>
                <w:color w:val="auto"/>
                <w:highlight w:val="none"/>
                <w:u w:val="none"/>
                <w:lang w:val="en-US" w:eastAsia="zh-CN"/>
              </w:rPr>
              <w:t>31号</w:t>
            </w:r>
            <w:r>
              <w:rPr>
                <w:rFonts w:hint="eastAsia"/>
                <w:color w:val="auto"/>
                <w:szCs w:val="24"/>
                <w:highlight w:val="none"/>
                <w:u w:val="none"/>
                <w:lang w:eastAsia="zh-CN"/>
              </w:rPr>
              <w:t>常德市鼎城区</w:t>
            </w:r>
            <w:r>
              <w:rPr>
                <w:rFonts w:hint="eastAsia"/>
                <w:bCs/>
                <w:color w:val="auto"/>
                <w:highlight w:val="none"/>
                <w:u w:val="none"/>
                <w:lang w:val="en-US" w:eastAsia="zh-CN"/>
              </w:rPr>
              <w:t>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jc w:val="center"/>
        </w:trPr>
        <w:tc>
          <w:tcPr>
            <w:tcW w:w="1695" w:type="dxa"/>
            <w:vAlign w:val="center"/>
          </w:tcPr>
          <w:p>
            <w:pPr>
              <w:jc w:val="center"/>
              <w:rPr>
                <w:color w:val="auto"/>
                <w:szCs w:val="24"/>
                <w:highlight w:val="none"/>
                <w:u w:val="none"/>
              </w:rPr>
            </w:pPr>
            <w:r>
              <w:rPr>
                <w:color w:val="auto"/>
                <w:szCs w:val="24"/>
                <w:highlight w:val="none"/>
                <w:u w:val="none"/>
              </w:rPr>
              <w:t>联系电话</w:t>
            </w:r>
          </w:p>
        </w:tc>
        <w:tc>
          <w:tcPr>
            <w:tcW w:w="1789" w:type="dxa"/>
            <w:gridSpan w:val="2"/>
            <w:vAlign w:val="center"/>
          </w:tcPr>
          <w:p>
            <w:pPr>
              <w:jc w:val="center"/>
              <w:rPr>
                <w:rFonts w:hint="eastAsia" w:eastAsia="宋体"/>
                <w:color w:val="auto"/>
                <w:szCs w:val="24"/>
                <w:highlight w:val="none"/>
                <w:u w:val="none"/>
                <w:lang w:eastAsia="zh-CN"/>
              </w:rPr>
            </w:pPr>
            <w:r>
              <w:rPr>
                <w:rFonts w:hint="eastAsia"/>
                <w:color w:val="auto"/>
                <w:szCs w:val="24"/>
                <w:highlight w:val="none"/>
                <w:u w:val="none"/>
                <w:lang w:val="en-US" w:eastAsia="zh-CN"/>
              </w:rPr>
              <w:t>13077227272</w:t>
            </w:r>
          </w:p>
        </w:tc>
        <w:tc>
          <w:tcPr>
            <w:tcW w:w="1530" w:type="dxa"/>
            <w:gridSpan w:val="2"/>
            <w:vAlign w:val="center"/>
          </w:tcPr>
          <w:p>
            <w:pPr>
              <w:jc w:val="center"/>
              <w:rPr>
                <w:rFonts w:hint="eastAsia" w:eastAsia="宋体"/>
                <w:color w:val="auto"/>
                <w:szCs w:val="24"/>
                <w:highlight w:val="none"/>
                <w:u w:val="none"/>
                <w:lang w:eastAsia="zh-CN"/>
              </w:rPr>
            </w:pPr>
            <w:r>
              <w:rPr>
                <w:rFonts w:hint="eastAsia"/>
                <w:color w:val="auto"/>
                <w:szCs w:val="24"/>
                <w:highlight w:val="none"/>
                <w:u w:val="none"/>
                <w:lang w:eastAsia="zh-CN"/>
              </w:rPr>
              <w:t>传真</w:t>
            </w:r>
          </w:p>
        </w:tc>
        <w:tc>
          <w:tcPr>
            <w:tcW w:w="1050" w:type="dxa"/>
            <w:gridSpan w:val="2"/>
            <w:vAlign w:val="center"/>
          </w:tcPr>
          <w:p>
            <w:pPr>
              <w:jc w:val="center"/>
              <w:rPr>
                <w:rFonts w:hint="eastAsia" w:eastAsia="宋体"/>
                <w:color w:val="auto"/>
                <w:szCs w:val="24"/>
                <w:highlight w:val="none"/>
                <w:u w:val="none"/>
                <w:lang w:val="en-US" w:eastAsia="zh-CN"/>
              </w:rPr>
            </w:pPr>
            <w:r>
              <w:rPr>
                <w:rFonts w:hint="eastAsia"/>
                <w:color w:val="auto"/>
                <w:szCs w:val="24"/>
                <w:highlight w:val="none"/>
                <w:u w:val="none"/>
                <w:lang w:val="en-US" w:eastAsia="zh-CN"/>
              </w:rPr>
              <w:t>/</w:t>
            </w:r>
          </w:p>
        </w:tc>
        <w:tc>
          <w:tcPr>
            <w:tcW w:w="1335" w:type="dxa"/>
            <w:gridSpan w:val="2"/>
            <w:vAlign w:val="center"/>
          </w:tcPr>
          <w:p>
            <w:pPr>
              <w:jc w:val="center"/>
              <w:rPr>
                <w:color w:val="auto"/>
                <w:szCs w:val="24"/>
                <w:highlight w:val="none"/>
                <w:u w:val="none"/>
              </w:rPr>
            </w:pPr>
            <w:r>
              <w:rPr>
                <w:bCs/>
                <w:color w:val="auto"/>
                <w:highlight w:val="none"/>
                <w:u w:val="none"/>
              </w:rPr>
              <w:t>邮政编码</w:t>
            </w:r>
          </w:p>
        </w:tc>
        <w:tc>
          <w:tcPr>
            <w:tcW w:w="1446" w:type="dxa"/>
            <w:gridSpan w:val="3"/>
            <w:vAlign w:val="center"/>
          </w:tcPr>
          <w:p>
            <w:pPr>
              <w:jc w:val="center"/>
              <w:rPr>
                <w:color w:val="auto"/>
                <w:szCs w:val="24"/>
                <w:highlight w:val="none"/>
                <w:u w:val="none"/>
              </w:rPr>
            </w:pPr>
            <w:r>
              <w:rPr>
                <w:rFonts w:hint="eastAsia"/>
                <w:color w:val="auto"/>
                <w:szCs w:val="24"/>
                <w:highlight w:val="none"/>
                <w:u w:val="none"/>
              </w:rPr>
              <w:t>415199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jc w:val="center"/>
        </w:trPr>
        <w:tc>
          <w:tcPr>
            <w:tcW w:w="16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color w:val="auto"/>
                <w:szCs w:val="24"/>
                <w:highlight w:val="none"/>
                <w:u w:val="none"/>
              </w:rPr>
              <w:t>建设地点</w:t>
            </w:r>
            <w:r>
              <w:rPr>
                <w:rFonts w:hint="eastAsia"/>
                <w:color w:val="auto"/>
                <w:szCs w:val="24"/>
                <w:highlight w:val="none"/>
                <w:u w:val="none"/>
                <w:lang w:eastAsia="zh-CN"/>
              </w:rPr>
              <w:t>及地理坐标</w:t>
            </w:r>
          </w:p>
        </w:tc>
        <w:tc>
          <w:tcPr>
            <w:tcW w:w="7150" w:type="dxa"/>
            <w:gridSpan w:val="11"/>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rFonts w:hint="eastAsia"/>
                <w:bCs/>
                <w:color w:val="auto"/>
                <w:highlight w:val="none"/>
                <w:u w:val="none"/>
                <w:lang w:eastAsia="zh-CN"/>
              </w:rPr>
              <w:t>常德市鼎城区块阳明大道与兴业路交汇处（经度：</w:t>
            </w:r>
            <w:r>
              <w:rPr>
                <w:rFonts w:hint="eastAsia"/>
                <w:bCs/>
                <w:color w:val="auto"/>
                <w:highlight w:val="none"/>
                <w:u w:val="none"/>
                <w:lang w:val="en-US" w:eastAsia="zh-CN"/>
              </w:rPr>
              <w:t>111.675454243，纬度：28.984612029</w:t>
            </w:r>
            <w:r>
              <w:rPr>
                <w:rFonts w:hint="eastAsia"/>
                <w:bCs/>
                <w:color w:val="auto"/>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5" w:type="dxa"/>
            <w:vAlign w:val="center"/>
          </w:tcPr>
          <w:p>
            <w:pPr>
              <w:jc w:val="center"/>
              <w:rPr>
                <w:color w:val="auto"/>
                <w:szCs w:val="24"/>
                <w:highlight w:val="none"/>
                <w:u w:val="none"/>
              </w:rPr>
            </w:pPr>
            <w:r>
              <w:rPr>
                <w:rFonts w:hint="eastAsia"/>
                <w:color w:val="auto"/>
                <w:szCs w:val="24"/>
                <w:highlight w:val="none"/>
                <w:u w:val="none"/>
                <w:lang w:val="en-US" w:eastAsia="zh-CN"/>
              </w:rPr>
              <w:t>占地面积</w:t>
            </w:r>
          </w:p>
        </w:tc>
        <w:tc>
          <w:tcPr>
            <w:tcW w:w="2733" w:type="dxa"/>
            <w:gridSpan w:val="3"/>
            <w:vAlign w:val="center"/>
          </w:tcPr>
          <w:p>
            <w:pPr>
              <w:jc w:val="center"/>
              <w:rPr>
                <w:color w:val="auto"/>
                <w:sz w:val="32"/>
                <w:szCs w:val="32"/>
                <w:highlight w:val="none"/>
                <w:u w:val="none"/>
              </w:rPr>
            </w:pPr>
            <w:r>
              <w:rPr>
                <w:rFonts w:hint="eastAsia"/>
                <w:bCs/>
                <w:color w:val="auto"/>
                <w:szCs w:val="24"/>
                <w:highlight w:val="none"/>
                <w:u w:val="none"/>
                <w:lang w:val="en-US" w:eastAsia="zh-CN"/>
              </w:rPr>
              <w:t>200</w:t>
            </w:r>
            <w:r>
              <w:rPr>
                <w:rFonts w:hint="eastAsia"/>
                <w:bCs/>
                <w:color w:val="auto"/>
                <w:kern w:val="0"/>
                <w:highlight w:val="none"/>
                <w:u w:val="none"/>
              </w:rPr>
              <w:t>m</w:t>
            </w:r>
            <w:r>
              <w:rPr>
                <w:rFonts w:hint="eastAsia"/>
                <w:bCs/>
                <w:color w:val="auto"/>
                <w:kern w:val="0"/>
                <w:highlight w:val="none"/>
                <w:u w:val="none"/>
                <w:vertAlign w:val="superscript"/>
              </w:rPr>
              <w:t>2</w:t>
            </w:r>
          </w:p>
        </w:tc>
        <w:tc>
          <w:tcPr>
            <w:tcW w:w="1441" w:type="dxa"/>
            <w:gridSpan w:val="2"/>
            <w:tcBorders>
              <w:bottom w:val="single" w:color="auto" w:sz="4" w:space="0"/>
            </w:tcBorders>
            <w:vAlign w:val="center"/>
          </w:tcPr>
          <w:p>
            <w:pPr>
              <w:jc w:val="center"/>
              <w:rPr>
                <w:color w:val="auto"/>
                <w:szCs w:val="24"/>
                <w:highlight w:val="none"/>
                <w:u w:val="none"/>
              </w:rPr>
            </w:pPr>
            <w:r>
              <w:rPr>
                <w:color w:val="auto"/>
                <w:szCs w:val="24"/>
                <w:highlight w:val="none"/>
                <w:u w:val="none"/>
              </w:rPr>
              <w:t>建设性质</w:t>
            </w:r>
          </w:p>
        </w:tc>
        <w:tc>
          <w:tcPr>
            <w:tcW w:w="2990" w:type="dxa"/>
            <w:gridSpan w:val="7"/>
            <w:vAlign w:val="center"/>
          </w:tcPr>
          <w:p>
            <w:pPr>
              <w:rPr>
                <w:color w:val="auto"/>
                <w:szCs w:val="24"/>
                <w:highlight w:val="none"/>
                <w:u w:val="none"/>
              </w:rPr>
            </w:pPr>
            <w:r>
              <w:rPr>
                <w:color w:val="auto"/>
                <w:sz w:val="32"/>
                <w:szCs w:val="32"/>
                <w:highlight w:val="none"/>
                <w:u w:val="none"/>
              </w:rPr>
              <w:t>■</w:t>
            </w:r>
            <w:r>
              <w:rPr>
                <w:color w:val="auto"/>
                <w:sz w:val="24"/>
                <w:szCs w:val="24"/>
                <w:highlight w:val="none"/>
                <w:u w:val="none"/>
              </w:rPr>
              <w:t>新建</w:t>
            </w:r>
            <w:r>
              <w:rPr>
                <w:rFonts w:hint="eastAsia"/>
                <w:color w:val="auto"/>
                <w:sz w:val="24"/>
                <w:szCs w:val="24"/>
                <w:highlight w:val="none"/>
                <w:u w:val="none"/>
                <w:lang w:val="en-US" w:eastAsia="zh-CN"/>
              </w:rPr>
              <w:t xml:space="preserve"> </w:t>
            </w:r>
            <w:r>
              <w:rPr>
                <w:color w:val="auto"/>
                <w:sz w:val="32"/>
                <w:szCs w:val="32"/>
                <w:highlight w:val="none"/>
                <w:u w:val="none"/>
              </w:rPr>
              <w:t>□</w:t>
            </w:r>
            <w:r>
              <w:rPr>
                <w:color w:val="auto"/>
                <w:sz w:val="24"/>
                <w:szCs w:val="24"/>
                <w:highlight w:val="none"/>
                <w:u w:val="none"/>
              </w:rPr>
              <w:t>改扩建</w:t>
            </w:r>
            <w:r>
              <w:rPr>
                <w:color w:val="auto"/>
                <w:sz w:val="32"/>
                <w:szCs w:val="32"/>
                <w:highlight w:val="none"/>
                <w:u w:val="none"/>
              </w:rPr>
              <w:t xml:space="preserve"> □</w:t>
            </w:r>
            <w:r>
              <w:rPr>
                <w:color w:val="auto"/>
                <w:sz w:val="24"/>
                <w:szCs w:val="24"/>
                <w:highlight w:val="none"/>
                <w:u w:val="none"/>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695" w:type="dxa"/>
            <w:vAlign w:val="center"/>
          </w:tcPr>
          <w:p>
            <w:pPr>
              <w:jc w:val="center"/>
              <w:rPr>
                <w:rFonts w:hint="eastAsia"/>
                <w:color w:val="auto"/>
                <w:szCs w:val="24"/>
                <w:highlight w:val="none"/>
                <w:u w:val="none"/>
                <w:lang w:val="en-US" w:eastAsia="zh-CN"/>
              </w:rPr>
            </w:pPr>
            <w:r>
              <w:rPr>
                <w:rFonts w:hint="eastAsia"/>
                <w:color w:val="auto"/>
                <w:szCs w:val="24"/>
                <w:highlight w:val="none"/>
                <w:u w:val="none"/>
                <w:lang w:val="en-US" w:eastAsia="zh-CN"/>
              </w:rPr>
              <w:t>项目设立依据</w:t>
            </w:r>
          </w:p>
        </w:tc>
        <w:tc>
          <w:tcPr>
            <w:tcW w:w="2733" w:type="dxa"/>
            <w:gridSpan w:val="3"/>
            <w:vAlign w:val="center"/>
          </w:tcPr>
          <w:p>
            <w:pPr>
              <w:jc w:val="center"/>
              <w:rPr>
                <w:rFonts w:hint="eastAsia"/>
                <w:bCs/>
                <w:color w:val="auto"/>
                <w:szCs w:val="24"/>
                <w:highlight w:val="none"/>
                <w:u w:val="none"/>
                <w:lang w:val="en-US" w:eastAsia="zh-CN"/>
              </w:rPr>
            </w:pPr>
            <w:r>
              <w:rPr>
                <w:rFonts w:hint="eastAsia"/>
                <w:bCs/>
                <w:color w:val="auto"/>
                <w:szCs w:val="24"/>
                <w:highlight w:val="none"/>
                <w:u w:val="none"/>
                <w:lang w:val="en-US" w:eastAsia="zh-CN"/>
              </w:rPr>
              <w:t>常鼎发改【2016】303号</w:t>
            </w:r>
          </w:p>
        </w:tc>
        <w:tc>
          <w:tcPr>
            <w:tcW w:w="1441" w:type="dxa"/>
            <w:gridSpan w:val="2"/>
            <w:tcBorders>
              <w:bottom w:val="single" w:color="auto" w:sz="4" w:space="0"/>
            </w:tcBorders>
            <w:vAlign w:val="center"/>
          </w:tcPr>
          <w:p>
            <w:pPr>
              <w:jc w:val="center"/>
              <w:rPr>
                <w:color w:val="auto"/>
                <w:szCs w:val="24"/>
                <w:highlight w:val="none"/>
                <w:u w:val="none"/>
              </w:rPr>
            </w:pPr>
            <w:r>
              <w:rPr>
                <w:color w:val="auto"/>
                <w:szCs w:val="24"/>
                <w:highlight w:val="none"/>
                <w:u w:val="none"/>
              </w:rPr>
              <w:t>行业类别</w:t>
            </w:r>
          </w:p>
        </w:tc>
        <w:tc>
          <w:tcPr>
            <w:tcW w:w="2990" w:type="dxa"/>
            <w:gridSpan w:val="7"/>
            <w:vAlign w:val="center"/>
          </w:tcPr>
          <w:p>
            <w:pPr>
              <w:jc w:val="center"/>
              <w:rPr>
                <w:rFonts w:hint="eastAsia"/>
                <w:color w:val="auto"/>
                <w:szCs w:val="24"/>
                <w:highlight w:val="none"/>
                <w:u w:val="none"/>
                <w:lang w:val="en-US" w:eastAsia="zh-CN"/>
              </w:rPr>
            </w:pPr>
            <w:r>
              <w:rPr>
                <w:rFonts w:hint="eastAsia"/>
                <w:color w:val="auto"/>
                <w:szCs w:val="24"/>
                <w:highlight w:val="none"/>
                <w:u w:val="none"/>
                <w:lang w:val="en-US" w:eastAsia="zh-CN"/>
              </w:rPr>
              <w:t xml:space="preserve">I6322 </w:t>
            </w:r>
          </w:p>
          <w:p>
            <w:pPr>
              <w:jc w:val="center"/>
              <w:rPr>
                <w:color w:val="auto"/>
                <w:sz w:val="32"/>
                <w:szCs w:val="32"/>
                <w:highlight w:val="none"/>
                <w:u w:val="none"/>
              </w:rPr>
            </w:pPr>
            <w:r>
              <w:rPr>
                <w:color w:val="auto"/>
                <w:szCs w:val="24"/>
                <w:highlight w:val="none"/>
                <w:u w:val="none"/>
              </w:rPr>
              <w:t>无线广播电视传输服务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rFonts w:hint="eastAsia"/>
                <w:color w:val="auto"/>
                <w:szCs w:val="24"/>
                <w:highlight w:val="none"/>
                <w:u w:val="none"/>
                <w:lang w:eastAsia="zh-CN"/>
              </w:rPr>
              <w:t>项目</w:t>
            </w:r>
            <w:r>
              <w:rPr>
                <w:color w:val="auto"/>
                <w:szCs w:val="24"/>
                <w:highlight w:val="none"/>
                <w:u w:val="none"/>
              </w:rPr>
              <w:t>投资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eastAsia="宋体"/>
                <w:color w:val="auto"/>
                <w:szCs w:val="24"/>
                <w:highlight w:val="none"/>
                <w:u w:val="none"/>
                <w:lang w:eastAsia="zh-CN"/>
              </w:rPr>
            </w:pPr>
            <w:r>
              <w:rPr>
                <w:rFonts w:hint="eastAsia"/>
                <w:color w:val="auto"/>
                <w:szCs w:val="24"/>
                <w:highlight w:val="none"/>
                <w:u w:val="none"/>
                <w:lang w:eastAsia="zh-CN"/>
              </w:rPr>
              <w:t>（万元）</w:t>
            </w:r>
          </w:p>
        </w:tc>
        <w:tc>
          <w:tcPr>
            <w:tcW w:w="1099"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rFonts w:hint="eastAsia"/>
                <w:bCs/>
                <w:color w:val="auto"/>
                <w:szCs w:val="24"/>
                <w:highlight w:val="none"/>
                <w:u w:val="none"/>
                <w:lang w:val="en-US" w:eastAsia="zh-CN"/>
              </w:rPr>
              <w:t>500</w:t>
            </w:r>
          </w:p>
        </w:tc>
        <w:tc>
          <w:tcPr>
            <w:tcW w:w="1634" w:type="dxa"/>
            <w:gridSpan w:val="2"/>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color w:val="auto"/>
                <w:szCs w:val="24"/>
                <w:highlight w:val="none"/>
                <w:u w:val="none"/>
              </w:rPr>
              <w:t>其中</w:t>
            </w:r>
            <w:r>
              <w:rPr>
                <w:rFonts w:hint="eastAsia"/>
                <w:color w:val="auto"/>
                <w:szCs w:val="24"/>
                <w:highlight w:val="none"/>
                <w:u w:val="none"/>
                <w:lang w:eastAsia="zh-CN"/>
              </w:rPr>
              <w:t>：</w:t>
            </w:r>
            <w:r>
              <w:rPr>
                <w:color w:val="auto"/>
                <w:szCs w:val="24"/>
                <w:highlight w:val="none"/>
                <w:u w:val="none"/>
              </w:rPr>
              <w:t>环保投资</w:t>
            </w:r>
            <w:r>
              <w:rPr>
                <w:rFonts w:hint="eastAsia"/>
                <w:color w:val="auto"/>
                <w:szCs w:val="24"/>
                <w:highlight w:val="none"/>
                <w:u w:val="none"/>
                <w:lang w:eastAsia="zh-CN"/>
              </w:rPr>
              <w:t>（万元）</w:t>
            </w:r>
          </w:p>
        </w:tc>
        <w:tc>
          <w:tcPr>
            <w:tcW w:w="1441"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Cs w:val="24"/>
                <w:highlight w:val="none"/>
                <w:u w:val="none"/>
              </w:rPr>
            </w:pPr>
            <w:r>
              <w:rPr>
                <w:rFonts w:hint="eastAsia"/>
                <w:color w:val="auto"/>
                <w:szCs w:val="24"/>
                <w:highlight w:val="none"/>
                <w:u w:val="none"/>
                <w:lang w:val="en-US" w:eastAsia="zh-CN"/>
              </w:rPr>
              <w:t>16.8</w:t>
            </w:r>
          </w:p>
        </w:tc>
        <w:tc>
          <w:tcPr>
            <w:tcW w:w="1587" w:type="dxa"/>
            <w:gridSpan w:val="4"/>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Cs w:val="24"/>
                <w:highlight w:val="none"/>
                <w:u w:val="none"/>
                <w:lang w:val="en-US" w:eastAsia="zh-CN"/>
              </w:rPr>
            </w:pPr>
            <w:r>
              <w:rPr>
                <w:rFonts w:hint="eastAsia"/>
                <w:color w:val="auto"/>
                <w:szCs w:val="24"/>
                <w:highlight w:val="none"/>
                <w:u w:val="none"/>
                <w:lang w:val="en-US" w:eastAsia="zh-CN"/>
              </w:rPr>
              <w:t>环保投资占总投资比例</w:t>
            </w:r>
          </w:p>
        </w:tc>
        <w:tc>
          <w:tcPr>
            <w:tcW w:w="1403"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Cs w:val="24"/>
                <w:highlight w:val="none"/>
                <w:u w:val="none"/>
                <w:lang w:val="en-US" w:eastAsia="zh-CN"/>
              </w:rPr>
            </w:pPr>
            <w:r>
              <w:rPr>
                <w:rFonts w:hint="eastAsia"/>
                <w:color w:val="auto"/>
                <w:szCs w:val="24"/>
                <w:highlight w:val="none"/>
                <w:u w:val="none"/>
                <w:lang w:val="en-US" w:eastAsia="zh-CN"/>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5"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Cs w:val="24"/>
                <w:highlight w:val="none"/>
                <w:u w:val="none"/>
                <w:lang w:val="en-US" w:eastAsia="zh-CN"/>
              </w:rPr>
            </w:pPr>
            <w:r>
              <w:rPr>
                <w:rFonts w:hint="eastAsia"/>
                <w:color w:val="auto"/>
                <w:szCs w:val="24"/>
                <w:highlight w:val="none"/>
                <w:u w:val="none"/>
                <w:lang w:val="en-US" w:eastAsia="zh-CN"/>
              </w:rPr>
              <w:t>评价经费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Cs w:val="24"/>
                <w:highlight w:val="none"/>
                <w:u w:val="none"/>
                <w:lang w:eastAsia="zh-CN"/>
              </w:rPr>
            </w:pPr>
            <w:r>
              <w:rPr>
                <w:rFonts w:hint="eastAsia"/>
                <w:color w:val="auto"/>
                <w:szCs w:val="24"/>
                <w:highlight w:val="none"/>
                <w:u w:val="none"/>
                <w:lang w:val="en-US" w:eastAsia="zh-CN"/>
              </w:rPr>
              <w:t>（万元）</w:t>
            </w:r>
          </w:p>
        </w:tc>
        <w:tc>
          <w:tcPr>
            <w:tcW w:w="7164" w:type="dxa"/>
            <w:gridSpan w:val="12"/>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Cs w:val="24"/>
                <w:highlight w:val="none"/>
                <w:u w:val="none"/>
                <w:lang w:val="en-US" w:eastAsia="zh-CN"/>
              </w:rPr>
            </w:pPr>
            <w:r>
              <w:rPr>
                <w:rFonts w:hint="eastAsia"/>
                <w:color w:val="auto"/>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301" w:hRule="atLeast"/>
          <w:jc w:val="center"/>
        </w:trPr>
        <w:tc>
          <w:tcPr>
            <w:tcW w:w="8845" w:type="dxa"/>
            <w:gridSpan w:val="12"/>
            <w:vAlign w:val="center"/>
          </w:tcPr>
          <w:p>
            <w:pPr>
              <w:adjustRightInd w:val="0"/>
              <w:snapToGrid w:val="0"/>
              <w:spacing w:before="156" w:beforeLines="50"/>
              <w:rPr>
                <w:b/>
                <w:bCs/>
                <w:color w:val="auto"/>
                <w:szCs w:val="24"/>
                <w:highlight w:val="none"/>
              </w:rPr>
            </w:pPr>
            <w:r>
              <w:rPr>
                <w:rFonts w:hint="eastAsia"/>
                <w:b/>
                <w:bCs/>
                <w:color w:val="auto"/>
                <w:szCs w:val="24"/>
                <w:highlight w:val="none"/>
                <w:lang w:val="en-US" w:eastAsia="zh-CN"/>
              </w:rPr>
              <w:t xml:space="preserve">1.1 </w:t>
            </w:r>
            <w:r>
              <w:rPr>
                <w:b/>
                <w:bCs/>
                <w:color w:val="auto"/>
                <w:szCs w:val="24"/>
                <w:highlight w:val="none"/>
              </w:rPr>
              <w:t>项目由来</w:t>
            </w:r>
          </w:p>
          <w:p>
            <w:pPr>
              <w:keepLines/>
              <w:widowControl/>
              <w:adjustRightInd w:val="0"/>
              <w:snapToGrid w:val="0"/>
              <w:ind w:firstLine="480" w:firstLineChars="200"/>
              <w:rPr>
                <w:rFonts w:hint="eastAsia"/>
                <w:color w:val="auto"/>
                <w:highlight w:val="none"/>
                <w:lang w:eastAsia="zh-CN"/>
              </w:rPr>
            </w:pPr>
            <w:r>
              <w:rPr>
                <w:rFonts w:hint="eastAsia"/>
                <w:color w:val="auto"/>
                <w:highlight w:val="none"/>
                <w:lang w:eastAsia="zh-CN"/>
              </w:rPr>
              <w:t>常德市鼎城区广播电视事业起步于</w:t>
            </w:r>
            <w:r>
              <w:rPr>
                <w:rFonts w:hint="eastAsia"/>
                <w:color w:val="auto"/>
                <w:highlight w:val="none"/>
                <w:lang w:val="en-US" w:eastAsia="zh-CN"/>
              </w:rPr>
              <w:t>1950年“常德县收音站”，1974年6月成立常德县广播事业管理局，1984年1月更名为常德县广播电视局，正式列入县人民政府的工作部门，属正科级全额拨款事业单位，1987年与常德行署“地改市”同步更名为鼎城区广播电视局，在2010年的文化体制改革中剥离行政管理职能，更名为鼎城区广播电视站。</w:t>
            </w:r>
          </w:p>
          <w:p>
            <w:pPr>
              <w:keepLines/>
              <w:widowControl/>
              <w:adjustRightInd w:val="0"/>
              <w:snapToGrid w:val="0"/>
              <w:ind w:firstLine="480" w:firstLineChars="200"/>
              <w:rPr>
                <w:rFonts w:hint="eastAsia"/>
                <w:color w:val="auto"/>
                <w:highlight w:val="none"/>
                <w:lang w:val="en-US" w:eastAsia="zh-CN"/>
              </w:rPr>
            </w:pPr>
            <w:r>
              <w:rPr>
                <w:rFonts w:hint="eastAsia"/>
                <w:color w:val="auto"/>
                <w:highlight w:val="none"/>
                <w:lang w:eastAsia="zh-CN"/>
              </w:rPr>
              <w:t>鼎城区广播电视台原业务大楼由于建设年代早，建设标准低，配套设施落后，已很难满足电视台的业务需求；同时电视台现业务大楼位于临江棚改一期</w:t>
            </w:r>
            <w:r>
              <w:rPr>
                <w:rFonts w:hint="eastAsia"/>
                <w:color w:val="auto"/>
                <w:highlight w:val="none"/>
                <w:lang w:val="en-US" w:eastAsia="zh-CN"/>
              </w:rPr>
              <w:t>B08拆迁地块，如不进行拆迁，将影响临江棚改的顺利推进。因此，为满足电视台正常的业务工作需求并为临江棚改的推进提供方便，常德市鼎城区广播电视台决定拆迁原业务大楼，在鼎城区阳明湖板块阳明大道与兴业街交叉处的东北角新建新的业务大楼及电视发射塔。</w:t>
            </w:r>
          </w:p>
          <w:p>
            <w:pPr>
              <w:pStyle w:val="103"/>
              <w:keepLines/>
              <w:widowControl/>
              <w:numPr>
                <w:ilvl w:val="0"/>
                <w:numId w:val="0"/>
              </w:numPr>
              <w:adjustRightInd w:val="0"/>
              <w:snapToGrid w:val="0"/>
              <w:ind w:firstLine="480" w:firstLineChars="200"/>
              <w:rPr>
                <w:rFonts w:hint="eastAsia" w:eastAsia="宋体"/>
                <w:bCs/>
                <w:color w:val="auto"/>
                <w:highlight w:val="none"/>
                <w:u w:val="none"/>
                <w:lang w:eastAsia="zh-CN"/>
              </w:rPr>
            </w:pPr>
            <w:r>
              <w:rPr>
                <w:rFonts w:hint="eastAsia"/>
                <w:bCs/>
                <w:color w:val="auto"/>
                <w:highlight w:val="none"/>
                <w:u w:val="none"/>
                <w:lang w:eastAsia="zh-CN"/>
              </w:rPr>
              <w:t>本次新建电视发射塔</w:t>
            </w:r>
            <w:r>
              <w:rPr>
                <w:rFonts w:hint="eastAsia"/>
                <w:bCs/>
                <w:color w:val="auto"/>
                <w:highlight w:val="none"/>
                <w:u w:val="none"/>
                <w:lang w:val="en-US" w:eastAsia="zh-CN"/>
              </w:rPr>
              <w:t>1座，塔高158m（不含塔基所在地势海拔高度32m），建设3kW调频广播发射机1台，为发射主机，安装在配套用房的二楼机房内。</w:t>
            </w:r>
          </w:p>
          <w:p>
            <w:pPr>
              <w:pStyle w:val="103"/>
              <w:keepLines/>
              <w:widowControl/>
              <w:numPr>
                <w:ilvl w:val="0"/>
                <w:numId w:val="0"/>
              </w:numPr>
              <w:adjustRightInd w:val="0"/>
              <w:snapToGrid w:val="0"/>
              <w:ind w:firstLine="480" w:firstLineChars="200"/>
              <w:rPr>
                <w:bCs/>
                <w:color w:val="auto"/>
                <w:highlight w:val="yellow"/>
              </w:rPr>
            </w:pPr>
            <w:r>
              <w:rPr>
                <w:bCs/>
                <w:color w:val="auto"/>
                <w:highlight w:val="none"/>
                <w:u w:val="none"/>
              </w:rPr>
              <w:t>原</w:t>
            </w:r>
            <w:r>
              <w:rPr>
                <w:rFonts w:hint="eastAsia"/>
                <w:bCs/>
                <w:color w:val="auto"/>
                <w:highlight w:val="none"/>
                <w:u w:val="none"/>
                <w:lang w:eastAsia="zh-CN"/>
              </w:rPr>
              <w:t>电视台位于常德市鼎城区临沅路</w:t>
            </w:r>
            <w:r>
              <w:rPr>
                <w:rFonts w:hint="eastAsia"/>
                <w:bCs/>
                <w:color w:val="auto"/>
                <w:highlight w:val="none"/>
                <w:u w:val="none"/>
                <w:lang w:val="en-US" w:eastAsia="zh-CN"/>
              </w:rPr>
              <w:t>31号，设置有广播发射塔1座，塔高121m，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37" w:type="dxa"/>
          <w:jc w:val="center"/>
        </w:trPr>
        <w:tc>
          <w:tcPr>
            <w:tcW w:w="8822" w:type="dxa"/>
            <w:gridSpan w:val="11"/>
          </w:tcPr>
          <w:p>
            <w:pPr>
              <w:adjustRightInd w:val="0"/>
              <w:snapToGrid w:val="0"/>
              <w:spacing w:line="360" w:lineRule="auto"/>
              <w:jc w:val="left"/>
              <w:rPr>
                <w:rFonts w:hint="eastAsia"/>
                <w:b w:val="0"/>
                <w:bCs/>
                <w:color w:val="auto"/>
                <w:kern w:val="0"/>
                <w:sz w:val="24"/>
                <w:highlight w:val="none"/>
                <w:u w:val="none"/>
                <w:lang w:val="en-US" w:eastAsia="zh-CN"/>
              </w:rPr>
            </w:pPr>
            <w:r>
              <w:rPr>
                <w:rFonts w:hint="eastAsia"/>
                <w:bCs/>
                <w:color w:val="auto"/>
                <w:highlight w:val="none"/>
                <w:u w:val="none"/>
                <w:lang w:val="en-US" w:eastAsia="zh-CN"/>
              </w:rPr>
              <w:t>配置有1根广播发射天线，1台发射机，发射机型号为RVRTX3000，发射功率为3kW，发射频率为106.8MHz，播出节目为自办节目，天线挂高为112m，天线增益为</w:t>
            </w:r>
            <w:r>
              <w:rPr>
                <w:rFonts w:hint="eastAsia"/>
                <w:color w:val="auto"/>
                <w:highlight w:val="none"/>
                <w:u w:val="none"/>
                <w:lang w:val="en-US" w:eastAsia="zh-CN"/>
              </w:rPr>
              <w:t>10</w:t>
            </w:r>
            <w:r>
              <w:rPr>
                <w:color w:val="auto"/>
                <w:highlight w:val="none"/>
                <w:u w:val="none"/>
              </w:rPr>
              <w:t>dBi</w:t>
            </w:r>
            <w:r>
              <w:rPr>
                <w:rFonts w:hint="eastAsia"/>
                <w:color w:val="auto"/>
                <w:highlight w:val="none"/>
                <w:u w:val="none"/>
                <w:lang w:eastAsia="zh-CN"/>
              </w:rPr>
              <w:t>。经过现场踏勘，现有工程废水、废气、固废均得到了合理处置；</w:t>
            </w:r>
            <w:r>
              <w:rPr>
                <w:color w:val="auto"/>
                <w:highlight w:val="none"/>
                <w:u w:val="none"/>
              </w:rPr>
              <w:t>此外，该广播发射塔运行至今，尚未出现环境方面的投诉情况。因此，本项目不存在原有的环境问题。</w:t>
            </w:r>
          </w:p>
          <w:p>
            <w:pPr>
              <w:adjustRightInd w:val="0"/>
              <w:snapToGrid w:val="0"/>
              <w:spacing w:line="360" w:lineRule="auto"/>
              <w:ind w:firstLine="480" w:firstLineChars="200"/>
              <w:jc w:val="left"/>
              <w:rPr>
                <w:rFonts w:hint="eastAsia"/>
                <w:b w:val="0"/>
                <w:bCs/>
                <w:color w:val="auto"/>
                <w:kern w:val="0"/>
                <w:sz w:val="24"/>
                <w:highlight w:val="none"/>
                <w:u w:val="none"/>
                <w:lang w:val="en-US" w:eastAsia="zh-CN"/>
              </w:rPr>
            </w:pPr>
            <w:r>
              <w:rPr>
                <w:rFonts w:hint="eastAsia"/>
                <w:b w:val="0"/>
                <w:bCs/>
                <w:color w:val="auto"/>
                <w:kern w:val="0"/>
                <w:sz w:val="24"/>
                <w:highlight w:val="none"/>
                <w:u w:val="none"/>
                <w:lang w:val="en-US" w:eastAsia="zh-CN"/>
              </w:rPr>
              <w:t>按照《中华人民共和国环境保护法》、《建设项目环境保护管理条例》（国务院第682）以及《中华人民共和国环境影响评价法》相关规定，</w:t>
            </w:r>
            <w:r>
              <w:rPr>
                <w:rFonts w:hint="eastAsia"/>
                <w:color w:val="auto"/>
                <w:szCs w:val="24"/>
                <w:highlight w:val="none"/>
                <w:u w:val="none"/>
                <w:lang w:eastAsia="zh-CN"/>
              </w:rPr>
              <w:t>常德市鼎城区广播电视台电视塔建设项目</w:t>
            </w:r>
            <w:r>
              <w:rPr>
                <w:rFonts w:hint="eastAsia"/>
                <w:b w:val="0"/>
                <w:bCs/>
                <w:color w:val="auto"/>
                <w:kern w:val="0"/>
                <w:sz w:val="24"/>
                <w:highlight w:val="none"/>
                <w:u w:val="none"/>
                <w:lang w:val="en-US" w:eastAsia="zh-CN"/>
              </w:rPr>
              <w:t>的建设应进行环境影响评价。根据《建设项目环境影响评价分类管理名录》（环保部令第44号，2017年9月1日实施）的要求，该项目应编制环境影响报告表。因此，</w:t>
            </w:r>
            <w:r>
              <w:rPr>
                <w:rFonts w:hint="eastAsia"/>
                <w:color w:val="auto"/>
                <w:szCs w:val="24"/>
                <w:highlight w:val="none"/>
                <w:u w:val="none"/>
                <w:lang w:eastAsia="zh-CN"/>
              </w:rPr>
              <w:t>常德市鼎城区广播电视台</w:t>
            </w:r>
            <w:r>
              <w:rPr>
                <w:rFonts w:hint="eastAsia"/>
                <w:b w:val="0"/>
                <w:bCs/>
                <w:color w:val="auto"/>
                <w:kern w:val="0"/>
                <w:sz w:val="24"/>
                <w:highlight w:val="none"/>
                <w:u w:val="none"/>
                <w:lang w:val="en-US" w:eastAsia="zh-CN"/>
              </w:rPr>
              <w:t>委托重庆宏伟环保工程有限公司对本项目进行环境影响进行评价。评价单位在现场踏勘、收集资料的前提下，结合有关法律法规，编制了本项目的环境影响报告表。</w:t>
            </w:r>
          </w:p>
          <w:p>
            <w:pPr>
              <w:adjustRightInd w:val="0"/>
              <w:snapToGrid w:val="0"/>
              <w:spacing w:before="156" w:beforeLines="50"/>
              <w:rPr>
                <w:b/>
                <w:bCs/>
                <w:color w:val="auto"/>
                <w:szCs w:val="24"/>
                <w:highlight w:val="none"/>
              </w:rPr>
            </w:pPr>
            <w:r>
              <w:rPr>
                <w:rFonts w:hint="eastAsia"/>
                <w:b/>
                <w:bCs/>
                <w:color w:val="auto"/>
                <w:szCs w:val="24"/>
                <w:highlight w:val="none"/>
                <w:lang w:val="en-US" w:eastAsia="zh-CN"/>
              </w:rPr>
              <w:t>1.2</w:t>
            </w:r>
            <w:r>
              <w:rPr>
                <w:b/>
                <w:bCs/>
                <w:color w:val="auto"/>
                <w:szCs w:val="24"/>
                <w:highlight w:val="none"/>
              </w:rPr>
              <w:t xml:space="preserve"> 编制依据</w:t>
            </w:r>
          </w:p>
          <w:p>
            <w:pPr>
              <w:adjustRightInd w:val="0"/>
              <w:snapToGrid w:val="0"/>
              <w:rPr>
                <w:b/>
                <w:color w:val="auto"/>
                <w:szCs w:val="24"/>
                <w:highlight w:val="none"/>
              </w:rPr>
            </w:pPr>
            <w:r>
              <w:rPr>
                <w:rFonts w:hint="eastAsia"/>
                <w:b/>
                <w:bCs/>
                <w:color w:val="auto"/>
                <w:kern w:val="0"/>
                <w:szCs w:val="24"/>
                <w:highlight w:val="none"/>
                <w:lang w:val="en-US" w:eastAsia="zh-CN"/>
              </w:rPr>
              <w:t>1.2.</w:t>
            </w:r>
            <w:r>
              <w:rPr>
                <w:b/>
                <w:bCs/>
                <w:color w:val="auto"/>
                <w:kern w:val="0"/>
                <w:szCs w:val="24"/>
                <w:highlight w:val="none"/>
              </w:rPr>
              <w:t xml:space="preserve">1 </w:t>
            </w:r>
            <w:r>
              <w:rPr>
                <w:b/>
                <w:color w:val="auto"/>
                <w:kern w:val="0"/>
                <w:szCs w:val="24"/>
                <w:highlight w:val="none"/>
              </w:rPr>
              <w:t>法律法规及规范性文件</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1）《中华人民共和国环境保护法》（201</w:t>
            </w:r>
            <w:r>
              <w:rPr>
                <w:rFonts w:hint="eastAsia" w:ascii="Times New Roman" w:hAnsi="Times New Roman" w:eastAsia="宋体" w:cs="Times New Roman"/>
                <w:iCs/>
                <w:color w:val="auto"/>
                <w:kern w:val="0"/>
                <w:sz w:val="24"/>
                <w:szCs w:val="24"/>
                <w:highlight w:val="none"/>
                <w:lang w:val="en-US" w:eastAsia="zh-CN"/>
              </w:rPr>
              <w:t>5</w:t>
            </w:r>
            <w:r>
              <w:rPr>
                <w:rFonts w:hint="default" w:ascii="Times New Roman" w:hAnsi="Times New Roman" w:eastAsia="宋体" w:cs="Times New Roman"/>
                <w:iCs/>
                <w:color w:val="auto"/>
                <w:kern w:val="0"/>
                <w:sz w:val="24"/>
                <w:szCs w:val="24"/>
                <w:highlight w:val="none"/>
              </w:rPr>
              <w:t>年</w:t>
            </w:r>
            <w:r>
              <w:rPr>
                <w:rFonts w:hint="eastAsia" w:ascii="Times New Roman" w:hAnsi="Times New Roman" w:eastAsia="宋体" w:cs="Times New Roman"/>
                <w:iCs/>
                <w:color w:val="auto"/>
                <w:kern w:val="0"/>
                <w:sz w:val="24"/>
                <w:szCs w:val="24"/>
                <w:highlight w:val="none"/>
                <w:lang w:val="en-US" w:eastAsia="zh-CN"/>
              </w:rPr>
              <w:t>1</w:t>
            </w:r>
            <w:r>
              <w:rPr>
                <w:rFonts w:hint="default" w:ascii="Times New Roman" w:hAnsi="Times New Roman" w:eastAsia="宋体" w:cs="Times New Roman"/>
                <w:iCs/>
                <w:color w:val="auto"/>
                <w:kern w:val="0"/>
                <w:sz w:val="24"/>
                <w:szCs w:val="24"/>
                <w:highlight w:val="none"/>
              </w:rPr>
              <w:t>月</w:t>
            </w:r>
            <w:r>
              <w:rPr>
                <w:rFonts w:hint="eastAsia" w:ascii="Times New Roman" w:hAnsi="Times New Roman" w:eastAsia="宋体" w:cs="Times New Roman"/>
                <w:iCs/>
                <w:color w:val="auto"/>
                <w:kern w:val="0"/>
                <w:sz w:val="24"/>
                <w:szCs w:val="24"/>
                <w:highlight w:val="none"/>
                <w:lang w:val="en-US" w:eastAsia="zh-CN"/>
              </w:rPr>
              <w:t>1</w:t>
            </w:r>
            <w:r>
              <w:rPr>
                <w:rFonts w:hint="default" w:ascii="Times New Roman" w:hAnsi="Times New Roman" w:eastAsia="宋体" w:cs="Times New Roman"/>
                <w:iCs/>
                <w:color w:val="auto"/>
                <w:kern w:val="0"/>
                <w:sz w:val="24"/>
                <w:szCs w:val="24"/>
                <w:highlight w:val="none"/>
              </w:rPr>
              <w:t>日</w:t>
            </w:r>
            <w:r>
              <w:rPr>
                <w:rFonts w:hint="eastAsia" w:ascii="Times New Roman" w:hAnsi="Times New Roman" w:eastAsia="宋体" w:cs="Times New Roman"/>
                <w:iCs/>
                <w:color w:val="auto"/>
                <w:kern w:val="0"/>
                <w:sz w:val="24"/>
                <w:szCs w:val="24"/>
                <w:highlight w:val="none"/>
                <w:lang w:eastAsia="zh-CN"/>
              </w:rPr>
              <w:t>执行</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2）《中华人民共和国环境影响评价法》(</w:t>
            </w:r>
            <w:r>
              <w:rPr>
                <w:rFonts w:hint="eastAsia" w:ascii="Times New Roman" w:hAnsi="Times New Roman" w:eastAsia="宋体" w:cs="Times New Roman"/>
                <w:iCs/>
                <w:color w:val="auto"/>
                <w:kern w:val="0"/>
                <w:sz w:val="24"/>
                <w:szCs w:val="24"/>
                <w:highlight w:val="none"/>
                <w:lang w:val="en-US" w:eastAsia="zh-CN"/>
              </w:rPr>
              <w:t>2016</w:t>
            </w:r>
            <w:r>
              <w:rPr>
                <w:rFonts w:hint="default" w:ascii="Times New Roman" w:hAnsi="Times New Roman" w:eastAsia="宋体" w:cs="Times New Roman"/>
                <w:iCs/>
                <w:color w:val="auto"/>
                <w:kern w:val="0"/>
                <w:sz w:val="24"/>
                <w:szCs w:val="24"/>
                <w:highlight w:val="none"/>
              </w:rPr>
              <w:t xml:space="preserve">年9月1日执行）； </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3）《中华人民共和国水污染防治法》（</w:t>
            </w:r>
            <w:r>
              <w:rPr>
                <w:rFonts w:hint="eastAsia" w:cs="Times New Roman"/>
                <w:iCs/>
                <w:color w:val="auto"/>
                <w:kern w:val="0"/>
                <w:sz w:val="24"/>
                <w:szCs w:val="24"/>
                <w:highlight w:val="none"/>
                <w:lang w:val="en-US" w:eastAsia="zh-CN"/>
              </w:rPr>
              <w:t>2017年6月27修正，2018年1月1日执行</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4）《中华人民共和国环境噪声污染防治法》（1997年3月1日执行）；</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5）《中华人民共和国</w:t>
            </w:r>
            <w:r>
              <w:rPr>
                <w:rFonts w:hint="eastAsia" w:cs="Times New Roman"/>
                <w:iCs/>
                <w:color w:val="auto"/>
                <w:kern w:val="0"/>
                <w:sz w:val="24"/>
                <w:szCs w:val="24"/>
                <w:highlight w:val="none"/>
                <w:lang w:eastAsia="zh-CN"/>
              </w:rPr>
              <w:t>水土保持</w:t>
            </w:r>
            <w:r>
              <w:rPr>
                <w:rFonts w:hint="default" w:ascii="Times New Roman" w:hAnsi="Times New Roman" w:eastAsia="宋体" w:cs="Times New Roman"/>
                <w:iCs/>
                <w:color w:val="auto"/>
                <w:kern w:val="0"/>
                <w:sz w:val="24"/>
                <w:szCs w:val="24"/>
                <w:highlight w:val="none"/>
              </w:rPr>
              <w:t>法》（2011年3月1日执行）</w:t>
            </w:r>
            <w:r>
              <w:rPr>
                <w:rFonts w:hint="eastAsia" w:ascii="Times New Roman" w:hAnsi="Times New Roman" w:eastAsia="宋体" w:cs="Times New Roman"/>
                <w:iCs/>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6）</w:t>
            </w:r>
            <w:r>
              <w:rPr>
                <w:rFonts w:hint="default" w:ascii="Times New Roman" w:hAnsi="Times New Roman" w:eastAsia="宋体" w:cs="Times New Roman"/>
                <w:snapToGrid w:val="0"/>
                <w:color w:val="auto"/>
                <w:kern w:val="0"/>
                <w:sz w:val="24"/>
                <w:szCs w:val="24"/>
                <w:highlight w:val="none"/>
              </w:rPr>
              <w:t>《中华人民共和国固体废物污染环境防治法》（</w:t>
            </w:r>
            <w:r>
              <w:rPr>
                <w:rFonts w:hint="eastAsia" w:cs="Times New Roman"/>
                <w:snapToGrid w:val="0"/>
                <w:color w:val="auto"/>
                <w:kern w:val="0"/>
                <w:sz w:val="24"/>
                <w:szCs w:val="24"/>
                <w:highlight w:val="none"/>
                <w:lang w:val="en-US" w:eastAsia="zh-CN"/>
              </w:rPr>
              <w:t>2016</w:t>
            </w:r>
            <w:r>
              <w:rPr>
                <w:rFonts w:hint="default" w:ascii="Times New Roman" w:hAnsi="Times New Roman" w:eastAsia="宋体" w:cs="Times New Roman"/>
                <w:snapToGrid w:val="0"/>
                <w:color w:val="auto"/>
                <w:kern w:val="0"/>
                <w:sz w:val="24"/>
                <w:szCs w:val="24"/>
                <w:highlight w:val="none"/>
              </w:rPr>
              <w:t>年</w:t>
            </w:r>
            <w:r>
              <w:rPr>
                <w:rFonts w:hint="eastAsia" w:cs="Times New Roman"/>
                <w:snapToGrid w:val="0"/>
                <w:color w:val="auto"/>
                <w:kern w:val="0"/>
                <w:sz w:val="24"/>
                <w:szCs w:val="24"/>
                <w:highlight w:val="none"/>
                <w:lang w:val="en-US" w:eastAsia="zh-CN"/>
              </w:rPr>
              <w:t>11</w:t>
            </w:r>
            <w:r>
              <w:rPr>
                <w:rFonts w:hint="default" w:ascii="Times New Roman" w:hAnsi="Times New Roman" w:eastAsia="宋体" w:cs="Times New Roman"/>
                <w:snapToGrid w:val="0"/>
                <w:color w:val="auto"/>
                <w:kern w:val="0"/>
                <w:sz w:val="24"/>
                <w:szCs w:val="24"/>
                <w:highlight w:val="none"/>
              </w:rPr>
              <w:t>月</w:t>
            </w:r>
            <w:r>
              <w:rPr>
                <w:rFonts w:hint="eastAsia" w:cs="Times New Roman"/>
                <w:snapToGrid w:val="0"/>
                <w:color w:val="auto"/>
                <w:kern w:val="0"/>
                <w:sz w:val="24"/>
                <w:szCs w:val="24"/>
                <w:highlight w:val="none"/>
                <w:lang w:val="en-US" w:eastAsia="zh-CN"/>
              </w:rPr>
              <w:t>7</w:t>
            </w:r>
            <w:r>
              <w:rPr>
                <w:rFonts w:hint="default" w:ascii="Times New Roman" w:hAnsi="Times New Roman" w:eastAsia="宋体" w:cs="Times New Roman"/>
                <w:snapToGrid w:val="0"/>
                <w:color w:val="auto"/>
                <w:kern w:val="0"/>
                <w:sz w:val="24"/>
                <w:szCs w:val="24"/>
                <w:highlight w:val="none"/>
              </w:rPr>
              <w:t>日</w:t>
            </w:r>
            <w:r>
              <w:rPr>
                <w:rFonts w:hint="eastAsia" w:cs="Times New Roman"/>
                <w:snapToGrid w:val="0"/>
                <w:color w:val="auto"/>
                <w:kern w:val="0"/>
                <w:sz w:val="24"/>
                <w:szCs w:val="24"/>
                <w:highlight w:val="none"/>
                <w:lang w:eastAsia="zh-CN"/>
              </w:rPr>
              <w:t>修订</w:t>
            </w:r>
            <w:r>
              <w:rPr>
                <w:rFonts w:hint="default" w:ascii="Times New Roman" w:hAnsi="Times New Roman" w:eastAsia="宋体" w:cs="Times New Roman"/>
                <w:snapToGrid w:val="0"/>
                <w:color w:val="auto"/>
                <w:kern w:val="0"/>
                <w:sz w:val="24"/>
                <w:szCs w:val="24"/>
                <w:highlight w:val="none"/>
              </w:rPr>
              <w:t>）</w:t>
            </w:r>
            <w:r>
              <w:rPr>
                <w:rFonts w:hint="eastAsia" w:ascii="Times New Roman" w:hAnsi="Times New Roman" w:eastAsia="宋体" w:cs="Times New Roman"/>
                <w:snapToGrid w:val="0"/>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7）《建设项目环境保护管理条例》</w:t>
            </w:r>
            <w:r>
              <w:rPr>
                <w:rFonts w:hint="eastAsia" w:cs="Times New Roman"/>
                <w:iCs/>
                <w:color w:val="auto"/>
                <w:kern w:val="0"/>
                <w:sz w:val="24"/>
                <w:szCs w:val="24"/>
                <w:highlight w:val="none"/>
                <w:lang w:eastAsia="zh-CN"/>
              </w:rPr>
              <w:t>（国务院第</w:t>
            </w:r>
            <w:r>
              <w:rPr>
                <w:rFonts w:hint="eastAsia" w:cs="Times New Roman"/>
                <w:iCs/>
                <w:color w:val="auto"/>
                <w:kern w:val="0"/>
                <w:sz w:val="24"/>
                <w:szCs w:val="24"/>
                <w:highlight w:val="none"/>
                <w:lang w:val="en-US" w:eastAsia="zh-CN"/>
              </w:rPr>
              <w:t>682号令，2017年7月16日修订</w:t>
            </w:r>
            <w:r>
              <w:rPr>
                <w:rFonts w:hint="eastAsia" w:cs="Times New Roman"/>
                <w:iCs/>
                <w:color w:val="auto"/>
                <w:kern w:val="0"/>
                <w:sz w:val="24"/>
                <w:szCs w:val="24"/>
                <w:highlight w:val="none"/>
                <w:lang w:eastAsia="zh-CN"/>
              </w:rPr>
              <w:t>）</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8）《建设项目环境影响评价分类管理名录》（</w:t>
            </w:r>
            <w:r>
              <w:rPr>
                <w:rFonts w:hint="eastAsia" w:cs="Times New Roman"/>
                <w:iCs/>
                <w:color w:val="auto"/>
                <w:kern w:val="0"/>
                <w:sz w:val="24"/>
                <w:szCs w:val="24"/>
                <w:highlight w:val="none"/>
                <w:lang w:eastAsia="zh-CN"/>
              </w:rPr>
              <w:t>环保部令第</w:t>
            </w:r>
            <w:r>
              <w:rPr>
                <w:rFonts w:hint="eastAsia" w:cs="Times New Roman"/>
                <w:iCs/>
                <w:color w:val="auto"/>
                <w:kern w:val="0"/>
                <w:sz w:val="24"/>
                <w:szCs w:val="24"/>
                <w:highlight w:val="none"/>
                <w:lang w:val="en-US" w:eastAsia="zh-CN"/>
              </w:rPr>
              <w:t>44号，</w:t>
            </w:r>
            <w:r>
              <w:rPr>
                <w:rFonts w:hint="eastAsia"/>
                <w:color w:val="auto"/>
                <w:sz w:val="24"/>
                <w:highlight w:val="none"/>
                <w:u w:val="none"/>
                <w:lang w:val="en-US" w:eastAsia="zh-CN"/>
              </w:rPr>
              <w:t>2017年9月1日执行</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iCs/>
                <w:color w:val="auto"/>
                <w:kern w:val="0"/>
                <w:sz w:val="24"/>
                <w:szCs w:val="24"/>
                <w:highlight w:val="none"/>
                <w:lang w:eastAsia="zh-CN"/>
              </w:rPr>
            </w:pPr>
            <w:r>
              <w:rPr>
                <w:rFonts w:hint="default" w:ascii="Times New Roman" w:hAnsi="Times New Roman" w:eastAsia="宋体" w:cs="Times New Roman"/>
                <w:iCs/>
                <w:color w:val="auto"/>
                <w:kern w:val="0"/>
                <w:sz w:val="24"/>
                <w:szCs w:val="24"/>
                <w:highlight w:val="none"/>
              </w:rPr>
              <w:t>9）《电磁辐射环境保护管理办法》（国家环境保护局第18号令[1997])</w:t>
            </w:r>
            <w:r>
              <w:rPr>
                <w:rFonts w:hint="eastAsia" w:ascii="Times New Roman" w:hAnsi="Times New Roman" w:eastAsia="宋体" w:cs="Times New Roman"/>
                <w:iCs/>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lang w:eastAsia="zh-CN"/>
              </w:rPr>
            </w:pPr>
            <w:r>
              <w:rPr>
                <w:rFonts w:hint="eastAsia" w:ascii="Times New Roman" w:hAnsi="Times New Roman" w:eastAsia="宋体" w:cs="Times New Roman"/>
                <w:iCs/>
                <w:color w:val="auto"/>
                <w:kern w:val="0"/>
                <w:sz w:val="24"/>
                <w:szCs w:val="24"/>
                <w:highlight w:val="none"/>
                <w:lang w:val="en-US" w:eastAsia="zh-CN"/>
              </w:rPr>
              <w:t>10）</w:t>
            </w:r>
            <w:r>
              <w:rPr>
                <w:rFonts w:hint="default" w:ascii="Times New Roman" w:hAnsi="Times New Roman" w:eastAsia="宋体" w:cs="Times New Roman"/>
                <w:iCs/>
                <w:color w:val="auto"/>
                <w:kern w:val="0"/>
                <w:sz w:val="24"/>
                <w:szCs w:val="24"/>
                <w:highlight w:val="none"/>
                <w:lang w:eastAsia="zh-CN"/>
              </w:rPr>
              <w:t>《广播电视设施保护条例》，中华人民共和国国务院令第295号；</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iCs/>
                <w:color w:val="auto"/>
                <w:kern w:val="0"/>
                <w:sz w:val="24"/>
                <w:szCs w:val="24"/>
                <w:highlight w:val="none"/>
                <w:lang w:val="en-US" w:eastAsia="zh-CN"/>
              </w:rPr>
            </w:pPr>
            <w:r>
              <w:rPr>
                <w:rFonts w:hint="eastAsia" w:ascii="Times New Roman" w:hAnsi="Times New Roman" w:eastAsia="宋体" w:cs="Times New Roman"/>
                <w:iCs/>
                <w:color w:val="auto"/>
                <w:kern w:val="0"/>
                <w:sz w:val="24"/>
                <w:szCs w:val="24"/>
                <w:highlight w:val="none"/>
                <w:lang w:val="en-US" w:eastAsia="zh-CN"/>
              </w:rPr>
              <w:t>1</w:t>
            </w:r>
            <w:r>
              <w:rPr>
                <w:rFonts w:hint="eastAsia" w:ascii="Times New Roman" w:hAnsi="Times New Roman" w:cs="Times New Roman"/>
                <w:iCs/>
                <w:color w:val="auto"/>
                <w:kern w:val="0"/>
                <w:sz w:val="24"/>
                <w:szCs w:val="24"/>
                <w:highlight w:val="none"/>
                <w:lang w:val="en-US" w:eastAsia="zh-CN"/>
              </w:rPr>
              <w:t>1</w:t>
            </w:r>
            <w:r>
              <w:rPr>
                <w:rFonts w:hint="eastAsia" w:ascii="Times New Roman" w:hAnsi="Times New Roman" w:eastAsia="宋体" w:cs="Times New Roman"/>
                <w:iCs/>
                <w:color w:val="auto"/>
                <w:kern w:val="0"/>
                <w:sz w:val="24"/>
                <w:szCs w:val="24"/>
                <w:highlight w:val="none"/>
                <w:lang w:val="en-US" w:eastAsia="zh-CN"/>
              </w:rPr>
              <w:t>）</w:t>
            </w:r>
            <w:r>
              <w:rPr>
                <w:rFonts w:hAnsi="宋体"/>
                <w:snapToGrid w:val="0"/>
                <w:color w:val="auto"/>
                <w:kern w:val="0"/>
                <w:sz w:val="24"/>
                <w:szCs w:val="24"/>
                <w:highlight w:val="none"/>
              </w:rPr>
              <w:t>《产业结构调整指导目录》（</w:t>
            </w:r>
            <w:r>
              <w:rPr>
                <w:snapToGrid w:val="0"/>
                <w:color w:val="auto"/>
                <w:kern w:val="0"/>
                <w:sz w:val="24"/>
                <w:szCs w:val="24"/>
                <w:highlight w:val="none"/>
              </w:rPr>
              <w:t>2011</w:t>
            </w:r>
            <w:r>
              <w:rPr>
                <w:rFonts w:hAnsi="宋体"/>
                <w:snapToGrid w:val="0"/>
                <w:color w:val="auto"/>
                <w:kern w:val="0"/>
                <w:sz w:val="24"/>
                <w:szCs w:val="24"/>
                <w:highlight w:val="none"/>
              </w:rPr>
              <w:t>年本）（</w:t>
            </w:r>
            <w:r>
              <w:rPr>
                <w:snapToGrid w:val="0"/>
                <w:color w:val="auto"/>
                <w:kern w:val="0"/>
                <w:sz w:val="24"/>
                <w:szCs w:val="24"/>
                <w:highlight w:val="none"/>
              </w:rPr>
              <w:t>2013</w:t>
            </w:r>
            <w:r>
              <w:rPr>
                <w:rFonts w:hAnsi="宋体"/>
                <w:snapToGrid w:val="0"/>
                <w:color w:val="auto"/>
                <w:kern w:val="0"/>
                <w:sz w:val="24"/>
                <w:szCs w:val="24"/>
                <w:highlight w:val="none"/>
              </w:rPr>
              <w:t>修正）</w:t>
            </w:r>
            <w:r>
              <w:rPr>
                <w:rFonts w:hint="eastAsia" w:hAnsi="宋体"/>
                <w:snapToGrid w:val="0"/>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iCs/>
                <w:color w:val="auto"/>
                <w:kern w:val="0"/>
                <w:sz w:val="24"/>
                <w:szCs w:val="24"/>
                <w:highlight w:val="none"/>
              </w:rPr>
            </w:pPr>
            <w:bookmarkStart w:id="0" w:name="_Toc116531802"/>
            <w:bookmarkStart w:id="1" w:name="_Toc255307035"/>
            <w:bookmarkStart w:id="2" w:name="_Toc121423797"/>
            <w:bookmarkStart w:id="3" w:name="_Toc186275513"/>
            <w:bookmarkStart w:id="4" w:name="_Toc116531359"/>
            <w:bookmarkStart w:id="5" w:name="_Toc236106659"/>
            <w:r>
              <w:rPr>
                <w:rFonts w:hint="eastAsia" w:cs="Times New Roman"/>
                <w:b/>
                <w:bCs/>
                <w:iCs/>
                <w:color w:val="auto"/>
                <w:kern w:val="0"/>
                <w:sz w:val="24"/>
                <w:szCs w:val="24"/>
                <w:highlight w:val="none"/>
                <w:lang w:val="en-US" w:eastAsia="zh-CN"/>
              </w:rPr>
              <w:t>1.2</w:t>
            </w:r>
            <w:r>
              <w:rPr>
                <w:rFonts w:hint="default" w:ascii="Times New Roman" w:hAnsi="Times New Roman" w:eastAsia="宋体" w:cs="Times New Roman"/>
                <w:b/>
                <w:bCs/>
                <w:iCs/>
                <w:color w:val="auto"/>
                <w:kern w:val="0"/>
                <w:sz w:val="24"/>
                <w:szCs w:val="24"/>
                <w:highlight w:val="none"/>
              </w:rPr>
              <w:t>.2 相关的标准和技术导则</w:t>
            </w:r>
            <w:bookmarkEnd w:id="0"/>
            <w:bookmarkEnd w:id="1"/>
            <w:bookmarkEnd w:id="2"/>
            <w:bookmarkEnd w:id="3"/>
            <w:bookmarkEnd w:id="4"/>
            <w:bookmarkEnd w:id="5"/>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1）《</w:t>
            </w:r>
            <w:r>
              <w:rPr>
                <w:rFonts w:hint="eastAsia" w:ascii="Times New Roman" w:hAnsi="Times New Roman" w:eastAsia="宋体" w:cs="Times New Roman"/>
                <w:iCs/>
                <w:color w:val="auto"/>
                <w:kern w:val="0"/>
                <w:sz w:val="24"/>
                <w:szCs w:val="24"/>
                <w:highlight w:val="none"/>
                <w:lang w:eastAsia="zh-CN"/>
              </w:rPr>
              <w:t>建设项目</w:t>
            </w:r>
            <w:r>
              <w:rPr>
                <w:rFonts w:hint="default" w:ascii="Times New Roman" w:hAnsi="Times New Roman" w:eastAsia="宋体" w:cs="Times New Roman"/>
                <w:iCs/>
                <w:color w:val="auto"/>
                <w:kern w:val="0"/>
                <w:sz w:val="24"/>
                <w:szCs w:val="24"/>
                <w:highlight w:val="none"/>
              </w:rPr>
              <w:t>环境影响评价技术导则</w:t>
            </w:r>
            <w:r>
              <w:rPr>
                <w:rFonts w:hint="eastAsia" w:ascii="Times New Roman" w:hAnsi="Times New Roman" w:eastAsia="宋体" w:cs="Times New Roman"/>
                <w:iCs/>
                <w:color w:val="auto"/>
                <w:kern w:val="0"/>
                <w:sz w:val="24"/>
                <w:szCs w:val="24"/>
                <w:highlight w:val="none"/>
                <w:lang w:val="en-US" w:eastAsia="zh-CN"/>
              </w:rPr>
              <w:t>-</w:t>
            </w:r>
            <w:r>
              <w:rPr>
                <w:rFonts w:hint="default" w:ascii="Times New Roman" w:hAnsi="Times New Roman" w:eastAsia="宋体" w:cs="Times New Roman"/>
                <w:iCs/>
                <w:color w:val="auto"/>
                <w:kern w:val="0"/>
                <w:sz w:val="24"/>
                <w:szCs w:val="24"/>
                <w:highlight w:val="none"/>
              </w:rPr>
              <w:t>总纲》（HJ 2.1-201</w:t>
            </w:r>
            <w:r>
              <w:rPr>
                <w:rFonts w:hint="eastAsia" w:ascii="Times New Roman" w:hAnsi="Times New Roman" w:eastAsia="宋体" w:cs="Times New Roman"/>
                <w:iCs/>
                <w:color w:val="auto"/>
                <w:kern w:val="0"/>
                <w:sz w:val="24"/>
                <w:szCs w:val="24"/>
                <w:highlight w:val="none"/>
                <w:lang w:val="en-US" w:eastAsia="zh-CN"/>
              </w:rPr>
              <w:t>6</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2）《环境影响评价技术导则-大气环境》（HJ2.2-2008）；</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3）《环境影响评价技术导则-水环境》（HJ/T 2.3-93）</w:t>
            </w:r>
            <w:r>
              <w:rPr>
                <w:rFonts w:hint="eastAsia" w:ascii="Times New Roman" w:hAnsi="Times New Roman" w:cs="Times New Roman"/>
                <w:iCs/>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4）《环境影响评价技术导则-生态影响》（HJ19-2011）；</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iCs/>
                <w:color w:val="auto"/>
                <w:kern w:val="0"/>
                <w:sz w:val="24"/>
                <w:szCs w:val="24"/>
                <w:highlight w:val="none"/>
                <w:lang w:eastAsia="zh-CN"/>
              </w:rPr>
            </w:pPr>
            <w:r>
              <w:rPr>
                <w:rFonts w:hint="default" w:ascii="Times New Roman" w:hAnsi="Times New Roman" w:eastAsia="宋体" w:cs="Times New Roman"/>
                <w:iCs/>
                <w:color w:val="auto"/>
                <w:kern w:val="0"/>
                <w:sz w:val="24"/>
                <w:szCs w:val="24"/>
                <w:highlight w:val="none"/>
              </w:rPr>
              <w:t>5）《环境影响评价技术导则-声环境》（HJ 2.4-2009）</w:t>
            </w:r>
            <w:r>
              <w:rPr>
                <w:rFonts w:hint="eastAsia" w:ascii="Times New Roman" w:hAnsi="Times New Roman" w:eastAsia="宋体" w:cs="Times New Roman"/>
                <w:iCs/>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6）《辐射环境保护管理导则  电磁辐射环境影响评价与标准》（HJ/T10.3-1996）</w:t>
            </w:r>
            <w:r>
              <w:rPr>
                <w:rFonts w:hint="eastAsia" w:ascii="Times New Roman" w:hAnsi="Times New Roman" w:eastAsia="宋体" w:cs="Times New Roman"/>
                <w:iCs/>
                <w:color w:val="auto"/>
                <w:kern w:val="0"/>
                <w:sz w:val="24"/>
                <w:szCs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7）《电磁环境控制限值》(GB8702-2014)；</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8）《声环境质量标准》（GB3096-2008）；</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eastAsia" w:ascii="Times New Roman" w:hAnsi="Times New Roman" w:cs="Times New Roman"/>
                <w:iCs/>
                <w:color w:val="auto"/>
                <w:kern w:val="0"/>
                <w:sz w:val="24"/>
                <w:szCs w:val="24"/>
                <w:highlight w:val="none"/>
                <w:lang w:val="en-US" w:eastAsia="zh-CN"/>
              </w:rPr>
              <w:t>9</w:t>
            </w:r>
            <w:r>
              <w:rPr>
                <w:rFonts w:hint="default" w:ascii="Times New Roman" w:hAnsi="Times New Roman" w:eastAsia="宋体" w:cs="Times New Roman"/>
                <w:iCs/>
                <w:color w:val="auto"/>
                <w:kern w:val="0"/>
                <w:sz w:val="24"/>
                <w:szCs w:val="24"/>
                <w:highlight w:val="none"/>
              </w:rPr>
              <w:t>）《地表水环境质量标准》（GB3838—2002）；</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1</w:t>
            </w:r>
            <w:r>
              <w:rPr>
                <w:rFonts w:hint="eastAsia" w:ascii="Times New Roman" w:hAnsi="Times New Roman" w:cs="Times New Roman"/>
                <w:iCs/>
                <w:color w:val="auto"/>
                <w:kern w:val="0"/>
                <w:sz w:val="24"/>
                <w:szCs w:val="24"/>
                <w:highlight w:val="none"/>
                <w:lang w:val="en-US" w:eastAsia="zh-CN"/>
              </w:rPr>
              <w:t>0</w:t>
            </w:r>
            <w:r>
              <w:rPr>
                <w:rFonts w:hint="default" w:ascii="Times New Roman" w:hAnsi="Times New Roman" w:eastAsia="宋体" w:cs="Times New Roman"/>
                <w:iCs/>
                <w:color w:val="auto"/>
                <w:kern w:val="0"/>
                <w:sz w:val="24"/>
                <w:szCs w:val="24"/>
                <w:highlight w:val="none"/>
              </w:rPr>
              <w:t>）《建筑施工场界环境噪声排放标准》（GB12523-2011）；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eastAsia="宋体"/>
                <w:color w:val="auto"/>
                <w:szCs w:val="24"/>
                <w:highlight w:val="none"/>
                <w:lang w:val="en-US" w:eastAsia="zh-CN"/>
              </w:rPr>
            </w:pPr>
            <w:r>
              <w:rPr>
                <w:rFonts w:hint="default" w:ascii="Times New Roman" w:hAnsi="Times New Roman" w:eastAsia="宋体" w:cs="Times New Roman"/>
                <w:iCs/>
                <w:color w:val="auto"/>
                <w:kern w:val="0"/>
                <w:sz w:val="24"/>
                <w:szCs w:val="24"/>
                <w:highlight w:val="none"/>
              </w:rPr>
              <w:t>1</w:t>
            </w:r>
            <w:r>
              <w:rPr>
                <w:rFonts w:hint="eastAsia" w:ascii="Times New Roman" w:hAnsi="Times New Roman" w:cs="Times New Roman"/>
                <w:iCs/>
                <w:color w:val="auto"/>
                <w:kern w:val="0"/>
                <w:sz w:val="24"/>
                <w:szCs w:val="24"/>
                <w:highlight w:val="none"/>
                <w:lang w:val="en-US" w:eastAsia="zh-CN"/>
              </w:rPr>
              <w:t>1</w:t>
            </w:r>
            <w:r>
              <w:rPr>
                <w:rFonts w:hint="default" w:ascii="Times New Roman" w:hAnsi="Times New Roman" w:eastAsia="宋体" w:cs="Times New Roman"/>
                <w:iCs/>
                <w:color w:val="auto"/>
                <w:kern w:val="0"/>
                <w:sz w:val="24"/>
                <w:szCs w:val="24"/>
                <w:highlight w:val="none"/>
              </w:rPr>
              <w:t>）《环境空气质量标准》（GB3095</w:t>
            </w:r>
            <w:r>
              <w:rPr>
                <w:rFonts w:hint="eastAsia" w:cs="Times New Roman"/>
                <w:iCs/>
                <w:color w:val="auto"/>
                <w:kern w:val="0"/>
                <w:sz w:val="24"/>
                <w:szCs w:val="24"/>
                <w:highlight w:val="none"/>
                <w:lang w:val="en-US" w:eastAsia="zh-CN"/>
              </w:rPr>
              <w:t>-</w:t>
            </w:r>
            <w:r>
              <w:rPr>
                <w:rFonts w:hint="eastAsia" w:ascii="Times New Roman" w:hAnsi="Times New Roman" w:eastAsia="宋体" w:cs="Times New Roman"/>
                <w:iCs/>
                <w:color w:val="auto"/>
                <w:kern w:val="0"/>
                <w:sz w:val="24"/>
                <w:szCs w:val="24"/>
                <w:highlight w:val="none"/>
                <w:lang w:val="en-US" w:eastAsia="zh-CN"/>
              </w:rPr>
              <w:t>2012</w:t>
            </w:r>
            <w:r>
              <w:rPr>
                <w:rFonts w:hint="default" w:ascii="Times New Roman" w:hAnsi="Times New Roman" w:eastAsia="宋体" w:cs="Times New Roman"/>
                <w:iCs/>
                <w:color w:val="auto"/>
                <w:kern w:val="0"/>
                <w:sz w:val="24"/>
                <w:szCs w:val="24"/>
                <w:highlight w:val="none"/>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default" w:ascii="Times New Roman" w:hAnsi="Times New Roman" w:eastAsia="宋体" w:cs="Times New Roman"/>
                <w:iCs/>
                <w:color w:val="auto"/>
                <w:kern w:val="0"/>
                <w:sz w:val="24"/>
                <w:szCs w:val="24"/>
                <w:highlight w:val="none"/>
              </w:rPr>
              <w:t>1</w:t>
            </w:r>
            <w:r>
              <w:rPr>
                <w:rFonts w:hint="eastAsia" w:ascii="Times New Roman" w:hAnsi="Times New Roman" w:cs="Times New Roman"/>
                <w:iCs/>
                <w:color w:val="auto"/>
                <w:kern w:val="0"/>
                <w:sz w:val="24"/>
                <w:szCs w:val="24"/>
                <w:highlight w:val="none"/>
                <w:lang w:val="en-US" w:eastAsia="zh-CN"/>
              </w:rPr>
              <w:t>2</w:t>
            </w:r>
            <w:r>
              <w:rPr>
                <w:rFonts w:hint="default" w:ascii="Times New Roman" w:hAnsi="Times New Roman" w:eastAsia="宋体" w:cs="Times New Roman"/>
                <w:iCs/>
                <w:color w:val="auto"/>
                <w:kern w:val="0"/>
                <w:sz w:val="24"/>
                <w:szCs w:val="24"/>
                <w:highlight w:val="none"/>
              </w:rPr>
              <w:t>）《污水综合排放标准》(GB8978-1996)；</w:t>
            </w:r>
          </w:p>
          <w:p>
            <w:pPr>
              <w:adjustRightInd w:val="0"/>
              <w:snapToGrid w:val="0"/>
              <w:ind w:firstLine="480" w:firstLineChars="200"/>
              <w:rPr>
                <w:rFonts w:hint="eastAsia"/>
                <w:b/>
                <w:bCs/>
                <w:color w:val="auto"/>
                <w:szCs w:val="24"/>
                <w:highlight w:val="none"/>
                <w:lang w:val="en-US" w:eastAsia="zh-CN"/>
              </w:rPr>
            </w:pPr>
            <w:r>
              <w:rPr>
                <w:rFonts w:hint="default" w:ascii="Times New Roman" w:hAnsi="Times New Roman" w:eastAsia="宋体" w:cs="Times New Roman"/>
                <w:iCs/>
                <w:color w:val="auto"/>
                <w:kern w:val="0"/>
                <w:sz w:val="24"/>
                <w:szCs w:val="24"/>
                <w:highlight w:val="none"/>
              </w:rPr>
              <w:t>1</w:t>
            </w:r>
            <w:r>
              <w:rPr>
                <w:rFonts w:hint="eastAsia" w:ascii="Times New Roman" w:hAnsi="Times New Roman" w:cs="Times New Roman"/>
                <w:iCs/>
                <w:color w:val="auto"/>
                <w:kern w:val="0"/>
                <w:sz w:val="24"/>
                <w:szCs w:val="24"/>
                <w:highlight w:val="none"/>
                <w:lang w:val="en-US" w:eastAsia="zh-CN"/>
              </w:rPr>
              <w:t>3</w:t>
            </w:r>
            <w:r>
              <w:rPr>
                <w:rFonts w:hint="default" w:ascii="Times New Roman" w:hAnsi="Times New Roman" w:eastAsia="宋体" w:cs="Times New Roman"/>
                <w:iCs/>
                <w:color w:val="auto"/>
                <w:kern w:val="0"/>
                <w:sz w:val="24"/>
                <w:szCs w:val="24"/>
                <w:highlight w:val="none"/>
              </w:rPr>
              <w:t>）《工业企业厂界环境噪声排放标准》（GB12348-2008）。</w:t>
            </w:r>
          </w:p>
          <w:p>
            <w:pPr>
              <w:adjustRightInd w:val="0"/>
              <w:snapToGrid w:val="0"/>
              <w:rPr>
                <w:rFonts w:hint="eastAsia"/>
                <w:b/>
                <w:bCs/>
                <w:color w:val="auto"/>
                <w:szCs w:val="24"/>
                <w:highlight w:val="none"/>
                <w:lang w:val="en-US" w:eastAsia="zh-CN"/>
              </w:rPr>
            </w:pPr>
            <w:r>
              <w:rPr>
                <w:rFonts w:hint="eastAsia"/>
                <w:b/>
                <w:bCs/>
                <w:color w:val="auto"/>
                <w:szCs w:val="24"/>
                <w:highlight w:val="none"/>
                <w:lang w:val="en-US" w:eastAsia="zh-CN"/>
              </w:rPr>
              <w:t>1.2.3 与建设项目相关的文件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eastAsia="宋体" w:cs="Times New Roman"/>
                <w:iCs/>
                <w:color w:val="auto"/>
                <w:kern w:val="0"/>
                <w:sz w:val="24"/>
                <w:szCs w:val="24"/>
                <w:highlight w:val="none"/>
                <w:lang w:eastAsia="zh-CN"/>
              </w:rPr>
            </w:pPr>
            <w:r>
              <w:rPr>
                <w:rFonts w:hint="eastAsia" w:ascii="Times New Roman" w:hAnsi="Times New Roman" w:cs="Times New Roman"/>
                <w:iCs/>
                <w:color w:val="auto"/>
                <w:kern w:val="0"/>
                <w:sz w:val="24"/>
                <w:szCs w:val="24"/>
                <w:highlight w:val="none"/>
                <w:lang w:val="en-US" w:eastAsia="zh-CN"/>
              </w:rPr>
              <w:t>1）</w:t>
            </w:r>
            <w:r>
              <w:rPr>
                <w:rFonts w:hint="eastAsia" w:ascii="Times New Roman" w:hAnsi="Times New Roman" w:cs="Times New Roman"/>
                <w:iCs/>
                <w:color w:val="auto"/>
                <w:kern w:val="0"/>
                <w:sz w:val="24"/>
                <w:szCs w:val="24"/>
                <w:highlight w:val="none"/>
                <w:lang w:eastAsia="zh-CN"/>
              </w:rPr>
              <w:t>建设单位</w:t>
            </w:r>
            <w:r>
              <w:rPr>
                <w:rFonts w:hint="default" w:ascii="Times New Roman" w:hAnsi="Times New Roman" w:eastAsia="宋体" w:cs="Times New Roman"/>
                <w:iCs/>
                <w:color w:val="auto"/>
                <w:kern w:val="0"/>
                <w:sz w:val="24"/>
                <w:szCs w:val="24"/>
                <w:highlight w:val="none"/>
              </w:rPr>
              <w:t>环境影响评价委托函（附件</w:t>
            </w:r>
            <w:r>
              <w:rPr>
                <w:rFonts w:hint="eastAsia" w:cs="Times New Roman"/>
                <w:iCs/>
                <w:color w:val="auto"/>
                <w:kern w:val="0"/>
                <w:sz w:val="24"/>
                <w:szCs w:val="24"/>
                <w:highlight w:val="none"/>
                <w:lang w:eastAsia="zh-CN"/>
              </w:rPr>
              <w:t>一</w:t>
            </w:r>
            <w:r>
              <w:rPr>
                <w:rFonts w:hint="default" w:ascii="Times New Roman" w:hAnsi="Times New Roman" w:eastAsia="宋体" w:cs="Times New Roman"/>
                <w:iCs/>
                <w:color w:val="auto"/>
                <w:kern w:val="0"/>
                <w:sz w:val="24"/>
                <w:szCs w:val="24"/>
                <w:highlight w:val="none"/>
              </w:rPr>
              <w:t>）</w:t>
            </w:r>
            <w:r>
              <w:rPr>
                <w:rFonts w:hint="eastAsia" w:ascii="Times New Roman" w:hAnsi="Times New Roman" w:eastAsia="宋体" w:cs="Times New Roman"/>
                <w:i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lang w:eastAsia="zh-CN"/>
              </w:rPr>
            </w:pPr>
            <w:r>
              <w:rPr>
                <w:rFonts w:hint="eastAsia" w:ascii="Times New Roman" w:hAnsi="Times New Roman" w:cs="Times New Roman"/>
                <w:iCs/>
                <w:color w:val="auto"/>
                <w:kern w:val="0"/>
                <w:sz w:val="24"/>
                <w:szCs w:val="24"/>
                <w:highlight w:val="none"/>
                <w:lang w:val="en-US" w:eastAsia="zh-CN"/>
              </w:rPr>
              <w:t>2）</w:t>
            </w:r>
            <w:r>
              <w:rPr>
                <w:rFonts w:hint="eastAsia" w:ascii="Times New Roman" w:hAnsi="Times New Roman" w:cs="Times New Roman"/>
                <w:iCs/>
                <w:color w:val="auto"/>
                <w:kern w:val="0"/>
                <w:sz w:val="24"/>
                <w:szCs w:val="24"/>
                <w:highlight w:val="none"/>
                <w:lang w:eastAsia="zh-CN"/>
              </w:rPr>
              <w:t>《</w:t>
            </w:r>
            <w:r>
              <w:rPr>
                <w:rFonts w:hint="eastAsia"/>
                <w:b w:val="0"/>
                <w:bCs/>
                <w:color w:val="auto"/>
                <w:kern w:val="0"/>
                <w:sz w:val="24"/>
                <w:highlight w:val="none"/>
                <w:lang w:val="en-US" w:eastAsia="zh-CN"/>
              </w:rPr>
              <w:t>常德市鼎城区广播电视台业务大楼可行性研究报告</w:t>
            </w:r>
            <w:r>
              <w:rPr>
                <w:rFonts w:hint="eastAsia" w:ascii="Times New Roman" w:hAnsi="Times New Roman" w:cs="Times New Roman"/>
                <w:iCs/>
                <w:color w:val="auto"/>
                <w:kern w:val="0"/>
                <w:sz w:val="24"/>
                <w:szCs w:val="24"/>
                <w:highlight w:val="none"/>
                <w:lang w:eastAsia="zh-CN"/>
              </w:rPr>
              <w:t>》，</w:t>
            </w:r>
            <w:r>
              <w:rPr>
                <w:rFonts w:hint="eastAsia" w:cs="Times New Roman"/>
                <w:iCs/>
                <w:color w:val="auto"/>
                <w:kern w:val="0"/>
                <w:sz w:val="24"/>
                <w:szCs w:val="24"/>
                <w:highlight w:val="none"/>
                <w:lang w:eastAsia="zh-CN"/>
              </w:rPr>
              <w:t>常德市锐诚投资咨询有限公司</w:t>
            </w:r>
            <w:r>
              <w:rPr>
                <w:rFonts w:hint="eastAsia" w:ascii="Times New Roman" w:hAnsi="Times New Roman" w:cs="Times New Roman"/>
                <w:iCs/>
                <w:color w:val="auto"/>
                <w:kern w:val="0"/>
                <w:sz w:val="24"/>
                <w:szCs w:val="24"/>
                <w:highlight w:val="none"/>
                <w:lang w:eastAsia="zh-CN"/>
              </w:rPr>
              <w:t>，</w:t>
            </w:r>
            <w:r>
              <w:rPr>
                <w:rFonts w:hint="eastAsia" w:ascii="Times New Roman" w:hAnsi="Times New Roman" w:cs="Times New Roman"/>
                <w:iCs/>
                <w:color w:val="auto"/>
                <w:kern w:val="0"/>
                <w:sz w:val="24"/>
                <w:szCs w:val="24"/>
                <w:highlight w:val="none"/>
                <w:lang w:val="en-US" w:eastAsia="zh-CN"/>
              </w:rPr>
              <w:t>201</w:t>
            </w:r>
            <w:r>
              <w:rPr>
                <w:rFonts w:hint="eastAsia" w:cs="Times New Roman"/>
                <w:iCs/>
                <w:color w:val="auto"/>
                <w:kern w:val="0"/>
                <w:sz w:val="24"/>
                <w:szCs w:val="24"/>
                <w:highlight w:val="none"/>
                <w:lang w:val="en-US" w:eastAsia="zh-CN"/>
              </w:rPr>
              <w:t>6</w:t>
            </w:r>
            <w:r>
              <w:rPr>
                <w:rFonts w:hint="eastAsia" w:ascii="Times New Roman" w:hAnsi="Times New Roman" w:cs="Times New Roman"/>
                <w:iCs/>
                <w:color w:val="auto"/>
                <w:kern w:val="0"/>
                <w:sz w:val="24"/>
                <w:szCs w:val="24"/>
                <w:highlight w:val="none"/>
                <w:lang w:val="en-US" w:eastAsia="zh-CN"/>
              </w:rPr>
              <w:t>年</w:t>
            </w:r>
            <w:r>
              <w:rPr>
                <w:rFonts w:hint="eastAsia" w:cs="Times New Roman"/>
                <w:iCs/>
                <w:color w:val="auto"/>
                <w:kern w:val="0"/>
                <w:sz w:val="24"/>
                <w:szCs w:val="24"/>
                <w:highlight w:val="none"/>
                <w:lang w:val="en-US" w:eastAsia="zh-CN"/>
              </w:rPr>
              <w:t>12</w:t>
            </w:r>
            <w:r>
              <w:rPr>
                <w:rFonts w:hint="eastAsia" w:ascii="Times New Roman" w:hAnsi="Times New Roman" w:cs="Times New Roman"/>
                <w:iCs/>
                <w:color w:val="auto"/>
                <w:kern w:val="0"/>
                <w:sz w:val="24"/>
                <w:szCs w:val="24"/>
                <w:highlight w:val="none"/>
                <w:lang w:val="en-US"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iCs/>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eastAsia="zh-CN"/>
              </w:rPr>
              <w:t>建设单位提供的其他资料。</w:t>
            </w:r>
          </w:p>
          <w:p>
            <w:pPr>
              <w:adjustRightInd w:val="0"/>
              <w:snapToGrid w:val="0"/>
              <w:rPr>
                <w:b/>
                <w:bCs/>
                <w:color w:val="auto"/>
                <w:szCs w:val="24"/>
                <w:highlight w:val="none"/>
              </w:rPr>
            </w:pPr>
            <w:r>
              <w:rPr>
                <w:rFonts w:hint="eastAsia"/>
                <w:b/>
                <w:bCs/>
                <w:color w:val="auto"/>
                <w:szCs w:val="24"/>
                <w:highlight w:val="none"/>
                <w:lang w:val="en-US" w:eastAsia="zh-CN"/>
              </w:rPr>
              <w:t>1.3</w:t>
            </w:r>
            <w:r>
              <w:rPr>
                <w:b/>
                <w:bCs/>
                <w:color w:val="auto"/>
                <w:szCs w:val="24"/>
                <w:highlight w:val="none"/>
              </w:rPr>
              <w:t xml:space="preserve"> 评价目的</w:t>
            </w:r>
          </w:p>
          <w:p>
            <w:pPr>
              <w:adjustRightInd w:val="0"/>
              <w:snapToGrid w:val="0"/>
              <w:ind w:firstLine="480" w:firstLineChars="200"/>
              <w:rPr>
                <w:color w:val="auto"/>
                <w:highlight w:val="none"/>
              </w:rPr>
            </w:pPr>
            <w:r>
              <w:rPr>
                <w:color w:val="auto"/>
                <w:highlight w:val="none"/>
              </w:rPr>
              <w:t>（1）评价</w:t>
            </w:r>
            <w:r>
              <w:rPr>
                <w:color w:val="auto"/>
                <w:szCs w:val="24"/>
                <w:highlight w:val="none"/>
              </w:rPr>
              <w:t>项目</w:t>
            </w:r>
            <w:r>
              <w:rPr>
                <w:color w:val="auto"/>
                <w:highlight w:val="none"/>
              </w:rPr>
              <w:t>的建设是否可行，是否符合国家及</w:t>
            </w:r>
            <w:r>
              <w:rPr>
                <w:rFonts w:hint="eastAsia"/>
                <w:color w:val="auto"/>
                <w:highlight w:val="none"/>
                <w:lang w:eastAsia="zh-CN"/>
              </w:rPr>
              <w:t>常德市</w:t>
            </w:r>
            <w:r>
              <w:rPr>
                <w:color w:val="auto"/>
                <w:highlight w:val="none"/>
              </w:rPr>
              <w:t>有关的环保要求。</w:t>
            </w:r>
          </w:p>
          <w:p>
            <w:pPr>
              <w:adjustRightInd w:val="0"/>
              <w:snapToGrid w:val="0"/>
              <w:ind w:firstLine="480" w:firstLineChars="200"/>
              <w:rPr>
                <w:color w:val="auto"/>
                <w:highlight w:val="none"/>
              </w:rPr>
            </w:pPr>
            <w:r>
              <w:rPr>
                <w:color w:val="auto"/>
                <w:highlight w:val="none"/>
              </w:rPr>
              <w:t>（2）调查、收集和了解项目涉及区域有关环境现状资料，以分析区域自然环境、社会环境和生态环境概况。</w:t>
            </w:r>
          </w:p>
          <w:p>
            <w:pPr>
              <w:adjustRightInd w:val="0"/>
              <w:snapToGrid w:val="0"/>
              <w:ind w:firstLine="480" w:firstLineChars="200"/>
              <w:rPr>
                <w:color w:val="auto"/>
                <w:highlight w:val="none"/>
              </w:rPr>
            </w:pPr>
            <w:r>
              <w:rPr>
                <w:color w:val="auto"/>
                <w:highlight w:val="none"/>
              </w:rPr>
              <w:t>（3）对</w:t>
            </w:r>
            <w:r>
              <w:rPr>
                <w:color w:val="auto"/>
                <w:szCs w:val="24"/>
                <w:highlight w:val="none"/>
              </w:rPr>
              <w:t>项目</w:t>
            </w:r>
            <w:r>
              <w:rPr>
                <w:color w:val="auto"/>
                <w:highlight w:val="none"/>
              </w:rPr>
              <w:t>周围电磁环境、声环境现状进行监测，以掌握本项目评价范围内的电磁环境、声环境现状水平。</w:t>
            </w:r>
          </w:p>
          <w:p>
            <w:pPr>
              <w:adjustRightInd w:val="0"/>
              <w:snapToGrid w:val="0"/>
              <w:ind w:firstLine="480" w:firstLineChars="200"/>
              <w:rPr>
                <w:color w:val="auto"/>
                <w:highlight w:val="none"/>
              </w:rPr>
            </w:pPr>
            <w:r>
              <w:rPr>
                <w:color w:val="auto"/>
                <w:highlight w:val="none"/>
              </w:rPr>
              <w:t>（4）针对本项目的特点和污染特征，预测项目对环境的影响，提出污染防治措施，把不利影响减小到可合理达到的尽量低的程度，使项目的经济效益、社会效益及环境效益更好地统一。</w:t>
            </w:r>
          </w:p>
          <w:p>
            <w:pPr>
              <w:adjustRightInd w:val="0"/>
              <w:snapToGrid w:val="0"/>
              <w:ind w:firstLine="480" w:firstLineChars="200"/>
              <w:rPr>
                <w:color w:val="auto"/>
                <w:highlight w:val="none"/>
              </w:rPr>
            </w:pPr>
            <w:r>
              <w:rPr>
                <w:color w:val="auto"/>
                <w:highlight w:val="none"/>
              </w:rPr>
              <w:t>（5）为本项目的环境保护监督管理提供科学依据。</w:t>
            </w:r>
          </w:p>
          <w:p>
            <w:pPr>
              <w:adjustRightInd w:val="0"/>
              <w:snapToGrid w:val="0"/>
              <w:ind w:firstLine="480" w:firstLineChars="200"/>
              <w:rPr>
                <w:color w:val="auto"/>
                <w:highlight w:val="none"/>
              </w:rPr>
            </w:pPr>
          </w:p>
          <w:p>
            <w:pPr>
              <w:adjustRightInd w:val="0"/>
              <w:snapToGrid w:val="0"/>
              <w:rPr>
                <w:b/>
                <w:bCs/>
                <w:color w:val="auto"/>
                <w:szCs w:val="24"/>
                <w:highlight w:val="none"/>
              </w:rPr>
            </w:pPr>
            <w:r>
              <w:rPr>
                <w:rFonts w:hint="eastAsia"/>
                <w:b/>
                <w:bCs/>
                <w:color w:val="auto"/>
                <w:szCs w:val="24"/>
                <w:highlight w:val="none"/>
                <w:lang w:val="en-US" w:eastAsia="zh-CN"/>
              </w:rPr>
              <w:t>1.4</w:t>
            </w:r>
            <w:r>
              <w:rPr>
                <w:b/>
                <w:bCs/>
                <w:color w:val="auto"/>
                <w:szCs w:val="24"/>
                <w:highlight w:val="none"/>
              </w:rPr>
              <w:t xml:space="preserve"> 评价范围及评价因子</w:t>
            </w:r>
          </w:p>
          <w:p>
            <w:pPr>
              <w:snapToGrid w:val="0"/>
              <w:rPr>
                <w:b/>
                <w:bCs/>
                <w:color w:val="auto"/>
                <w:highlight w:val="none"/>
              </w:rPr>
            </w:pPr>
            <w:r>
              <w:rPr>
                <w:rFonts w:hint="eastAsia"/>
                <w:b/>
                <w:bCs/>
                <w:color w:val="auto"/>
                <w:highlight w:val="none"/>
                <w:lang w:val="en-US" w:eastAsia="zh-CN"/>
              </w:rPr>
              <w:t>1.4</w:t>
            </w:r>
            <w:r>
              <w:rPr>
                <w:b/>
                <w:bCs/>
                <w:color w:val="auto"/>
                <w:highlight w:val="none"/>
              </w:rPr>
              <w:t>.1 评价范围</w:t>
            </w:r>
          </w:p>
          <w:p>
            <w:pPr>
              <w:adjustRightInd w:val="0"/>
              <w:snapToGrid w:val="0"/>
              <w:ind w:firstLine="480" w:firstLineChars="200"/>
              <w:rPr>
                <w:color w:val="auto"/>
                <w:highlight w:val="none"/>
              </w:rPr>
            </w:pPr>
            <w:r>
              <w:rPr>
                <w:color w:val="auto"/>
                <w:highlight w:val="none"/>
              </w:rPr>
              <w:t>根据</w:t>
            </w:r>
            <w:r>
              <w:rPr>
                <w:color w:val="auto"/>
                <w:szCs w:val="24"/>
                <w:highlight w:val="none"/>
              </w:rPr>
              <w:t>《辐射环境保护管理导则 电磁辐射环境影响评价与标准》（HJ/T10.3-1996），</w:t>
            </w:r>
            <w:r>
              <w:rPr>
                <w:color w:val="auto"/>
                <w:highlight w:val="none"/>
              </w:rPr>
              <w:t>以发射天线为中心，发射机功率≤100kW，其评价范围的半径为0.5km</w:t>
            </w:r>
            <w:r>
              <w:rPr>
                <w:rFonts w:hint="eastAsia"/>
                <w:color w:val="auto"/>
                <w:highlight w:val="none"/>
                <w:lang w:eastAsia="zh-CN"/>
              </w:rPr>
              <w:t>。本项目发射机总功率为</w:t>
            </w:r>
            <w:r>
              <w:rPr>
                <w:rFonts w:hint="eastAsia"/>
                <w:color w:val="auto"/>
                <w:highlight w:val="none"/>
                <w:lang w:val="en-US" w:eastAsia="zh-CN"/>
              </w:rPr>
              <w:t>3kW，其</w:t>
            </w:r>
            <w:r>
              <w:rPr>
                <w:color w:val="auto"/>
                <w:highlight w:val="none"/>
              </w:rPr>
              <w:t>发射机功率≤100kW，评价范围的半径为0.5km。</w:t>
            </w:r>
          </w:p>
          <w:p>
            <w:pPr>
              <w:snapToGrid w:val="0"/>
              <w:rPr>
                <w:b/>
                <w:bCs/>
                <w:color w:val="auto"/>
                <w:highlight w:val="none"/>
              </w:rPr>
            </w:pPr>
            <w:r>
              <w:rPr>
                <w:rFonts w:hint="eastAsia"/>
                <w:b/>
                <w:bCs/>
                <w:color w:val="auto"/>
                <w:highlight w:val="none"/>
                <w:lang w:val="en-US" w:eastAsia="zh-CN"/>
              </w:rPr>
              <w:t>1.4</w:t>
            </w:r>
            <w:r>
              <w:rPr>
                <w:b/>
                <w:bCs/>
                <w:color w:val="auto"/>
                <w:highlight w:val="none"/>
              </w:rPr>
              <w:t>.2评价因子</w:t>
            </w:r>
          </w:p>
          <w:p>
            <w:pPr>
              <w:adjustRightInd w:val="0"/>
              <w:snapToGrid w:val="0"/>
              <w:ind w:firstLine="480" w:firstLineChars="200"/>
              <w:rPr>
                <w:color w:val="auto"/>
                <w:highlight w:val="none"/>
              </w:rPr>
            </w:pPr>
            <w:r>
              <w:rPr>
                <w:color w:val="auto"/>
                <w:highlight w:val="none"/>
              </w:rPr>
              <w:t>（1） 现状评价因子</w:t>
            </w:r>
          </w:p>
          <w:p>
            <w:pPr>
              <w:adjustRightInd w:val="0"/>
              <w:snapToGrid w:val="0"/>
              <w:ind w:firstLine="480" w:firstLineChars="200"/>
              <w:rPr>
                <w:color w:val="auto"/>
                <w:highlight w:val="none"/>
              </w:rPr>
            </w:pPr>
            <w:r>
              <w:rPr>
                <w:color w:val="auto"/>
                <w:highlight w:val="none"/>
              </w:rPr>
              <w:t>1）电磁环境：电场强度（E）、磁场强度（H）、等效平面波功率密度（Seq）</w:t>
            </w:r>
          </w:p>
          <w:p>
            <w:pPr>
              <w:adjustRightInd w:val="0"/>
              <w:snapToGrid w:val="0"/>
              <w:ind w:firstLine="480" w:firstLineChars="200"/>
              <w:rPr>
                <w:color w:val="auto"/>
                <w:highlight w:val="none"/>
              </w:rPr>
            </w:pPr>
            <w:r>
              <w:rPr>
                <w:color w:val="auto"/>
                <w:highlight w:val="none"/>
              </w:rPr>
              <w:t>2）声环境：等效连续A声级</w:t>
            </w:r>
          </w:p>
          <w:p>
            <w:pPr>
              <w:adjustRightInd w:val="0"/>
              <w:snapToGrid w:val="0"/>
              <w:ind w:firstLine="480" w:firstLineChars="200"/>
              <w:rPr>
                <w:color w:val="auto"/>
                <w:highlight w:val="none"/>
              </w:rPr>
            </w:pPr>
            <w:r>
              <w:rPr>
                <w:color w:val="auto"/>
                <w:highlight w:val="none"/>
              </w:rPr>
              <w:t>（2）预测评价因子</w:t>
            </w:r>
          </w:p>
          <w:p>
            <w:pPr>
              <w:adjustRightInd w:val="0"/>
              <w:snapToGrid w:val="0"/>
              <w:ind w:firstLine="480" w:firstLineChars="200"/>
              <w:rPr>
                <w:color w:val="auto"/>
                <w:highlight w:val="none"/>
              </w:rPr>
            </w:pPr>
            <w:r>
              <w:rPr>
                <w:color w:val="auto"/>
                <w:highlight w:val="none"/>
              </w:rPr>
              <w:t>电场强度（E）、等效连续A声级</w:t>
            </w:r>
          </w:p>
          <w:p>
            <w:pPr>
              <w:adjustRightInd w:val="0"/>
              <w:snapToGrid w:val="0"/>
              <w:rPr>
                <w:b/>
                <w:bCs/>
                <w:color w:val="auto"/>
                <w:szCs w:val="24"/>
                <w:highlight w:val="none"/>
              </w:rPr>
            </w:pPr>
            <w:r>
              <w:rPr>
                <w:rFonts w:hint="eastAsia"/>
                <w:b/>
                <w:bCs/>
                <w:color w:val="auto"/>
                <w:szCs w:val="24"/>
                <w:highlight w:val="none"/>
                <w:lang w:val="en-US" w:eastAsia="zh-CN"/>
              </w:rPr>
              <w:t>1.5</w:t>
            </w:r>
            <w:r>
              <w:rPr>
                <w:b/>
                <w:bCs/>
                <w:color w:val="auto"/>
                <w:szCs w:val="24"/>
                <w:highlight w:val="none"/>
              </w:rPr>
              <w:t xml:space="preserve"> 项目建设概况</w:t>
            </w:r>
          </w:p>
          <w:p>
            <w:pPr>
              <w:adjustRightInd w:val="0"/>
              <w:snapToGrid w:val="0"/>
              <w:rPr>
                <w:b/>
                <w:bCs/>
                <w:color w:val="auto"/>
                <w:szCs w:val="24"/>
                <w:highlight w:val="none"/>
              </w:rPr>
            </w:pPr>
            <w:r>
              <w:rPr>
                <w:rFonts w:hint="eastAsia"/>
                <w:b/>
                <w:bCs/>
                <w:color w:val="auto"/>
                <w:szCs w:val="24"/>
                <w:highlight w:val="none"/>
                <w:lang w:val="en-US" w:eastAsia="zh-CN"/>
              </w:rPr>
              <w:t>1.5</w:t>
            </w:r>
            <w:r>
              <w:rPr>
                <w:b/>
                <w:bCs/>
                <w:color w:val="auto"/>
                <w:szCs w:val="24"/>
                <w:highlight w:val="none"/>
              </w:rPr>
              <w:t>.1 项目组成及建设规模</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项目名称：常德市鼎城区广播电视台广播发射塔建设项目</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建设地点：</w:t>
            </w:r>
            <w:r>
              <w:rPr>
                <w:rFonts w:hint="eastAsia"/>
                <w:bCs/>
                <w:color w:val="auto"/>
                <w:highlight w:val="none"/>
                <w:u w:val="none"/>
                <w:lang w:eastAsia="zh-CN"/>
              </w:rPr>
              <w:t>常德市鼎城区块阳明大道与兴业路交汇处</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建设性质：新建</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建设单位：</w:t>
            </w:r>
            <w:r>
              <w:rPr>
                <w:rFonts w:hint="eastAsia"/>
                <w:color w:val="auto"/>
                <w:szCs w:val="24"/>
                <w:highlight w:val="none"/>
                <w:u w:val="none"/>
                <w:lang w:eastAsia="zh-CN"/>
              </w:rPr>
              <w:t>常德市鼎城区广播电视台</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投资：总投资</w:t>
            </w:r>
            <w:r>
              <w:rPr>
                <w:rFonts w:hint="eastAsia"/>
                <w:color w:val="auto"/>
                <w:highlight w:val="none"/>
                <w:lang w:val="en-US" w:eastAsia="zh-CN"/>
              </w:rPr>
              <w:t>500万元，其中环保投资16.8万元，占总投资的3.36%。</w:t>
            </w:r>
          </w:p>
          <w:p>
            <w:pPr>
              <w:numPr>
                <w:ilvl w:val="0"/>
                <w:numId w:val="1"/>
              </w:numPr>
              <w:adjustRightInd w:val="0"/>
              <w:snapToGrid w:val="0"/>
              <w:ind w:firstLine="480" w:firstLineChars="200"/>
              <w:rPr>
                <w:rFonts w:hint="eastAsia"/>
                <w:color w:val="auto"/>
                <w:highlight w:val="none"/>
                <w:lang w:eastAsia="zh-CN"/>
              </w:rPr>
            </w:pPr>
            <w:r>
              <w:rPr>
                <w:rFonts w:hint="eastAsia"/>
                <w:color w:val="auto"/>
                <w:highlight w:val="none"/>
                <w:lang w:eastAsia="zh-CN"/>
              </w:rPr>
              <w:t>建设规模：</w:t>
            </w:r>
          </w:p>
          <w:p>
            <w:pPr>
              <w:pStyle w:val="103"/>
              <w:keepLines/>
              <w:widowControl/>
              <w:numPr>
                <w:ilvl w:val="0"/>
                <w:numId w:val="0"/>
              </w:numPr>
              <w:adjustRightInd w:val="0"/>
              <w:snapToGrid w:val="0"/>
              <w:ind w:firstLine="480" w:firstLineChars="200"/>
              <w:rPr>
                <w:color w:val="auto"/>
                <w:highlight w:val="none"/>
              </w:rPr>
            </w:pPr>
            <w:r>
              <w:rPr>
                <w:rFonts w:hint="eastAsia"/>
                <w:bCs/>
                <w:color w:val="auto"/>
                <w:highlight w:val="none"/>
                <w:u w:val="none"/>
                <w:lang w:eastAsia="zh-CN"/>
              </w:rPr>
              <w:t>本次新建广播发射塔</w:t>
            </w:r>
            <w:r>
              <w:rPr>
                <w:rFonts w:hint="eastAsia"/>
                <w:bCs/>
                <w:color w:val="auto"/>
                <w:highlight w:val="none"/>
                <w:u w:val="none"/>
                <w:lang w:val="en-US" w:eastAsia="zh-CN"/>
              </w:rPr>
              <w:t>1座，塔基高158m（不含塔基所在地势海拔高度32m），建设3kW调频广播发射机1台，为发射主机</w:t>
            </w:r>
            <w:r>
              <w:rPr>
                <w:rFonts w:hint="eastAsia"/>
                <w:b w:val="0"/>
                <w:bCs/>
                <w:color w:val="auto"/>
                <w:kern w:val="0"/>
                <w:sz w:val="24"/>
                <w:highlight w:val="none"/>
                <w:lang w:val="en-US" w:eastAsia="zh-CN"/>
              </w:rPr>
              <w:t>，在电视塔上增设1套</w:t>
            </w:r>
            <w:r>
              <w:rPr>
                <w:rFonts w:hint="eastAsia"/>
                <w:color w:val="auto"/>
                <w:kern w:val="0"/>
                <w:szCs w:val="24"/>
                <w:highlight w:val="none"/>
                <w:lang w:val="en-US" w:eastAsia="zh-CN"/>
              </w:rPr>
              <w:t>FM</w:t>
            </w:r>
            <w:r>
              <w:rPr>
                <w:color w:val="auto"/>
                <w:kern w:val="0"/>
                <w:szCs w:val="24"/>
                <w:highlight w:val="none"/>
              </w:rPr>
              <w:t xml:space="preserve"> 天馈系统</w:t>
            </w:r>
            <w:r>
              <w:rPr>
                <w:bCs/>
                <w:color w:val="auto"/>
                <w:highlight w:val="none"/>
              </w:rPr>
              <w:t>，类型为</w:t>
            </w:r>
            <w:r>
              <w:rPr>
                <w:rFonts w:hint="eastAsia"/>
                <w:bCs/>
                <w:color w:val="auto"/>
                <w:highlight w:val="none"/>
                <w:lang w:eastAsia="zh-CN"/>
              </w:rPr>
              <w:t>双</w:t>
            </w:r>
            <w:r>
              <w:rPr>
                <w:bCs/>
                <w:color w:val="auto"/>
                <w:highlight w:val="none"/>
              </w:rPr>
              <w:t>偶</w:t>
            </w:r>
            <w:r>
              <w:rPr>
                <w:rFonts w:hint="eastAsia"/>
                <w:bCs/>
                <w:color w:val="auto"/>
                <w:highlight w:val="none"/>
                <w:lang w:eastAsia="zh-CN"/>
              </w:rPr>
              <w:t>极板</w:t>
            </w:r>
            <w:r>
              <w:rPr>
                <w:bCs/>
                <w:color w:val="auto"/>
                <w:highlight w:val="none"/>
              </w:rPr>
              <w:t>天线，</w:t>
            </w:r>
            <w:r>
              <w:rPr>
                <w:rFonts w:hint="eastAsia"/>
                <w:bCs/>
                <w:color w:val="auto"/>
                <w:highlight w:val="none"/>
                <w:lang w:eastAsia="zh-CN"/>
              </w:rPr>
              <w:t>天线增益为</w:t>
            </w:r>
            <w:r>
              <w:rPr>
                <w:rFonts w:hint="eastAsia"/>
                <w:bCs/>
                <w:color w:val="auto"/>
                <w:highlight w:val="none"/>
                <w:lang w:val="en-US" w:eastAsia="zh-CN"/>
              </w:rPr>
              <w:t>10</w:t>
            </w:r>
            <w:r>
              <w:rPr>
                <w:bCs/>
                <w:color w:val="auto"/>
                <w:highlight w:val="none"/>
              </w:rPr>
              <w:t>dBi，发射频率</w:t>
            </w:r>
            <w:r>
              <w:rPr>
                <w:rFonts w:hint="eastAsia"/>
                <w:bCs/>
                <w:color w:val="auto"/>
                <w:highlight w:val="none"/>
                <w:lang w:eastAsia="zh-CN"/>
              </w:rPr>
              <w:t>为</w:t>
            </w:r>
            <w:r>
              <w:rPr>
                <w:rFonts w:hint="eastAsia"/>
                <w:bCs/>
                <w:color w:val="auto"/>
                <w:highlight w:val="none"/>
                <w:lang w:val="en-US" w:eastAsia="zh-CN"/>
              </w:rPr>
              <w:t>106.8</w:t>
            </w:r>
            <w:r>
              <w:rPr>
                <w:bCs/>
                <w:color w:val="auto"/>
                <w:highlight w:val="none"/>
              </w:rPr>
              <w:t>MHz</w:t>
            </w:r>
            <w:r>
              <w:rPr>
                <w:rFonts w:hint="eastAsia"/>
                <w:bCs/>
                <w:color w:val="auto"/>
                <w:highlight w:val="none"/>
                <w:lang w:eastAsia="zh-CN"/>
              </w:rPr>
              <w:t>，播出节目为自办节目</w:t>
            </w:r>
            <w:r>
              <w:rPr>
                <w:bCs/>
                <w:color w:val="auto"/>
                <w:highlight w:val="none"/>
              </w:rPr>
              <w:t>。</w:t>
            </w:r>
            <w:r>
              <w:rPr>
                <w:color w:val="auto"/>
                <w:highlight w:val="none"/>
              </w:rPr>
              <w:t>项目组成情况见表</w:t>
            </w:r>
            <w:r>
              <w:rPr>
                <w:rFonts w:hint="eastAsia"/>
                <w:color w:val="auto"/>
                <w:highlight w:val="none"/>
                <w:lang w:val="en-US" w:eastAsia="zh-CN"/>
              </w:rPr>
              <w:t>1</w:t>
            </w:r>
            <w:r>
              <w:rPr>
                <w:color w:val="auto"/>
                <w:highlight w:val="none"/>
              </w:rPr>
              <w:t>-1。</w:t>
            </w:r>
          </w:p>
          <w:p>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lang w:val="en-US" w:eastAsia="zh-CN"/>
              </w:rPr>
              <w:t>1</w:t>
            </w:r>
            <w:r>
              <w:rPr>
                <w:b/>
                <w:color w:val="auto"/>
                <w:szCs w:val="21"/>
                <w:highlight w:val="none"/>
              </w:rPr>
              <w:t>-1  拟建项目组成一览表</w:t>
            </w:r>
          </w:p>
          <w:tbl>
            <w:tblPr>
              <w:tblStyle w:val="35"/>
              <w:tblW w:w="824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387"/>
              <w:gridCol w:w="5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963"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类别</w:t>
                  </w: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项目名称</w:t>
                  </w:r>
                </w:p>
              </w:tc>
              <w:tc>
                <w:tcPr>
                  <w:tcW w:w="5890"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963" w:type="dxa"/>
                  <w:vMerge w:val="restart"/>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主体工程</w:t>
                  </w: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发射塔</w:t>
                  </w:r>
                </w:p>
              </w:tc>
              <w:tc>
                <w:tcPr>
                  <w:tcW w:w="5890" w:type="dxa"/>
                  <w:tcBorders>
                    <w:tl2br w:val="nil"/>
                    <w:tr2bl w:val="nil"/>
                  </w:tcBorders>
                  <w:vAlign w:val="center"/>
                </w:tcPr>
                <w:p>
                  <w:pPr>
                    <w:spacing w:line="240" w:lineRule="atLeast"/>
                    <w:jc w:val="left"/>
                    <w:rPr>
                      <w:color w:val="auto"/>
                      <w:sz w:val="21"/>
                      <w:szCs w:val="21"/>
                      <w:highlight w:val="none"/>
                      <w:u w:val="wave"/>
                    </w:rPr>
                  </w:pPr>
                  <w:r>
                    <w:rPr>
                      <w:color w:val="auto"/>
                      <w:sz w:val="21"/>
                      <w:szCs w:val="21"/>
                      <w:highlight w:val="none"/>
                      <w:u w:val="wave"/>
                    </w:rPr>
                    <w:t>广播电视塔1座，位于</w:t>
                  </w:r>
                  <w:r>
                    <w:rPr>
                      <w:rFonts w:hint="eastAsia"/>
                      <w:color w:val="auto"/>
                      <w:sz w:val="21"/>
                      <w:szCs w:val="21"/>
                      <w:highlight w:val="none"/>
                      <w:u w:val="wave"/>
                    </w:rPr>
                    <w:t>常德市鼎城区块阳明大道与兴业路交汇处常德市鼎城区广播电视台</w:t>
                  </w:r>
                  <w:r>
                    <w:rPr>
                      <w:rFonts w:hint="eastAsia"/>
                      <w:color w:val="auto"/>
                      <w:sz w:val="21"/>
                      <w:szCs w:val="21"/>
                      <w:highlight w:val="none"/>
                      <w:u w:val="wave"/>
                      <w:lang w:eastAsia="zh-CN"/>
                    </w:rPr>
                    <w:t>业务大楼建设项目方用地范围内</w:t>
                  </w:r>
                  <w:r>
                    <w:rPr>
                      <w:color w:val="auto"/>
                      <w:sz w:val="21"/>
                      <w:szCs w:val="21"/>
                      <w:highlight w:val="none"/>
                      <w:u w:val="wave"/>
                    </w:rPr>
                    <w:t>，</w:t>
                  </w:r>
                  <w:r>
                    <w:rPr>
                      <w:rFonts w:hint="eastAsia"/>
                      <w:color w:val="auto"/>
                      <w:sz w:val="21"/>
                      <w:szCs w:val="21"/>
                      <w:highlight w:val="none"/>
                      <w:u w:val="wave"/>
                      <w:lang w:eastAsia="zh-CN"/>
                    </w:rPr>
                    <w:t>塔</w:t>
                  </w:r>
                  <w:r>
                    <w:rPr>
                      <w:color w:val="auto"/>
                      <w:sz w:val="21"/>
                      <w:szCs w:val="21"/>
                      <w:highlight w:val="none"/>
                      <w:u w:val="wave"/>
                    </w:rPr>
                    <w:t>高</w:t>
                  </w:r>
                  <w:r>
                    <w:rPr>
                      <w:rFonts w:hint="eastAsia"/>
                      <w:color w:val="auto"/>
                      <w:sz w:val="21"/>
                      <w:szCs w:val="21"/>
                      <w:highlight w:val="none"/>
                      <w:u w:val="wave"/>
                      <w:lang w:val="en-US" w:eastAsia="zh-CN"/>
                    </w:rPr>
                    <w:t>158</w:t>
                  </w:r>
                  <w:r>
                    <w:rPr>
                      <w:color w:val="auto"/>
                      <w:sz w:val="21"/>
                      <w:szCs w:val="21"/>
                      <w:highlight w:val="none"/>
                      <w:u w:val="wav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63" w:type="dxa"/>
                  <w:vMerge w:val="continue"/>
                  <w:tcBorders>
                    <w:tl2br w:val="nil"/>
                    <w:tr2bl w:val="nil"/>
                  </w:tcBorders>
                  <w:vAlign w:val="center"/>
                </w:tcPr>
                <w:p>
                  <w:pPr>
                    <w:spacing w:line="240" w:lineRule="atLeast"/>
                    <w:jc w:val="center"/>
                    <w:rPr>
                      <w:color w:val="auto"/>
                      <w:sz w:val="21"/>
                      <w:szCs w:val="21"/>
                      <w:highlight w:val="yellow"/>
                      <w:u w:val="wave"/>
                    </w:rPr>
                  </w:pP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天线</w:t>
                  </w:r>
                </w:p>
              </w:tc>
              <w:tc>
                <w:tcPr>
                  <w:tcW w:w="5890" w:type="dxa"/>
                  <w:tcBorders>
                    <w:tl2br w:val="nil"/>
                    <w:tr2bl w:val="nil"/>
                  </w:tcBorders>
                  <w:vAlign w:val="center"/>
                </w:tcPr>
                <w:p>
                  <w:pPr>
                    <w:spacing w:line="240" w:lineRule="atLeast"/>
                    <w:jc w:val="left"/>
                    <w:rPr>
                      <w:color w:val="auto"/>
                      <w:sz w:val="21"/>
                      <w:szCs w:val="21"/>
                      <w:highlight w:val="none"/>
                      <w:u w:val="wave"/>
                    </w:rPr>
                  </w:pPr>
                  <w:r>
                    <w:rPr>
                      <w:rFonts w:hint="eastAsia"/>
                      <w:color w:val="auto"/>
                      <w:sz w:val="21"/>
                      <w:szCs w:val="21"/>
                      <w:highlight w:val="none"/>
                      <w:u w:val="wave"/>
                      <w:lang w:eastAsia="zh-CN"/>
                    </w:rPr>
                    <w:t>配备</w:t>
                  </w:r>
                  <w:r>
                    <w:rPr>
                      <w:color w:val="auto"/>
                      <w:sz w:val="21"/>
                      <w:szCs w:val="21"/>
                      <w:highlight w:val="none"/>
                      <w:u w:val="wave"/>
                    </w:rPr>
                    <w:t>1套</w:t>
                  </w:r>
                  <w:r>
                    <w:rPr>
                      <w:rFonts w:hint="eastAsia"/>
                      <w:color w:val="auto"/>
                      <w:sz w:val="21"/>
                      <w:szCs w:val="21"/>
                      <w:highlight w:val="none"/>
                      <w:u w:val="wave"/>
                      <w:lang w:val="en-US" w:eastAsia="zh-CN"/>
                    </w:rPr>
                    <w:t>FM</w:t>
                  </w:r>
                  <w:r>
                    <w:rPr>
                      <w:color w:val="auto"/>
                      <w:sz w:val="21"/>
                      <w:szCs w:val="21"/>
                      <w:highlight w:val="none"/>
                      <w:u w:val="wave"/>
                    </w:rPr>
                    <w:t>天馈系统，类型为</w:t>
                  </w:r>
                  <w:r>
                    <w:rPr>
                      <w:rFonts w:hint="eastAsia"/>
                      <w:color w:val="auto"/>
                      <w:sz w:val="21"/>
                      <w:szCs w:val="21"/>
                      <w:highlight w:val="none"/>
                      <w:u w:val="wave"/>
                      <w:lang w:eastAsia="zh-CN"/>
                    </w:rPr>
                    <w:t>双</w:t>
                  </w:r>
                  <w:r>
                    <w:rPr>
                      <w:color w:val="auto"/>
                      <w:sz w:val="21"/>
                      <w:szCs w:val="21"/>
                      <w:highlight w:val="none"/>
                      <w:u w:val="wave"/>
                    </w:rPr>
                    <w:t>偶</w:t>
                  </w:r>
                  <w:r>
                    <w:rPr>
                      <w:rFonts w:hint="eastAsia"/>
                      <w:color w:val="auto"/>
                      <w:sz w:val="21"/>
                      <w:szCs w:val="21"/>
                      <w:highlight w:val="none"/>
                      <w:u w:val="wave"/>
                      <w:lang w:eastAsia="zh-CN"/>
                    </w:rPr>
                    <w:t>极板</w:t>
                  </w:r>
                  <w:r>
                    <w:rPr>
                      <w:color w:val="auto"/>
                      <w:sz w:val="21"/>
                      <w:szCs w:val="21"/>
                      <w:highlight w:val="none"/>
                      <w:u w:val="wave"/>
                    </w:rPr>
                    <w:t>天线，天线架设高度约</w:t>
                  </w:r>
                  <w:r>
                    <w:rPr>
                      <w:rFonts w:hint="eastAsia"/>
                      <w:color w:val="auto"/>
                      <w:sz w:val="21"/>
                      <w:szCs w:val="21"/>
                      <w:highlight w:val="none"/>
                      <w:u w:val="wave"/>
                      <w:lang w:val="en-US" w:eastAsia="zh-CN"/>
                    </w:rPr>
                    <w:t>150</w:t>
                  </w:r>
                  <w:r>
                    <w:rPr>
                      <w:color w:val="auto"/>
                      <w:sz w:val="21"/>
                      <w:szCs w:val="21"/>
                      <w:highlight w:val="none"/>
                      <w:u w:val="wave"/>
                    </w:rPr>
                    <w:t>m，天线辐射方位角为360°，垂直半功率角</w:t>
                  </w:r>
                  <w:r>
                    <w:rPr>
                      <w:rFonts w:hint="eastAsia"/>
                      <w:color w:val="auto"/>
                      <w:sz w:val="21"/>
                      <w:szCs w:val="21"/>
                      <w:highlight w:val="none"/>
                      <w:u w:val="wave"/>
                      <w:lang w:val="en-US" w:eastAsia="zh-CN"/>
                    </w:rPr>
                    <w:t>60</w:t>
                  </w:r>
                  <w:r>
                    <w:rPr>
                      <w:color w:val="auto"/>
                      <w:sz w:val="21"/>
                      <w:szCs w:val="21"/>
                      <w:highlight w:val="none"/>
                      <w:u w:val="wave"/>
                    </w:rPr>
                    <w:t>°，</w:t>
                  </w:r>
                  <w:r>
                    <w:rPr>
                      <w:rFonts w:hint="eastAsia"/>
                      <w:color w:val="auto"/>
                      <w:sz w:val="21"/>
                      <w:szCs w:val="21"/>
                      <w:highlight w:val="none"/>
                      <w:u w:val="wave"/>
                      <w:lang w:eastAsia="zh-CN"/>
                    </w:rPr>
                    <w:t>下倾角</w:t>
                  </w:r>
                  <w:r>
                    <w:rPr>
                      <w:rFonts w:hint="eastAsia"/>
                      <w:color w:val="auto"/>
                      <w:sz w:val="21"/>
                      <w:szCs w:val="21"/>
                      <w:highlight w:val="none"/>
                      <w:u w:val="wave"/>
                      <w:lang w:val="en-US" w:eastAsia="zh-CN"/>
                    </w:rPr>
                    <w:t>2</w:t>
                  </w:r>
                  <w:r>
                    <w:rPr>
                      <w:color w:val="auto"/>
                      <w:sz w:val="21"/>
                      <w:szCs w:val="21"/>
                      <w:highlight w:val="none"/>
                      <w:u w:val="wave"/>
                    </w:rPr>
                    <w:t>°，天线增益为</w:t>
                  </w:r>
                  <w:r>
                    <w:rPr>
                      <w:rFonts w:hint="eastAsia"/>
                      <w:color w:val="auto"/>
                      <w:sz w:val="21"/>
                      <w:szCs w:val="21"/>
                      <w:highlight w:val="none"/>
                      <w:u w:val="wave"/>
                      <w:lang w:val="en-US" w:eastAsia="zh-CN"/>
                    </w:rPr>
                    <w:t>10</w:t>
                  </w:r>
                  <w:r>
                    <w:rPr>
                      <w:color w:val="auto"/>
                      <w:sz w:val="21"/>
                      <w:szCs w:val="21"/>
                      <w:highlight w:val="none"/>
                      <w:u w:val="wave"/>
                    </w:rPr>
                    <w:t>dB</w:t>
                  </w:r>
                  <w:r>
                    <w:rPr>
                      <w:rFonts w:hint="eastAsia"/>
                      <w:color w:val="auto"/>
                      <w:sz w:val="21"/>
                      <w:szCs w:val="21"/>
                      <w:highlight w:val="none"/>
                      <w:u w:val="wave"/>
                      <w:lang w:val="en-US" w:eastAsia="zh-CN"/>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963" w:type="dxa"/>
                  <w:vMerge w:val="continue"/>
                  <w:tcBorders>
                    <w:tl2br w:val="nil"/>
                    <w:tr2bl w:val="nil"/>
                  </w:tcBorders>
                  <w:vAlign w:val="center"/>
                </w:tcPr>
                <w:p>
                  <w:pPr>
                    <w:spacing w:line="240" w:lineRule="atLeast"/>
                    <w:jc w:val="center"/>
                    <w:rPr>
                      <w:color w:val="auto"/>
                      <w:sz w:val="21"/>
                      <w:szCs w:val="21"/>
                      <w:highlight w:val="yellow"/>
                      <w:u w:val="wave"/>
                    </w:rPr>
                  </w:pP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发射机机房</w:t>
                  </w:r>
                </w:p>
              </w:tc>
              <w:tc>
                <w:tcPr>
                  <w:tcW w:w="5890" w:type="dxa"/>
                  <w:tcBorders>
                    <w:tl2br w:val="nil"/>
                    <w:tr2bl w:val="nil"/>
                  </w:tcBorders>
                  <w:vAlign w:val="center"/>
                </w:tcPr>
                <w:p>
                  <w:pPr>
                    <w:spacing w:line="240" w:lineRule="atLeast"/>
                    <w:jc w:val="left"/>
                    <w:rPr>
                      <w:color w:val="auto"/>
                      <w:sz w:val="21"/>
                      <w:szCs w:val="21"/>
                      <w:highlight w:val="none"/>
                      <w:u w:val="wave"/>
                    </w:rPr>
                  </w:pPr>
                  <w:r>
                    <w:rPr>
                      <w:color w:val="auto"/>
                      <w:sz w:val="21"/>
                      <w:szCs w:val="21"/>
                      <w:highlight w:val="none"/>
                      <w:u w:val="wave"/>
                    </w:rPr>
                    <w:t>机房位于</w:t>
                  </w:r>
                  <w:r>
                    <w:rPr>
                      <w:rFonts w:hint="eastAsia"/>
                      <w:color w:val="auto"/>
                      <w:sz w:val="21"/>
                      <w:szCs w:val="21"/>
                      <w:highlight w:val="none"/>
                      <w:u w:val="wave"/>
                      <w:lang w:eastAsia="zh-CN"/>
                    </w:rPr>
                    <w:t>新建配套用房内二楼发射机房内</w:t>
                  </w:r>
                  <w:r>
                    <w:rPr>
                      <w:color w:val="auto"/>
                      <w:sz w:val="21"/>
                      <w:szCs w:val="21"/>
                      <w:highlight w:val="none"/>
                      <w:u w:val="wave"/>
                    </w:rPr>
                    <w:t>，建筑面积</w:t>
                  </w:r>
                  <w:r>
                    <w:rPr>
                      <w:rFonts w:hint="eastAsia"/>
                      <w:color w:val="auto"/>
                      <w:sz w:val="21"/>
                      <w:szCs w:val="21"/>
                      <w:highlight w:val="none"/>
                      <w:u w:val="wave"/>
                      <w:lang w:val="en-US" w:eastAsia="zh-CN"/>
                    </w:rPr>
                    <w:t>45</w:t>
                  </w:r>
                  <w:r>
                    <w:rPr>
                      <w:color w:val="auto"/>
                      <w:sz w:val="21"/>
                      <w:szCs w:val="21"/>
                      <w:highlight w:val="none"/>
                      <w:u w:val="wave"/>
                    </w:rPr>
                    <w:t>m</w:t>
                  </w:r>
                  <w:r>
                    <w:rPr>
                      <w:color w:val="auto"/>
                      <w:sz w:val="21"/>
                      <w:szCs w:val="21"/>
                      <w:highlight w:val="none"/>
                      <w:u w:val="wave"/>
                      <w:vertAlign w:val="superscript"/>
                    </w:rPr>
                    <w:t>2</w:t>
                  </w:r>
                  <w:r>
                    <w:rPr>
                      <w:color w:val="auto"/>
                      <w:sz w:val="21"/>
                      <w:szCs w:val="21"/>
                      <w:highlight w:val="none"/>
                      <w:u w:val="wave"/>
                    </w:rPr>
                    <w:t>，内配置有</w:t>
                  </w:r>
                  <w:r>
                    <w:rPr>
                      <w:rFonts w:hint="eastAsia"/>
                      <w:color w:val="auto"/>
                      <w:sz w:val="21"/>
                      <w:szCs w:val="21"/>
                      <w:highlight w:val="none"/>
                      <w:u w:val="wave"/>
                      <w:lang w:val="en-US" w:eastAsia="zh-CN"/>
                    </w:rPr>
                    <w:t>2</w:t>
                  </w:r>
                  <w:r>
                    <w:rPr>
                      <w:color w:val="auto"/>
                      <w:sz w:val="21"/>
                      <w:szCs w:val="21"/>
                      <w:highlight w:val="none"/>
                      <w:u w:val="wave"/>
                    </w:rPr>
                    <w:t>台广播发射机</w:t>
                  </w:r>
                  <w:r>
                    <w:rPr>
                      <w:rFonts w:hint="eastAsia"/>
                      <w:color w:val="auto"/>
                      <w:sz w:val="21"/>
                      <w:szCs w:val="21"/>
                      <w:highlight w:val="none"/>
                      <w:u w:val="wave"/>
                      <w:lang w:eastAsia="zh-CN"/>
                    </w:rPr>
                    <w:t>（一备一用）</w:t>
                  </w:r>
                  <w:r>
                    <w:rPr>
                      <w:color w:val="auto"/>
                      <w:sz w:val="21"/>
                      <w:szCs w:val="21"/>
                      <w:highlight w:val="none"/>
                      <w:u w:val="wave"/>
                    </w:rPr>
                    <w:t>，共播出1套节目，工作频率为</w:t>
                  </w:r>
                  <w:r>
                    <w:rPr>
                      <w:rFonts w:hint="eastAsia"/>
                      <w:color w:val="auto"/>
                      <w:sz w:val="21"/>
                      <w:szCs w:val="21"/>
                      <w:highlight w:val="none"/>
                      <w:u w:val="wave"/>
                      <w:lang w:val="en-US" w:eastAsia="zh-CN"/>
                    </w:rPr>
                    <w:t>106.8</w:t>
                  </w:r>
                  <w:r>
                    <w:rPr>
                      <w:color w:val="auto"/>
                      <w:sz w:val="21"/>
                      <w:szCs w:val="21"/>
                      <w:highlight w:val="none"/>
                      <w:u w:val="wave"/>
                    </w:rPr>
                    <w:t>MHz，功率为</w:t>
                  </w:r>
                  <w:r>
                    <w:rPr>
                      <w:rFonts w:hint="eastAsia"/>
                      <w:color w:val="auto"/>
                      <w:sz w:val="21"/>
                      <w:szCs w:val="21"/>
                      <w:highlight w:val="none"/>
                      <w:u w:val="wave"/>
                      <w:lang w:val="en-US" w:eastAsia="zh-CN"/>
                    </w:rPr>
                    <w:t>3</w:t>
                  </w:r>
                  <w:r>
                    <w:rPr>
                      <w:rFonts w:hint="eastAsia"/>
                      <w:bCs/>
                      <w:color w:val="auto"/>
                      <w:highlight w:val="none"/>
                      <w:u w:val="wave"/>
                      <w:lang w:val="en-US" w:eastAsia="zh-CN"/>
                    </w:rPr>
                    <w:t>k</w:t>
                  </w:r>
                  <w:r>
                    <w:rPr>
                      <w:color w:val="auto"/>
                      <w:sz w:val="21"/>
                      <w:szCs w:val="21"/>
                      <w:highlight w:val="none"/>
                      <w:u w:val="wave"/>
                    </w:rPr>
                    <w:t>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963" w:type="dxa"/>
                  <w:vMerge w:val="restart"/>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公用及</w:t>
                  </w:r>
                </w:p>
                <w:p>
                  <w:pPr>
                    <w:spacing w:line="240" w:lineRule="atLeast"/>
                    <w:jc w:val="center"/>
                    <w:rPr>
                      <w:color w:val="auto"/>
                      <w:sz w:val="21"/>
                      <w:szCs w:val="21"/>
                      <w:highlight w:val="yellow"/>
                      <w:u w:val="wave"/>
                    </w:rPr>
                  </w:pPr>
                  <w:r>
                    <w:rPr>
                      <w:color w:val="auto"/>
                      <w:sz w:val="21"/>
                      <w:szCs w:val="21"/>
                      <w:highlight w:val="none"/>
                      <w:u w:val="wave"/>
                    </w:rPr>
                    <w:t>辅助工程</w:t>
                  </w: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供电系统</w:t>
                  </w:r>
                </w:p>
              </w:tc>
              <w:tc>
                <w:tcPr>
                  <w:tcW w:w="5890" w:type="dxa"/>
                  <w:tcBorders>
                    <w:tl2br w:val="nil"/>
                    <w:tr2bl w:val="nil"/>
                  </w:tcBorders>
                  <w:vAlign w:val="center"/>
                </w:tcPr>
                <w:p>
                  <w:pPr>
                    <w:spacing w:line="240" w:lineRule="atLeast"/>
                    <w:jc w:val="left"/>
                    <w:rPr>
                      <w:color w:val="auto"/>
                      <w:sz w:val="21"/>
                      <w:szCs w:val="21"/>
                      <w:highlight w:val="none"/>
                      <w:u w:val="wave"/>
                    </w:rPr>
                  </w:pPr>
                  <w:r>
                    <w:rPr>
                      <w:color w:val="auto"/>
                      <w:sz w:val="21"/>
                      <w:szCs w:val="21"/>
                      <w:highlight w:val="none"/>
                      <w:u w:val="wave"/>
                    </w:rPr>
                    <w:t>依托</w:t>
                  </w:r>
                  <w:r>
                    <w:rPr>
                      <w:rFonts w:hint="eastAsia"/>
                      <w:color w:val="auto"/>
                      <w:sz w:val="21"/>
                      <w:szCs w:val="21"/>
                      <w:highlight w:val="none"/>
                      <w:u w:val="wave"/>
                      <w:lang w:eastAsia="zh-CN"/>
                    </w:rPr>
                    <w:t>现有的</w:t>
                  </w:r>
                  <w:r>
                    <w:rPr>
                      <w:color w:val="auto"/>
                      <w:sz w:val="21"/>
                      <w:szCs w:val="21"/>
                      <w:highlight w:val="none"/>
                      <w:u w:val="wave"/>
                    </w:rPr>
                    <w:t>供电系统</w:t>
                  </w:r>
                  <w:r>
                    <w:rPr>
                      <w:rFonts w:hint="eastAsia"/>
                      <w:color w:val="auto"/>
                      <w:sz w:val="21"/>
                      <w:szCs w:val="21"/>
                      <w:highlight w:val="none"/>
                      <w:u w:val="wav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963" w:type="dxa"/>
                  <w:vMerge w:val="continue"/>
                  <w:tcBorders>
                    <w:tl2br w:val="nil"/>
                    <w:tr2bl w:val="nil"/>
                  </w:tcBorders>
                  <w:vAlign w:val="center"/>
                </w:tcPr>
                <w:p>
                  <w:pPr>
                    <w:spacing w:line="240" w:lineRule="atLeast"/>
                    <w:jc w:val="center"/>
                    <w:rPr>
                      <w:color w:val="auto"/>
                      <w:sz w:val="21"/>
                      <w:szCs w:val="21"/>
                      <w:highlight w:val="yellow"/>
                      <w:u w:val="wave"/>
                    </w:rPr>
                  </w:pPr>
                </w:p>
              </w:tc>
              <w:tc>
                <w:tcPr>
                  <w:tcW w:w="1387" w:type="dxa"/>
                  <w:tcBorders>
                    <w:tl2br w:val="nil"/>
                    <w:tr2bl w:val="nil"/>
                  </w:tcBorders>
                  <w:vAlign w:val="center"/>
                </w:tcPr>
                <w:p>
                  <w:pPr>
                    <w:spacing w:line="240" w:lineRule="atLeast"/>
                    <w:jc w:val="center"/>
                    <w:rPr>
                      <w:color w:val="auto"/>
                      <w:sz w:val="21"/>
                      <w:szCs w:val="21"/>
                      <w:highlight w:val="none"/>
                      <w:u w:val="wave"/>
                    </w:rPr>
                  </w:pPr>
                  <w:r>
                    <w:rPr>
                      <w:color w:val="auto"/>
                      <w:sz w:val="21"/>
                      <w:szCs w:val="21"/>
                      <w:highlight w:val="none"/>
                      <w:u w:val="wave"/>
                    </w:rPr>
                    <w:t>空调系统</w:t>
                  </w:r>
                </w:p>
              </w:tc>
              <w:tc>
                <w:tcPr>
                  <w:tcW w:w="5890" w:type="dxa"/>
                  <w:tcBorders>
                    <w:tl2br w:val="nil"/>
                    <w:tr2bl w:val="nil"/>
                  </w:tcBorders>
                  <w:vAlign w:val="center"/>
                </w:tcPr>
                <w:p>
                  <w:pPr>
                    <w:spacing w:line="240" w:lineRule="atLeast"/>
                    <w:jc w:val="left"/>
                    <w:rPr>
                      <w:color w:val="auto"/>
                      <w:sz w:val="21"/>
                      <w:szCs w:val="21"/>
                      <w:highlight w:val="none"/>
                      <w:u w:val="wave"/>
                    </w:rPr>
                  </w:pPr>
                  <w:r>
                    <w:rPr>
                      <w:color w:val="auto"/>
                      <w:sz w:val="21"/>
                      <w:szCs w:val="21"/>
                      <w:highlight w:val="none"/>
                      <w:u w:val="wave"/>
                    </w:rPr>
                    <w:t>采用分体空调系统</w:t>
                  </w:r>
                  <w:r>
                    <w:rPr>
                      <w:rFonts w:hint="eastAsia"/>
                      <w:color w:val="auto"/>
                      <w:sz w:val="21"/>
                      <w:szCs w:val="21"/>
                      <w:highlight w:val="none"/>
                      <w:u w:val="wav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963" w:type="dxa"/>
                  <w:vMerge w:val="continue"/>
                  <w:tcBorders>
                    <w:tl2br w:val="nil"/>
                    <w:tr2bl w:val="nil"/>
                  </w:tcBorders>
                  <w:vAlign w:val="center"/>
                </w:tcPr>
                <w:p>
                  <w:pPr>
                    <w:spacing w:line="240" w:lineRule="atLeast"/>
                    <w:jc w:val="center"/>
                    <w:rPr>
                      <w:color w:val="auto"/>
                      <w:sz w:val="21"/>
                      <w:szCs w:val="21"/>
                      <w:highlight w:val="yellow"/>
                      <w:u w:val="wave"/>
                    </w:rPr>
                  </w:pPr>
                </w:p>
              </w:tc>
              <w:tc>
                <w:tcPr>
                  <w:tcW w:w="1387" w:type="dxa"/>
                  <w:tcBorders>
                    <w:tl2br w:val="nil"/>
                    <w:tr2bl w:val="nil"/>
                  </w:tcBorders>
                  <w:vAlign w:val="center"/>
                </w:tcPr>
                <w:p>
                  <w:pPr>
                    <w:spacing w:line="240" w:lineRule="atLeast"/>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人员</w:t>
                  </w:r>
                </w:p>
              </w:tc>
              <w:tc>
                <w:tcPr>
                  <w:tcW w:w="5890" w:type="dxa"/>
                  <w:tcBorders>
                    <w:tl2br w:val="nil"/>
                    <w:tr2bl w:val="nil"/>
                  </w:tcBorders>
                  <w:vAlign w:val="center"/>
                </w:tcPr>
                <w:p>
                  <w:pPr>
                    <w:spacing w:line="240" w:lineRule="atLeast"/>
                    <w:jc w:val="left"/>
                    <w:rPr>
                      <w:color w:val="auto"/>
                      <w:sz w:val="21"/>
                      <w:szCs w:val="21"/>
                      <w:highlight w:val="none"/>
                      <w:u w:val="wave"/>
                    </w:rPr>
                  </w:pPr>
                  <w:r>
                    <w:rPr>
                      <w:color w:val="auto"/>
                      <w:sz w:val="21"/>
                      <w:szCs w:val="21"/>
                      <w:highlight w:val="none"/>
                      <w:u w:val="wave"/>
                    </w:rPr>
                    <w:t>巡检人员依</w:t>
                  </w:r>
                  <w:r>
                    <w:rPr>
                      <w:rFonts w:hint="eastAsia"/>
                      <w:color w:val="auto"/>
                      <w:sz w:val="21"/>
                      <w:szCs w:val="21"/>
                      <w:highlight w:val="none"/>
                      <w:u w:val="wave"/>
                      <w:lang w:eastAsia="zh-CN"/>
                    </w:rPr>
                    <w:t>现有电视台</w:t>
                  </w:r>
                  <w:r>
                    <w:rPr>
                      <w:color w:val="auto"/>
                      <w:sz w:val="21"/>
                      <w:szCs w:val="21"/>
                      <w:highlight w:val="none"/>
                      <w:u w:val="wave"/>
                    </w:rPr>
                    <w:t>工作人员</w:t>
                  </w:r>
                  <w:r>
                    <w:rPr>
                      <w:rFonts w:hint="eastAsia"/>
                      <w:color w:val="auto"/>
                      <w:sz w:val="21"/>
                      <w:szCs w:val="21"/>
                      <w:highlight w:val="none"/>
                      <w:u w:val="wav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963" w:type="dxa"/>
                  <w:vMerge w:val="continue"/>
                  <w:tcBorders>
                    <w:tl2br w:val="nil"/>
                    <w:tr2bl w:val="nil"/>
                  </w:tcBorders>
                  <w:vAlign w:val="center"/>
                </w:tcPr>
                <w:p>
                  <w:pPr>
                    <w:spacing w:line="240" w:lineRule="atLeast"/>
                    <w:jc w:val="center"/>
                    <w:rPr>
                      <w:color w:val="auto"/>
                      <w:sz w:val="21"/>
                      <w:szCs w:val="21"/>
                      <w:highlight w:val="yellow"/>
                      <w:u w:val="wave"/>
                    </w:rPr>
                  </w:pPr>
                </w:p>
              </w:tc>
              <w:tc>
                <w:tcPr>
                  <w:tcW w:w="1387" w:type="dxa"/>
                  <w:tcBorders>
                    <w:tl2br w:val="nil"/>
                    <w:tr2bl w:val="nil"/>
                  </w:tcBorders>
                  <w:vAlign w:val="center"/>
                </w:tcPr>
                <w:p>
                  <w:pPr>
                    <w:spacing w:line="240" w:lineRule="atLeas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其他</w:t>
                  </w:r>
                </w:p>
              </w:tc>
              <w:tc>
                <w:tcPr>
                  <w:tcW w:w="5890" w:type="dxa"/>
                  <w:tcBorders>
                    <w:tl2br w:val="nil"/>
                    <w:tr2bl w:val="nil"/>
                  </w:tcBorders>
                  <w:vAlign w:val="center"/>
                </w:tcPr>
                <w:p>
                  <w:pPr>
                    <w:spacing w:line="240" w:lineRule="atLeast"/>
                    <w:jc w:val="left"/>
                    <w:rPr>
                      <w:rFonts w:hint="eastAsia" w:eastAsia="宋体"/>
                      <w:color w:val="auto"/>
                      <w:sz w:val="21"/>
                      <w:szCs w:val="21"/>
                      <w:highlight w:val="none"/>
                      <w:u w:val="wave"/>
                      <w:lang w:eastAsia="zh-CN"/>
                    </w:rPr>
                  </w:pPr>
                  <w:r>
                    <w:rPr>
                      <w:rFonts w:hint="eastAsia"/>
                      <w:color w:val="auto"/>
                      <w:sz w:val="21"/>
                      <w:szCs w:val="21"/>
                      <w:highlight w:val="none"/>
                      <w:u w:val="wave"/>
                      <w:lang w:eastAsia="zh-CN"/>
                    </w:rPr>
                    <w:t>依托现有业务大楼。</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both"/>
              <w:textAlignment w:val="auto"/>
              <w:outlineLvl w:val="9"/>
              <w:rPr>
                <w:b/>
                <w:color w:val="auto"/>
                <w:sz w:val="21"/>
                <w:szCs w:val="21"/>
                <w:highlight w:val="none"/>
              </w:rPr>
            </w:pPr>
            <w:r>
              <w:rPr>
                <w:b/>
                <w:bCs/>
                <w:color w:val="auto"/>
                <w:sz w:val="21"/>
                <w:szCs w:val="21"/>
                <w:highlight w:val="none"/>
              </w:rPr>
              <w:t>注：</w:t>
            </w:r>
            <w:r>
              <w:rPr>
                <w:rFonts w:hint="eastAsia" w:ascii="宋体" w:hAnsi="宋体" w:cs="宋体"/>
                <w:b/>
                <w:bCs/>
                <w:color w:val="auto"/>
                <w:sz w:val="21"/>
                <w:szCs w:val="21"/>
                <w:highlight w:val="none"/>
              </w:rPr>
              <w:t>①</w:t>
            </w:r>
            <w:r>
              <w:rPr>
                <w:rFonts w:hint="eastAsia" w:ascii="宋体" w:hAnsi="宋体" w:cs="宋体"/>
                <w:b/>
                <w:bCs/>
                <w:color w:val="auto"/>
                <w:sz w:val="21"/>
                <w:szCs w:val="21"/>
                <w:highlight w:val="none"/>
                <w:lang w:eastAsia="zh-CN"/>
              </w:rPr>
              <w:t>电视塔塔基</w:t>
            </w:r>
            <w:r>
              <w:rPr>
                <w:b/>
                <w:color w:val="auto"/>
                <w:sz w:val="21"/>
                <w:szCs w:val="21"/>
                <w:highlight w:val="none"/>
              </w:rPr>
              <w:t>所在海拔约</w:t>
            </w:r>
            <w:r>
              <w:rPr>
                <w:rFonts w:hint="eastAsia"/>
                <w:b/>
                <w:color w:val="auto"/>
                <w:sz w:val="21"/>
                <w:szCs w:val="21"/>
                <w:highlight w:val="none"/>
                <w:lang w:val="en-US" w:eastAsia="zh-CN"/>
              </w:rPr>
              <w:t>32</w:t>
            </w:r>
            <w:r>
              <w:rPr>
                <w:b/>
                <w:color w:val="auto"/>
                <w:sz w:val="21"/>
                <w:szCs w:val="21"/>
                <w:highlight w:val="none"/>
              </w:rPr>
              <w:t>m，发射塔成后最终海拔高度约</w:t>
            </w:r>
            <w:r>
              <w:rPr>
                <w:rFonts w:hint="eastAsia"/>
                <w:b/>
                <w:color w:val="auto"/>
                <w:sz w:val="21"/>
                <w:szCs w:val="21"/>
                <w:highlight w:val="none"/>
                <w:lang w:val="en-US" w:eastAsia="zh-CN"/>
              </w:rPr>
              <w:t>190</w:t>
            </w:r>
            <w:r>
              <w:rPr>
                <w:b/>
                <w:color w:val="auto"/>
                <w:sz w:val="21"/>
                <w:szCs w:val="21"/>
                <w:highlight w:val="none"/>
              </w:rPr>
              <w:t>m。</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both"/>
              <w:textAlignment w:val="auto"/>
              <w:outlineLvl w:val="9"/>
              <w:rPr>
                <w:b/>
                <w:bCs/>
                <w:color w:val="auto"/>
                <w:sz w:val="21"/>
                <w:szCs w:val="21"/>
                <w:highlight w:val="none"/>
              </w:rPr>
            </w:pPr>
            <w:r>
              <w:rPr>
                <w:b/>
                <w:bCs/>
                <w:color w:val="auto"/>
                <w:sz w:val="21"/>
                <w:szCs w:val="21"/>
                <w:highlight w:val="none"/>
              </w:rPr>
              <w:t xml:space="preserve">    </w:t>
            </w:r>
            <w:r>
              <w:rPr>
                <w:rFonts w:hint="eastAsia" w:ascii="宋体" w:hAnsi="宋体" w:cs="宋体"/>
                <w:b/>
                <w:bCs/>
                <w:color w:val="auto"/>
                <w:sz w:val="21"/>
                <w:szCs w:val="21"/>
                <w:highlight w:val="none"/>
              </w:rPr>
              <w:t>②</w:t>
            </w:r>
            <w:r>
              <w:rPr>
                <w:b/>
                <w:bCs/>
                <w:color w:val="auto"/>
                <w:sz w:val="21"/>
                <w:szCs w:val="21"/>
                <w:highlight w:val="none"/>
              </w:rPr>
              <w:t>本项目进行机房和铁塔建设，为远期预留位置，远期只增加天线和发射设备。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b/>
                <w:bCs/>
                <w:color w:val="auto"/>
                <w:szCs w:val="24"/>
                <w:highlight w:val="none"/>
              </w:rPr>
            </w:pPr>
            <w:r>
              <w:rPr>
                <w:rFonts w:hint="eastAsia"/>
                <w:b/>
                <w:bCs/>
                <w:color w:val="auto"/>
                <w:szCs w:val="24"/>
                <w:highlight w:val="none"/>
                <w:lang w:val="en-US" w:eastAsia="zh-CN"/>
              </w:rPr>
              <w:t>1.5</w:t>
            </w:r>
            <w:r>
              <w:rPr>
                <w:b/>
                <w:bCs/>
                <w:color w:val="auto"/>
                <w:szCs w:val="24"/>
                <w:highlight w:val="none"/>
              </w:rPr>
              <w:t>.2 项目总平面布置</w:t>
            </w:r>
          </w:p>
          <w:p>
            <w:pPr>
              <w:adjustRightInd w:val="0"/>
              <w:snapToGrid w:val="0"/>
              <w:ind w:firstLine="480"/>
              <w:rPr>
                <w:bCs/>
                <w:color w:val="auto"/>
                <w:szCs w:val="24"/>
                <w:highlight w:val="none"/>
              </w:rPr>
            </w:pPr>
            <w:r>
              <w:rPr>
                <w:rFonts w:hint="eastAsia"/>
                <w:color w:val="auto"/>
                <w:szCs w:val="24"/>
                <w:highlight w:val="none"/>
                <w:lang w:eastAsia="zh-CN"/>
              </w:rPr>
              <w:t>项目业务大楼的南侧为兴业路，西侧为阳明大道，是进出车辆的直接通行口，出入方便；产地内根据广场及道路形状、尺度，合理配置，并种植了大量植物，环境十分优美。项目业务大楼位于占地正中间，东侧为配套用房，本次设计的电视塔位于项目占地的东北角，远离办公区域及公众密集区域，发射机房设置在配套用房内的二楼东北角，发射机竖向排列，其中一层、二层均为电视台员工食堂</w:t>
            </w:r>
            <w:r>
              <w:rPr>
                <w:rFonts w:hint="eastAsia"/>
                <w:bCs/>
                <w:color w:val="auto"/>
                <w:szCs w:val="24"/>
                <w:highlight w:val="none"/>
                <w:lang w:eastAsia="zh-CN"/>
              </w:rPr>
              <w:t>。</w:t>
            </w:r>
            <w:r>
              <w:rPr>
                <w:bCs/>
                <w:color w:val="auto"/>
                <w:szCs w:val="24"/>
                <w:highlight w:val="none"/>
              </w:rPr>
              <w:t>具体平面布置见附图</w:t>
            </w:r>
            <w:r>
              <w:rPr>
                <w:rFonts w:hint="eastAsia"/>
                <w:bCs/>
                <w:color w:val="auto"/>
                <w:szCs w:val="24"/>
                <w:highlight w:val="none"/>
                <w:lang w:eastAsia="zh-CN"/>
              </w:rPr>
              <w:t>三</w:t>
            </w:r>
            <w:r>
              <w:rPr>
                <w:bCs/>
                <w:color w:val="auto"/>
                <w:szCs w:val="24"/>
                <w:highlight w:val="none"/>
              </w:rPr>
              <w:t>。</w:t>
            </w:r>
          </w:p>
          <w:p>
            <w:pPr>
              <w:adjustRightInd w:val="0"/>
              <w:snapToGrid w:val="0"/>
              <w:rPr>
                <w:b/>
                <w:bCs/>
                <w:color w:val="auto"/>
                <w:szCs w:val="24"/>
                <w:highlight w:val="none"/>
              </w:rPr>
            </w:pPr>
            <w:r>
              <w:rPr>
                <w:rFonts w:hint="eastAsia"/>
                <w:b/>
                <w:bCs/>
                <w:color w:val="auto"/>
                <w:szCs w:val="24"/>
                <w:highlight w:val="none"/>
                <w:lang w:val="en-US" w:eastAsia="zh-CN"/>
              </w:rPr>
              <w:t>1.5</w:t>
            </w:r>
            <w:r>
              <w:rPr>
                <w:b/>
                <w:bCs/>
                <w:color w:val="auto"/>
                <w:szCs w:val="24"/>
                <w:highlight w:val="none"/>
              </w:rPr>
              <w:t>.3 项目主要设备</w:t>
            </w:r>
          </w:p>
          <w:p>
            <w:pPr>
              <w:adjustRightInd w:val="0"/>
              <w:snapToGrid w:val="0"/>
              <w:ind w:firstLine="480" w:firstLineChars="200"/>
              <w:rPr>
                <w:color w:val="auto"/>
                <w:highlight w:val="none"/>
              </w:rPr>
            </w:pPr>
            <w:r>
              <w:rPr>
                <w:color w:val="auto"/>
                <w:highlight w:val="none"/>
              </w:rPr>
              <w:t>项目配备的设备及其参数见表</w:t>
            </w:r>
            <w:r>
              <w:rPr>
                <w:rFonts w:hint="eastAsia"/>
                <w:color w:val="auto"/>
                <w:highlight w:val="none"/>
                <w:lang w:val="en-US" w:eastAsia="zh-CN"/>
              </w:rPr>
              <w:t>1</w:t>
            </w:r>
            <w:r>
              <w:rPr>
                <w:color w:val="auto"/>
                <w:highlight w:val="none"/>
              </w:rPr>
              <w:t>-2、表</w:t>
            </w:r>
            <w:r>
              <w:rPr>
                <w:rFonts w:hint="eastAsia"/>
                <w:color w:val="auto"/>
                <w:highlight w:val="none"/>
                <w:lang w:val="en-US" w:eastAsia="zh-CN"/>
              </w:rPr>
              <w:t>1</w:t>
            </w:r>
            <w:r>
              <w:rPr>
                <w:color w:val="auto"/>
                <w:highlight w:val="none"/>
              </w:rPr>
              <w:t>-3。</w:t>
            </w:r>
          </w:p>
          <w:p>
            <w:pPr>
              <w:adjustRightInd w:val="0"/>
              <w:snapToGrid w:val="0"/>
              <w:jc w:val="center"/>
              <w:rPr>
                <w:b/>
                <w:color w:val="auto"/>
                <w:szCs w:val="21"/>
                <w:highlight w:val="none"/>
              </w:rPr>
            </w:pPr>
            <w:r>
              <w:rPr>
                <w:b/>
                <w:color w:val="auto"/>
                <w:szCs w:val="21"/>
                <w:highlight w:val="none"/>
              </w:rPr>
              <w:t xml:space="preserve">表 </w:t>
            </w:r>
            <w:r>
              <w:rPr>
                <w:rFonts w:hint="eastAsia"/>
                <w:b/>
                <w:color w:val="auto"/>
                <w:szCs w:val="21"/>
                <w:highlight w:val="none"/>
                <w:lang w:val="en-US" w:eastAsia="zh-CN"/>
              </w:rPr>
              <w:t>1</w:t>
            </w:r>
            <w:r>
              <w:rPr>
                <w:b/>
                <w:color w:val="auto"/>
                <w:szCs w:val="21"/>
                <w:highlight w:val="none"/>
              </w:rPr>
              <w:t>-2   设备清单</w:t>
            </w:r>
          </w:p>
          <w:tbl>
            <w:tblPr>
              <w:tblStyle w:val="35"/>
              <w:tblW w:w="858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441"/>
              <w:gridCol w:w="1935"/>
              <w:gridCol w:w="1185"/>
              <w:gridCol w:w="1076"/>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bookmarkStart w:id="6" w:name="OLE_LINK1" w:colFirst="0" w:colLast="5"/>
                  <w:r>
                    <w:rPr>
                      <w:rFonts w:hint="default" w:ascii="Times New Roman" w:hAnsi="Times New Roman" w:cs="Times New Roman" w:eastAsiaTheme="minorEastAsia"/>
                      <w:b/>
                      <w:bCs/>
                      <w:sz w:val="21"/>
                      <w:szCs w:val="21"/>
                    </w:rPr>
                    <w:t>编号</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内容</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型号</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单位</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数量</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设备机柜</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19”标准机柜</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个</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控制桌</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个</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大屏</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套</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音箱</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个</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调频广播发射机</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kW</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部</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调频假负荷</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kW</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部</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馈管充气机</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台</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室内馈管吊件</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批</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直馈管</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3-1/8”</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米</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同轴开关及支架</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套</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11</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直角弯头</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3-1/8”</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个</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硬馈软馈连接器</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15/8”</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套</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13</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eastAsia" w:cs="Times New Roman" w:eastAsiaTheme="minorEastAsia"/>
                      <w:sz w:val="21"/>
                      <w:szCs w:val="21"/>
                      <w:lang w:eastAsia="zh-CN"/>
                    </w:rPr>
                    <w:t>六</w:t>
                  </w:r>
                  <w:r>
                    <w:rPr>
                      <w:rFonts w:hint="default" w:ascii="Times New Roman" w:hAnsi="Times New Roman" w:cs="Times New Roman" w:eastAsiaTheme="minorEastAsia"/>
                      <w:sz w:val="21"/>
                      <w:szCs w:val="21"/>
                      <w:lang w:eastAsia="zh-CN"/>
                    </w:rPr>
                    <w:t>层四面双偶极板天线</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待定</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套</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8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14</w:t>
                  </w:r>
                </w:p>
              </w:tc>
              <w:tc>
                <w:tcPr>
                  <w:tcW w:w="24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软馈</w:t>
                  </w:r>
                </w:p>
              </w:tc>
              <w:tc>
                <w:tcPr>
                  <w:tcW w:w="19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SDY-50-80-51</w:t>
                  </w:r>
                </w:p>
              </w:tc>
              <w:tc>
                <w:tcPr>
                  <w:tcW w:w="11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米</w:t>
                  </w:r>
                </w:p>
              </w:tc>
              <w:tc>
                <w:tcPr>
                  <w:tcW w:w="10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150</w:t>
                  </w:r>
                </w:p>
              </w:tc>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w:t>
                  </w:r>
                </w:p>
              </w:tc>
            </w:tr>
            <w:bookmarkEnd w:id="6"/>
          </w:tbl>
          <w:p>
            <w:pPr>
              <w:adjustRightInd w:val="0"/>
              <w:snapToGrid w:val="0"/>
              <w:spacing w:before="156" w:beforeLines="50"/>
              <w:jc w:val="center"/>
              <w:rPr>
                <w:b/>
                <w:color w:val="auto"/>
                <w:szCs w:val="21"/>
                <w:highlight w:val="none"/>
              </w:rPr>
            </w:pPr>
            <w:r>
              <w:rPr>
                <w:b/>
                <w:color w:val="auto"/>
                <w:szCs w:val="21"/>
                <w:highlight w:val="none"/>
              </w:rPr>
              <w:t>表</w:t>
            </w:r>
            <w:r>
              <w:rPr>
                <w:rFonts w:hint="eastAsia"/>
                <w:b/>
                <w:color w:val="auto"/>
                <w:szCs w:val="21"/>
                <w:highlight w:val="none"/>
                <w:lang w:val="en-US" w:eastAsia="zh-CN"/>
              </w:rPr>
              <w:t>1</w:t>
            </w:r>
            <w:r>
              <w:rPr>
                <w:b/>
                <w:color w:val="auto"/>
                <w:szCs w:val="21"/>
                <w:highlight w:val="none"/>
              </w:rPr>
              <w:t>-3 发射机及天线参数</w:t>
            </w:r>
          </w:p>
          <w:tbl>
            <w:tblPr>
              <w:tblStyle w:val="36"/>
              <w:tblW w:w="83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609"/>
              <w:gridCol w:w="4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62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设备及单元</w:t>
                  </w:r>
                </w:p>
              </w:tc>
              <w:tc>
                <w:tcPr>
                  <w:tcW w:w="2609"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主要指标</w:t>
                  </w:r>
                </w:p>
              </w:tc>
              <w:tc>
                <w:tcPr>
                  <w:tcW w:w="4090"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621" w:type="dxa"/>
                  <w:vMerge w:val="restart"/>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天线</w:t>
                  </w:r>
                </w:p>
              </w:tc>
              <w:tc>
                <w:tcPr>
                  <w:tcW w:w="2609"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天线型号</w:t>
                  </w:r>
                </w:p>
              </w:tc>
              <w:tc>
                <w:tcPr>
                  <w:tcW w:w="4090" w:type="dxa"/>
                  <w:tcBorders>
                    <w:tl2br w:val="nil"/>
                    <w:tr2bl w:val="nil"/>
                  </w:tcBorders>
                  <w:vAlign w:val="center"/>
                </w:tcPr>
                <w:p>
                  <w:pPr>
                    <w:adjustRightInd w:val="0"/>
                    <w:snapToGrid w:val="0"/>
                    <w:spacing w:line="240" w:lineRule="auto"/>
                    <w:jc w:val="center"/>
                    <w:rPr>
                      <w:bCs/>
                      <w:color w:val="auto"/>
                      <w:sz w:val="21"/>
                      <w:szCs w:val="21"/>
                      <w:highlight w:val="none"/>
                    </w:rPr>
                  </w:pPr>
                  <w:r>
                    <w:rPr>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621" w:type="dxa"/>
                  <w:vMerge w:val="continue"/>
                  <w:tcBorders>
                    <w:tl2br w:val="nil"/>
                    <w:tr2bl w:val="nil"/>
                  </w:tcBorders>
                  <w:vAlign w:val="center"/>
                </w:tcPr>
                <w:p>
                  <w:pPr>
                    <w:spacing w:line="240" w:lineRule="auto"/>
                    <w:jc w:val="center"/>
                    <w:rPr>
                      <w:color w:val="auto"/>
                      <w:sz w:val="21"/>
                      <w:szCs w:val="21"/>
                      <w:highlight w:val="none"/>
                    </w:rPr>
                  </w:pPr>
                </w:p>
              </w:tc>
              <w:tc>
                <w:tcPr>
                  <w:tcW w:w="2609"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天线型式</w:t>
                  </w:r>
                </w:p>
              </w:tc>
              <w:tc>
                <w:tcPr>
                  <w:tcW w:w="4090" w:type="dxa"/>
                  <w:tcBorders>
                    <w:tl2br w:val="nil"/>
                    <w:tr2bl w:val="nil"/>
                  </w:tcBorders>
                  <w:vAlign w:val="center"/>
                </w:tcPr>
                <w:p>
                  <w:pPr>
                    <w:adjustRightInd w:val="0"/>
                    <w:snapToGrid w:val="0"/>
                    <w:spacing w:line="240" w:lineRule="auto"/>
                    <w:jc w:val="center"/>
                    <w:rPr>
                      <w:color w:val="auto"/>
                      <w:sz w:val="21"/>
                      <w:szCs w:val="21"/>
                      <w:highlight w:val="none"/>
                    </w:rPr>
                  </w:pPr>
                  <w:r>
                    <w:rPr>
                      <w:rFonts w:hint="eastAsia"/>
                      <w:color w:val="auto"/>
                      <w:sz w:val="21"/>
                      <w:szCs w:val="21"/>
                      <w:highlight w:val="none"/>
                      <w:lang w:val="en-US" w:eastAsia="zh-CN"/>
                    </w:rPr>
                    <w:t>FM</w:t>
                  </w:r>
                  <w:r>
                    <w:rPr>
                      <w:rFonts w:hint="eastAsia"/>
                      <w:color w:val="auto"/>
                      <w:sz w:val="21"/>
                      <w:szCs w:val="21"/>
                      <w:highlight w:val="none"/>
                      <w:lang w:eastAsia="zh-CN"/>
                    </w:rPr>
                    <w:t>六</w:t>
                  </w:r>
                  <w:r>
                    <w:rPr>
                      <w:color w:val="auto"/>
                      <w:sz w:val="21"/>
                      <w:szCs w:val="21"/>
                      <w:highlight w:val="none"/>
                    </w:rPr>
                    <w:t>层四面双偶极板天线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kern w:val="0"/>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kern w:val="0"/>
                      <w:sz w:val="21"/>
                      <w:szCs w:val="21"/>
                      <w:highlight w:val="none"/>
                    </w:rPr>
                  </w:pPr>
                  <w:r>
                    <w:rPr>
                      <w:color w:val="auto"/>
                      <w:sz w:val="21"/>
                      <w:szCs w:val="21"/>
                      <w:highlight w:val="none"/>
                    </w:rPr>
                    <w:t>天线数量</w:t>
                  </w:r>
                </w:p>
              </w:tc>
              <w:tc>
                <w:tcPr>
                  <w:tcW w:w="4090"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kern w:val="0"/>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安装位置</w:t>
                  </w:r>
                </w:p>
              </w:tc>
              <w:tc>
                <w:tcPr>
                  <w:tcW w:w="4090"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发射塔</w:t>
                  </w:r>
                  <w:r>
                    <w:rPr>
                      <w:rFonts w:hint="eastAsia"/>
                      <w:color w:val="auto"/>
                      <w:sz w:val="21"/>
                      <w:szCs w:val="21"/>
                      <w:highlight w:val="none"/>
                      <w:lang w:val="en-US" w:eastAsia="zh-CN"/>
                    </w:rPr>
                    <w:t>150m处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kern w:val="0"/>
                      <w:sz w:val="21"/>
                      <w:szCs w:val="21"/>
                      <w:highlight w:val="none"/>
                    </w:rPr>
                    <w:t>天线增益</w:t>
                  </w:r>
                </w:p>
              </w:tc>
              <w:tc>
                <w:tcPr>
                  <w:tcW w:w="4090" w:type="dxa"/>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10</w:t>
                  </w:r>
                  <w:r>
                    <w:rPr>
                      <w:color w:val="auto"/>
                      <w:sz w:val="21"/>
                      <w:szCs w:val="21"/>
                      <w:highlight w:val="none"/>
                    </w:rPr>
                    <w:t>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kern w:val="0"/>
                      <w:sz w:val="21"/>
                      <w:szCs w:val="21"/>
                      <w:highlight w:val="none"/>
                    </w:rPr>
                    <w:t>极化方式</w:t>
                  </w:r>
                </w:p>
              </w:tc>
              <w:tc>
                <w:tcPr>
                  <w:tcW w:w="4090" w:type="dxa"/>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lang w:eastAsia="zh-CN"/>
                    </w:rPr>
                    <w:t>垂直</w:t>
                  </w:r>
                  <w:r>
                    <w:rPr>
                      <w:color w:val="auto"/>
                      <w:sz w:val="21"/>
                      <w:szCs w:val="21"/>
                      <w:highlight w:val="none"/>
                    </w:rPr>
                    <w:t>极化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下倾角（°）</w:t>
                  </w:r>
                </w:p>
              </w:tc>
              <w:tc>
                <w:tcPr>
                  <w:tcW w:w="4090" w:type="dxa"/>
                  <w:tcBorders>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垂直半功率角</w:t>
                  </w:r>
                  <w:r>
                    <w:rPr>
                      <w:color w:val="auto"/>
                      <w:sz w:val="21"/>
                      <w:szCs w:val="21"/>
                      <w:highlight w:val="none"/>
                    </w:rPr>
                    <w:t>（°）</w:t>
                  </w:r>
                </w:p>
              </w:tc>
              <w:tc>
                <w:tcPr>
                  <w:tcW w:w="4090" w:type="dxa"/>
                  <w:tcBorders>
                    <w:tl2br w:val="nil"/>
                    <w:tr2bl w:val="nil"/>
                  </w:tcBorders>
                  <w:vAlign w:val="center"/>
                </w:tcPr>
                <w:p>
                  <w:pP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馈线损耗</w:t>
                  </w:r>
                </w:p>
              </w:tc>
              <w:tc>
                <w:tcPr>
                  <w:tcW w:w="4090" w:type="dxa"/>
                  <w:tcBorders>
                    <w:tl2br w:val="nil"/>
                    <w:tr2bl w:val="nil"/>
                  </w:tcBorders>
                  <w:vAlign w:val="center"/>
                </w:tcPr>
                <w:p>
                  <w:pP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0.5dB/50m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none"/>
                    </w:rPr>
                  </w:pPr>
                  <w:r>
                    <w:rPr>
                      <w:color w:val="auto"/>
                      <w:sz w:val="21"/>
                      <w:szCs w:val="21"/>
                      <w:highlight w:val="none"/>
                      <w:u w:val="none"/>
                    </w:rPr>
                    <w:t>主射方向</w:t>
                  </w:r>
                </w:p>
              </w:tc>
              <w:tc>
                <w:tcPr>
                  <w:tcW w:w="4090" w:type="dxa"/>
                  <w:tcBorders>
                    <w:tl2br w:val="nil"/>
                    <w:tr2bl w:val="nil"/>
                  </w:tcBorders>
                  <w:vAlign w:val="center"/>
                </w:tcPr>
                <w:p>
                  <w:pPr>
                    <w:spacing w:line="240" w:lineRule="auto"/>
                    <w:jc w:val="center"/>
                    <w:rPr>
                      <w:color w:val="auto"/>
                      <w:sz w:val="21"/>
                      <w:szCs w:val="21"/>
                      <w:highlight w:val="none"/>
                      <w:u w:val="none"/>
                    </w:rPr>
                  </w:pPr>
                  <w:r>
                    <w:rPr>
                      <w:color w:val="auto"/>
                      <w:sz w:val="21"/>
                      <w:szCs w:val="21"/>
                      <w:highlight w:val="none"/>
                      <w:u w:val="none"/>
                    </w:rPr>
                    <w:t>全向，360°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天线尺寸（高×宽×长）（m）</w:t>
                  </w:r>
                </w:p>
              </w:tc>
              <w:tc>
                <w:tcPr>
                  <w:tcW w:w="4090" w:type="dxa"/>
                  <w:tcBorders>
                    <w:tl2br w:val="nil"/>
                    <w:tr2bl w:val="nil"/>
                  </w:tcBorders>
                  <w:vAlign w:val="center"/>
                </w:tcPr>
                <w:p>
                  <w:pPr>
                    <w:spacing w:line="240" w:lineRule="auto"/>
                    <w:jc w:val="center"/>
                    <w:rPr>
                      <w:color w:val="auto"/>
                      <w:sz w:val="21"/>
                      <w:szCs w:val="21"/>
                      <w:highlight w:val="none"/>
                    </w:rPr>
                  </w:pPr>
                  <w:r>
                    <w:rPr>
                      <w:rFonts w:hint="eastAsia"/>
                      <w:sz w:val="21"/>
                      <w:szCs w:val="21"/>
                      <w:highlight w:val="none"/>
                      <w:lang w:val="en-US" w:eastAsia="zh-CN"/>
                    </w:rPr>
                    <w:t>1.8</w:t>
                  </w:r>
                  <w:r>
                    <w:rPr>
                      <w:sz w:val="21"/>
                      <w:szCs w:val="21"/>
                      <w:highlight w:val="none"/>
                    </w:rPr>
                    <w:t>×</w:t>
                  </w:r>
                  <w:r>
                    <w:rPr>
                      <w:rFonts w:hint="eastAsia"/>
                      <w:sz w:val="21"/>
                      <w:szCs w:val="21"/>
                      <w:highlight w:val="none"/>
                      <w:lang w:val="en-US" w:eastAsia="zh-CN"/>
                    </w:rPr>
                    <w:t>1.8</w:t>
                  </w:r>
                  <w:r>
                    <w:rPr>
                      <w:color w:val="auto"/>
                      <w:sz w:val="21"/>
                      <w:szCs w:val="21"/>
                      <w:highlight w:val="none"/>
                    </w:rPr>
                    <w:t>；</w:t>
                  </w:r>
                  <w:r>
                    <w:rPr>
                      <w:rFonts w:hint="eastAsia"/>
                      <w:color w:val="auto"/>
                      <w:sz w:val="21"/>
                      <w:szCs w:val="21"/>
                      <w:highlight w:val="none"/>
                      <w:lang w:val="en-US" w:eastAsia="zh-CN"/>
                    </w:rPr>
                    <w:t>24</w:t>
                  </w:r>
                  <w:r>
                    <w:rPr>
                      <w:color w:val="auto"/>
                      <w:sz w:val="21"/>
                      <w:szCs w:val="21"/>
                      <w:highlight w:val="none"/>
                    </w:rPr>
                    <w:t>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天线挂高（m）</w:t>
                  </w:r>
                </w:p>
              </w:tc>
              <w:tc>
                <w:tcPr>
                  <w:tcW w:w="4090" w:type="dxa"/>
                  <w:tcBorders>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restart"/>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发射机</w:t>
                  </w: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调频频率（MHz）</w:t>
                  </w:r>
                </w:p>
              </w:tc>
              <w:tc>
                <w:tcPr>
                  <w:tcW w:w="4090" w:type="dxa"/>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106.8</w:t>
                  </w:r>
                  <w:r>
                    <w:rPr>
                      <w:rFonts w:eastAsia="Times New Roman"/>
                      <w:bCs/>
                      <w:color w:val="auto"/>
                      <w:sz w:val="21"/>
                      <w:szCs w:val="21"/>
                      <w:highlight w:val="none"/>
                    </w:rPr>
                    <w:t>MHz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rFonts w:hint="eastAsia"/>
                      <w:color w:val="auto"/>
                      <w:sz w:val="21"/>
                      <w:szCs w:val="21"/>
                      <w:highlight w:val="none"/>
                    </w:rPr>
                    <w:t>型号</w:t>
                  </w:r>
                </w:p>
              </w:tc>
              <w:tc>
                <w:tcPr>
                  <w:tcW w:w="4090" w:type="dxa"/>
                  <w:tcBorders>
                    <w:tl2br w:val="nil"/>
                    <w:tr2bl w:val="nil"/>
                  </w:tcBorders>
                  <w:vAlign w:val="center"/>
                </w:tcPr>
                <w:p>
                  <w:pP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rFonts w:hint="eastAsia"/>
                      <w:color w:val="auto"/>
                      <w:sz w:val="21"/>
                      <w:szCs w:val="21"/>
                      <w:highlight w:val="none"/>
                    </w:rPr>
                    <w:t>数量</w:t>
                  </w:r>
                </w:p>
              </w:tc>
              <w:tc>
                <w:tcPr>
                  <w:tcW w:w="4090" w:type="dxa"/>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发射机功率（kW）</w:t>
                  </w:r>
                </w:p>
              </w:tc>
              <w:tc>
                <w:tcPr>
                  <w:tcW w:w="4090" w:type="dxa"/>
                  <w:tcBorders>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621"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p>
              </w:tc>
              <w:tc>
                <w:tcPr>
                  <w:tcW w:w="2609"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rPr>
                  </w:pPr>
                  <w:r>
                    <w:rPr>
                      <w:color w:val="auto"/>
                      <w:sz w:val="21"/>
                      <w:szCs w:val="21"/>
                      <w:highlight w:val="none"/>
                    </w:rPr>
                    <w:t>播出节目</w:t>
                  </w:r>
                </w:p>
              </w:tc>
              <w:tc>
                <w:tcPr>
                  <w:tcW w:w="4090" w:type="dxa"/>
                  <w:tcBorders>
                    <w:tl2br w:val="nil"/>
                    <w:tr2bl w:val="nil"/>
                  </w:tcBorders>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自办节目</w:t>
                  </w:r>
                </w:p>
              </w:tc>
            </w:tr>
          </w:tbl>
          <w:p>
            <w:pPr>
              <w:adjustRightInd w:val="0"/>
              <w:snapToGrid w:val="0"/>
              <w:spacing w:line="240" w:lineRule="auto"/>
              <w:rPr>
                <w:b/>
                <w:bCs/>
                <w:color w:val="auto"/>
                <w:sz w:val="21"/>
                <w:szCs w:val="21"/>
                <w:highlight w:val="none"/>
              </w:rPr>
            </w:pPr>
            <w:r>
              <w:rPr>
                <w:b/>
                <w:bCs/>
                <w:color w:val="auto"/>
                <w:sz w:val="21"/>
                <w:szCs w:val="21"/>
                <w:highlight w:val="none"/>
              </w:rPr>
              <w:t>注：天线挂高（m）从塔标高0.00计算。</w:t>
            </w:r>
          </w:p>
          <w:p>
            <w:pPr>
              <w:adjustRightInd w:val="0"/>
              <w:snapToGrid w:val="0"/>
              <w:spacing w:before="156" w:beforeLines="50"/>
              <w:rPr>
                <w:b/>
                <w:bCs/>
                <w:color w:val="auto"/>
                <w:szCs w:val="24"/>
                <w:highlight w:val="none"/>
              </w:rPr>
            </w:pPr>
            <w:r>
              <w:rPr>
                <w:rFonts w:hint="eastAsia"/>
                <w:b/>
                <w:bCs/>
                <w:color w:val="auto"/>
                <w:szCs w:val="24"/>
                <w:highlight w:val="none"/>
                <w:lang w:val="en-US" w:eastAsia="zh-CN"/>
              </w:rPr>
              <w:t>1.5</w:t>
            </w:r>
            <w:r>
              <w:rPr>
                <w:b/>
                <w:bCs/>
                <w:color w:val="auto"/>
                <w:szCs w:val="24"/>
                <w:highlight w:val="none"/>
              </w:rPr>
              <w:t>.4 辅助设施</w:t>
            </w:r>
          </w:p>
          <w:p>
            <w:pPr>
              <w:ind w:firstLine="480" w:firstLineChars="200"/>
              <w:rPr>
                <w:bCs/>
                <w:color w:val="auto"/>
                <w:highlight w:val="none"/>
              </w:rPr>
            </w:pPr>
            <w:r>
              <w:rPr>
                <w:bCs/>
                <w:color w:val="auto"/>
                <w:highlight w:val="none"/>
              </w:rPr>
              <w:t>（1）通风空调</w:t>
            </w:r>
          </w:p>
          <w:p>
            <w:pPr>
              <w:ind w:firstLine="480" w:firstLineChars="200"/>
              <w:rPr>
                <w:color w:val="auto"/>
                <w:szCs w:val="24"/>
                <w:highlight w:val="none"/>
              </w:rPr>
            </w:pPr>
            <w:r>
              <w:rPr>
                <w:bCs/>
                <w:color w:val="auto"/>
                <w:highlight w:val="none"/>
              </w:rPr>
              <w:t>本项目电视发射机机房配置</w:t>
            </w:r>
            <w:r>
              <w:rPr>
                <w:color w:val="auto"/>
                <w:szCs w:val="24"/>
                <w:highlight w:val="none"/>
              </w:rPr>
              <w:t>壁挂式空调机。</w:t>
            </w:r>
          </w:p>
          <w:p>
            <w:pPr>
              <w:ind w:firstLine="480" w:firstLineChars="200"/>
              <w:rPr>
                <w:color w:val="auto"/>
                <w:szCs w:val="24"/>
                <w:highlight w:val="none"/>
              </w:rPr>
            </w:pPr>
            <w:r>
              <w:rPr>
                <w:color w:val="auto"/>
                <w:szCs w:val="24"/>
                <w:highlight w:val="none"/>
              </w:rPr>
              <w:t>（2）给排水</w:t>
            </w:r>
          </w:p>
          <w:p>
            <w:pPr>
              <w:ind w:firstLine="480" w:firstLineChars="200"/>
              <w:rPr>
                <w:color w:val="auto"/>
                <w:szCs w:val="24"/>
                <w:highlight w:val="none"/>
              </w:rPr>
            </w:pPr>
            <w:r>
              <w:rPr>
                <w:bCs/>
                <w:color w:val="auto"/>
                <w:highlight w:val="none"/>
              </w:rPr>
              <w:t>本项目</w:t>
            </w:r>
            <w:r>
              <w:rPr>
                <w:snapToGrid w:val="0"/>
                <w:color w:val="auto"/>
                <w:kern w:val="0"/>
                <w:szCs w:val="24"/>
                <w:highlight w:val="none"/>
              </w:rPr>
              <w:t>在营运过程中无需用水，也无生产生活废水产生。</w:t>
            </w:r>
          </w:p>
          <w:p>
            <w:pPr>
              <w:ind w:firstLine="480" w:firstLineChars="200"/>
              <w:rPr>
                <w:color w:val="auto"/>
                <w:szCs w:val="24"/>
                <w:highlight w:val="none"/>
              </w:rPr>
            </w:pPr>
            <w:r>
              <w:rPr>
                <w:color w:val="auto"/>
                <w:szCs w:val="24"/>
                <w:highlight w:val="none"/>
              </w:rPr>
              <w:t>（3）消防</w:t>
            </w:r>
          </w:p>
          <w:p>
            <w:pPr>
              <w:ind w:firstLine="480" w:firstLineChars="200"/>
              <w:rPr>
                <w:color w:val="auto"/>
                <w:szCs w:val="24"/>
                <w:highlight w:val="none"/>
              </w:rPr>
            </w:pPr>
            <w:r>
              <w:rPr>
                <w:color w:val="auto"/>
                <w:szCs w:val="24"/>
                <w:highlight w:val="none"/>
              </w:rPr>
              <w:t>本项目消防给水系统依托</w:t>
            </w:r>
            <w:r>
              <w:rPr>
                <w:rFonts w:hint="eastAsia"/>
                <w:color w:val="auto"/>
                <w:szCs w:val="24"/>
                <w:highlight w:val="none"/>
                <w:lang w:eastAsia="zh-CN"/>
              </w:rPr>
              <w:t>业务大楼工程</w:t>
            </w:r>
            <w:r>
              <w:rPr>
                <w:color w:val="auto"/>
                <w:szCs w:val="24"/>
                <w:highlight w:val="none"/>
              </w:rPr>
              <w:t>消防系统。本次在发射机房设置七氟丙烷气体灭火系统，并在适当位置配置手提灭火器。</w:t>
            </w:r>
          </w:p>
          <w:p>
            <w:pPr>
              <w:ind w:firstLine="480" w:firstLineChars="200"/>
              <w:rPr>
                <w:color w:val="auto"/>
                <w:szCs w:val="24"/>
                <w:highlight w:val="none"/>
              </w:rPr>
            </w:pPr>
            <w:r>
              <w:rPr>
                <w:color w:val="auto"/>
                <w:szCs w:val="24"/>
                <w:highlight w:val="none"/>
              </w:rPr>
              <w:t>（4）照明</w:t>
            </w:r>
          </w:p>
          <w:p>
            <w:pPr>
              <w:ind w:firstLine="480" w:firstLineChars="200"/>
              <w:rPr>
                <w:color w:val="auto"/>
                <w:szCs w:val="24"/>
                <w:highlight w:val="none"/>
              </w:rPr>
            </w:pPr>
            <w:r>
              <w:rPr>
                <w:color w:val="auto"/>
                <w:szCs w:val="24"/>
                <w:highlight w:val="none"/>
              </w:rPr>
              <w:t>项目照明以高效节能荧光灯和节能、环保型筒灯、吸顶灯作主要光源。</w:t>
            </w:r>
          </w:p>
          <w:p>
            <w:pPr>
              <w:ind w:firstLine="480" w:firstLineChars="200"/>
              <w:rPr>
                <w:bCs/>
                <w:color w:val="auto"/>
                <w:highlight w:val="none"/>
              </w:rPr>
            </w:pPr>
            <w:r>
              <w:rPr>
                <w:bCs/>
                <w:color w:val="auto"/>
                <w:highlight w:val="none"/>
              </w:rPr>
              <w:t>（5）劳动定员</w:t>
            </w:r>
          </w:p>
          <w:p>
            <w:pPr>
              <w:ind w:firstLine="480" w:firstLineChars="200"/>
              <w:rPr>
                <w:color w:val="auto"/>
                <w:szCs w:val="24"/>
                <w:highlight w:val="none"/>
              </w:rPr>
            </w:pPr>
            <w:r>
              <w:rPr>
                <w:color w:val="auto"/>
                <w:szCs w:val="24"/>
                <w:highlight w:val="none"/>
              </w:rPr>
              <w:t>本项目巡检人员依托</w:t>
            </w:r>
            <w:r>
              <w:rPr>
                <w:rFonts w:hint="eastAsia"/>
                <w:color w:val="auto"/>
                <w:szCs w:val="24"/>
                <w:highlight w:val="none"/>
                <w:lang w:eastAsia="zh-CN"/>
              </w:rPr>
              <w:t>常德市鼎城区</w:t>
            </w:r>
            <w:r>
              <w:rPr>
                <w:color w:val="auto"/>
                <w:szCs w:val="24"/>
                <w:highlight w:val="none"/>
              </w:rPr>
              <w:t>工作人员（为原电视</w:t>
            </w:r>
            <w:r>
              <w:rPr>
                <w:rFonts w:hint="eastAsia"/>
                <w:color w:val="auto"/>
                <w:szCs w:val="24"/>
                <w:highlight w:val="none"/>
                <w:lang w:eastAsia="zh-CN"/>
              </w:rPr>
              <w:t>台</w:t>
            </w:r>
            <w:r>
              <w:rPr>
                <w:color w:val="auto"/>
                <w:szCs w:val="24"/>
                <w:highlight w:val="none"/>
              </w:rPr>
              <w:t>工作人员），不设置专门人员，巡检人员共计2人。</w:t>
            </w:r>
          </w:p>
          <w:p>
            <w:pPr>
              <w:adjustRightInd w:val="0"/>
              <w:snapToGrid w:val="0"/>
              <w:spacing w:before="156" w:beforeLines="50"/>
              <w:rPr>
                <w:b/>
                <w:bCs/>
                <w:color w:val="auto"/>
                <w:szCs w:val="24"/>
                <w:highlight w:val="none"/>
              </w:rPr>
            </w:pPr>
            <w:r>
              <w:rPr>
                <w:rFonts w:hint="eastAsia"/>
                <w:b/>
                <w:bCs/>
                <w:color w:val="auto"/>
                <w:szCs w:val="24"/>
                <w:highlight w:val="none"/>
                <w:lang w:val="en-US" w:eastAsia="zh-CN"/>
              </w:rPr>
              <w:t>1.5</w:t>
            </w:r>
            <w:r>
              <w:rPr>
                <w:b/>
                <w:bCs/>
                <w:color w:val="auto"/>
                <w:szCs w:val="24"/>
                <w:highlight w:val="none"/>
              </w:rPr>
              <w:t>.5 施工时间</w:t>
            </w:r>
          </w:p>
          <w:p>
            <w:pPr>
              <w:ind w:firstLine="480" w:firstLineChars="200"/>
              <w:rPr>
                <w:color w:val="auto"/>
                <w:szCs w:val="24"/>
                <w:highlight w:val="none"/>
              </w:rPr>
            </w:pPr>
            <w:r>
              <w:rPr>
                <w:bCs/>
                <w:color w:val="auto"/>
                <w:highlight w:val="none"/>
              </w:rPr>
              <w:t>本项目施工期</w:t>
            </w:r>
            <w:r>
              <w:rPr>
                <w:rFonts w:hint="eastAsia"/>
                <w:bCs/>
                <w:color w:val="auto"/>
                <w:highlight w:val="none"/>
                <w:lang w:val="en-US" w:eastAsia="zh-CN"/>
              </w:rPr>
              <w:t>9</w:t>
            </w:r>
            <w:r>
              <w:rPr>
                <w:bCs/>
                <w:color w:val="auto"/>
                <w:highlight w:val="none"/>
              </w:rPr>
              <w:t>个月，</w:t>
            </w:r>
            <w:r>
              <w:rPr>
                <w:rFonts w:hint="eastAsia"/>
                <w:bCs/>
                <w:color w:val="auto"/>
                <w:highlight w:val="none"/>
                <w:lang w:eastAsia="zh-CN"/>
              </w:rPr>
              <w:t>预计</w:t>
            </w:r>
            <w:r>
              <w:rPr>
                <w:rFonts w:hint="eastAsia"/>
                <w:bCs/>
                <w:color w:val="auto"/>
                <w:highlight w:val="none"/>
                <w:lang w:val="en-US" w:eastAsia="zh-CN"/>
              </w:rPr>
              <w:t>2017年12月竣工。</w:t>
            </w:r>
            <w:r>
              <w:rPr>
                <w:bCs/>
                <w:color w:val="auto"/>
                <w:highlight w:val="none"/>
              </w:rPr>
              <w:t>施工人员约10人</w:t>
            </w:r>
            <w:r>
              <w:rPr>
                <w:color w:val="auto"/>
                <w:szCs w:val="24"/>
                <w:highlight w:val="none"/>
              </w:rPr>
              <w:t>。</w:t>
            </w:r>
          </w:p>
          <w:p>
            <w:pPr>
              <w:adjustRightInd w:val="0"/>
              <w:snapToGrid w:val="0"/>
              <w:spacing w:before="156" w:beforeLines="50"/>
              <w:rPr>
                <w:b/>
                <w:bCs/>
                <w:color w:val="auto"/>
                <w:szCs w:val="24"/>
                <w:highlight w:val="none"/>
              </w:rPr>
            </w:pPr>
            <w:r>
              <w:rPr>
                <w:rFonts w:hint="eastAsia"/>
                <w:b/>
                <w:bCs/>
                <w:color w:val="auto"/>
                <w:szCs w:val="24"/>
                <w:highlight w:val="none"/>
                <w:lang w:val="en-US" w:eastAsia="zh-CN"/>
              </w:rPr>
              <w:t>1.5.6</w:t>
            </w:r>
            <w:r>
              <w:rPr>
                <w:b/>
                <w:bCs/>
                <w:color w:val="auto"/>
                <w:szCs w:val="24"/>
                <w:highlight w:val="none"/>
              </w:rPr>
              <w:t>与</w:t>
            </w:r>
            <w:r>
              <w:rPr>
                <w:b/>
                <w:bCs/>
                <w:color w:val="auto"/>
                <w:highlight w:val="none"/>
              </w:rPr>
              <w:t>原广播发射塔的</w:t>
            </w:r>
            <w:r>
              <w:rPr>
                <w:b/>
                <w:bCs/>
                <w:color w:val="auto"/>
                <w:szCs w:val="24"/>
                <w:highlight w:val="none"/>
              </w:rPr>
              <w:t>关系</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color w:val="auto"/>
                <w:szCs w:val="24"/>
                <w:highlight w:val="yellow"/>
              </w:rPr>
            </w:pPr>
            <w:r>
              <w:rPr>
                <w:bCs/>
                <w:color w:val="auto"/>
                <w:highlight w:val="none"/>
                <w:u w:val="none"/>
              </w:rPr>
              <w:t>原</w:t>
            </w:r>
            <w:r>
              <w:rPr>
                <w:rFonts w:hint="eastAsia"/>
                <w:bCs/>
                <w:color w:val="auto"/>
                <w:highlight w:val="none"/>
                <w:u w:val="none"/>
                <w:lang w:eastAsia="zh-CN"/>
              </w:rPr>
              <w:t>电视台位于常德市鼎城区临沅路</w:t>
            </w:r>
            <w:r>
              <w:rPr>
                <w:rFonts w:hint="eastAsia"/>
                <w:bCs/>
                <w:color w:val="auto"/>
                <w:highlight w:val="none"/>
                <w:u w:val="none"/>
                <w:lang w:val="en-US" w:eastAsia="zh-CN"/>
              </w:rPr>
              <w:t>31号，设置有广播发射塔1座，塔高121m，配置有1根广播发射天线，1台发射机，发射机型号为RVRTX3000，发射功率为3kW，发射频率为106.8MHz，播出节目为自办节目，天线挂高为112m，天线增益为</w:t>
            </w:r>
            <w:r>
              <w:rPr>
                <w:rFonts w:hint="eastAsia"/>
                <w:color w:val="auto"/>
                <w:highlight w:val="none"/>
                <w:u w:val="none"/>
                <w:lang w:val="en-US" w:eastAsia="zh-CN"/>
              </w:rPr>
              <w:t>10</w:t>
            </w:r>
            <w:r>
              <w:rPr>
                <w:color w:val="auto"/>
                <w:highlight w:val="none"/>
                <w:u w:val="none"/>
              </w:rPr>
              <w:t>dBi</w:t>
            </w:r>
            <w:r>
              <w:rPr>
                <w:rFonts w:hint="eastAsia"/>
                <w:color w:val="auto"/>
                <w:highlight w:val="none"/>
                <w:u w:val="none"/>
                <w:lang w:eastAsia="zh-CN"/>
              </w:rPr>
              <w:t>。</w:t>
            </w:r>
            <w:r>
              <w:rPr>
                <w:rFonts w:hint="eastAsia"/>
                <w:color w:val="auto"/>
                <w:highlight w:val="none"/>
                <w:lang w:eastAsia="zh-CN"/>
              </w:rPr>
              <w:t>鼎城区广播电视台原业务大楼由于建设年代早，建设标准低，配套设施落后，已很难满足电视台的业务需求；同时电视台现业务大楼位于临江棚改一期</w:t>
            </w:r>
            <w:r>
              <w:rPr>
                <w:rFonts w:hint="eastAsia"/>
                <w:color w:val="auto"/>
                <w:highlight w:val="none"/>
                <w:lang w:val="en-US" w:eastAsia="zh-CN"/>
              </w:rPr>
              <w:t>B08拆迁地块，如不进行拆迁，将影响临江棚改的顺利推进。本次新建广播发射塔选址于</w:t>
            </w:r>
            <w:r>
              <w:rPr>
                <w:rFonts w:hint="eastAsia"/>
                <w:bCs/>
                <w:color w:val="auto"/>
                <w:highlight w:val="none"/>
                <w:u w:val="none"/>
                <w:lang w:eastAsia="zh-CN"/>
              </w:rPr>
              <w:t>常德市鼎城区块阳明大道与兴业路交汇处，距离原址有一定的距离，且本次新建设施全部新建，原有电视塔相关设施拆除后全部变卖，目前原址发射塔正常运行中，待新建项目完成后，原塔按照要求停止使用。</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leftChars="0" w:right="0" w:rightChars="0"/>
              <w:jc w:val="both"/>
              <w:textAlignment w:val="auto"/>
              <w:outlineLvl w:val="9"/>
              <w:rPr>
                <w:b/>
                <w:color w:val="auto"/>
                <w:szCs w:val="24"/>
                <w:highlight w:val="none"/>
              </w:rPr>
            </w:pPr>
            <w:r>
              <w:rPr>
                <w:rFonts w:hint="eastAsia"/>
                <w:b/>
                <w:bCs/>
                <w:color w:val="auto"/>
                <w:highlight w:val="none"/>
                <w:lang w:val="en-US" w:eastAsia="zh-CN"/>
              </w:rPr>
              <w:t xml:space="preserve">1.6 </w:t>
            </w:r>
            <w:r>
              <w:rPr>
                <w:b/>
                <w:bCs/>
                <w:color w:val="auto"/>
                <w:szCs w:val="24"/>
                <w:highlight w:val="none"/>
              </w:rPr>
              <w:t>产业</w:t>
            </w:r>
            <w:r>
              <w:rPr>
                <w:b/>
                <w:color w:val="auto"/>
                <w:szCs w:val="24"/>
                <w:highlight w:val="none"/>
              </w:rPr>
              <w:t>政策相符性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highlight w:val="none"/>
              </w:rPr>
            </w:pPr>
            <w:r>
              <w:rPr>
                <w:color w:val="auto"/>
                <w:highlight w:val="none"/>
              </w:rPr>
              <w:t>本项目为广播电视工程，属于国家发展和改革委员会《产业结构调整指导目录(2011年本)》（2013 年修正）中</w:t>
            </w:r>
            <w:r>
              <w:rPr>
                <w:color w:val="auto"/>
                <w:kern w:val="0"/>
                <w:szCs w:val="24"/>
                <w:highlight w:val="none"/>
              </w:rPr>
              <w:t xml:space="preserve"> “第一类鼓励类”中的“信息产业类”的项目，符合国家产业政策。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color w:val="auto"/>
                <w:highlight w:val="none"/>
              </w:rPr>
            </w:pPr>
            <w:r>
              <w:rPr>
                <w:rFonts w:hint="eastAsia"/>
                <w:b/>
                <w:bCs/>
                <w:color w:val="auto"/>
                <w:highlight w:val="none"/>
                <w:lang w:val="en-US" w:eastAsia="zh-CN"/>
              </w:rPr>
              <w:t xml:space="preserve">1.7 </w:t>
            </w:r>
            <w:r>
              <w:rPr>
                <w:b/>
                <w:bCs/>
                <w:color w:val="auto"/>
                <w:highlight w:val="none"/>
              </w:rPr>
              <w:t xml:space="preserve"> 选址与区域的符合性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highlight w:val="yellow"/>
              </w:rPr>
            </w:pPr>
            <w:r>
              <w:rPr>
                <w:color w:val="auto"/>
                <w:highlight w:val="none"/>
              </w:rPr>
              <w:t>本</w:t>
            </w:r>
            <w:r>
              <w:rPr>
                <w:rFonts w:hint="eastAsia"/>
                <w:color w:val="auto"/>
                <w:highlight w:val="none"/>
                <w:lang w:eastAsia="zh-CN"/>
              </w:rPr>
              <w:t>次新建电视塔项目是鼎城区电视台业务大楼建设项目</w:t>
            </w:r>
            <w:r>
              <w:rPr>
                <w:color w:val="auto"/>
                <w:szCs w:val="24"/>
                <w:highlight w:val="none"/>
              </w:rPr>
              <w:t>的一部分</w:t>
            </w:r>
            <w:r>
              <w:rPr>
                <w:color w:val="auto"/>
                <w:highlight w:val="none"/>
              </w:rPr>
              <w:t>，是为承担</w:t>
            </w:r>
            <w:r>
              <w:rPr>
                <w:rFonts w:hint="eastAsia"/>
                <w:color w:val="auto"/>
                <w:highlight w:val="none"/>
                <w:lang w:eastAsia="zh-CN"/>
              </w:rPr>
              <w:t>常德市</w:t>
            </w:r>
            <w:r>
              <w:rPr>
                <w:color w:val="auto"/>
                <w:highlight w:val="none"/>
              </w:rPr>
              <w:t>传输广播电视节目信号的枢纽设施，满足</w:t>
            </w:r>
            <w:r>
              <w:rPr>
                <w:rFonts w:hint="eastAsia"/>
                <w:color w:val="auto"/>
                <w:highlight w:val="none"/>
                <w:lang w:eastAsia="zh-CN"/>
              </w:rPr>
              <w:t>常德市</w:t>
            </w:r>
            <w:r>
              <w:rPr>
                <w:color w:val="auto"/>
                <w:highlight w:val="none"/>
              </w:rPr>
              <w:t>的发展要求，符合规划要求。本项目所在位置</w:t>
            </w:r>
            <w:r>
              <w:rPr>
                <w:rFonts w:hint="eastAsia"/>
                <w:color w:val="auto"/>
                <w:highlight w:val="none"/>
                <w:lang w:eastAsia="zh-CN"/>
              </w:rPr>
              <w:t>海拔高程</w:t>
            </w:r>
            <w:r>
              <w:rPr>
                <w:color w:val="auto"/>
                <w:highlight w:val="none"/>
              </w:rPr>
              <w:t>约</w:t>
            </w:r>
            <w:r>
              <w:rPr>
                <w:rFonts w:hint="eastAsia"/>
                <w:color w:val="auto"/>
                <w:highlight w:val="none"/>
                <w:lang w:val="en-US" w:eastAsia="zh-CN"/>
              </w:rPr>
              <w:t>32</w:t>
            </w:r>
            <w:r>
              <w:rPr>
                <w:color w:val="auto"/>
                <w:highlight w:val="none"/>
              </w:rPr>
              <w:t>m</w:t>
            </w:r>
            <w:r>
              <w:rPr>
                <w:rFonts w:hint="eastAsia"/>
                <w:color w:val="auto"/>
                <w:highlight w:val="none"/>
                <w:lang w:eastAsia="zh-CN"/>
              </w:rPr>
              <w:t>，塔高</w:t>
            </w:r>
            <w:r>
              <w:rPr>
                <w:rFonts w:hint="eastAsia"/>
                <w:color w:val="auto"/>
                <w:highlight w:val="none"/>
                <w:lang w:val="en-US" w:eastAsia="zh-CN"/>
              </w:rPr>
              <w:t>158m，</w:t>
            </w:r>
            <w:r>
              <w:rPr>
                <w:color w:val="auto"/>
                <w:highlight w:val="none"/>
              </w:rPr>
              <w:t>周围200m范围内没有比</w:t>
            </w:r>
            <w:r>
              <w:rPr>
                <w:rFonts w:hint="eastAsia"/>
                <w:color w:val="auto"/>
                <w:highlight w:val="none"/>
                <w:lang w:eastAsia="zh-CN"/>
              </w:rPr>
              <w:t>本项目</w:t>
            </w:r>
            <w:r>
              <w:rPr>
                <w:color w:val="auto"/>
                <w:highlight w:val="none"/>
              </w:rPr>
              <w:t>更高的</w:t>
            </w:r>
            <w:r>
              <w:rPr>
                <w:rFonts w:hint="eastAsia"/>
                <w:color w:val="auto"/>
                <w:highlight w:val="none"/>
                <w:lang w:eastAsia="zh-CN"/>
              </w:rPr>
              <w:t>建筑</w:t>
            </w:r>
            <w:r>
              <w:rPr>
                <w:color w:val="auto"/>
                <w:highlight w:val="none"/>
              </w:rPr>
              <w:t>，其中本项目天线最低挂高为</w:t>
            </w:r>
            <w:r>
              <w:rPr>
                <w:rFonts w:hint="eastAsia"/>
                <w:color w:val="auto"/>
                <w:highlight w:val="none"/>
                <w:lang w:val="en-US" w:eastAsia="zh-CN"/>
              </w:rPr>
              <w:t>150</w:t>
            </w:r>
            <w:r>
              <w:rPr>
                <w:color w:val="auto"/>
                <w:highlight w:val="none"/>
              </w:rPr>
              <w:t>m，因此，本项目建设相对位置较高，对在电视塔四周的居民区和办公区的影响较小，因此其既能够满足业务的条件，又能够促进</w:t>
            </w:r>
            <w:r>
              <w:rPr>
                <w:rFonts w:hint="eastAsia"/>
                <w:color w:val="auto"/>
                <w:highlight w:val="none"/>
                <w:lang w:eastAsia="zh-CN"/>
              </w:rPr>
              <w:t>常德市</w:t>
            </w:r>
            <w:r>
              <w:rPr>
                <w:color w:val="auto"/>
                <w:highlight w:val="none"/>
              </w:rPr>
              <w:t>经济发展和社会进步。因此，项目选址符合区域发展规划。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37" w:type="dxa"/>
          <w:trHeight w:val="10870" w:hRule="atLeast"/>
          <w:jc w:val="center"/>
        </w:trPr>
        <w:tc>
          <w:tcPr>
            <w:tcW w:w="8822" w:type="dxa"/>
            <w:gridSpan w:val="11"/>
          </w:tcPr>
          <w:p>
            <w:pPr>
              <w:spacing w:before="156" w:beforeLines="50" w:after="156" w:afterLines="50"/>
              <w:rPr>
                <w:b/>
                <w:color w:val="auto"/>
                <w:highlight w:val="none"/>
                <w:u w:val="none"/>
              </w:rPr>
            </w:pPr>
            <w:r>
              <w:rPr>
                <w:b/>
                <w:color w:val="auto"/>
                <w:highlight w:val="none"/>
                <w:u w:val="none"/>
              </w:rPr>
              <w:t>与本项目有关的原有污染情况及主要环境问题：</w:t>
            </w:r>
          </w:p>
          <w:p>
            <w:pPr>
              <w:keepLines/>
              <w:widowControl/>
              <w:adjustRightInd w:val="0"/>
              <w:snapToGrid w:val="0"/>
              <w:ind w:firstLine="482" w:firstLineChars="200"/>
              <w:rPr>
                <w:b/>
                <w:color w:val="auto"/>
                <w:highlight w:val="none"/>
                <w:u w:val="none"/>
              </w:rPr>
            </w:pPr>
            <w:r>
              <w:rPr>
                <w:b/>
                <w:color w:val="auto"/>
                <w:highlight w:val="none"/>
                <w:u w:val="none"/>
              </w:rPr>
              <w:t>（1）</w:t>
            </w:r>
            <w:r>
              <w:rPr>
                <w:b/>
                <w:bCs/>
                <w:color w:val="auto"/>
                <w:highlight w:val="none"/>
                <w:u w:val="none"/>
              </w:rPr>
              <w:t>原广播发射塔</w:t>
            </w:r>
            <w:r>
              <w:rPr>
                <w:b/>
                <w:color w:val="auto"/>
                <w:highlight w:val="none"/>
                <w:u w:val="none"/>
              </w:rPr>
              <w:t>概况</w:t>
            </w:r>
          </w:p>
          <w:p>
            <w:pPr>
              <w:keepNext w:val="0"/>
              <w:keepLines/>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color w:val="auto"/>
                <w:highlight w:val="none"/>
                <w:u w:val="none"/>
                <w:lang w:eastAsia="zh-CN"/>
              </w:rPr>
            </w:pPr>
            <w:r>
              <w:rPr>
                <w:bCs/>
                <w:color w:val="auto"/>
                <w:highlight w:val="none"/>
                <w:u w:val="none"/>
              </w:rPr>
              <w:t>原</w:t>
            </w:r>
            <w:r>
              <w:rPr>
                <w:rFonts w:hint="eastAsia"/>
                <w:bCs/>
                <w:color w:val="auto"/>
                <w:highlight w:val="none"/>
                <w:u w:val="none"/>
                <w:lang w:eastAsia="zh-CN"/>
              </w:rPr>
              <w:t>电视台位于常德市鼎城区临沅路</w:t>
            </w:r>
            <w:r>
              <w:rPr>
                <w:rFonts w:hint="eastAsia"/>
                <w:bCs/>
                <w:color w:val="auto"/>
                <w:highlight w:val="none"/>
                <w:u w:val="none"/>
                <w:lang w:val="en-US" w:eastAsia="zh-CN"/>
              </w:rPr>
              <w:t>31号，设置有广播发射塔1座，塔高121m，配置有1根广播发射天线，1台发射机，发射机型号为RVRTX3000，发射功率为3kW，发射频率为106.8MHz，播出节目为自办节目，天线挂高为112m，天线增益为</w:t>
            </w:r>
            <w:r>
              <w:rPr>
                <w:rFonts w:hint="eastAsia"/>
                <w:color w:val="auto"/>
                <w:highlight w:val="none"/>
                <w:u w:val="none"/>
                <w:lang w:val="en-US" w:eastAsia="zh-CN"/>
              </w:rPr>
              <w:t>10</w:t>
            </w:r>
            <w:r>
              <w:rPr>
                <w:color w:val="auto"/>
                <w:highlight w:val="none"/>
                <w:u w:val="none"/>
              </w:rPr>
              <w:t>dBi</w:t>
            </w:r>
            <w:r>
              <w:rPr>
                <w:rFonts w:hint="eastAsia"/>
                <w:color w:val="auto"/>
                <w:highlight w:val="none"/>
                <w:u w:val="none"/>
                <w:lang w:eastAsia="zh-CN"/>
              </w:rPr>
              <w:t>。</w:t>
            </w:r>
          </w:p>
          <w:p>
            <w:pPr>
              <w:keepNext w:val="0"/>
              <w:keepLines/>
              <w:pageBreakBefore w:val="0"/>
              <w:widowControl/>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b/>
                <w:color w:val="auto"/>
                <w:highlight w:val="none"/>
                <w:u w:val="none"/>
              </w:rPr>
            </w:pPr>
            <w:r>
              <w:rPr>
                <w:b/>
                <w:bCs/>
                <w:color w:val="auto"/>
                <w:highlight w:val="none"/>
                <w:u w:val="none"/>
              </w:rPr>
              <w:t>（2）原广播发射塔原有污染情况及主要环境问题</w:t>
            </w:r>
          </w:p>
          <w:p>
            <w:pPr>
              <w:keepNext w:val="0"/>
              <w:keepLines/>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bCs/>
                <w:color w:val="auto"/>
                <w:highlight w:val="none"/>
                <w:u w:val="none"/>
              </w:rPr>
            </w:pPr>
            <w:r>
              <w:rPr>
                <w:color w:val="auto"/>
                <w:highlight w:val="none"/>
                <w:u w:val="none"/>
              </w:rPr>
              <w:t>原广播发射塔上及周围</w:t>
            </w:r>
            <w:r>
              <w:rPr>
                <w:rFonts w:hint="eastAsia"/>
                <w:color w:val="auto"/>
                <w:highlight w:val="none"/>
                <w:u w:val="none"/>
                <w:lang w:eastAsia="zh-CN"/>
              </w:rPr>
              <w:t>只有本项目</w:t>
            </w:r>
            <w:r>
              <w:rPr>
                <w:color w:val="auto"/>
                <w:szCs w:val="21"/>
                <w:highlight w:val="none"/>
                <w:u w:val="none"/>
              </w:rPr>
              <w:t>广播电台</w:t>
            </w:r>
            <w:r>
              <w:rPr>
                <w:bCs/>
                <w:color w:val="auto"/>
                <w:highlight w:val="none"/>
                <w:u w:val="none"/>
              </w:rPr>
              <w:t>发射天线。其产生的污染因子主要为</w:t>
            </w:r>
            <w:r>
              <w:rPr>
                <w:color w:val="auto"/>
                <w:highlight w:val="none"/>
                <w:u w:val="none"/>
              </w:rPr>
              <w:t>电场强度（E）、磁场强度（H）和等效平面波功率密度（Seq）</w:t>
            </w:r>
            <w:r>
              <w:rPr>
                <w:bCs/>
                <w:color w:val="auto"/>
                <w:highlight w:val="none"/>
                <w:u w:val="none"/>
              </w:rPr>
              <w:t>。</w:t>
            </w:r>
          </w:p>
          <w:p>
            <w:pPr>
              <w:pStyle w:val="103"/>
              <w:keepLines/>
              <w:widowControl/>
              <w:numPr>
                <w:ilvl w:val="0"/>
                <w:numId w:val="0"/>
              </w:numPr>
              <w:adjustRightInd w:val="0"/>
              <w:snapToGrid w:val="0"/>
              <w:ind w:firstLine="480" w:firstLineChars="200"/>
              <w:rPr>
                <w:color w:val="auto"/>
                <w:highlight w:val="none"/>
                <w:u w:val="none"/>
              </w:rPr>
            </w:pPr>
            <w:r>
              <w:rPr>
                <w:rFonts w:hint="eastAsia"/>
                <w:color w:val="auto"/>
                <w:highlight w:val="none"/>
                <w:u w:val="none"/>
                <w:lang w:eastAsia="zh-CN"/>
              </w:rPr>
              <w:t>经过现场踏勘，现有工程废水、废气、固废均得到了合理处置；</w:t>
            </w:r>
            <w:r>
              <w:rPr>
                <w:color w:val="auto"/>
                <w:highlight w:val="none"/>
                <w:u w:val="none"/>
              </w:rPr>
              <w:t>此外，该广播发射塔运行至今，尚未出现环境方面的投诉情况。因此，本项目不存在原有的环境问题。</w:t>
            </w:r>
          </w:p>
          <w:p>
            <w:pPr>
              <w:keepLines/>
              <w:widowControl/>
              <w:adjustRightInd w:val="0"/>
              <w:snapToGrid w:val="0"/>
              <w:ind w:firstLine="482" w:firstLineChars="200"/>
              <w:rPr>
                <w:b/>
                <w:color w:val="auto"/>
                <w:highlight w:val="none"/>
                <w:u w:val="wave"/>
              </w:rPr>
            </w:pPr>
            <w:r>
              <w:rPr>
                <w:b/>
                <w:bCs/>
                <w:color w:val="auto"/>
                <w:highlight w:val="none"/>
                <w:u w:val="wave"/>
              </w:rPr>
              <w:t>（</w:t>
            </w:r>
            <w:r>
              <w:rPr>
                <w:rFonts w:hint="eastAsia"/>
                <w:b/>
                <w:bCs/>
                <w:color w:val="auto"/>
                <w:highlight w:val="none"/>
                <w:u w:val="wave"/>
                <w:lang w:val="en-US" w:eastAsia="zh-CN"/>
              </w:rPr>
              <w:t>3</w:t>
            </w:r>
            <w:r>
              <w:rPr>
                <w:b/>
                <w:bCs/>
                <w:color w:val="auto"/>
                <w:highlight w:val="none"/>
                <w:u w:val="wave"/>
              </w:rPr>
              <w:t>）“以新带老”</w:t>
            </w:r>
          </w:p>
          <w:p>
            <w:pPr>
              <w:adjustRightInd w:val="0"/>
              <w:snapToGrid w:val="0"/>
              <w:ind w:firstLine="480" w:firstLineChars="200"/>
              <w:rPr>
                <w:color w:val="auto"/>
                <w:szCs w:val="24"/>
                <w:highlight w:val="yellow"/>
                <w:u w:val="wave"/>
              </w:rPr>
            </w:pPr>
            <w:r>
              <w:rPr>
                <w:rFonts w:hint="eastAsia"/>
                <w:bCs/>
                <w:color w:val="auto"/>
                <w:highlight w:val="none"/>
                <w:u w:val="wave"/>
                <w:lang w:eastAsia="zh-CN"/>
              </w:rPr>
              <w:t>本次新建设施全部新建，新建选址与原址距离约为</w:t>
            </w:r>
            <w:r>
              <w:rPr>
                <w:rFonts w:hint="eastAsia"/>
                <w:bCs/>
                <w:color w:val="auto"/>
                <w:highlight w:val="none"/>
                <w:u w:val="wave"/>
                <w:lang w:val="en-US" w:eastAsia="zh-CN"/>
              </w:rPr>
              <w:t>4.1km，距离较远；目前原址已停止使用，</w:t>
            </w:r>
            <w:r>
              <w:rPr>
                <w:rFonts w:hint="eastAsia"/>
                <w:bCs/>
                <w:color w:val="auto"/>
                <w:highlight w:val="none"/>
                <w:u w:val="wave"/>
                <w:lang w:eastAsia="zh-CN"/>
              </w:rPr>
              <w:t>原有电视塔相关设施拆除后全部变卖，不存在以新带老措施。</w:t>
            </w:r>
          </w:p>
          <w:p>
            <w:pPr>
              <w:adjustRightInd w:val="0"/>
              <w:snapToGrid w:val="0"/>
              <w:rPr>
                <w:color w:val="auto"/>
                <w:szCs w:val="24"/>
                <w:highlight w:val="yellow"/>
                <w:u w:val="wave"/>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p>
            <w:pPr>
              <w:adjustRightInd w:val="0"/>
              <w:snapToGrid w:val="0"/>
              <w:rPr>
                <w:color w:val="auto"/>
                <w:szCs w:val="24"/>
                <w:highlight w:val="yellow"/>
              </w:rPr>
            </w:pPr>
          </w:p>
        </w:tc>
      </w:tr>
    </w:tbl>
    <w:p>
      <w:pPr>
        <w:rPr>
          <w:color w:val="auto"/>
          <w:sz w:val="10"/>
          <w:szCs w:val="10"/>
        </w:rPr>
      </w:pPr>
    </w:p>
    <w:tbl>
      <w:tblPr>
        <w:tblStyle w:val="35"/>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Borders>
              <w:top w:val="nil"/>
              <w:left w:val="nil"/>
              <w:right w:val="nil"/>
            </w:tcBorders>
          </w:tcPr>
          <w:p>
            <w:pPr>
              <w:rPr>
                <w:color w:val="auto"/>
                <w:szCs w:val="24"/>
              </w:rPr>
            </w:pPr>
            <w:r>
              <w:rPr>
                <w:b/>
                <w:bCs/>
                <w:color w:val="auto"/>
                <w:szCs w:val="24"/>
              </w:rPr>
              <w:t>自然环境社会环境简况                                                 表</w:t>
            </w:r>
            <w:r>
              <w:rPr>
                <w:rFonts w:hint="eastAsia"/>
                <w:b/>
                <w:bCs/>
                <w:color w:val="auto"/>
                <w:szCs w:val="24"/>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color w:val="auto"/>
                <w:sz w:val="24"/>
                <w:highlight w:val="none"/>
                <w:lang w:val="en-US" w:eastAsia="zh-CN"/>
              </w:rPr>
            </w:pPr>
            <w:r>
              <w:rPr>
                <w:rFonts w:hint="eastAsia"/>
                <w:b/>
                <w:bCs/>
                <w:color w:val="auto"/>
                <w:szCs w:val="24"/>
                <w:lang w:val="en-US" w:eastAsia="zh-CN"/>
              </w:rPr>
              <w:t>2</w:t>
            </w:r>
            <w:r>
              <w:rPr>
                <w:b/>
                <w:bCs/>
                <w:color w:val="auto"/>
                <w:szCs w:val="24"/>
              </w:rPr>
              <w:t>.1 自然环境</w:t>
            </w:r>
            <w:r>
              <w:rPr>
                <w:b/>
                <w:color w:val="auto"/>
              </w:rPr>
              <w:t>（地形、地貌、地质、气候、气象、水文、植被、生物多样性等）：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 xml:space="preserve"> 自然环境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color w:val="auto"/>
                <w:sz w:val="24"/>
                <w:highlight w:val="none"/>
                <w:shd w:val="clear" w:color="auto" w:fill="FFFFFF"/>
                <w:lang w:val="en-US" w:eastAsia="zh-CN"/>
              </w:rPr>
            </w:pPr>
            <w:r>
              <w:rPr>
                <w:rFonts w:hint="default" w:ascii="Times New Roman" w:hAnsi="Times New Roman" w:eastAsia="宋体" w:cs="Times New Roman"/>
                <w:color w:val="auto"/>
                <w:sz w:val="24"/>
                <w:highlight w:val="none"/>
                <w:shd w:val="clear" w:color="auto" w:fill="FFFFFF"/>
                <w:lang w:val="en-US" w:eastAsia="zh-CN"/>
              </w:rPr>
              <w:t xml:space="preserve">    </w:t>
            </w:r>
            <w:r>
              <w:rPr>
                <w:rFonts w:hint="eastAsia" w:ascii="Times New Roman" w:hAnsi="Times New Roman" w:eastAsia="宋体" w:cs="Times New Roman"/>
                <w:color w:val="auto"/>
                <w:sz w:val="24"/>
                <w:highlight w:val="none"/>
                <w:shd w:val="clear" w:color="auto" w:fill="FFFFFF"/>
                <w:lang w:val="en-US" w:eastAsia="zh-CN"/>
              </w:rPr>
              <w:t>湖南省常德市</w:t>
            </w:r>
            <w:r>
              <w:rPr>
                <w:rFonts w:hint="default" w:ascii="Times New Roman" w:hAnsi="Times New Roman" w:eastAsia="宋体" w:cs="Times New Roman"/>
                <w:color w:val="auto"/>
                <w:sz w:val="24"/>
                <w:highlight w:val="none"/>
                <w:shd w:val="clear" w:color="auto" w:fill="FFFFFF"/>
                <w:lang w:val="en-US" w:eastAsia="zh-CN"/>
              </w:rPr>
              <w:t>鼎城</w:t>
            </w:r>
            <w:r>
              <w:rPr>
                <w:rFonts w:hint="eastAsia" w:ascii="Times New Roman" w:hAnsi="Times New Roman" w:eastAsia="宋体" w:cs="Times New Roman"/>
                <w:color w:val="auto"/>
                <w:sz w:val="24"/>
                <w:highlight w:val="none"/>
                <w:shd w:val="clear" w:color="auto" w:fill="FFFFFF"/>
                <w:lang w:val="en-US" w:eastAsia="zh-CN"/>
              </w:rPr>
              <w:t>区</w:t>
            </w:r>
            <w:r>
              <w:rPr>
                <w:rFonts w:hint="default" w:ascii="Times New Roman" w:hAnsi="Times New Roman" w:eastAsia="宋体" w:cs="Times New Roman"/>
                <w:color w:val="auto"/>
                <w:sz w:val="24"/>
                <w:highlight w:val="none"/>
                <w:shd w:val="clear" w:color="auto" w:fill="FFFFFF"/>
                <w:lang w:val="en-US" w:eastAsia="zh-CN"/>
              </w:rPr>
              <w:t>地处湖南西北部，原名常德县，古称朗州，1988年县改区。总面积2340平方公里，其中耕地116.9万亩。有湖泊8万亩，山林107万亩</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有珍珠10万亩、油菜60万亩、油茶45万亩、楠竹17.01万亩。全区地势自西南向东北倾斜，由山地、丘陵、岗地过渡到广阔的滨湖平原。南有雪峰山余脉的插角、九龙、沧山、古城、盘古诸山延伸，重峦叠嶂。西北有武陵山余脉的太阳、白云等山脉绵亘，山崖峻峭。西、南、北群山起伏，冈峦盘环；东北湖河网结，水陆间错。中部沅水曲形切割，将区境分为南北两部。南部俗称</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前河</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前乡</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，枉、沧二水蜿蜒而下，形成若干冲岔与沿河平地。北部俗称</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后河</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后乡</w:t>
            </w:r>
            <w:r>
              <w:rPr>
                <w:rFonts w:hint="eastAsia" w:ascii="Times New Roman" w:hAnsi="Times New Roman" w:eastAsia="宋体" w:cs="Times New Roman"/>
                <w:color w:val="auto"/>
                <w:sz w:val="24"/>
                <w:highlight w:val="non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，澧水绕区东北边境向东流入洞庭湖，中有渐水、冲柳、马家吉诸河流淌其间，牛屎、白芷、土硝等湖点缀其内。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highlight w:val="yellow"/>
                <w:shd w:val="clear" w:color="auto" w:fill="FFFFFF"/>
                <w:lang w:eastAsia="zh-CN"/>
              </w:rPr>
            </w:pPr>
            <w:r>
              <w:rPr>
                <w:rFonts w:hint="eastAsia"/>
                <w:color w:val="auto"/>
                <w:szCs w:val="24"/>
                <w:highlight w:val="none"/>
                <w:u w:val="none"/>
                <w:lang w:eastAsia="zh-CN"/>
              </w:rPr>
              <w:t>常德市鼎城区广播电视台电视塔建设项目位于</w:t>
            </w:r>
            <w:r>
              <w:rPr>
                <w:rFonts w:hint="eastAsia"/>
                <w:bCs/>
                <w:color w:val="auto"/>
                <w:highlight w:val="none"/>
                <w:u w:val="none"/>
                <w:lang w:eastAsia="zh-CN"/>
              </w:rPr>
              <w:t>常德市鼎城区块阳明大道与兴业路交汇处。该区域对外交通便捷，工程地质及水文条件较好，基础设施配套完善，周围没有易燃易爆、噪声和散发有害气体、强电磁波干扰等污染源，符合本项目的建设选址要求。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1.2 气象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鼎城区</w:t>
            </w:r>
            <w:r>
              <w:rPr>
                <w:rFonts w:hint="default" w:ascii="Times New Roman" w:hAnsi="Times New Roman" w:eastAsia="宋体" w:cs="Times New Roman"/>
                <w:color w:val="auto"/>
                <w:sz w:val="24"/>
                <w:highlight w:val="none"/>
                <w:lang w:val="en-US" w:eastAsia="zh-CN"/>
              </w:rPr>
              <w:t>全境地处中亚热带向北亚热带过渡的季风湿润气候区内，以大陆性气候为主，兼有湿润的滨湖气候。具有冬冷夏热，四季分明；热量充足，雨水集中；春温多变，夏秋多旱；严寒期短，暑热期长的特征。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常德市年平均气温16.7℃，年降水量1200-1900毫米，无霜期272天，适宜水稻、棉花、油料等作物生长。由于受地形影响，该地气候呈现非地带规律。西部山区，东部比西部略低，石门东山峰农场年平均气温9.2℃，而石门等澧水河谷地带年平均气温16.8℃。中部丘陵区、太浮山与太阳山对峙形成向北敞开的簸箕形盆地，致使临澧、桃源一带冬季易受冷空气袭击。平原区安乡县年降水量在1500毫米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1.3 地貌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常德市西北部属武陵山系，多为中低山区；中部多见红岩丘陵区；其间也出地形地貌。常德地貌大体构成是“三分丘岗、两分半山、四分半平原和水面”。山地面积677.61 万亩，占常德市土地总面积的24.8%，平原面积978.98 万亩，占总面积的35.9%，水面220.76 万亩，占8.1%，丘陵岗地853 万亩，占总面积的31.2%。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现断块隆起山（如太阳山）和蚀余岛状弧形山（如太浮山）；东部为沅、澧水下游及洞庭湖平原区；西南部为雪峰山余脉，组成中山区。由此构成区内南、北高，中间低，两山夹一凹的基本地貌轮廓。常德市地貌的形成，自远古代武陵运动以来，已经受多次构造运动。远古代末，市境为一广阔的古海槽，受加里东运动的影响，武陵山区随江南古陆上升，海水退出。此时，常德、临澧、石门等县成为陆地。印支运动，使全区海水全部退出，基本上结束海相沉积的历史。燕山运动，奠定了区内地貌轮郭的基础骨架，大致和今日相仿。新构造运动对现在地形影响最大，使西部地区继续上升，导致侵蚀作用强烈，形成构造地貌。中部常、桃盆地上升微弱或稳定，引起强烈的堆积和微弱的侵蚀、剥蚀、形成流水地貌；东部地区间歇沉陷，湖积盛行，加上人为因素的影响形成湖积~人为地貌和生物地貌。常德市整个地势由西向东部倾斜，地貌类型呈中山，中低山或山原，低山~侵蚀剥蚀丘陵，岗地-流水堆积平原和湖积围是平原的顺序展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全区地貌按形态类型可分为平原、岗地、丘陵、山地四类。区境地势自西南向东北倾斜，由山地、丘陵、岗地过渡到广阔的滨湖平原。全区最高点为插角山(又名插角殿)，主峰插花岭海拔716.20米</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沅水两岸、澧水之西地势低平，约海拔30米</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地势高差686.20米，比降率1.50%。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2.1.4 水文地质</w:t>
            </w:r>
          </w:p>
          <w:p>
            <w:pPr>
              <w:spacing w:beforeLines="0" w:afterLines="0"/>
              <w:ind w:firstLine="482" w:firstLineChars="200"/>
              <w:jc w:val="left"/>
              <w:rPr>
                <w:rFonts w:hint="eastAsia" w:ascii="宋体" w:hAnsi="宋体" w:eastAsia="宋体"/>
                <w:b/>
                <w:bCs/>
                <w:color w:val="auto"/>
                <w:sz w:val="24"/>
                <w:lang w:eastAsia="zh-CN"/>
              </w:rPr>
            </w:pPr>
            <w:r>
              <w:rPr>
                <w:rFonts w:hint="eastAsia" w:ascii="宋体" w:hAnsi="宋体"/>
                <w:b/>
                <w:bCs/>
                <w:color w:val="auto"/>
                <w:sz w:val="24"/>
                <w:lang w:eastAsia="zh-CN"/>
              </w:rPr>
              <w:t>（</w:t>
            </w:r>
            <w:r>
              <w:rPr>
                <w:rFonts w:hint="eastAsia" w:ascii="宋体" w:hAnsi="宋体"/>
                <w:b/>
                <w:bCs/>
                <w:color w:val="auto"/>
                <w:sz w:val="24"/>
                <w:lang w:val="en-US" w:eastAsia="zh-CN"/>
              </w:rPr>
              <w:t>1</w:t>
            </w:r>
            <w:r>
              <w:rPr>
                <w:rFonts w:hint="eastAsia" w:ascii="宋体" w:hAnsi="宋体"/>
                <w:b/>
                <w:bCs/>
                <w:color w:val="auto"/>
                <w:sz w:val="24"/>
                <w:lang w:eastAsia="zh-CN"/>
              </w:rPr>
              <w:t>）水资源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常德市水资源比较丰富，多年平均的水资源总量153.37亿立方米，人平占有量为2556立方米。流经本市的沅水、澧水多年平均客水量600亿立方米。全市雨量充沛，水资源主要来自降水，降水时空分布不均，丰水期（4</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rPr>
              <w:t>10月）降水和径流约占全年的70%以上。境内有大小河流432条，总长6775千米。湖南四大水系中的沅、澧两水横贯境内，支流众多，还有松滋、虎渡、藕池河系流经境内。具有河网密布、水系紊乱、峰高量大、降雨不均、水旱夹击的特点。水能蕴藏量达200万千瓦，其中河长5千米以上集雨面积10平方千米以上的河流有371条。多年平均水能蕴藏量131.95万千瓦，占湖南省总量的8.55%。其中可开发利用的有65.15万千瓦，占全省可开发量的6%。地下水也很丰富。地下水分布面积达17568平方千米。据计算，地下水动储量为16.8-20.28亿立方米，静储量为20.8-25.56亿立方米</w:t>
            </w:r>
            <w:r>
              <w:rPr>
                <w:rFonts w:hint="eastAsia" w:ascii="Times New Roman" w:hAnsi="Times New Roman" w:cs="Times New Roman"/>
                <w:color w:val="auto"/>
                <w:sz w:val="24"/>
                <w:lang w:eastAsia="zh-CN"/>
              </w:rPr>
              <w:t>。</w:t>
            </w:r>
          </w:p>
          <w:p>
            <w:pPr>
              <w:keepNext w:val="0"/>
              <w:keepLines w:val="0"/>
              <w:pageBreakBefore w:val="0"/>
              <w:widowControl w:val="0"/>
              <w:numPr>
                <w:ilvl w:val="0"/>
                <w:numId w:val="2"/>
              </w:numPr>
              <w:kinsoku/>
              <w:wordWrap/>
              <w:overflowPunct/>
              <w:topLinePunct w:val="0"/>
              <w:autoSpaceDE/>
              <w:autoSpaceDN/>
              <w:bidi w:val="0"/>
              <w:spacing w:line="360" w:lineRule="auto"/>
              <w:ind w:left="0" w:leftChars="0" w:right="0" w:rightChars="0" w:firstLine="482" w:firstLineChars="200"/>
              <w:jc w:val="left"/>
              <w:textAlignment w:val="auto"/>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土地资源</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常德市的土地总面积为18202.1平方千米，占湖南省版图的8.6%。全市有耕地4300平方千米，占土地总面积的32.85%，三分之二以上为洞庭湖淤积平原，土壤肥沃，气候温润，是春撒一把种，秋收一仓粮的好地方。有可利用草场4306.7平方千米，可养殖水面666.7平方千米，林地面积4666.7平方千米，分别占土地总面积的23.66%、3.66%、25.64%，具有发展畜牧业、水产和林果业的先天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2.1.5 矿产资源</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eastAsia" w:ascii="宋体" w:hAnsi="宋体" w:eastAsia="宋体"/>
                <w:color w:val="auto"/>
                <w:sz w:val="24"/>
              </w:rPr>
            </w:pPr>
            <w:r>
              <w:rPr>
                <w:rFonts w:hint="eastAsia" w:ascii="宋体" w:hAnsi="宋体" w:eastAsia="宋体"/>
                <w:color w:val="auto"/>
                <w:sz w:val="24"/>
              </w:rPr>
              <w:t>常德市成矿地质条件优越，形成了丰富的矿产资源，素以“非金属矿之乡”著称。在大地构造位置上，跨越杨子地台，与华南褶皱带接壤部位，区内地层发育齐全。矿产资源的产出与分布，受大地构造部位的制约，北部杨子地台矿产资源以能源、非金属矿产为主，南部华南褶皱带以贵金属和有色金属为主。</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德市矿产资源比较丰富，矿种比较齐全，截止2007年，全市已发现矿产59种，占全省已发现矿种数141种的41.8%，已探明资源储量的矿种共计33种，包括能源矿产2种、黑色金属矿产2种、有色金属矿产3种、贵金属矿产2种、非金属矿产19种、水汽矿产3种。金刚石、砂矿、雄黄矿、石煤蕴藏量名列全国之冠；石膏矿、石英砂矿、硼润土蕴藏量居全省第一。列入湖南省矿产储量表的矿产就有22种，这些资源不仅数量多、规模大、而且矿石质量好，利用率高，在常德市的经济发展和社会发展中起了支撑作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2.1.6 生物资源</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截至2016年，常德有陆栖脊椎野生动物379种，其中哺乳类56种，鸟类285种，爬行类23种，两栖类15种，属国家一级保护的有华南虎、云豹、金钱豹、黑麂等12种，二级保护的66种；有维管束植物2062种，其中国家一级保护的有银杏、红豆杉、伯乐树、珙桐等6种，二级保护的有21种，列入国际公约的49种。</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常德既有武陵、雪峰山系丰富多样的森林植物，又有洞庭湖区的多种栽培植物和水生植物。截至2016年，全市现已查明的高等植物有2703种，约占全省已知高等植物4324种的62.5%。其中裸子植物有69种，隶属8科25属，被子植物2248种，隶属168科788属，蕨类植物386种，隶属43科101属。列入国家重点保护的珍贵稀有植物有39种。</w:t>
            </w:r>
          </w:p>
          <w:p>
            <w:pPr>
              <w:rPr>
                <w:color w:val="auto"/>
              </w:rPr>
            </w:pPr>
          </w:p>
        </w:tc>
      </w:tr>
    </w:tbl>
    <w:p>
      <w:pPr>
        <w:adjustRightInd w:val="0"/>
        <w:snapToGrid w:val="0"/>
        <w:spacing w:line="240" w:lineRule="auto"/>
        <w:rPr>
          <w:color w:val="auto"/>
          <w:sz w:val="10"/>
          <w:szCs w:val="10"/>
        </w:rPr>
      </w:pPr>
    </w:p>
    <w:p>
      <w:pPr>
        <w:adjustRightInd w:val="0"/>
        <w:snapToGrid w:val="0"/>
        <w:spacing w:line="240" w:lineRule="auto"/>
        <w:rPr>
          <w:color w:val="auto"/>
          <w:sz w:val="10"/>
          <w:szCs w:val="10"/>
        </w:rPr>
      </w:pPr>
    </w:p>
    <w:p>
      <w:pPr>
        <w:adjustRightInd w:val="0"/>
        <w:snapToGrid w:val="0"/>
        <w:spacing w:line="240" w:lineRule="auto"/>
        <w:rPr>
          <w:color w:val="auto"/>
          <w:sz w:val="10"/>
          <w:szCs w:val="10"/>
        </w:rPr>
      </w:pPr>
    </w:p>
    <w:tbl>
      <w:tblPr>
        <w:tblStyle w:val="35"/>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Borders>
              <w:top w:val="nil"/>
              <w:left w:val="nil"/>
              <w:right w:val="nil"/>
            </w:tcBorders>
          </w:tcPr>
          <w:p>
            <w:pPr>
              <w:rPr>
                <w:b/>
                <w:color w:val="auto"/>
                <w:szCs w:val="24"/>
                <w:highlight w:val="yellow"/>
              </w:rPr>
            </w:pPr>
            <w:r>
              <w:rPr>
                <w:b/>
                <w:color w:val="auto"/>
                <w:szCs w:val="24"/>
                <w:highlight w:val="none"/>
              </w:rPr>
              <w:t>环境质量现状                                                         表</w:t>
            </w:r>
            <w:r>
              <w:rPr>
                <w:rFonts w:hint="eastAsia"/>
                <w:b/>
                <w:color w:val="auto"/>
                <w:szCs w:val="24"/>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Pr>
          <w:p>
            <w:pPr>
              <w:pStyle w:val="13"/>
              <w:spacing w:beforeLines="0" w:afterLines="0" w:line="360" w:lineRule="auto"/>
              <w:rPr>
                <w:color w:val="auto"/>
                <w:highlight w:val="none"/>
              </w:rPr>
            </w:pPr>
            <w:r>
              <w:rPr>
                <w:color w:val="auto"/>
                <w:highlight w:val="none"/>
              </w:rPr>
              <w:t>建设项目所在地区域环境质量现状及主要环境问题：</w:t>
            </w:r>
          </w:p>
          <w:p>
            <w:pPr>
              <w:adjustRightInd w:val="0"/>
              <w:snapToGrid w:val="0"/>
              <w:ind w:firstLine="480" w:firstLineChars="200"/>
              <w:rPr>
                <w:color w:val="auto"/>
                <w:szCs w:val="18"/>
                <w:highlight w:val="none"/>
                <w:u w:val="none"/>
              </w:rPr>
            </w:pPr>
            <w:r>
              <w:rPr>
                <w:rFonts w:hint="eastAsia"/>
                <w:color w:val="auto"/>
                <w:szCs w:val="24"/>
                <w:highlight w:val="none"/>
                <w:lang w:eastAsia="zh-CN"/>
              </w:rPr>
              <w:t>为了解项目所在区域</w:t>
            </w:r>
            <w:r>
              <w:rPr>
                <w:color w:val="auto"/>
                <w:highlight w:val="none"/>
              </w:rPr>
              <w:t>声环境和电磁环境质量现状，</w:t>
            </w:r>
            <w:r>
              <w:rPr>
                <w:rFonts w:hint="eastAsia"/>
                <w:color w:val="auto"/>
                <w:highlight w:val="none"/>
                <w:lang w:eastAsia="zh-CN"/>
              </w:rPr>
              <w:t>长沙市鹏悦环保工程有限公司</w:t>
            </w:r>
            <w:r>
              <w:rPr>
                <w:color w:val="auto"/>
                <w:szCs w:val="18"/>
                <w:highlight w:val="none"/>
              </w:rPr>
              <w:t>于</w:t>
            </w:r>
            <w:r>
              <w:rPr>
                <w:color w:val="auto"/>
                <w:highlight w:val="none"/>
              </w:rPr>
              <w:t>201</w:t>
            </w:r>
            <w:r>
              <w:rPr>
                <w:rFonts w:hint="eastAsia"/>
                <w:color w:val="auto"/>
                <w:highlight w:val="none"/>
                <w:lang w:val="en-US" w:eastAsia="zh-CN"/>
              </w:rPr>
              <w:t>7</w:t>
            </w:r>
            <w:r>
              <w:rPr>
                <w:color w:val="auto"/>
                <w:highlight w:val="none"/>
              </w:rPr>
              <w:t>年</w:t>
            </w:r>
            <w:r>
              <w:rPr>
                <w:rFonts w:hint="eastAsia"/>
                <w:color w:val="auto"/>
                <w:highlight w:val="none"/>
                <w:lang w:val="en-US" w:eastAsia="zh-CN"/>
              </w:rPr>
              <w:t>11</w:t>
            </w:r>
            <w:r>
              <w:rPr>
                <w:color w:val="auto"/>
                <w:highlight w:val="none"/>
              </w:rPr>
              <w:t>月</w:t>
            </w:r>
            <w:r>
              <w:rPr>
                <w:rFonts w:hint="eastAsia"/>
                <w:color w:val="auto"/>
                <w:highlight w:val="none"/>
                <w:lang w:val="en-US" w:eastAsia="zh-CN"/>
              </w:rPr>
              <w:t>29</w:t>
            </w:r>
            <w:r>
              <w:rPr>
                <w:color w:val="auto"/>
                <w:highlight w:val="none"/>
              </w:rPr>
              <w:t>日-</w:t>
            </w:r>
            <w:r>
              <w:rPr>
                <w:rFonts w:hint="eastAsia"/>
                <w:color w:val="auto"/>
                <w:highlight w:val="none"/>
                <w:lang w:val="en-US" w:eastAsia="zh-CN"/>
              </w:rPr>
              <w:t>30</w:t>
            </w:r>
            <w:r>
              <w:rPr>
                <w:color w:val="auto"/>
                <w:highlight w:val="none"/>
              </w:rPr>
              <w:t>日</w:t>
            </w:r>
            <w:r>
              <w:rPr>
                <w:color w:val="auto"/>
                <w:szCs w:val="18"/>
                <w:highlight w:val="none"/>
              </w:rPr>
              <w:t>对本项目拟建地周围环境的电场强度</w:t>
            </w:r>
            <w:r>
              <w:rPr>
                <w:rFonts w:hint="eastAsia"/>
                <w:color w:val="auto"/>
                <w:szCs w:val="18"/>
                <w:highlight w:val="none"/>
                <w:lang w:eastAsia="zh-CN"/>
              </w:rPr>
              <w:t>、等效平面波功率密度、磁场强度</w:t>
            </w:r>
            <w:r>
              <w:rPr>
                <w:color w:val="auto"/>
                <w:szCs w:val="18"/>
                <w:highlight w:val="none"/>
              </w:rPr>
              <w:t>及环境噪声进行现状监测（见</w:t>
            </w:r>
            <w:r>
              <w:rPr>
                <w:color w:val="auto"/>
                <w:szCs w:val="18"/>
                <w:highlight w:val="none"/>
                <w:u w:val="none"/>
              </w:rPr>
              <w:t>附件</w:t>
            </w:r>
            <w:r>
              <w:rPr>
                <w:rFonts w:hint="eastAsia"/>
                <w:color w:val="auto"/>
                <w:szCs w:val="18"/>
                <w:highlight w:val="none"/>
                <w:u w:val="none"/>
                <w:lang w:eastAsia="zh-CN"/>
              </w:rPr>
              <w:t>二</w:t>
            </w:r>
            <w:r>
              <w:rPr>
                <w:color w:val="auto"/>
                <w:szCs w:val="18"/>
                <w:highlight w:val="none"/>
                <w:u w:val="none"/>
              </w:rPr>
              <w:t>）。</w:t>
            </w:r>
          </w:p>
          <w:p>
            <w:pPr>
              <w:adjustRightInd w:val="0"/>
              <w:snapToGrid w:val="0"/>
              <w:rPr>
                <w:b/>
                <w:bCs/>
                <w:color w:val="auto"/>
                <w:highlight w:val="none"/>
                <w:u w:val="none"/>
              </w:rPr>
            </w:pPr>
            <w:r>
              <w:rPr>
                <w:rFonts w:hint="eastAsia"/>
                <w:b/>
                <w:bCs/>
                <w:color w:val="auto"/>
                <w:highlight w:val="none"/>
                <w:u w:val="none"/>
                <w:lang w:val="en-US" w:eastAsia="zh-CN"/>
              </w:rPr>
              <w:t>3</w:t>
            </w:r>
            <w:r>
              <w:rPr>
                <w:b/>
                <w:bCs/>
                <w:color w:val="auto"/>
                <w:highlight w:val="none"/>
                <w:u w:val="none"/>
              </w:rPr>
              <w:t>.1 电磁环境质量</w:t>
            </w:r>
            <w:r>
              <w:rPr>
                <w:b/>
                <w:bCs/>
                <w:color w:val="auto"/>
                <w:szCs w:val="24"/>
                <w:highlight w:val="none"/>
                <w:u w:val="none"/>
              </w:rPr>
              <w:t>现状</w:t>
            </w:r>
          </w:p>
          <w:p>
            <w:pPr>
              <w:snapToGrid w:val="0"/>
              <w:ind w:firstLine="480" w:firstLineChars="200"/>
              <w:rPr>
                <w:bCs/>
                <w:color w:val="auto"/>
                <w:highlight w:val="none"/>
                <w:u w:val="none"/>
              </w:rPr>
            </w:pPr>
            <w:r>
              <w:rPr>
                <w:bCs/>
                <w:color w:val="auto"/>
                <w:highlight w:val="none"/>
                <w:u w:val="none"/>
              </w:rPr>
              <w:t>（1）监测</w:t>
            </w:r>
            <w:r>
              <w:rPr>
                <w:rFonts w:hint="eastAsia"/>
                <w:bCs/>
                <w:color w:val="auto"/>
                <w:highlight w:val="none"/>
                <w:u w:val="none"/>
                <w:lang w:eastAsia="zh-CN"/>
              </w:rPr>
              <w:t>情况</w:t>
            </w:r>
          </w:p>
          <w:p>
            <w:pPr>
              <w:adjustRightInd w:val="0"/>
              <w:snapToGrid w:val="0"/>
              <w:ind w:firstLine="480" w:firstLineChars="200"/>
              <w:rPr>
                <w:color w:val="auto"/>
                <w:highlight w:val="none"/>
                <w:u w:val="none"/>
              </w:rPr>
            </w:pPr>
            <w:r>
              <w:rPr>
                <w:color w:val="auto"/>
                <w:highlight w:val="none"/>
                <w:u w:val="none"/>
              </w:rPr>
              <w:t>本次选取拟建站址及距离站址较近、楼层较高的敏感点作为监测点，</w:t>
            </w:r>
            <w:r>
              <w:rPr>
                <w:rFonts w:hint="eastAsia"/>
                <w:color w:val="auto"/>
                <w:highlight w:val="none"/>
                <w:u w:val="none"/>
                <w:lang w:eastAsia="zh-CN"/>
              </w:rPr>
              <w:t>监测仪器情况见表</w:t>
            </w:r>
            <w:r>
              <w:rPr>
                <w:rFonts w:hint="eastAsia"/>
                <w:color w:val="auto"/>
                <w:highlight w:val="none"/>
                <w:u w:val="none"/>
                <w:lang w:val="en-US" w:eastAsia="zh-CN"/>
              </w:rPr>
              <w:t>3-1，其中场强仪的频率范围为10M~6G，检测布点图详见下图，检测</w:t>
            </w:r>
            <w:r>
              <w:rPr>
                <w:color w:val="auto"/>
                <w:highlight w:val="none"/>
                <w:u w:val="none"/>
              </w:rPr>
              <w:t>点位描述见表</w:t>
            </w:r>
            <w:r>
              <w:rPr>
                <w:rFonts w:hint="eastAsia"/>
                <w:color w:val="auto"/>
                <w:highlight w:val="none"/>
                <w:u w:val="none"/>
                <w:lang w:val="en-US" w:eastAsia="zh-CN"/>
              </w:rPr>
              <w:t>3</w:t>
            </w:r>
            <w:r>
              <w:rPr>
                <w:color w:val="auto"/>
                <w:highlight w:val="none"/>
                <w:u w:val="none"/>
              </w:rPr>
              <w:t>-</w:t>
            </w:r>
            <w:r>
              <w:rPr>
                <w:rFonts w:hint="eastAsia"/>
                <w:color w:val="auto"/>
                <w:highlight w:val="none"/>
                <w:u w:val="none"/>
                <w:lang w:val="en-US" w:eastAsia="zh-CN"/>
              </w:rPr>
              <w:t>2</w:t>
            </w:r>
            <w:r>
              <w:rPr>
                <w:color w:val="auto"/>
                <w:highlight w:val="none"/>
                <w:u w:val="none"/>
              </w:rPr>
              <w:t>，监测报告</w:t>
            </w:r>
            <w:r>
              <w:rPr>
                <w:rFonts w:hint="eastAsia"/>
                <w:color w:val="auto"/>
                <w:highlight w:val="none"/>
                <w:u w:val="none"/>
                <w:lang w:eastAsia="zh-CN"/>
              </w:rPr>
              <w:t>详见</w:t>
            </w:r>
            <w:r>
              <w:rPr>
                <w:color w:val="auto"/>
                <w:highlight w:val="none"/>
                <w:u w:val="none"/>
              </w:rPr>
              <w:t>（</w:t>
            </w:r>
            <w:r>
              <w:rPr>
                <w:rFonts w:hint="eastAsia"/>
                <w:color w:val="auto"/>
                <w:highlight w:val="none"/>
                <w:u w:val="none"/>
                <w:lang w:eastAsia="zh-CN"/>
              </w:rPr>
              <w:t>鹏辐</w:t>
            </w:r>
            <w:r>
              <w:rPr>
                <w:color w:val="auto"/>
                <w:highlight w:val="none"/>
                <w:u w:val="none"/>
              </w:rPr>
              <w:t>（</w:t>
            </w:r>
            <w:r>
              <w:rPr>
                <w:rFonts w:hint="eastAsia"/>
                <w:color w:val="auto"/>
                <w:highlight w:val="none"/>
                <w:u w:val="none"/>
                <w:lang w:eastAsia="zh-CN"/>
              </w:rPr>
              <w:t>检</w:t>
            </w:r>
            <w:r>
              <w:rPr>
                <w:color w:val="auto"/>
                <w:highlight w:val="none"/>
                <w:u w:val="none"/>
              </w:rPr>
              <w:t>）</w:t>
            </w:r>
            <w:r>
              <w:rPr>
                <w:rFonts w:hint="eastAsia"/>
                <w:color w:val="auto"/>
                <w:highlight w:val="none"/>
                <w:u w:val="none"/>
                <w:lang w:eastAsia="zh-CN"/>
              </w:rPr>
              <w:t>【</w:t>
            </w:r>
            <w:r>
              <w:rPr>
                <w:rFonts w:hint="eastAsia"/>
                <w:color w:val="auto"/>
                <w:highlight w:val="none"/>
                <w:u w:val="none"/>
                <w:lang w:val="en-US" w:eastAsia="zh-CN"/>
              </w:rPr>
              <w:t>2017</w:t>
            </w:r>
            <w:r>
              <w:rPr>
                <w:rFonts w:hint="eastAsia"/>
                <w:color w:val="auto"/>
                <w:highlight w:val="none"/>
                <w:u w:val="none"/>
                <w:lang w:eastAsia="zh-CN"/>
              </w:rPr>
              <w:t>】</w:t>
            </w:r>
            <w:r>
              <w:rPr>
                <w:rFonts w:hint="eastAsia"/>
                <w:color w:val="auto"/>
                <w:highlight w:val="none"/>
                <w:u w:val="none"/>
                <w:lang w:val="en-US" w:eastAsia="zh-CN"/>
              </w:rPr>
              <w:t>194</w:t>
            </w:r>
            <w:r>
              <w:rPr>
                <w:color w:val="auto"/>
                <w:highlight w:val="none"/>
                <w:u w:val="none"/>
              </w:rPr>
              <w:t>号）所示。测量结果统计见表</w:t>
            </w:r>
            <w:r>
              <w:rPr>
                <w:rFonts w:hint="eastAsia"/>
                <w:color w:val="auto"/>
                <w:highlight w:val="none"/>
                <w:u w:val="none"/>
                <w:lang w:val="en-US" w:eastAsia="zh-CN"/>
              </w:rPr>
              <w:t>3</w:t>
            </w:r>
            <w:r>
              <w:rPr>
                <w:color w:val="auto"/>
                <w:highlight w:val="none"/>
                <w:u w:val="none"/>
              </w:rPr>
              <w:t>-</w:t>
            </w:r>
            <w:r>
              <w:rPr>
                <w:rFonts w:hint="eastAsia"/>
                <w:color w:val="auto"/>
                <w:highlight w:val="none"/>
                <w:u w:val="none"/>
                <w:lang w:val="en-US" w:eastAsia="zh-CN"/>
              </w:rPr>
              <w:t>3</w:t>
            </w:r>
            <w:r>
              <w:rPr>
                <w:color w:val="auto"/>
                <w:highlight w:val="none"/>
                <w:u w:val="none"/>
              </w:rPr>
              <w:t>。</w:t>
            </w:r>
          </w:p>
          <w:p>
            <w:pPr>
              <w:adjustRightInd w:val="0"/>
              <w:snapToGrid w:val="0"/>
              <w:jc w:val="center"/>
              <w:rPr>
                <w:b/>
                <w:color w:val="auto"/>
                <w:szCs w:val="21"/>
                <w:highlight w:val="none"/>
                <w:u w:val="none"/>
              </w:rPr>
            </w:pPr>
            <w:r>
              <w:rPr>
                <w:b/>
                <w:color w:val="auto"/>
                <w:szCs w:val="21"/>
                <w:highlight w:val="none"/>
                <w:u w:val="none"/>
              </w:rPr>
              <w:t>表</w:t>
            </w:r>
            <w:r>
              <w:rPr>
                <w:rFonts w:hint="eastAsia"/>
                <w:b/>
                <w:color w:val="auto"/>
                <w:szCs w:val="21"/>
                <w:highlight w:val="none"/>
                <w:u w:val="none"/>
                <w:lang w:val="en-US" w:eastAsia="zh-CN"/>
              </w:rPr>
              <w:t>3</w:t>
            </w:r>
            <w:r>
              <w:rPr>
                <w:b/>
                <w:color w:val="auto"/>
                <w:szCs w:val="21"/>
                <w:highlight w:val="none"/>
                <w:u w:val="none"/>
              </w:rPr>
              <w:t xml:space="preserve">-1   </w:t>
            </w:r>
            <w:r>
              <w:rPr>
                <w:rFonts w:hint="eastAsia"/>
                <w:b/>
                <w:color w:val="auto"/>
                <w:szCs w:val="21"/>
                <w:highlight w:val="none"/>
                <w:u w:val="none"/>
                <w:lang w:eastAsia="zh-CN"/>
              </w:rPr>
              <w:t>检测仪器情况一览表</w:t>
            </w:r>
          </w:p>
          <w:tbl>
            <w:tblPr>
              <w:tblStyle w:val="35"/>
              <w:tblW w:w="8532"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309"/>
              <w:gridCol w:w="1677"/>
              <w:gridCol w:w="2497"/>
              <w:gridCol w:w="1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1549"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lang w:eastAsia="zh-CN"/>
                    </w:rPr>
                  </w:pPr>
                  <w:r>
                    <w:rPr>
                      <w:rFonts w:hint="default" w:ascii="Times New Roman" w:hAnsi="Times New Roman" w:cs="Times New Roman"/>
                      <w:sz w:val="21"/>
                      <w:szCs w:val="21"/>
                      <w:lang w:val="zh-CN"/>
                    </w:rPr>
                    <w:t>仪器名称</w:t>
                  </w:r>
                </w:p>
              </w:tc>
              <w:tc>
                <w:tcPr>
                  <w:tcW w:w="1309"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lang w:eastAsia="zh-CN"/>
                    </w:rPr>
                  </w:pPr>
                  <w:r>
                    <w:rPr>
                      <w:rFonts w:hint="default" w:ascii="Times New Roman" w:hAnsi="Times New Roman" w:cs="Times New Roman"/>
                      <w:sz w:val="21"/>
                      <w:szCs w:val="21"/>
                      <w:lang w:val="zh-CN"/>
                    </w:rPr>
                    <w:t>仪器型号</w:t>
                  </w:r>
                </w:p>
              </w:tc>
              <w:tc>
                <w:tcPr>
                  <w:tcW w:w="1677"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lang w:eastAsia="zh-CN"/>
                    </w:rPr>
                  </w:pPr>
                  <w:r>
                    <w:rPr>
                      <w:rFonts w:hint="default" w:ascii="Times New Roman" w:hAnsi="Times New Roman" w:cs="Times New Roman"/>
                      <w:sz w:val="21"/>
                      <w:szCs w:val="21"/>
                      <w:lang w:val="zh-CN"/>
                    </w:rPr>
                    <w:t>仪器编号</w:t>
                  </w:r>
                </w:p>
              </w:tc>
              <w:tc>
                <w:tcPr>
                  <w:tcW w:w="2497"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lang w:eastAsia="zh-CN"/>
                    </w:rPr>
                  </w:pPr>
                  <w:r>
                    <w:rPr>
                      <w:rFonts w:hint="default" w:ascii="Times New Roman" w:hAnsi="Times New Roman" w:cs="Times New Roman"/>
                      <w:sz w:val="21"/>
                      <w:szCs w:val="21"/>
                      <w:lang w:val="zh-CN"/>
                    </w:rPr>
                    <w:t>计量检定证书编号</w:t>
                  </w:r>
                </w:p>
              </w:tc>
              <w:tc>
                <w:tcPr>
                  <w:tcW w:w="1500" w:type="dxa"/>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lang w:eastAsia="zh-CN"/>
                    </w:rPr>
                  </w:pPr>
                  <w:r>
                    <w:rPr>
                      <w:rFonts w:hint="default" w:ascii="Times New Roman" w:hAnsi="Times New Roman" w:cs="Times New Roman"/>
                      <w:sz w:val="21"/>
                      <w:szCs w:val="21"/>
                      <w:lang w:val="zh-CN"/>
                    </w:rPr>
                    <w:t>有效期至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549"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highlight w:val="none"/>
                      <w:lang w:eastAsia="zh-CN"/>
                    </w:rPr>
                    <w:t>场强仪</w:t>
                  </w:r>
                </w:p>
              </w:tc>
              <w:tc>
                <w:tcPr>
                  <w:tcW w:w="1309" w:type="dxa"/>
                  <w:tcBorders>
                    <w:tl2br w:val="nil"/>
                    <w:tr2bl w:val="nil"/>
                  </w:tcBorders>
                  <w:vAlign w:val="center"/>
                </w:tcPr>
                <w:p>
                  <w:pPr>
                    <w:pStyle w:val="48"/>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Cs/>
                      <w:color w:val="auto"/>
                      <w:sz w:val="21"/>
                      <w:szCs w:val="21"/>
                      <w:highlight w:val="yellow"/>
                      <w:lang w:val="en-US" w:eastAsia="zh-CN"/>
                    </w:rPr>
                  </w:pPr>
                  <w:r>
                    <w:rPr>
                      <w:rFonts w:hint="eastAsia" w:ascii="Times New Roman" w:hAnsi="Times New Roman" w:cs="Times New Roman"/>
                      <w:sz w:val="21"/>
                      <w:szCs w:val="21"/>
                      <w:highlight w:val="none"/>
                      <w:lang w:val="en-US" w:eastAsia="zh-CN"/>
                    </w:rPr>
                    <w:t>NBM-550</w:t>
                  </w:r>
                </w:p>
              </w:tc>
              <w:tc>
                <w:tcPr>
                  <w:tcW w:w="167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highlight w:val="none"/>
                      <w:lang w:val="en-US" w:eastAsia="zh-CN"/>
                    </w:rPr>
                    <w:t>H-0181/H-0420</w:t>
                  </w:r>
                </w:p>
              </w:tc>
              <w:tc>
                <w:tcPr>
                  <w:tcW w:w="249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highlight w:val="none"/>
                      <w:lang w:val="en-US" w:eastAsia="zh-CN"/>
                    </w:rPr>
                    <w:t>2017F33-10-1180977001</w:t>
                  </w:r>
                </w:p>
              </w:tc>
              <w:tc>
                <w:tcPr>
                  <w:tcW w:w="1500"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default" w:ascii="Times New Roman" w:hAnsi="Times New Roman" w:cs="Times New Roman"/>
                      <w:sz w:val="21"/>
                      <w:szCs w:val="21"/>
                      <w:highlight w:val="none"/>
                    </w:rPr>
                    <w:t>201</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549"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lang w:eastAsia="zh-CN"/>
                    </w:rPr>
                    <w:t>多功能</w:t>
                  </w:r>
                  <w:r>
                    <w:rPr>
                      <w:rFonts w:hint="default" w:ascii="Times New Roman" w:hAnsi="Times New Roman" w:cs="Times New Roman"/>
                      <w:sz w:val="21"/>
                      <w:szCs w:val="21"/>
                    </w:rPr>
                    <w:t>声级计</w:t>
                  </w:r>
                </w:p>
              </w:tc>
              <w:tc>
                <w:tcPr>
                  <w:tcW w:w="1309" w:type="dxa"/>
                  <w:tcBorders>
                    <w:tl2br w:val="nil"/>
                    <w:tr2bl w:val="nil"/>
                  </w:tcBorders>
                  <w:vAlign w:val="center"/>
                </w:tcPr>
                <w:p>
                  <w:pPr>
                    <w:pStyle w:val="48"/>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Cs/>
                      <w:color w:val="auto"/>
                      <w:sz w:val="21"/>
                      <w:szCs w:val="21"/>
                      <w:highlight w:val="yellow"/>
                    </w:rPr>
                  </w:pPr>
                  <w:r>
                    <w:rPr>
                      <w:rFonts w:hint="default" w:ascii="Times New Roman" w:hAnsi="Times New Roman" w:cs="Times New Roman"/>
                      <w:sz w:val="21"/>
                      <w:szCs w:val="21"/>
                    </w:rPr>
                    <w:t>AWA568</w:t>
                  </w:r>
                  <w:r>
                    <w:rPr>
                      <w:rFonts w:hint="eastAsia" w:ascii="Times New Roman" w:hAnsi="Times New Roman" w:cs="Times New Roman"/>
                      <w:sz w:val="21"/>
                      <w:szCs w:val="21"/>
                      <w:lang w:val="en-US" w:eastAsia="zh-CN"/>
                    </w:rPr>
                    <w:t>8</w:t>
                  </w:r>
                </w:p>
              </w:tc>
              <w:tc>
                <w:tcPr>
                  <w:tcW w:w="167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lang w:val="en-US" w:eastAsia="zh-CN"/>
                    </w:rPr>
                    <w:t>00308394</w:t>
                  </w:r>
                </w:p>
              </w:tc>
              <w:tc>
                <w:tcPr>
                  <w:tcW w:w="249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lang w:eastAsia="zh-CN"/>
                    </w:rPr>
                    <w:t>校准字第</w:t>
                  </w:r>
                  <w:r>
                    <w:rPr>
                      <w:rFonts w:hint="eastAsia" w:ascii="Times New Roman" w:hAnsi="Times New Roman" w:cs="Times New Roman"/>
                      <w:sz w:val="21"/>
                      <w:szCs w:val="21"/>
                      <w:lang w:val="en-US" w:eastAsia="zh-CN"/>
                    </w:rPr>
                    <w:t>201703011633</w:t>
                  </w:r>
                </w:p>
              </w:tc>
              <w:tc>
                <w:tcPr>
                  <w:tcW w:w="1500"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eastAsia" w:ascii="Times New Roman" w:hAnsi="Times New Roman" w:cs="Times New Roman"/>
                      <w:sz w:val="21"/>
                      <w:szCs w:val="21"/>
                      <w:lang w:val="en-US" w:eastAsia="zh-CN"/>
                    </w:rPr>
                    <w:t>2018.3.21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549"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sz w:val="21"/>
                      <w:szCs w:val="21"/>
                    </w:rPr>
                    <w:t>声校准器</w:t>
                  </w:r>
                </w:p>
              </w:tc>
              <w:tc>
                <w:tcPr>
                  <w:tcW w:w="1309" w:type="dxa"/>
                  <w:tcBorders>
                    <w:tl2br w:val="nil"/>
                    <w:tr2bl w:val="nil"/>
                  </w:tcBorders>
                  <w:vAlign w:val="center"/>
                </w:tcPr>
                <w:p>
                  <w:pPr>
                    <w:pStyle w:val="48"/>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Cs/>
                      <w:color w:val="auto"/>
                      <w:sz w:val="21"/>
                      <w:szCs w:val="21"/>
                      <w:highlight w:val="yellow"/>
                    </w:rPr>
                  </w:pPr>
                  <w:r>
                    <w:rPr>
                      <w:rFonts w:hint="default" w:ascii="Times New Roman" w:hAnsi="Times New Roman" w:cs="Times New Roman"/>
                      <w:sz w:val="21"/>
                      <w:szCs w:val="21"/>
                    </w:rPr>
                    <w:t xml:space="preserve">AWA6221B </w:t>
                  </w:r>
                </w:p>
              </w:tc>
              <w:tc>
                <w:tcPr>
                  <w:tcW w:w="167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lang w:val="en-US" w:eastAsia="zh-CN"/>
                    </w:rPr>
                    <w:t>2008459</w:t>
                  </w:r>
                </w:p>
              </w:tc>
              <w:tc>
                <w:tcPr>
                  <w:tcW w:w="2497"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sz w:val="21"/>
                      <w:szCs w:val="21"/>
                      <w:lang w:eastAsia="zh-CN"/>
                    </w:rPr>
                    <w:t>校准字第</w:t>
                  </w:r>
                  <w:r>
                    <w:rPr>
                      <w:rFonts w:hint="eastAsia" w:ascii="Times New Roman" w:hAnsi="Times New Roman" w:cs="Times New Roman"/>
                      <w:sz w:val="21"/>
                      <w:szCs w:val="21"/>
                      <w:lang w:val="en-US" w:eastAsia="zh-CN"/>
                    </w:rPr>
                    <w:t>201703011614</w:t>
                  </w:r>
                </w:p>
              </w:tc>
              <w:tc>
                <w:tcPr>
                  <w:tcW w:w="1500" w:type="dxa"/>
                  <w:tcBorders>
                    <w:tl2br w:val="nil"/>
                    <w:tr2bl w:val="nil"/>
                  </w:tcBorders>
                  <w:vAlign w:val="center"/>
                </w:tcPr>
                <w:p>
                  <w:pPr>
                    <w:keepNext w:val="0"/>
                    <w:keepLines w:val="0"/>
                    <w:pageBreakBefore w:val="0"/>
                    <w:kinsoku/>
                    <w:wordWrap/>
                    <w:overflowPunct/>
                    <w:topLinePunct w:val="0"/>
                    <w:bidi w:val="0"/>
                    <w:spacing w:line="36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eastAsia" w:ascii="Times New Roman" w:hAnsi="Times New Roman" w:cs="Times New Roman"/>
                      <w:sz w:val="21"/>
                      <w:szCs w:val="21"/>
                      <w:lang w:val="en-US" w:eastAsia="zh-CN"/>
                    </w:rPr>
                    <w:t>2018.3.21</w:t>
                  </w:r>
                </w:p>
              </w:tc>
            </w:tr>
          </w:tbl>
          <w:p>
            <w:pPr>
              <w:adjustRightInd w:val="0"/>
              <w:snapToGrid w:val="0"/>
              <w:jc w:val="center"/>
              <w:rPr>
                <w:rFonts w:hint="default" w:ascii="Times New Roman" w:hAnsi="Times New Roman" w:cs="Times New Roman"/>
                <w:color w:val="000000"/>
                <w:sz w:val="24"/>
              </w:rPr>
            </w:pPr>
          </w:p>
          <w:p>
            <w:pPr>
              <w:adjustRightInd w:val="0"/>
              <w:snapToGrid w:val="0"/>
              <w:jc w:val="center"/>
              <w:rPr>
                <w:b/>
                <w:color w:val="auto"/>
                <w:szCs w:val="21"/>
                <w:highlight w:val="none"/>
              </w:rPr>
            </w:pPr>
            <w:r>
              <w:rPr>
                <w:rFonts w:hint="default" w:ascii="Times New Roman" w:hAnsi="Times New Roman" w:cs="Times New Roman"/>
                <w:color w:val="000000"/>
                <w:sz w:val="24"/>
              </w:rPr>
              <w:object>
                <v:shape id="_x0000_i1025" o:spt="75" type="#_x0000_t75" style="height:273.85pt;width:377.65pt;" o:ole="t" filled="f" o:preferrelative="t" stroked="f" coordsize="21600,21600">
                  <v:path/>
                  <v:fill on="f" focussize="0,0"/>
                  <v:stroke on="f"/>
                  <v:imagedata r:id="rId6" croptop="1574f" cropbottom="3814f" o:title=""/>
                  <o:lock v:ext="edit" aspectratio="f"/>
                  <w10:wrap type="none"/>
                  <w10:anchorlock/>
                </v:shape>
                <o:OLEObject Type="Embed" ProgID="Visio.Drawing.11" ShapeID="_x0000_i1025" DrawAspect="Content" ObjectID="_1468075725" r:id="rId5">
                  <o:LockedField>false</o:LockedField>
                </o:OLEObject>
              </w:object>
            </w:r>
          </w:p>
          <w:p>
            <w:pPr>
              <w:adjustRightInd w:val="0"/>
              <w:snapToGrid w:val="0"/>
              <w:jc w:val="center"/>
              <w:rPr>
                <w:rFonts w:hint="eastAsia" w:eastAsia="宋体"/>
                <w:b/>
                <w:color w:val="auto"/>
                <w:szCs w:val="21"/>
                <w:highlight w:val="none"/>
                <w:u w:val="wave"/>
                <w:lang w:eastAsia="zh-CN"/>
              </w:rPr>
            </w:pPr>
            <w:r>
              <w:rPr>
                <w:rFonts w:hint="eastAsia"/>
                <w:b/>
                <w:color w:val="auto"/>
                <w:szCs w:val="21"/>
                <w:highlight w:val="none"/>
                <w:u w:val="wave"/>
                <w:lang w:eastAsia="zh-CN"/>
              </w:rPr>
              <w:t>图</w:t>
            </w:r>
            <w:r>
              <w:rPr>
                <w:rFonts w:hint="eastAsia"/>
                <w:b/>
                <w:color w:val="auto"/>
                <w:szCs w:val="21"/>
                <w:highlight w:val="none"/>
                <w:u w:val="wave"/>
                <w:lang w:val="en-US" w:eastAsia="zh-CN"/>
              </w:rPr>
              <w:t>3-1  检测布点图</w:t>
            </w:r>
          </w:p>
          <w:p>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lang w:val="en-US" w:eastAsia="zh-CN"/>
              </w:rPr>
              <w:t>3</w:t>
            </w:r>
            <w:r>
              <w:rPr>
                <w:b/>
                <w:color w:val="auto"/>
                <w:szCs w:val="21"/>
                <w:highlight w:val="none"/>
              </w:rPr>
              <w:t>-</w:t>
            </w:r>
            <w:r>
              <w:rPr>
                <w:rFonts w:hint="eastAsia"/>
                <w:b/>
                <w:color w:val="auto"/>
                <w:szCs w:val="21"/>
                <w:highlight w:val="none"/>
                <w:lang w:val="en-US" w:eastAsia="zh-CN"/>
              </w:rPr>
              <w:t>2</w:t>
            </w:r>
            <w:r>
              <w:rPr>
                <w:b/>
                <w:color w:val="auto"/>
                <w:szCs w:val="21"/>
                <w:highlight w:val="none"/>
              </w:rPr>
              <w:t xml:space="preserve">   监测点位描述表</w:t>
            </w:r>
          </w:p>
          <w:tbl>
            <w:tblPr>
              <w:tblStyle w:val="35"/>
              <w:tblW w:w="8623"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3600"/>
              <w:gridCol w:w="1514"/>
              <w:gridCol w:w="1882"/>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70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lang w:eastAsia="zh-CN"/>
                    </w:rPr>
                    <w:t>检测</w:t>
                  </w:r>
                  <w:r>
                    <w:rPr>
                      <w:rFonts w:hint="default" w:ascii="Times New Roman" w:hAnsi="Times New Roman" w:cs="Times New Roman" w:eastAsiaTheme="minorEastAsia"/>
                      <w:color w:val="auto"/>
                      <w:sz w:val="21"/>
                      <w:szCs w:val="21"/>
                      <w:highlight w:val="none"/>
                      <w:u w:val="wave"/>
                    </w:rPr>
                    <w:t>点位</w:t>
                  </w:r>
                </w:p>
              </w:tc>
              <w:tc>
                <w:tcPr>
                  <w:tcW w:w="36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lang w:eastAsia="zh-CN"/>
                    </w:rPr>
                    <w:t>检测</w:t>
                  </w:r>
                  <w:r>
                    <w:rPr>
                      <w:rFonts w:hint="default" w:ascii="Times New Roman" w:hAnsi="Times New Roman" w:cs="Times New Roman" w:eastAsiaTheme="minorEastAsia"/>
                      <w:color w:val="auto"/>
                      <w:sz w:val="21"/>
                      <w:szCs w:val="21"/>
                      <w:highlight w:val="none"/>
                      <w:u w:val="wave"/>
                    </w:rPr>
                    <w:t>点位</w:t>
                  </w:r>
                  <w:r>
                    <w:rPr>
                      <w:rFonts w:hint="default" w:ascii="Times New Roman" w:hAnsi="Times New Roman" w:cs="Times New Roman" w:eastAsiaTheme="minorEastAsia"/>
                      <w:color w:val="auto"/>
                      <w:sz w:val="21"/>
                      <w:szCs w:val="21"/>
                      <w:highlight w:val="none"/>
                      <w:u w:val="wave"/>
                      <w:lang w:eastAsia="zh-CN"/>
                    </w:rPr>
                    <w:t>描述</w:t>
                  </w:r>
                </w:p>
              </w:tc>
              <w:tc>
                <w:tcPr>
                  <w:tcW w:w="33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lang w:eastAsia="zh-CN"/>
                    </w:rPr>
                    <w:t>测点与项目发射塔</w:t>
                  </w:r>
                </w:p>
              </w:tc>
              <w:tc>
                <w:tcPr>
                  <w:tcW w:w="9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rPr>
                    <w:t>监测</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70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imes New Roman" w:hAnsi="Times New Roman" w:cs="Times New Roman" w:eastAsiaTheme="minorEastAsia"/>
                      <w:sz w:val="21"/>
                      <w:szCs w:val="21"/>
                      <w:highlight w:val="none"/>
                      <w:u w:val="wave"/>
                    </w:rPr>
                  </w:pPr>
                </w:p>
              </w:tc>
              <w:tc>
                <w:tcPr>
                  <w:tcW w:w="36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imes New Roman" w:hAnsi="Times New Roman" w:cs="Times New Roman" w:eastAsiaTheme="minorEastAsia"/>
                      <w:sz w:val="21"/>
                      <w:szCs w:val="21"/>
                      <w:highlight w:val="none"/>
                      <w:u w:val="wave"/>
                    </w:rPr>
                  </w:pP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eastAsia="zh-CN"/>
                    </w:rPr>
                    <w:t>垂直距离（</w:t>
                  </w:r>
                  <w:r>
                    <w:rPr>
                      <w:rFonts w:hint="default" w:ascii="Times New Roman" w:hAnsi="Times New Roman" w:cs="Times New Roman" w:eastAsiaTheme="minorEastAsia"/>
                      <w:sz w:val="21"/>
                      <w:szCs w:val="21"/>
                      <w:highlight w:val="none"/>
                      <w:u w:val="wave"/>
                      <w:lang w:val="en-US" w:eastAsia="zh-CN"/>
                    </w:rPr>
                    <w:t>m</w:t>
                  </w:r>
                  <w:r>
                    <w:rPr>
                      <w:rFonts w:hint="default" w:ascii="Times New Roman" w:hAnsi="Times New Roman" w:cs="Times New Roman" w:eastAsiaTheme="minorEastAsia"/>
                      <w:sz w:val="21"/>
                      <w:szCs w:val="21"/>
                      <w:highlight w:val="none"/>
                      <w:u w:val="wave"/>
                      <w:lang w:eastAsia="zh-CN"/>
                    </w:rPr>
                    <w:t>）</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eastAsia="zh-CN"/>
                    </w:rPr>
                    <w:t>水平距离（</w:t>
                  </w:r>
                  <w:r>
                    <w:rPr>
                      <w:rFonts w:hint="default" w:ascii="Times New Roman" w:hAnsi="Times New Roman" w:cs="Times New Roman" w:eastAsiaTheme="minorEastAsia"/>
                      <w:sz w:val="21"/>
                      <w:szCs w:val="21"/>
                      <w:highlight w:val="none"/>
                      <w:u w:val="wave"/>
                      <w:lang w:val="en-US" w:eastAsia="zh-CN"/>
                    </w:rPr>
                    <w:t>m</w:t>
                  </w:r>
                  <w:r>
                    <w:rPr>
                      <w:rFonts w:hint="default" w:ascii="Times New Roman" w:hAnsi="Times New Roman" w:cs="Times New Roman" w:eastAsiaTheme="minorEastAsia"/>
                      <w:sz w:val="21"/>
                      <w:szCs w:val="21"/>
                      <w:highlight w:val="none"/>
                      <w:u w:val="wave"/>
                      <w:lang w:eastAsia="zh-CN"/>
                    </w:rPr>
                    <w:t>）</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wav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70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wave"/>
                    </w:rPr>
                  </w:pPr>
                  <w:bookmarkStart w:id="7" w:name="OLE_LINK3" w:colFirst="3" w:colLast="3"/>
                  <w:r>
                    <w:rPr>
                      <w:rFonts w:hint="default" w:ascii="Times New Roman" w:hAnsi="Times New Roman" w:cs="Times New Roman" w:eastAsiaTheme="minorEastAsia"/>
                      <w:sz w:val="21"/>
                      <w:szCs w:val="21"/>
                      <w:highlight w:val="none"/>
                      <w:u w:val="wave"/>
                    </w:rPr>
                    <w:t>★1</w:t>
                  </w:r>
                </w:p>
              </w:tc>
              <w:tc>
                <w:tcPr>
                  <w:tcW w:w="36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广播发射塔拟建场地内</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0</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0</w:t>
                  </w:r>
                </w:p>
              </w:tc>
              <w:tc>
                <w:tcPr>
                  <w:tcW w:w="9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rPr>
                    <w:t>E、Seq</w:t>
                  </w:r>
                  <w:r>
                    <w:rPr>
                      <w:rFonts w:hint="default" w:ascii="Times New Roman" w:hAnsi="Times New Roman" w:cs="Times New Roman" w:eastAsiaTheme="minorEastAsia"/>
                      <w:color w:val="auto"/>
                      <w:sz w:val="21"/>
                      <w:szCs w:val="21"/>
                      <w:highlight w:val="none"/>
                      <w:u w:val="wave"/>
                      <w:lang w:eastAsia="zh-CN"/>
                    </w:rPr>
                    <w:t>、</w:t>
                  </w:r>
                  <w:r>
                    <w:rPr>
                      <w:rFonts w:hint="default" w:ascii="Times New Roman" w:hAnsi="Times New Roman" w:cs="Times New Roman" w:eastAsiaTheme="minorEastAsia"/>
                      <w:color w:val="auto"/>
                      <w:sz w:val="21"/>
                      <w:szCs w:val="21"/>
                      <w:highlight w:val="none"/>
                      <w:u w:val="wav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rPr>
                    <w:t>★2</w:t>
                  </w:r>
                </w:p>
              </w:tc>
              <w:tc>
                <w:tcPr>
                  <w:tcW w:w="3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rPr>
                  </w:pPr>
                  <w:r>
                    <w:rPr>
                      <w:rFonts w:hint="default" w:ascii="Times New Roman" w:hAnsi="Times New Roman" w:cs="Times New Roman" w:eastAsiaTheme="minorEastAsia"/>
                      <w:sz w:val="21"/>
                      <w:szCs w:val="21"/>
                      <w:highlight w:val="none"/>
                      <w:u w:val="wave"/>
                      <w:lang w:eastAsia="zh-CN"/>
                    </w:rPr>
                    <w:t>业务大楼拟建场地内</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0</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eastAsia" w:cs="Times New Roman" w:eastAsiaTheme="minorEastAsia"/>
                      <w:sz w:val="21"/>
                      <w:szCs w:val="21"/>
                      <w:highlight w:val="none"/>
                      <w:u w:val="wave"/>
                      <w:lang w:val="en-US" w:eastAsia="zh-CN"/>
                    </w:rPr>
                    <w:t>66</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rPr>
                    <w:t>★3</w:t>
                  </w:r>
                </w:p>
              </w:tc>
              <w:tc>
                <w:tcPr>
                  <w:tcW w:w="3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rPr>
                  </w:pPr>
                  <w:r>
                    <w:rPr>
                      <w:rFonts w:hint="default" w:ascii="Times New Roman" w:hAnsi="Times New Roman" w:cs="Times New Roman" w:eastAsiaTheme="minorEastAsia"/>
                      <w:bCs/>
                      <w:sz w:val="21"/>
                      <w:szCs w:val="21"/>
                      <w:highlight w:val="none"/>
                      <w:u w:val="wave"/>
                      <w:lang w:eastAsia="zh-CN"/>
                    </w:rPr>
                    <w:t>配套用房拟建场地内</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0</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eastAsia" w:cs="Times New Roman" w:eastAsiaTheme="minorEastAsia"/>
                      <w:sz w:val="21"/>
                      <w:szCs w:val="21"/>
                      <w:highlight w:val="none"/>
                      <w:u w:val="wave"/>
                      <w:lang w:val="en-US" w:eastAsia="zh-CN"/>
                    </w:rPr>
                    <w:t>33</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rPr>
                    <w:t>★</w:t>
                  </w:r>
                  <w:r>
                    <w:rPr>
                      <w:rFonts w:hint="default" w:ascii="Times New Roman" w:hAnsi="Times New Roman" w:cs="Times New Roman" w:eastAsiaTheme="minorEastAsia"/>
                      <w:sz w:val="21"/>
                      <w:szCs w:val="21"/>
                      <w:highlight w:val="none"/>
                      <w:u w:val="wave"/>
                      <w:lang w:val="en-US" w:eastAsia="zh-CN"/>
                    </w:rPr>
                    <w:t>4</w:t>
                  </w:r>
                </w:p>
              </w:tc>
              <w:tc>
                <w:tcPr>
                  <w:tcW w:w="3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rPr>
                  </w:pPr>
                  <w:r>
                    <w:rPr>
                      <w:rFonts w:hint="default" w:ascii="Times New Roman" w:hAnsi="Times New Roman" w:cs="Times New Roman" w:eastAsiaTheme="minorEastAsia"/>
                      <w:bCs/>
                      <w:sz w:val="21"/>
                      <w:szCs w:val="21"/>
                      <w:highlight w:val="none"/>
                      <w:u w:val="wave"/>
                      <w:lang w:eastAsia="zh-CN"/>
                    </w:rPr>
                    <w:t>厂界东侧孔家溶社区居民点民房附近</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default" w:ascii="Times New Roman" w:hAnsi="Times New Roman" w:cs="Times New Roman" w:eastAsiaTheme="minorEastAsia"/>
                      <w:sz w:val="21"/>
                      <w:szCs w:val="21"/>
                      <w:highlight w:val="none"/>
                      <w:u w:val="wave"/>
                      <w:lang w:val="en-US" w:eastAsia="zh-CN"/>
                    </w:rPr>
                    <w:t>3</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bCs/>
                      <w:color w:val="auto"/>
                      <w:sz w:val="21"/>
                      <w:szCs w:val="21"/>
                      <w:highlight w:val="none"/>
                      <w:u w:val="wave"/>
                      <w:lang w:val="en-US" w:eastAsia="zh-CN"/>
                    </w:rPr>
                  </w:pPr>
                  <w:r>
                    <w:rPr>
                      <w:rFonts w:hint="eastAsia" w:cs="Times New Roman" w:eastAsiaTheme="minorEastAsia"/>
                      <w:sz w:val="21"/>
                      <w:szCs w:val="21"/>
                      <w:highlight w:val="none"/>
                      <w:u w:val="wave"/>
                      <w:lang w:val="en-US" w:eastAsia="zh-CN"/>
                    </w:rPr>
                    <w:t>71</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rPr>
                    <w:t>★5</w:t>
                  </w:r>
                </w:p>
              </w:tc>
              <w:tc>
                <w:tcPr>
                  <w:tcW w:w="3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rPr>
                  </w:pPr>
                  <w:r>
                    <w:rPr>
                      <w:rFonts w:hint="default" w:ascii="Times New Roman" w:hAnsi="Times New Roman" w:cs="Times New Roman" w:eastAsiaTheme="minorEastAsia"/>
                      <w:bCs/>
                      <w:sz w:val="21"/>
                      <w:szCs w:val="21"/>
                      <w:highlight w:val="none"/>
                      <w:u w:val="wave"/>
                      <w:lang w:eastAsia="zh-CN"/>
                    </w:rPr>
                    <w:t>厂界南侧孔家溶社区居民点民房附近</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val="en-US" w:eastAsia="zh-CN"/>
                    </w:rPr>
                    <w:t>2</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val="en-US" w:eastAsia="zh-CN"/>
                    </w:rPr>
                    <w:t>170</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sz w:val="21"/>
                      <w:szCs w:val="21"/>
                      <w:highlight w:val="none"/>
                      <w:u w:val="wave"/>
                    </w:rPr>
                    <w:t>★</w:t>
                  </w:r>
                  <w:r>
                    <w:rPr>
                      <w:rFonts w:hint="default" w:ascii="Times New Roman" w:hAnsi="Times New Roman" w:cs="Times New Roman" w:eastAsiaTheme="minorEastAsia"/>
                      <w:bCs/>
                      <w:color w:val="000000"/>
                      <w:sz w:val="21"/>
                      <w:szCs w:val="21"/>
                      <w:highlight w:val="none"/>
                      <w:u w:val="wave"/>
                      <w:lang w:val="en-US" w:eastAsia="zh-CN"/>
                    </w:rPr>
                    <w:t>6</w:t>
                  </w:r>
                </w:p>
              </w:tc>
              <w:tc>
                <w:tcPr>
                  <w:tcW w:w="3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default" w:ascii="Times New Roman" w:hAnsi="Times New Roman" w:cs="Times New Roman" w:eastAsiaTheme="minorEastAsia"/>
                      <w:bCs/>
                      <w:color w:val="auto"/>
                      <w:sz w:val="21"/>
                      <w:szCs w:val="21"/>
                      <w:highlight w:val="none"/>
                      <w:u w:val="wave"/>
                    </w:rPr>
                  </w:pPr>
                  <w:r>
                    <w:rPr>
                      <w:rFonts w:hint="default" w:ascii="Times New Roman" w:hAnsi="Times New Roman" w:cs="Times New Roman" w:eastAsiaTheme="minorEastAsia"/>
                      <w:bCs/>
                      <w:sz w:val="21"/>
                      <w:szCs w:val="21"/>
                      <w:highlight w:val="none"/>
                      <w:u w:val="wave"/>
                      <w:lang w:eastAsia="zh-CN"/>
                    </w:rPr>
                    <w:t>厂界西侧孔家溶社区居民点民房附近</w:t>
                  </w:r>
                </w:p>
              </w:tc>
              <w:tc>
                <w:tcPr>
                  <w:tcW w:w="15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val="en-US" w:eastAsia="zh-CN"/>
                    </w:rPr>
                    <w:t>2</w:t>
                  </w:r>
                </w:p>
              </w:tc>
              <w:tc>
                <w:tcPr>
                  <w:tcW w:w="18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u w:val="wave"/>
                      <w:vertAlign w:val="baseline"/>
                      <w:lang w:val="en-US" w:eastAsia="zh-CN"/>
                    </w:rPr>
                  </w:pPr>
                  <w:r>
                    <w:rPr>
                      <w:rFonts w:hint="default" w:ascii="Times New Roman" w:hAnsi="Times New Roman" w:cs="Times New Roman" w:eastAsiaTheme="minorEastAsia"/>
                      <w:sz w:val="21"/>
                      <w:szCs w:val="21"/>
                      <w:highlight w:val="none"/>
                      <w:u w:val="wave"/>
                      <w:lang w:val="en-US" w:eastAsia="zh-CN"/>
                    </w:rPr>
                    <w:t>1</w:t>
                  </w:r>
                  <w:r>
                    <w:rPr>
                      <w:rFonts w:hint="eastAsia" w:cs="Times New Roman" w:eastAsiaTheme="minorEastAsia"/>
                      <w:sz w:val="21"/>
                      <w:szCs w:val="21"/>
                      <w:highlight w:val="none"/>
                      <w:u w:val="wave"/>
                      <w:lang w:val="en-US" w:eastAsia="zh-CN"/>
                    </w:rPr>
                    <w:t>9</w:t>
                  </w:r>
                  <w:r>
                    <w:rPr>
                      <w:rFonts w:hint="default" w:ascii="Times New Roman" w:hAnsi="Times New Roman" w:cs="Times New Roman" w:eastAsiaTheme="minorEastAsia"/>
                      <w:sz w:val="21"/>
                      <w:szCs w:val="21"/>
                      <w:highlight w:val="none"/>
                      <w:u w:val="wave"/>
                      <w:lang w:val="en-US" w:eastAsia="zh-CN"/>
                    </w:rPr>
                    <w:t>2</w:t>
                  </w:r>
                </w:p>
              </w:tc>
              <w:tc>
                <w:tcPr>
                  <w:tcW w:w="9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p>
              </w:tc>
            </w:tr>
            <w:bookmarkEnd w:id="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62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u w:val="wave"/>
                    </w:rPr>
                  </w:pPr>
                  <w:r>
                    <w:rPr>
                      <w:rFonts w:hint="default" w:ascii="Times New Roman" w:hAnsi="Times New Roman" w:cs="Times New Roman" w:eastAsiaTheme="minorEastAsia"/>
                      <w:color w:val="auto"/>
                      <w:sz w:val="21"/>
                      <w:szCs w:val="21"/>
                      <w:highlight w:val="none"/>
                      <w:u w:val="wave"/>
                      <w:lang w:eastAsia="zh-CN"/>
                    </w:rPr>
                    <w:t>监测条件：</w:t>
                  </w:r>
                  <w:r>
                    <w:rPr>
                      <w:rFonts w:hint="default" w:ascii="Times New Roman" w:hAnsi="Times New Roman" w:cs="Times New Roman" w:eastAsiaTheme="minorEastAsia"/>
                      <w:color w:val="auto"/>
                      <w:sz w:val="21"/>
                      <w:szCs w:val="21"/>
                      <w:highlight w:val="none"/>
                      <w:u w:val="wave"/>
                    </w:rPr>
                    <w:t xml:space="preserve">温度 </w:t>
                  </w:r>
                  <w:r>
                    <w:rPr>
                      <w:rFonts w:hint="eastAsia" w:cs="Times New Roman" w:eastAsiaTheme="minorEastAsia"/>
                      <w:color w:val="auto"/>
                      <w:sz w:val="21"/>
                      <w:szCs w:val="21"/>
                      <w:highlight w:val="none"/>
                      <w:u w:val="wave"/>
                      <w:lang w:val="en-US" w:eastAsia="zh-CN"/>
                    </w:rPr>
                    <w:t>7</w:t>
                  </w:r>
                  <w:r>
                    <w:rPr>
                      <w:rFonts w:hint="default" w:ascii="Times New Roman" w:hAnsi="Times New Roman" w:cs="Times New Roman" w:eastAsiaTheme="minorEastAsia"/>
                      <w:color w:val="auto"/>
                      <w:sz w:val="21"/>
                      <w:szCs w:val="21"/>
                      <w:highlight w:val="none"/>
                      <w:u w:val="wave"/>
                    </w:rPr>
                    <w:t xml:space="preserve"> °C        湿度</w:t>
                  </w:r>
                  <w:r>
                    <w:rPr>
                      <w:rFonts w:hint="eastAsia" w:cs="Times New Roman" w:eastAsiaTheme="minorEastAsia"/>
                      <w:color w:val="auto"/>
                      <w:sz w:val="21"/>
                      <w:szCs w:val="21"/>
                      <w:highlight w:val="none"/>
                      <w:u w:val="wave"/>
                      <w:lang w:val="en-US" w:eastAsia="zh-CN"/>
                    </w:rPr>
                    <w:t>82.1</w:t>
                  </w:r>
                  <w:r>
                    <w:rPr>
                      <w:rFonts w:hint="default" w:ascii="Times New Roman" w:hAnsi="Times New Roman" w:cs="Times New Roman" w:eastAsiaTheme="minorEastAsia"/>
                      <w:color w:val="auto"/>
                      <w:sz w:val="21"/>
                      <w:szCs w:val="21"/>
                      <w:highlight w:val="none"/>
                      <w:u w:val="wave"/>
                    </w:rPr>
                    <w:t>%</w:t>
                  </w:r>
                </w:p>
              </w:tc>
            </w:tr>
          </w:tbl>
          <w:p>
            <w:pPr>
              <w:snapToGrid w:val="0"/>
              <w:ind w:firstLine="310" w:firstLineChars="147"/>
              <w:rPr>
                <w:b/>
                <w:bCs/>
                <w:color w:val="auto"/>
                <w:sz w:val="21"/>
                <w:szCs w:val="21"/>
                <w:highlight w:val="none"/>
              </w:rPr>
            </w:pPr>
            <w:r>
              <w:rPr>
                <w:b/>
                <w:bCs/>
                <w:color w:val="auto"/>
                <w:sz w:val="21"/>
                <w:szCs w:val="21"/>
                <w:highlight w:val="none"/>
              </w:rPr>
              <w:t>注：E—</w:t>
            </w:r>
            <w:r>
              <w:rPr>
                <w:rFonts w:hint="eastAsia"/>
                <w:b/>
                <w:bCs/>
                <w:color w:val="auto"/>
                <w:sz w:val="21"/>
                <w:szCs w:val="21"/>
                <w:highlight w:val="none"/>
              </w:rPr>
              <w:t>电场强</w:t>
            </w:r>
            <w:r>
              <w:rPr>
                <w:rFonts w:hint="eastAsia"/>
                <w:b/>
                <w:bCs/>
                <w:color w:val="auto"/>
                <w:sz w:val="21"/>
                <w:szCs w:val="21"/>
                <w:highlight w:val="none"/>
                <w:lang w:eastAsia="zh-CN"/>
              </w:rPr>
              <w:t>度</w:t>
            </w:r>
            <w:r>
              <w:rPr>
                <w:b/>
                <w:bCs/>
                <w:color w:val="auto"/>
                <w:sz w:val="21"/>
                <w:szCs w:val="21"/>
                <w:highlight w:val="none"/>
              </w:rPr>
              <w:t>，Seq—等效平面波功率密度</w:t>
            </w:r>
            <w:r>
              <w:rPr>
                <w:rFonts w:hint="eastAsia"/>
                <w:b/>
                <w:bCs/>
                <w:color w:val="auto"/>
                <w:sz w:val="21"/>
                <w:szCs w:val="21"/>
                <w:highlight w:val="none"/>
                <w:lang w:eastAsia="zh-CN"/>
              </w:rPr>
              <w:t>，</w:t>
            </w:r>
            <w:r>
              <w:rPr>
                <w:rFonts w:hint="eastAsia"/>
                <w:b/>
                <w:bCs/>
                <w:color w:val="auto"/>
                <w:sz w:val="21"/>
                <w:szCs w:val="21"/>
                <w:highlight w:val="none"/>
                <w:lang w:val="en-US" w:eastAsia="zh-CN"/>
              </w:rPr>
              <w:t>H</w:t>
            </w:r>
            <w:r>
              <w:rPr>
                <w:b/>
                <w:bCs/>
                <w:color w:val="auto"/>
                <w:sz w:val="21"/>
                <w:szCs w:val="21"/>
                <w:highlight w:val="none"/>
              </w:rPr>
              <w:t>—</w:t>
            </w:r>
            <w:r>
              <w:rPr>
                <w:rFonts w:hint="eastAsia"/>
                <w:b/>
                <w:bCs/>
                <w:color w:val="auto"/>
                <w:sz w:val="21"/>
                <w:szCs w:val="21"/>
                <w:highlight w:val="none"/>
              </w:rPr>
              <w:t>磁</w:t>
            </w:r>
            <w:r>
              <w:rPr>
                <w:rFonts w:hint="eastAsia"/>
                <w:b/>
                <w:bCs/>
                <w:color w:val="auto"/>
                <w:sz w:val="21"/>
                <w:szCs w:val="21"/>
                <w:highlight w:val="none"/>
                <w:lang w:eastAsia="zh-CN"/>
              </w:rPr>
              <w:t>场</w:t>
            </w:r>
            <w:r>
              <w:rPr>
                <w:rFonts w:hint="eastAsia"/>
                <w:b/>
                <w:bCs/>
                <w:color w:val="auto"/>
                <w:sz w:val="21"/>
                <w:szCs w:val="21"/>
                <w:highlight w:val="none"/>
              </w:rPr>
              <w:t>强度</w:t>
            </w:r>
          </w:p>
          <w:p>
            <w:pPr>
              <w:snapToGrid w:val="0"/>
              <w:ind w:firstLine="354" w:firstLineChars="147"/>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3</w:t>
            </w:r>
            <w:r>
              <w:rPr>
                <w:b/>
                <w:bCs/>
                <w:color w:val="auto"/>
                <w:szCs w:val="21"/>
                <w:highlight w:val="none"/>
              </w:rPr>
              <w:t>-</w:t>
            </w:r>
            <w:r>
              <w:rPr>
                <w:rFonts w:hint="eastAsia"/>
                <w:b/>
                <w:bCs/>
                <w:color w:val="auto"/>
                <w:szCs w:val="21"/>
                <w:highlight w:val="none"/>
                <w:lang w:val="en-US" w:eastAsia="zh-CN"/>
              </w:rPr>
              <w:t>3</w:t>
            </w:r>
            <w:r>
              <w:rPr>
                <w:b/>
                <w:bCs/>
                <w:color w:val="auto"/>
                <w:szCs w:val="21"/>
                <w:highlight w:val="none"/>
              </w:rPr>
              <w:t xml:space="preserve">  </w:t>
            </w:r>
            <w:r>
              <w:rPr>
                <w:rFonts w:hint="eastAsia"/>
                <w:b/>
                <w:bCs/>
                <w:color w:val="auto"/>
                <w:szCs w:val="21"/>
                <w:highlight w:val="none"/>
                <w:lang w:eastAsia="zh-CN"/>
              </w:rPr>
              <w:t>现状</w:t>
            </w:r>
            <w:r>
              <w:rPr>
                <w:b/>
                <w:bCs/>
                <w:color w:val="auto"/>
                <w:szCs w:val="21"/>
                <w:highlight w:val="none"/>
              </w:rPr>
              <w:t>水平测量结果</w:t>
            </w:r>
          </w:p>
          <w:tbl>
            <w:tblPr>
              <w:tblStyle w:val="35"/>
              <w:tblW w:w="872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
              <w:gridCol w:w="730"/>
              <w:gridCol w:w="500"/>
              <w:gridCol w:w="769"/>
              <w:gridCol w:w="857"/>
              <w:gridCol w:w="858"/>
              <w:gridCol w:w="858"/>
              <w:gridCol w:w="999"/>
              <w:gridCol w:w="998"/>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点位</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eastAsia="zh-CN"/>
                    </w:rPr>
                    <w:t>检</w:t>
                  </w:r>
                  <w:r>
                    <w:rPr>
                      <w:rFonts w:hint="default" w:ascii="Times New Roman" w:hAnsi="Times New Roman" w:cs="Times New Roman" w:eastAsiaTheme="minorEastAsia"/>
                      <w:spacing w:val="0"/>
                      <w:sz w:val="21"/>
                      <w:szCs w:val="21"/>
                    </w:rPr>
                    <w:t>测高度（</w:t>
                  </w:r>
                  <w:r>
                    <w:rPr>
                      <w:rFonts w:hint="default" w:ascii="Times New Roman" w:hAnsi="Times New Roman" w:cs="Times New Roman" w:eastAsiaTheme="minorEastAsia"/>
                      <w:spacing w:val="0"/>
                      <w:sz w:val="21"/>
                      <w:szCs w:val="21"/>
                      <w:lang w:val="en-GB"/>
                    </w:rPr>
                    <w:t>m</w:t>
                  </w:r>
                  <w:r>
                    <w:rPr>
                      <w:rFonts w:hint="default" w:ascii="Times New Roman" w:hAnsi="Times New Roman" w:cs="Times New Roman" w:eastAsiaTheme="minorEastAsia"/>
                      <w:spacing w:val="0"/>
                      <w:sz w:val="21"/>
                      <w:szCs w:val="21"/>
                    </w:rPr>
                    <w:t>）</w:t>
                  </w:r>
                </w:p>
              </w:tc>
              <w:tc>
                <w:tcPr>
                  <w:tcW w:w="500"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项目</w:t>
                  </w:r>
                </w:p>
              </w:tc>
              <w:tc>
                <w:tcPr>
                  <w:tcW w:w="769"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单位</w:t>
                  </w:r>
                </w:p>
              </w:tc>
              <w:tc>
                <w:tcPr>
                  <w:tcW w:w="4570" w:type="dxa"/>
                  <w:gridSpan w:val="5"/>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测量值</w:t>
                  </w:r>
                </w:p>
              </w:tc>
              <w:tc>
                <w:tcPr>
                  <w:tcW w:w="1786"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计算值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69"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2</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3</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4</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5</w:t>
                  </w:r>
                </w:p>
              </w:tc>
              <w:tc>
                <w:tcPr>
                  <w:tcW w:w="1786"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0.37</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0.36</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0.41</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0.40</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0.37</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0.38</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lang w:val="en-US" w:eastAsia="zh-CN"/>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0.0027</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0.0026</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0.0027</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0.0027</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0.0026</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0.0027</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0.0031</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0.0031</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0.0030</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0.0031</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0.0031</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2</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0.25</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0.26</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0.29</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0.26</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0.28</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0.27</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0.0017</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0.0015</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0.0022</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0.0017</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0.0019</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0.0018</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0.0024</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0.0023</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0.0019</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0.0017</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0.0020</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0.0020</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3</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0.28</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0.28</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0.30</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0.27</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0.30</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0.29</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0.0016</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0.0017</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0.0021</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0.0020</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0.0019</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0.0019</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0.0021</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0.0020</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0.0021</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0.0020</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0.0021</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4</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0.19</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0.18</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0.11</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0.15</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0.18</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0.16</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0.0013</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0.0013</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0.0015</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0.0014</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0.0013</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0.0010</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0.0012</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0.0012</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0.0009</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0.0011</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5</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0.16</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0.15</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0.16</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0.16</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0.15</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0.16</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0.0015</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0.0013</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0.0014</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0.0014</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0.0013</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0.0014</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0.0012</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0.0010</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0.0010</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0.0011</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restart"/>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6</w:t>
                  </w:r>
                </w:p>
              </w:tc>
              <w:tc>
                <w:tcPr>
                  <w:tcW w:w="7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rPr>
                    <w:t>1.</w:t>
                  </w:r>
                  <w:r>
                    <w:rPr>
                      <w:rFonts w:hint="default" w:ascii="Times New Roman" w:hAnsi="Times New Roman" w:cs="Times New Roman" w:eastAsiaTheme="minorEastAsia"/>
                      <w:spacing w:val="0"/>
                      <w:sz w:val="21"/>
                      <w:szCs w:val="21"/>
                      <w:lang w:val="en-US" w:eastAsia="zh-CN"/>
                    </w:rPr>
                    <w:t>7</w:t>
                  </w: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E</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V/m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0.11</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0.10</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0.10</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0.12</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0.11</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0.11</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S</w:t>
                  </w:r>
                  <w:r>
                    <w:rPr>
                      <w:rFonts w:hint="default" w:ascii="Times New Roman" w:hAnsi="Times New Roman" w:cs="Times New Roman" w:eastAsiaTheme="minorEastAsia"/>
                      <w:spacing w:val="0"/>
                      <w:sz w:val="21"/>
                      <w:szCs w:val="21"/>
                      <w:vertAlign w:val="subscript"/>
                      <w:lang w:val="en-US" w:eastAsia="zh-CN"/>
                    </w:rPr>
                    <w:t>eq</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vertAlign w:val="baseline"/>
                      <w:lang w:val="en-US" w:eastAsia="zh-CN"/>
                    </w:rPr>
                    <w:t>W/m</w:t>
                  </w:r>
                  <w:r>
                    <w:rPr>
                      <w:rFonts w:hint="default" w:ascii="Times New Roman" w:hAnsi="Times New Roman" w:cs="Times New Roman" w:eastAsiaTheme="minorEastAsia"/>
                      <w:spacing w:val="0"/>
                      <w:sz w:val="21"/>
                      <w:szCs w:val="21"/>
                      <w:vertAlign w:val="superscript"/>
                      <w:lang w:val="en-US" w:eastAsia="zh-CN"/>
                    </w:rPr>
                    <w:t>2</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0.0009</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0.0010</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0.0009</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0.0008</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0.0009</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jc w:val="center"/>
              </w:trPr>
              <w:tc>
                <w:tcPr>
                  <w:tcW w:w="365"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730" w:type="dxa"/>
                  <w:vMerge w:val="continue"/>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p>
              </w:tc>
              <w:tc>
                <w:tcPr>
                  <w:tcW w:w="500"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H</w:t>
                  </w:r>
                </w:p>
              </w:tc>
              <w:tc>
                <w:tcPr>
                  <w:tcW w:w="76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vertAlign w:val="superscript"/>
                    </w:rPr>
                  </w:pPr>
                  <w:r>
                    <w:rPr>
                      <w:rFonts w:hint="default" w:ascii="Times New Roman" w:hAnsi="Times New Roman" w:cs="Times New Roman" w:eastAsiaTheme="minorEastAsia"/>
                      <w:spacing w:val="0"/>
                      <w:sz w:val="21"/>
                      <w:szCs w:val="21"/>
                      <w:lang w:val="en-US" w:eastAsia="zh-CN"/>
                    </w:rPr>
                    <w:t>A/m</w:t>
                  </w:r>
                </w:p>
              </w:tc>
              <w:tc>
                <w:tcPr>
                  <w:tcW w:w="857"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0.0008</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0.0009</w:t>
                  </w:r>
                </w:p>
              </w:tc>
              <w:tc>
                <w:tcPr>
                  <w:tcW w:w="85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0.0008</w:t>
                  </w:r>
                </w:p>
              </w:tc>
              <w:tc>
                <w:tcPr>
                  <w:tcW w:w="999"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0.0011</w:t>
                  </w:r>
                </w:p>
              </w:tc>
              <w:tc>
                <w:tcPr>
                  <w:tcW w:w="998"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lang w:val="en-US" w:eastAsia="zh-CN"/>
                    </w:rPr>
                  </w:pPr>
                  <w:r>
                    <w:rPr>
                      <w:rFonts w:hint="default" w:ascii="Times New Roman" w:hAnsi="Times New Roman" w:cs="Times New Roman" w:eastAsiaTheme="minorEastAsia"/>
                      <w:spacing w:val="0"/>
                      <w:sz w:val="21"/>
                      <w:szCs w:val="21"/>
                      <w:lang w:val="en-US" w:eastAsia="zh-CN"/>
                    </w:rPr>
                    <w:t>0.0010</w:t>
                  </w:r>
                </w:p>
              </w:tc>
              <w:tc>
                <w:tcPr>
                  <w:tcW w:w="1786" w:type="dxa"/>
                  <w:tcBorders>
                    <w:tl2br w:val="nil"/>
                    <w:tr2bl w:val="nil"/>
                  </w:tcBorders>
                  <w:vAlign w:val="center"/>
                </w:tcPr>
                <w:p>
                  <w:pPr>
                    <w:keepNext w:val="0"/>
                    <w:keepLines w:val="0"/>
                    <w:pageBreakBefore w:val="0"/>
                    <w:widowControl w:val="0"/>
                    <w:tabs>
                      <w:tab w:val="left" w:pos="1845"/>
                      <w:tab w:val="left" w:pos="4080"/>
                    </w:tabs>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spacing w:val="0"/>
                      <w:sz w:val="21"/>
                      <w:szCs w:val="21"/>
                    </w:rPr>
                  </w:pPr>
                  <w:r>
                    <w:rPr>
                      <w:rFonts w:hint="default" w:ascii="Times New Roman" w:hAnsi="Times New Roman" w:cs="Times New Roman" w:eastAsiaTheme="minorEastAsia"/>
                      <w:spacing w:val="0"/>
                      <w:sz w:val="21"/>
                      <w:szCs w:val="21"/>
                      <w:lang w:val="en-US" w:eastAsia="zh-CN"/>
                    </w:rPr>
                    <w:t>0.0009</w:t>
                  </w:r>
                  <w:r>
                    <w:rPr>
                      <w:rFonts w:hint="default" w:ascii="Times New Roman" w:hAnsi="Times New Roman" w:cs="Times New Roman" w:eastAsiaTheme="minorEastAsia"/>
                      <w:spacing w:val="0"/>
                      <w:sz w:val="21"/>
                      <w:szCs w:val="21"/>
                    </w:rPr>
                    <w:t>±</w:t>
                  </w:r>
                  <w:r>
                    <w:rPr>
                      <w:rFonts w:hint="default" w:ascii="Times New Roman" w:hAnsi="Times New Roman" w:cs="Times New Roman" w:eastAsiaTheme="minorEastAsia"/>
                      <w:spacing w:val="0"/>
                      <w:sz w:val="21"/>
                      <w:szCs w:val="21"/>
                      <w:lang w:val="en-US" w:eastAsia="zh-CN"/>
                    </w:rPr>
                    <w:t>0.0001</w:t>
                  </w:r>
                </w:p>
              </w:tc>
            </w:tr>
          </w:tbl>
          <w:p>
            <w:pPr>
              <w:snapToGrid w:val="0"/>
              <w:ind w:firstLine="480" w:firstLineChars="200"/>
              <w:rPr>
                <w:bCs/>
                <w:color w:val="auto"/>
                <w:highlight w:val="none"/>
                <w:u w:val="none"/>
              </w:rPr>
            </w:pPr>
            <w:r>
              <w:rPr>
                <w:bCs/>
                <w:color w:val="auto"/>
                <w:highlight w:val="none"/>
                <w:u w:val="none"/>
              </w:rPr>
              <w:t>（2）现状评价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highlight w:val="none"/>
                <w:u w:val="wave"/>
              </w:rPr>
            </w:pPr>
            <w:r>
              <w:rPr>
                <w:color w:val="auto"/>
                <w:highlight w:val="none"/>
                <w:u w:val="wave"/>
              </w:rPr>
              <w:t>由监测结果可以看出，各测点电场强度监测值为</w:t>
            </w:r>
            <w:r>
              <w:rPr>
                <w:rFonts w:hint="eastAsia"/>
                <w:color w:val="auto"/>
                <w:highlight w:val="none"/>
                <w:u w:val="wave"/>
                <w:lang w:val="en-US" w:eastAsia="zh-CN"/>
              </w:rPr>
              <w:t>0.11</w:t>
            </w:r>
            <w:r>
              <w:rPr>
                <w:color w:val="auto"/>
                <w:highlight w:val="none"/>
                <w:u w:val="wave"/>
              </w:rPr>
              <w:t>V/m~</w:t>
            </w:r>
            <w:r>
              <w:rPr>
                <w:rFonts w:hint="eastAsia"/>
                <w:color w:val="auto"/>
                <w:highlight w:val="none"/>
                <w:u w:val="wave"/>
                <w:lang w:val="en-US" w:eastAsia="zh-CN"/>
              </w:rPr>
              <w:t>0.38</w:t>
            </w:r>
            <w:r>
              <w:rPr>
                <w:color w:val="auto"/>
                <w:highlight w:val="none"/>
                <w:u w:val="wave"/>
              </w:rPr>
              <w:t>V/m</w:t>
            </w:r>
            <w:r>
              <w:rPr>
                <w:rFonts w:hint="eastAsia"/>
                <w:color w:val="auto"/>
                <w:highlight w:val="none"/>
                <w:u w:val="wave"/>
                <w:lang w:eastAsia="zh-CN"/>
              </w:rPr>
              <w:t>；</w:t>
            </w:r>
            <w:r>
              <w:rPr>
                <w:rFonts w:hint="eastAsia"/>
                <w:color w:val="auto"/>
                <w:highlight w:val="none"/>
                <w:u w:val="wave"/>
              </w:rPr>
              <w:t>等效平面波功率密度</w:t>
            </w:r>
            <w:r>
              <w:rPr>
                <w:rFonts w:hint="eastAsia"/>
                <w:color w:val="auto"/>
                <w:highlight w:val="none"/>
                <w:u w:val="wave"/>
                <w:lang w:eastAsia="zh-CN"/>
              </w:rPr>
              <w:t>检测值为</w:t>
            </w:r>
            <w:r>
              <w:rPr>
                <w:rFonts w:hint="eastAsia"/>
                <w:color w:val="auto"/>
                <w:highlight w:val="none"/>
                <w:u w:val="wave"/>
                <w:lang w:val="en-US" w:eastAsia="zh-CN"/>
              </w:rPr>
              <w:t>0.0009</w:t>
            </w:r>
            <w:r>
              <w:rPr>
                <w:color w:val="auto"/>
                <w:sz w:val="21"/>
                <w:szCs w:val="21"/>
                <w:highlight w:val="none"/>
                <w:u w:val="wave"/>
              </w:rPr>
              <w:t>W/m</w:t>
            </w:r>
            <w:r>
              <w:rPr>
                <w:color w:val="auto"/>
                <w:sz w:val="21"/>
                <w:szCs w:val="21"/>
                <w:highlight w:val="none"/>
                <w:u w:val="wave"/>
                <w:vertAlign w:val="superscript"/>
              </w:rPr>
              <w:t>2</w:t>
            </w:r>
            <w:r>
              <w:rPr>
                <w:color w:val="auto"/>
                <w:highlight w:val="none"/>
                <w:u w:val="wave"/>
              </w:rPr>
              <w:t>~</w:t>
            </w:r>
            <w:r>
              <w:rPr>
                <w:rFonts w:hint="eastAsia"/>
                <w:color w:val="auto"/>
                <w:highlight w:val="none"/>
                <w:u w:val="wave"/>
                <w:lang w:val="en-US" w:eastAsia="zh-CN"/>
              </w:rPr>
              <w:t>0.0027</w:t>
            </w:r>
            <w:r>
              <w:rPr>
                <w:color w:val="auto"/>
                <w:sz w:val="21"/>
                <w:szCs w:val="21"/>
                <w:highlight w:val="none"/>
                <w:u w:val="wave"/>
              </w:rPr>
              <w:t>W/m</w:t>
            </w:r>
            <w:r>
              <w:rPr>
                <w:color w:val="auto"/>
                <w:sz w:val="21"/>
                <w:szCs w:val="21"/>
                <w:highlight w:val="none"/>
                <w:u w:val="wave"/>
                <w:vertAlign w:val="superscript"/>
              </w:rPr>
              <w:t>2</w:t>
            </w:r>
            <w:r>
              <w:rPr>
                <w:rFonts w:hint="eastAsia"/>
                <w:color w:val="auto"/>
                <w:highlight w:val="none"/>
                <w:u w:val="wave"/>
                <w:lang w:eastAsia="zh-CN"/>
              </w:rPr>
              <w:t>；</w:t>
            </w:r>
            <w:r>
              <w:rPr>
                <w:color w:val="auto"/>
                <w:highlight w:val="none"/>
                <w:u w:val="wave"/>
              </w:rPr>
              <w:t>磁场强度监测值为</w:t>
            </w:r>
            <w:r>
              <w:rPr>
                <w:rFonts w:hint="eastAsia"/>
                <w:color w:val="auto"/>
                <w:highlight w:val="none"/>
                <w:u w:val="wave"/>
                <w:lang w:val="en-US" w:eastAsia="zh-CN"/>
              </w:rPr>
              <w:t>0.0009</w:t>
            </w:r>
            <w:r>
              <w:rPr>
                <w:rFonts w:hint="eastAsia"/>
                <w:color w:val="auto"/>
                <w:sz w:val="21"/>
                <w:szCs w:val="21"/>
                <w:highlight w:val="none"/>
                <w:u w:val="wave"/>
                <w:lang w:val="en-US" w:eastAsia="zh-CN"/>
              </w:rPr>
              <w:t>A</w:t>
            </w:r>
            <w:r>
              <w:rPr>
                <w:color w:val="auto"/>
                <w:sz w:val="21"/>
                <w:szCs w:val="21"/>
                <w:highlight w:val="none"/>
                <w:u w:val="wave"/>
              </w:rPr>
              <w:t>/m</w:t>
            </w:r>
            <w:r>
              <w:rPr>
                <w:color w:val="auto"/>
                <w:highlight w:val="none"/>
                <w:u w:val="wave"/>
              </w:rPr>
              <w:t>~</w:t>
            </w:r>
            <w:r>
              <w:rPr>
                <w:rFonts w:hint="eastAsia"/>
                <w:color w:val="auto"/>
                <w:highlight w:val="none"/>
                <w:u w:val="wave"/>
                <w:lang w:val="en-US" w:eastAsia="zh-CN"/>
              </w:rPr>
              <w:t>0.0031</w:t>
            </w:r>
            <w:r>
              <w:rPr>
                <w:rFonts w:hint="eastAsia"/>
                <w:color w:val="auto"/>
                <w:sz w:val="21"/>
                <w:szCs w:val="21"/>
                <w:highlight w:val="none"/>
                <w:u w:val="wave"/>
                <w:lang w:val="en-US" w:eastAsia="zh-CN"/>
              </w:rPr>
              <w:t>A</w:t>
            </w:r>
            <w:r>
              <w:rPr>
                <w:color w:val="auto"/>
                <w:sz w:val="21"/>
                <w:szCs w:val="21"/>
                <w:highlight w:val="none"/>
                <w:u w:val="wave"/>
              </w:rPr>
              <w:t>/m</w:t>
            </w:r>
            <w:r>
              <w:rPr>
                <w:color w:val="auto"/>
                <w:highlight w:val="none"/>
                <w:u w:val="wave"/>
              </w:rPr>
              <w:t>，各个监测点位值均低于《电磁环境控制限值》（GB8702-2014）中规定的公众暴露控制限值要求</w:t>
            </w:r>
            <w:r>
              <w:rPr>
                <w:rFonts w:hint="eastAsia"/>
                <w:color w:val="auto"/>
                <w:highlight w:val="none"/>
                <w:u w:val="wave"/>
                <w:lang w:eastAsia="zh-CN"/>
              </w:rPr>
              <w:t>，即电场强度为</w:t>
            </w:r>
            <w:r>
              <w:rPr>
                <w:rFonts w:hint="eastAsia"/>
                <w:color w:val="auto"/>
                <w:highlight w:val="none"/>
                <w:u w:val="wave"/>
                <w:lang w:val="en-US" w:eastAsia="zh-CN"/>
              </w:rPr>
              <w:t>5.37V/m，磁场强度为0.014A/m，功率密度为0.08</w:t>
            </w:r>
            <w:r>
              <w:rPr>
                <w:rFonts w:hint="default" w:ascii="Times New Roman" w:hAnsi="Times New Roman" w:eastAsia="宋体" w:cs="Times New Roman"/>
                <w:sz w:val="24"/>
                <w:szCs w:val="24"/>
                <w:highlight w:val="none"/>
                <w:u w:val="wave"/>
                <w:lang w:val="en-US" w:eastAsia="zh-CN"/>
              </w:rPr>
              <w:t>W</w:t>
            </w:r>
            <w:r>
              <w:rPr>
                <w:rFonts w:hint="eastAsia" w:ascii="Times New Roman" w:hAnsi="宋体" w:eastAsia="宋体"/>
                <w:sz w:val="24"/>
                <w:szCs w:val="24"/>
                <w:highlight w:val="none"/>
                <w:u w:val="wave"/>
                <w:lang w:val="en-US" w:eastAsia="zh-CN"/>
              </w:rPr>
              <w:t>/m</w:t>
            </w:r>
            <w:r>
              <w:rPr>
                <w:rFonts w:hint="eastAsia" w:ascii="Times New Roman" w:hAnsi="宋体" w:eastAsia="宋体"/>
                <w:sz w:val="24"/>
                <w:szCs w:val="24"/>
                <w:highlight w:val="none"/>
                <w:u w:val="wave"/>
                <w:vertAlign w:val="superscript"/>
                <w:lang w:val="en-US" w:eastAsia="zh-CN"/>
              </w:rPr>
              <w:t>2</w:t>
            </w:r>
            <w:r>
              <w:rPr>
                <w:color w:val="auto"/>
                <w:highlight w:val="none"/>
                <w:u w:val="wav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b/>
                <w:bCs/>
                <w:color w:val="auto"/>
                <w:highlight w:val="none"/>
              </w:rPr>
            </w:pPr>
            <w:r>
              <w:rPr>
                <w:rFonts w:hint="eastAsia"/>
                <w:b/>
                <w:bCs/>
                <w:color w:val="auto"/>
                <w:highlight w:val="none"/>
                <w:lang w:val="en-US" w:eastAsia="zh-CN"/>
              </w:rPr>
              <w:t>3</w:t>
            </w:r>
            <w:r>
              <w:rPr>
                <w:b/>
                <w:bCs/>
                <w:color w:val="auto"/>
                <w:highlight w:val="none"/>
              </w:rPr>
              <w:t>.2 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bCs/>
                <w:color w:val="auto"/>
                <w:highlight w:val="none"/>
              </w:rPr>
            </w:pPr>
            <w:r>
              <w:rPr>
                <w:bCs/>
                <w:color w:val="auto"/>
                <w:highlight w:val="none"/>
              </w:rPr>
              <w:t>（1）监测数据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b/>
                <w:color w:val="auto"/>
                <w:szCs w:val="24"/>
                <w:highlight w:val="none"/>
              </w:rPr>
            </w:pPr>
            <w:r>
              <w:rPr>
                <w:rFonts w:hint="eastAsia"/>
                <w:color w:val="auto"/>
                <w:szCs w:val="24"/>
                <w:highlight w:val="none"/>
                <w:lang w:val="en-US" w:eastAsia="zh-CN"/>
              </w:rPr>
              <w:t>项目拟建地发射塔中心东侧约71m处为孔家溶社区居民点，南侧约170m处为孔家溶社区居民点，西南侧约258m处及西侧约192m处亦为孔家溶社区居民点。</w:t>
            </w:r>
            <w:r>
              <w:rPr>
                <w:color w:val="auto"/>
                <w:highlight w:val="none"/>
              </w:rPr>
              <w:t>根据监测报告，噪声现状监测值统计见表</w:t>
            </w:r>
            <w:r>
              <w:rPr>
                <w:rFonts w:hint="eastAsia"/>
                <w:color w:val="auto"/>
                <w:highlight w:val="none"/>
                <w:lang w:val="en-US" w:eastAsia="zh-CN"/>
              </w:rPr>
              <w:t>3</w:t>
            </w:r>
            <w:r>
              <w:rPr>
                <w:color w:val="auto"/>
                <w:highlight w:val="none"/>
              </w:rPr>
              <w:t>-</w:t>
            </w:r>
            <w:r>
              <w:rPr>
                <w:rFonts w:hint="eastAsia"/>
                <w:color w:val="auto"/>
                <w:highlight w:val="none"/>
                <w:lang w:val="en-US" w:eastAsia="zh-CN"/>
              </w:rPr>
              <w:t>4</w:t>
            </w:r>
            <w:r>
              <w:rPr>
                <w:color w:val="auto"/>
                <w:highlight w:val="none"/>
              </w:rPr>
              <w:t>。</w:t>
            </w:r>
          </w:p>
          <w:p>
            <w:pPr>
              <w:spacing w:line="240" w:lineRule="auto"/>
              <w:jc w:val="center"/>
              <w:rPr>
                <w:b/>
                <w:color w:val="auto"/>
                <w:szCs w:val="24"/>
                <w:highlight w:val="none"/>
              </w:rPr>
            </w:pPr>
            <w:r>
              <w:rPr>
                <w:b/>
                <w:color w:val="auto"/>
                <w:szCs w:val="24"/>
                <w:highlight w:val="none"/>
              </w:rPr>
              <w:t>表</w:t>
            </w:r>
            <w:r>
              <w:rPr>
                <w:rFonts w:hint="eastAsia"/>
                <w:b/>
                <w:color w:val="auto"/>
                <w:szCs w:val="24"/>
                <w:highlight w:val="none"/>
                <w:lang w:val="en-US" w:eastAsia="zh-CN"/>
              </w:rPr>
              <w:t>3</w:t>
            </w:r>
            <w:r>
              <w:rPr>
                <w:b/>
                <w:color w:val="auto"/>
                <w:szCs w:val="24"/>
                <w:highlight w:val="none"/>
              </w:rPr>
              <w:t>-</w:t>
            </w:r>
            <w:r>
              <w:rPr>
                <w:rFonts w:hint="eastAsia"/>
                <w:b/>
                <w:color w:val="auto"/>
                <w:szCs w:val="24"/>
                <w:highlight w:val="none"/>
                <w:lang w:val="en-US" w:eastAsia="zh-CN"/>
              </w:rPr>
              <w:t>4</w:t>
            </w:r>
            <w:r>
              <w:rPr>
                <w:b/>
                <w:color w:val="auto"/>
                <w:szCs w:val="24"/>
                <w:highlight w:val="none"/>
              </w:rPr>
              <w:t xml:space="preserve">   声环境质量测量结果</w:t>
            </w:r>
          </w:p>
          <w:tbl>
            <w:tblPr>
              <w:tblStyle w:val="35"/>
              <w:tblW w:w="8732"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310"/>
              <w:gridCol w:w="1040"/>
              <w:gridCol w:w="1040"/>
              <w:gridCol w:w="1090"/>
              <w:gridCol w:w="1091"/>
              <w:gridCol w:w="1112"/>
              <w:gridCol w:w="1113"/>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472" w:hRule="atLeast"/>
                <w:jc w:val="center"/>
              </w:trPr>
              <w:tc>
                <w:tcPr>
                  <w:tcW w:w="13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点位</w:t>
                  </w:r>
                </w:p>
              </w:tc>
              <w:tc>
                <w:tcPr>
                  <w:tcW w:w="2080"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color w:val="auto"/>
                      <w:sz w:val="21"/>
                      <w:szCs w:val="21"/>
                      <w:highlight w:val="none"/>
                      <w:vertAlign w:val="baseline"/>
                      <w:lang w:val="en-US" w:eastAsia="zh-CN"/>
                    </w:rPr>
                    <w:t>2017.11.29</w:t>
                  </w:r>
                </w:p>
              </w:tc>
              <w:tc>
                <w:tcPr>
                  <w:tcW w:w="2181"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color w:val="auto"/>
                      <w:sz w:val="21"/>
                      <w:szCs w:val="21"/>
                      <w:highlight w:val="none"/>
                      <w:vertAlign w:val="baseline"/>
                      <w:lang w:val="en-US" w:eastAsia="zh-CN"/>
                    </w:rPr>
                    <w:t>2017.11.30</w:t>
                  </w:r>
                </w:p>
              </w:tc>
              <w:tc>
                <w:tcPr>
                  <w:tcW w:w="22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执行标准</w:t>
                  </w:r>
                </w:p>
              </w:tc>
              <w:tc>
                <w:tcPr>
                  <w:tcW w:w="93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主要</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58" w:hRule="atLeast"/>
                <w:jc w:val="center"/>
              </w:trPr>
              <w:tc>
                <w:tcPr>
                  <w:tcW w:w="13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昼间</w:t>
                  </w:r>
                  <w:r>
                    <w:rPr>
                      <w:rFonts w:hint="default" w:ascii="Times New Roman" w:hAnsi="Times New Roman" w:cs="Times New Roman" w:eastAsiaTheme="minorEastAsia"/>
                      <w:color w:val="auto"/>
                      <w:sz w:val="21"/>
                      <w:szCs w:val="21"/>
                      <w:highlight w:val="none"/>
                      <w:lang w:val="en-US" w:eastAsia="zh-CN"/>
                    </w:rPr>
                    <w:t>dB(A)</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夜间</w:t>
                  </w:r>
                  <w:r>
                    <w:rPr>
                      <w:rFonts w:hint="default" w:ascii="Times New Roman" w:hAnsi="Times New Roman" w:cs="Times New Roman" w:eastAsiaTheme="minorEastAsia"/>
                      <w:color w:val="auto"/>
                      <w:sz w:val="21"/>
                      <w:szCs w:val="21"/>
                      <w:highlight w:val="none"/>
                      <w:lang w:val="en-US" w:eastAsia="zh-CN"/>
                    </w:rPr>
                    <w:t>dB(A)</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昼间</w:t>
                  </w:r>
                  <w:r>
                    <w:rPr>
                      <w:rFonts w:hint="default" w:ascii="Times New Roman" w:hAnsi="Times New Roman" w:cs="Times New Roman" w:eastAsiaTheme="minorEastAsia"/>
                      <w:color w:val="auto"/>
                      <w:sz w:val="21"/>
                      <w:szCs w:val="21"/>
                      <w:highlight w:val="none"/>
                      <w:lang w:val="en-US" w:eastAsia="zh-CN"/>
                    </w:rPr>
                    <w:t>dB(A)</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夜间</w:t>
                  </w:r>
                  <w:r>
                    <w:rPr>
                      <w:rFonts w:hint="default" w:ascii="Times New Roman" w:hAnsi="Times New Roman" w:cs="Times New Roman" w:eastAsiaTheme="minorEastAsia"/>
                      <w:color w:val="auto"/>
                      <w:sz w:val="21"/>
                      <w:szCs w:val="21"/>
                      <w:highlight w:val="none"/>
                      <w:lang w:val="en-US" w:eastAsia="zh-CN"/>
                    </w:rPr>
                    <w:t>dB(A)</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昼间</w:t>
                  </w:r>
                  <w:r>
                    <w:rPr>
                      <w:rFonts w:hint="default" w:ascii="Times New Roman" w:hAnsi="Times New Roman" w:cs="Times New Roman" w:eastAsiaTheme="minorEastAsia"/>
                      <w:color w:val="auto"/>
                      <w:sz w:val="21"/>
                      <w:szCs w:val="21"/>
                      <w:highlight w:val="none"/>
                      <w:lang w:val="en-US" w:eastAsia="zh-CN"/>
                    </w:rPr>
                    <w:t>dB(A)</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i w:val="0"/>
                      <w:iCs w:val="0"/>
                      <w:color w:val="auto"/>
                      <w:sz w:val="21"/>
                      <w:szCs w:val="21"/>
                      <w:highlight w:val="none"/>
                      <w:vertAlign w:val="baseline"/>
                      <w:lang w:val="en-US" w:eastAsia="zh-CN"/>
                    </w:rPr>
                    <w:t>夜间</w:t>
                  </w:r>
                  <w:r>
                    <w:rPr>
                      <w:rFonts w:hint="default" w:ascii="Times New Roman" w:hAnsi="Times New Roman" w:cs="Times New Roman" w:eastAsiaTheme="minorEastAsia"/>
                      <w:color w:val="auto"/>
                      <w:sz w:val="21"/>
                      <w:szCs w:val="21"/>
                      <w:highlight w:val="none"/>
                      <w:lang w:val="en-US" w:eastAsia="zh-CN"/>
                    </w:rPr>
                    <w:t>dB(A)</w:t>
                  </w:r>
                </w:p>
              </w:tc>
              <w:tc>
                <w:tcPr>
                  <w:tcW w:w="93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Cs/>
                      <w:color w:val="000000"/>
                      <w:sz w:val="21"/>
                      <w:szCs w:val="21"/>
                      <w:highlight w:val="none"/>
                      <w:lang w:val="zh-CN"/>
                    </w:rPr>
                    <w:t>△</w:t>
                  </w:r>
                  <w:r>
                    <w:rPr>
                      <w:rFonts w:hint="default" w:ascii="Times New Roman" w:hAnsi="Times New Roman" w:cs="Times New Roman" w:eastAsiaTheme="minorEastAsia"/>
                      <w:sz w:val="21"/>
                      <w:szCs w:val="21"/>
                      <w:highlight w:val="none"/>
                      <w:lang w:val="en-US" w:eastAsia="zh-CN"/>
                    </w:rPr>
                    <w:t>1</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sz w:val="21"/>
                      <w:szCs w:val="21"/>
                      <w:highlight w:val="none"/>
                      <w:lang w:val="en-US" w:eastAsia="zh-CN"/>
                    </w:rPr>
                    <w:t>55.9</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sz w:val="21"/>
                      <w:szCs w:val="21"/>
                      <w:highlight w:val="none"/>
                      <w:lang w:val="en-US" w:eastAsia="zh-CN"/>
                    </w:rPr>
                    <w:t>48.1</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sz w:val="21"/>
                      <w:szCs w:val="21"/>
                      <w:highlight w:val="none"/>
                      <w:lang w:val="en-US" w:eastAsia="zh-CN"/>
                    </w:rPr>
                    <w:t>54.7</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sz w:val="21"/>
                      <w:szCs w:val="21"/>
                      <w:highlight w:val="none"/>
                      <w:lang w:val="en-US" w:eastAsia="zh-CN"/>
                    </w:rPr>
                    <w:t>46.5</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60</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w:t>
                  </w:r>
                </w:p>
              </w:tc>
              <w:tc>
                <w:tcPr>
                  <w:tcW w:w="93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bCs/>
                      <w:color w:val="000000"/>
                      <w:sz w:val="21"/>
                      <w:szCs w:val="21"/>
                      <w:lang w:val="zh-CN"/>
                    </w:rPr>
                    <w:t>△</w:t>
                  </w:r>
                  <w:r>
                    <w:rPr>
                      <w:rFonts w:hint="default" w:ascii="Times New Roman" w:hAnsi="Times New Roman" w:cs="Times New Roman" w:eastAsiaTheme="minorEastAsia"/>
                      <w:sz w:val="21"/>
                      <w:szCs w:val="21"/>
                    </w:rPr>
                    <w:t>2</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46.2</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41.3</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49.5</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43.2</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color w:val="auto"/>
                      <w:sz w:val="21"/>
                      <w:szCs w:val="21"/>
                      <w:highlight w:val="none"/>
                      <w:lang w:val="en-US" w:eastAsia="zh-CN"/>
                    </w:rPr>
                    <w:t>60</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eastAsiaTheme="minorEastAsia"/>
                      <w:color w:val="auto"/>
                      <w:sz w:val="21"/>
                      <w:szCs w:val="21"/>
                      <w:highlight w:val="none"/>
                      <w:lang w:val="en-US" w:eastAsia="zh-CN"/>
                    </w:rPr>
                    <w:t>50</w:t>
                  </w:r>
                </w:p>
              </w:tc>
              <w:tc>
                <w:tcPr>
                  <w:tcW w:w="93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bCs/>
                      <w:color w:val="000000"/>
                      <w:sz w:val="21"/>
                      <w:szCs w:val="21"/>
                      <w:lang w:val="zh-CN"/>
                    </w:rPr>
                    <w:t>△</w:t>
                  </w:r>
                  <w:r>
                    <w:rPr>
                      <w:rFonts w:hint="default" w:ascii="Times New Roman" w:hAnsi="Times New Roman" w:cs="Times New Roman" w:eastAsiaTheme="minorEastAsia"/>
                      <w:sz w:val="21"/>
                      <w:szCs w:val="21"/>
                    </w:rPr>
                    <w:t>3</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64.4</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52.8</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62.3</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51.9</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55</w:t>
                  </w:r>
                </w:p>
              </w:tc>
              <w:tc>
                <w:tcPr>
                  <w:tcW w:w="93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bCs/>
                      <w:color w:val="000000"/>
                      <w:sz w:val="21"/>
                      <w:szCs w:val="21"/>
                      <w:lang w:val="zh-CN"/>
                    </w:rPr>
                    <w:t>△</w:t>
                  </w:r>
                  <w:r>
                    <w:rPr>
                      <w:rFonts w:hint="default" w:ascii="Times New Roman" w:hAnsi="Times New Roman" w:cs="Times New Roman" w:eastAsiaTheme="minorEastAsia"/>
                      <w:sz w:val="21"/>
                      <w:szCs w:val="21"/>
                      <w:lang w:val="en-US" w:eastAsia="zh-CN"/>
                    </w:rPr>
                    <w:t>4</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49.1</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43.2</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50.2</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42.5</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color w:val="auto"/>
                      <w:sz w:val="21"/>
                      <w:szCs w:val="21"/>
                      <w:highlight w:val="none"/>
                      <w:lang w:val="en-US" w:eastAsia="zh-CN"/>
                    </w:rPr>
                    <w:t>60</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eastAsiaTheme="minorEastAsia"/>
                      <w:color w:val="auto"/>
                      <w:sz w:val="21"/>
                      <w:szCs w:val="21"/>
                      <w:highlight w:val="none"/>
                      <w:lang w:val="en-US" w:eastAsia="zh-CN"/>
                    </w:rPr>
                    <w:t>50</w:t>
                  </w:r>
                </w:p>
              </w:tc>
              <w:tc>
                <w:tcPr>
                  <w:tcW w:w="93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Ex>
              <w:trPr>
                <w:cantSplit/>
                <w:trHeight w:val="280" w:hRule="atLeast"/>
                <w:jc w:val="center"/>
              </w:trPr>
              <w:tc>
                <w:tcPr>
                  <w:tcW w:w="13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bCs/>
                      <w:color w:val="000000"/>
                      <w:sz w:val="21"/>
                      <w:szCs w:val="21"/>
                      <w:lang w:val="zh-CN"/>
                    </w:rPr>
                    <w:t>△</w:t>
                  </w:r>
                  <w:r>
                    <w:rPr>
                      <w:rFonts w:hint="default" w:ascii="Times New Roman" w:hAnsi="Times New Roman" w:cs="Times New Roman" w:eastAsiaTheme="minorEastAsia"/>
                      <w:sz w:val="21"/>
                      <w:szCs w:val="21"/>
                      <w:lang w:val="en-US" w:eastAsia="zh-CN"/>
                    </w:rPr>
                    <w:t>5</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45.6</w:t>
                  </w:r>
                </w:p>
              </w:tc>
              <w:tc>
                <w:tcPr>
                  <w:tcW w:w="10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42.1</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46.2</w:t>
                  </w:r>
                </w:p>
              </w:tc>
              <w:tc>
                <w:tcPr>
                  <w:tcW w:w="10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sz w:val="21"/>
                      <w:szCs w:val="21"/>
                      <w:lang w:val="en-US" w:eastAsia="zh-CN"/>
                    </w:rPr>
                    <w:t>42.8</w:t>
                  </w:r>
                </w:p>
              </w:tc>
              <w:tc>
                <w:tcPr>
                  <w:tcW w:w="1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color w:val="auto"/>
                      <w:sz w:val="21"/>
                      <w:szCs w:val="21"/>
                      <w:highlight w:val="none"/>
                      <w:lang w:val="en-US" w:eastAsia="zh-CN"/>
                    </w:rPr>
                    <w:t>60</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eastAsiaTheme="minorEastAsia"/>
                      <w:color w:val="auto"/>
                      <w:sz w:val="21"/>
                      <w:szCs w:val="21"/>
                      <w:highlight w:val="none"/>
                      <w:lang w:val="en-US" w:eastAsia="zh-CN"/>
                    </w:rPr>
                    <w:t>50</w:t>
                  </w:r>
                </w:p>
              </w:tc>
              <w:tc>
                <w:tcPr>
                  <w:tcW w:w="93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rPr>
                  </w:pPr>
                </w:p>
              </w:tc>
            </w:tr>
          </w:tbl>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auto"/>
              <w:outlineLvl w:val="9"/>
              <w:rPr>
                <w:bCs/>
                <w:color w:val="auto"/>
                <w:highlight w:val="none"/>
              </w:rPr>
            </w:pPr>
            <w:r>
              <w:rPr>
                <w:bCs/>
                <w:color w:val="auto"/>
                <w:highlight w:val="none"/>
              </w:rPr>
              <w:t>（2）现状评价</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b/>
                <w:bCs/>
                <w:color w:val="auto"/>
                <w:kern w:val="0"/>
                <w:highlight w:val="none"/>
              </w:rPr>
            </w:pPr>
            <w:r>
              <w:rPr>
                <w:color w:val="auto"/>
                <w:highlight w:val="none"/>
              </w:rPr>
              <w:t>由表</w:t>
            </w:r>
            <w:r>
              <w:rPr>
                <w:rFonts w:hint="eastAsia"/>
                <w:color w:val="auto"/>
                <w:highlight w:val="none"/>
                <w:lang w:val="en-US" w:eastAsia="zh-CN"/>
              </w:rPr>
              <w:t>3</w:t>
            </w:r>
            <w:r>
              <w:rPr>
                <w:color w:val="auto"/>
                <w:highlight w:val="none"/>
              </w:rPr>
              <w:t>-</w:t>
            </w:r>
            <w:r>
              <w:rPr>
                <w:rFonts w:hint="eastAsia"/>
                <w:color w:val="auto"/>
                <w:highlight w:val="none"/>
                <w:lang w:val="en-US" w:eastAsia="zh-CN"/>
              </w:rPr>
              <w:t>4</w:t>
            </w:r>
            <w:r>
              <w:rPr>
                <w:color w:val="auto"/>
                <w:highlight w:val="none"/>
              </w:rPr>
              <w:t>可知，项目监测点昼夜声环境均能满足《声环境质量标准》（GB3096-2008）</w:t>
            </w:r>
            <w:r>
              <w:rPr>
                <w:rFonts w:hint="eastAsia"/>
                <w:color w:val="auto"/>
                <w:highlight w:val="none"/>
                <w:lang w:val="en-US" w:eastAsia="zh-CN"/>
              </w:rPr>
              <w:t>2</w:t>
            </w:r>
            <w:r>
              <w:rPr>
                <w:color w:val="auto"/>
                <w:highlight w:val="none"/>
              </w:rPr>
              <w:t>类</w:t>
            </w:r>
            <w:r>
              <w:rPr>
                <w:rFonts w:hint="eastAsia"/>
                <w:color w:val="auto"/>
                <w:highlight w:val="none"/>
                <w:lang w:eastAsia="zh-CN"/>
              </w:rPr>
              <w:t>、</w:t>
            </w:r>
            <w:r>
              <w:rPr>
                <w:rFonts w:hint="eastAsia"/>
                <w:color w:val="auto"/>
                <w:highlight w:val="none"/>
                <w:lang w:val="en-US" w:eastAsia="zh-CN"/>
              </w:rPr>
              <w:t>4a类</w:t>
            </w:r>
            <w:r>
              <w:rPr>
                <w:color w:val="auto"/>
                <w:highlight w:val="none"/>
              </w:rPr>
              <w:t>标准要求。</w:t>
            </w:r>
          </w:p>
          <w:p>
            <w:pPr>
              <w:keepNext w:val="0"/>
              <w:keepLines w:val="0"/>
              <w:pageBreakBefore w:val="0"/>
              <w:widowControl w:val="0"/>
              <w:kinsoku/>
              <w:wordWrap/>
              <w:overflowPunct/>
              <w:topLinePunct w:val="0"/>
              <w:autoSpaceDE/>
              <w:autoSpaceDN/>
              <w:bidi w:val="0"/>
              <w:spacing w:line="360" w:lineRule="auto"/>
              <w:ind w:left="0" w:leftChars="0" w:right="0" w:rightChars="0"/>
              <w:jc w:val="both"/>
              <w:textAlignment w:val="auto"/>
              <w:outlineLvl w:val="9"/>
              <w:rPr>
                <w:b/>
                <w:bCs/>
                <w:color w:val="auto"/>
                <w:kern w:val="0"/>
                <w:highlight w:val="none"/>
              </w:rPr>
            </w:pPr>
            <w:r>
              <w:rPr>
                <w:rFonts w:hint="eastAsia"/>
                <w:b/>
                <w:bCs/>
                <w:color w:val="auto"/>
                <w:kern w:val="0"/>
                <w:highlight w:val="none"/>
                <w:lang w:val="en-US" w:eastAsia="zh-CN"/>
              </w:rPr>
              <w:t xml:space="preserve">3.3 </w:t>
            </w:r>
            <w:r>
              <w:rPr>
                <w:b/>
                <w:bCs/>
                <w:color w:val="auto"/>
                <w:kern w:val="0"/>
                <w:highlight w:val="none"/>
              </w:rPr>
              <w:t>主要环境保护敏感点和环境保护目标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b/>
                <w:bCs/>
                <w:color w:val="auto"/>
                <w:kern w:val="0"/>
                <w:highlight w:val="none"/>
              </w:rPr>
            </w:pPr>
            <w:r>
              <w:rPr>
                <w:b/>
                <w:bCs/>
                <w:color w:val="auto"/>
                <w:kern w:val="0"/>
                <w:highlight w:val="none"/>
              </w:rPr>
              <w:t>（1）主要环境保护敏感点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outlineLvl w:val="9"/>
              <w:rPr>
                <w:color w:val="auto"/>
                <w:szCs w:val="24"/>
                <w:highlight w:val="none"/>
                <w:u w:val="none"/>
              </w:rPr>
            </w:pPr>
            <w:r>
              <w:rPr>
                <w:color w:val="auto"/>
                <w:szCs w:val="24"/>
                <w:highlight w:val="none"/>
              </w:rPr>
              <w:t>本项目拟建于</w:t>
            </w:r>
            <w:r>
              <w:rPr>
                <w:rFonts w:hint="eastAsia"/>
                <w:bCs/>
                <w:color w:val="auto"/>
                <w:highlight w:val="none"/>
                <w:u w:val="none"/>
                <w:lang w:eastAsia="zh-CN"/>
              </w:rPr>
              <w:t>常德市鼎城区块阳明大道与兴业路交汇处</w:t>
            </w:r>
            <w:r>
              <w:rPr>
                <w:color w:val="auto"/>
                <w:szCs w:val="24"/>
                <w:highlight w:val="none"/>
              </w:rPr>
              <w:t>，</w:t>
            </w:r>
            <w:r>
              <w:rPr>
                <w:rFonts w:hint="eastAsia"/>
                <w:color w:val="auto"/>
                <w:szCs w:val="24"/>
                <w:highlight w:val="none"/>
                <w:lang w:eastAsia="zh-CN"/>
              </w:rPr>
              <w:t>业务大楼新增占地</w:t>
            </w:r>
            <w:r>
              <w:rPr>
                <w:rFonts w:hint="eastAsia"/>
                <w:color w:val="auto"/>
                <w:szCs w:val="24"/>
                <w:highlight w:val="none"/>
                <w:lang w:val="en-US" w:eastAsia="zh-CN"/>
              </w:rPr>
              <w:t>6881</w:t>
            </w:r>
            <w:r>
              <w:rPr>
                <w:rFonts w:hint="eastAsia"/>
                <w:b w:val="0"/>
                <w:bCs/>
                <w:color w:val="auto"/>
                <w:kern w:val="0"/>
                <w:sz w:val="24"/>
                <w:highlight w:val="none"/>
                <w:lang w:val="en-US" w:eastAsia="zh-CN"/>
              </w:rPr>
              <w:t>m</w:t>
            </w:r>
            <w:r>
              <w:rPr>
                <w:rFonts w:hint="eastAsia"/>
                <w:b w:val="0"/>
                <w:bCs/>
                <w:color w:val="auto"/>
                <w:kern w:val="0"/>
                <w:sz w:val="24"/>
                <w:highlight w:val="none"/>
                <w:vertAlign w:val="superscript"/>
                <w:lang w:val="en-US" w:eastAsia="zh-CN"/>
              </w:rPr>
              <w:t>2</w:t>
            </w:r>
            <w:r>
              <w:rPr>
                <w:color w:val="auto"/>
                <w:szCs w:val="24"/>
                <w:highlight w:val="none"/>
              </w:rPr>
              <w:t>，</w:t>
            </w:r>
            <w:r>
              <w:rPr>
                <w:rFonts w:hint="eastAsia"/>
                <w:color w:val="auto"/>
                <w:szCs w:val="24"/>
                <w:highlight w:val="none"/>
                <w:lang w:eastAsia="zh-CN"/>
              </w:rPr>
              <w:t>本项目占地</w:t>
            </w:r>
            <w:r>
              <w:rPr>
                <w:rFonts w:hint="eastAsia"/>
                <w:color w:val="auto"/>
                <w:szCs w:val="24"/>
                <w:highlight w:val="none"/>
                <w:lang w:val="en-US" w:eastAsia="zh-CN"/>
              </w:rPr>
              <w:t>200</w:t>
            </w:r>
            <w:r>
              <w:rPr>
                <w:rFonts w:hint="eastAsia"/>
                <w:b w:val="0"/>
                <w:bCs/>
                <w:color w:val="auto"/>
                <w:kern w:val="0"/>
                <w:sz w:val="24"/>
                <w:highlight w:val="none"/>
                <w:lang w:val="en-US" w:eastAsia="zh-CN"/>
              </w:rPr>
              <w:t>m</w:t>
            </w:r>
            <w:r>
              <w:rPr>
                <w:rFonts w:hint="eastAsia"/>
                <w:b w:val="0"/>
                <w:bCs/>
                <w:color w:val="auto"/>
                <w:kern w:val="0"/>
                <w:sz w:val="24"/>
                <w:highlight w:val="none"/>
                <w:vertAlign w:val="superscript"/>
                <w:lang w:val="en-US" w:eastAsia="zh-CN"/>
              </w:rPr>
              <w:t>2</w:t>
            </w:r>
            <w:r>
              <w:rPr>
                <w:color w:val="auto"/>
                <w:szCs w:val="24"/>
                <w:highlight w:val="none"/>
              </w:rPr>
              <w:t>，</w:t>
            </w:r>
            <w:r>
              <w:rPr>
                <w:rFonts w:hint="eastAsia"/>
                <w:color w:val="auto"/>
                <w:szCs w:val="24"/>
                <w:highlight w:val="none"/>
                <w:lang w:eastAsia="zh-CN"/>
              </w:rPr>
              <w:t>建筑面积</w:t>
            </w:r>
            <w:r>
              <w:rPr>
                <w:rFonts w:hint="eastAsia"/>
                <w:color w:val="auto"/>
                <w:szCs w:val="24"/>
                <w:highlight w:val="none"/>
                <w:lang w:val="en-US" w:eastAsia="zh-CN"/>
              </w:rPr>
              <w:t>1268</w:t>
            </w:r>
            <w:r>
              <w:rPr>
                <w:rFonts w:hint="eastAsia"/>
                <w:b w:val="0"/>
                <w:bCs/>
                <w:color w:val="auto"/>
                <w:kern w:val="0"/>
                <w:sz w:val="24"/>
                <w:highlight w:val="none"/>
                <w:lang w:val="en-US" w:eastAsia="zh-CN"/>
              </w:rPr>
              <w:t>m</w:t>
            </w:r>
            <w:r>
              <w:rPr>
                <w:rFonts w:hint="eastAsia"/>
                <w:b w:val="0"/>
                <w:bCs/>
                <w:color w:val="auto"/>
                <w:kern w:val="0"/>
                <w:sz w:val="24"/>
                <w:highlight w:val="none"/>
                <w:vertAlign w:val="superscript"/>
                <w:lang w:val="en-US" w:eastAsia="zh-CN"/>
              </w:rPr>
              <w:t>2</w:t>
            </w:r>
            <w:r>
              <w:rPr>
                <w:color w:val="auto"/>
                <w:szCs w:val="24"/>
                <w:highlight w:val="none"/>
              </w:rPr>
              <w:t>，</w:t>
            </w:r>
            <w:r>
              <w:rPr>
                <w:rFonts w:hint="eastAsia"/>
                <w:color w:val="auto"/>
                <w:szCs w:val="24"/>
                <w:highlight w:val="none"/>
                <w:lang w:eastAsia="zh-CN"/>
              </w:rPr>
              <w:t>设置有设备辅助机房及广播电视铁塔</w:t>
            </w:r>
            <w:r>
              <w:rPr>
                <w:rFonts w:hint="eastAsia"/>
                <w:color w:val="auto"/>
                <w:szCs w:val="24"/>
                <w:highlight w:val="none"/>
                <w:lang w:val="en-US" w:eastAsia="zh-CN"/>
              </w:rPr>
              <w:t>1座，铁塔高158m。项目天线中心东侧约71m处为孔家溶社区居民点，南侧约170m处为孔家溶社区居民点，西南侧约258m处及西侧约192m处亦为孔家溶社区居民点</w:t>
            </w:r>
            <w:r>
              <w:rPr>
                <w:color w:val="auto"/>
                <w:szCs w:val="24"/>
                <w:highlight w:val="none"/>
              </w:rPr>
              <w:t>。</w:t>
            </w:r>
            <w:r>
              <w:rPr>
                <w:bCs/>
                <w:color w:val="auto"/>
                <w:highlight w:val="none"/>
              </w:rPr>
              <w:t>项目对环境的影响主要为在一定范围内的电磁场对环境的影响，项目</w:t>
            </w:r>
            <w:r>
              <w:rPr>
                <w:color w:val="auto"/>
                <w:szCs w:val="24"/>
                <w:highlight w:val="none"/>
              </w:rPr>
              <w:t>周围环境敏感点见表</w:t>
            </w:r>
            <w:r>
              <w:rPr>
                <w:rFonts w:hint="eastAsia"/>
                <w:color w:val="auto"/>
                <w:szCs w:val="24"/>
                <w:highlight w:val="none"/>
                <w:lang w:val="en-US" w:eastAsia="zh-CN"/>
              </w:rPr>
              <w:t>3</w:t>
            </w:r>
            <w:r>
              <w:rPr>
                <w:color w:val="auto"/>
                <w:szCs w:val="24"/>
                <w:highlight w:val="none"/>
              </w:rPr>
              <w:t>-</w:t>
            </w:r>
            <w:r>
              <w:rPr>
                <w:rFonts w:hint="eastAsia"/>
                <w:color w:val="auto"/>
                <w:szCs w:val="24"/>
                <w:highlight w:val="none"/>
                <w:lang w:val="en-US" w:eastAsia="zh-CN"/>
              </w:rPr>
              <w:t>5</w:t>
            </w:r>
            <w:r>
              <w:rPr>
                <w:color w:val="auto"/>
                <w:szCs w:val="24"/>
                <w:highlight w:val="none"/>
              </w:rPr>
              <w:t>，周边环境状</w:t>
            </w:r>
            <w:r>
              <w:rPr>
                <w:color w:val="auto"/>
                <w:szCs w:val="24"/>
                <w:highlight w:val="none"/>
                <w:u w:val="none"/>
              </w:rPr>
              <w:t>况见附图</w:t>
            </w:r>
            <w:r>
              <w:rPr>
                <w:rFonts w:hint="eastAsia"/>
                <w:color w:val="auto"/>
                <w:szCs w:val="24"/>
                <w:highlight w:val="none"/>
                <w:u w:val="none"/>
                <w:lang w:eastAsia="zh-CN"/>
              </w:rPr>
              <w:t>三</w:t>
            </w:r>
            <w:r>
              <w:rPr>
                <w:color w:val="auto"/>
                <w:szCs w:val="24"/>
                <w:highlight w:val="none"/>
                <w:u w:val="none"/>
              </w:rPr>
              <w:t>。</w:t>
            </w:r>
          </w:p>
          <w:p>
            <w:pPr>
              <w:spacing w:line="440" w:lineRule="exact"/>
              <w:ind w:firstLine="480"/>
              <w:jc w:val="center"/>
              <w:rPr>
                <w:b/>
                <w:bCs/>
                <w:color w:val="auto"/>
                <w:sz w:val="21"/>
                <w:szCs w:val="21"/>
                <w:highlight w:val="none"/>
                <w:u w:val="none"/>
              </w:rPr>
            </w:pPr>
            <w:r>
              <w:rPr>
                <w:b/>
                <w:bCs/>
                <w:color w:val="auto"/>
                <w:highlight w:val="none"/>
                <w:u w:val="none"/>
              </w:rPr>
              <w:t>表</w:t>
            </w:r>
            <w:r>
              <w:rPr>
                <w:rFonts w:hint="eastAsia"/>
                <w:b/>
                <w:bCs/>
                <w:color w:val="auto"/>
                <w:highlight w:val="none"/>
                <w:u w:val="none"/>
                <w:lang w:val="en-US" w:eastAsia="zh-CN"/>
              </w:rPr>
              <w:t>3</w:t>
            </w:r>
            <w:r>
              <w:rPr>
                <w:b/>
                <w:bCs/>
                <w:color w:val="auto"/>
                <w:highlight w:val="none"/>
                <w:u w:val="none"/>
              </w:rPr>
              <w:t>-</w:t>
            </w:r>
            <w:r>
              <w:rPr>
                <w:rFonts w:hint="eastAsia"/>
                <w:b/>
                <w:bCs/>
                <w:color w:val="auto"/>
                <w:highlight w:val="none"/>
                <w:u w:val="none"/>
                <w:lang w:val="en-US" w:eastAsia="zh-CN"/>
              </w:rPr>
              <w:t>5</w:t>
            </w:r>
            <w:r>
              <w:rPr>
                <w:b/>
                <w:bCs/>
                <w:color w:val="auto"/>
                <w:highlight w:val="none"/>
                <w:u w:val="none"/>
              </w:rPr>
              <w:t xml:space="preserve">   </w:t>
            </w:r>
            <w:r>
              <w:rPr>
                <w:b/>
                <w:color w:val="auto"/>
                <w:highlight w:val="none"/>
                <w:u w:val="none"/>
              </w:rPr>
              <w:t>项目环境保护敏感点一览表</w:t>
            </w:r>
          </w:p>
          <w:tbl>
            <w:tblPr>
              <w:tblStyle w:val="35"/>
              <w:tblW w:w="8531" w:type="dxa"/>
              <w:tblInd w:w="11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8"/>
              <w:gridCol w:w="1899"/>
              <w:gridCol w:w="705"/>
              <w:gridCol w:w="1035"/>
              <w:gridCol w:w="975"/>
              <w:gridCol w:w="1005"/>
              <w:gridCol w:w="1875"/>
              <w:gridCol w:w="5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trPr>
              <w:tc>
                <w:tcPr>
                  <w:tcW w:w="458" w:type="dxa"/>
                  <w:tcBorders>
                    <w:tl2br w:val="nil"/>
                    <w:tr2bl w:val="nil"/>
                  </w:tcBorders>
                  <w:vAlign w:val="center"/>
                </w:tcPr>
                <w:p>
                  <w:pPr>
                    <w:spacing w:line="240" w:lineRule="auto"/>
                    <w:ind w:left="-120" w:leftChars="-50" w:right="-120" w:rightChars="-50"/>
                    <w:jc w:val="center"/>
                    <w:rPr>
                      <w:color w:val="auto"/>
                      <w:sz w:val="21"/>
                      <w:szCs w:val="21"/>
                      <w:highlight w:val="none"/>
                      <w:u w:val="wave"/>
                    </w:rPr>
                  </w:pPr>
                  <w:r>
                    <w:rPr>
                      <w:color w:val="auto"/>
                      <w:sz w:val="21"/>
                      <w:szCs w:val="21"/>
                      <w:highlight w:val="none"/>
                      <w:u w:val="wave"/>
                    </w:rPr>
                    <w:t>序号</w:t>
                  </w:r>
                </w:p>
              </w:tc>
              <w:tc>
                <w:tcPr>
                  <w:tcW w:w="1899" w:type="dxa"/>
                  <w:tcBorders>
                    <w:tl2br w:val="nil"/>
                    <w:tr2bl w:val="nil"/>
                  </w:tcBorders>
                  <w:vAlign w:val="center"/>
                </w:tcPr>
                <w:p>
                  <w:pPr>
                    <w:spacing w:line="240" w:lineRule="auto"/>
                    <w:ind w:left="-120" w:leftChars="-50" w:right="-120" w:rightChars="-50"/>
                    <w:jc w:val="center"/>
                    <w:rPr>
                      <w:color w:val="auto"/>
                      <w:sz w:val="21"/>
                      <w:szCs w:val="21"/>
                      <w:highlight w:val="none"/>
                      <w:u w:val="wave"/>
                    </w:rPr>
                  </w:pPr>
                  <w:r>
                    <w:rPr>
                      <w:color w:val="auto"/>
                      <w:sz w:val="21"/>
                      <w:highlight w:val="none"/>
                      <w:u w:val="wave"/>
                    </w:rPr>
                    <w:t>敏感点</w:t>
                  </w:r>
                </w:p>
              </w:tc>
              <w:tc>
                <w:tcPr>
                  <w:tcW w:w="705"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color w:val="auto"/>
                      <w:sz w:val="21"/>
                      <w:szCs w:val="21"/>
                      <w:highlight w:val="none"/>
                      <w:u w:val="wave"/>
                    </w:rPr>
                    <w:t>方位</w:t>
                  </w:r>
                </w:p>
              </w:tc>
              <w:tc>
                <w:tcPr>
                  <w:tcW w:w="1035" w:type="dxa"/>
                  <w:tcBorders>
                    <w:tl2br w:val="nil"/>
                    <w:tr2bl w:val="nil"/>
                  </w:tcBorders>
                  <w:vAlign w:val="center"/>
                </w:tcPr>
                <w:p>
                  <w:pPr>
                    <w:adjustRightInd w:val="0"/>
                    <w:snapToGrid w:val="0"/>
                    <w:spacing w:line="240" w:lineRule="auto"/>
                    <w:ind w:left="-120" w:leftChars="-50" w:right="-120" w:rightChars="-50"/>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与厂界围墙的水平距离</w:t>
                  </w:r>
                  <w:r>
                    <w:rPr>
                      <w:color w:val="auto"/>
                      <w:sz w:val="21"/>
                      <w:szCs w:val="21"/>
                      <w:highlight w:val="none"/>
                      <w:u w:val="wave"/>
                    </w:rPr>
                    <w:t>（m）</w:t>
                  </w:r>
                </w:p>
              </w:tc>
              <w:tc>
                <w:tcPr>
                  <w:tcW w:w="975"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与发射塔中心</w:t>
                  </w:r>
                  <w:r>
                    <w:rPr>
                      <w:color w:val="auto"/>
                      <w:sz w:val="21"/>
                      <w:szCs w:val="21"/>
                      <w:highlight w:val="none"/>
                      <w:u w:val="wave"/>
                    </w:rPr>
                    <w:t>水平距离（m）</w:t>
                  </w:r>
                </w:p>
              </w:tc>
              <w:tc>
                <w:tcPr>
                  <w:tcW w:w="1005"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与发射塔塔基所在平面</w:t>
                  </w:r>
                  <w:r>
                    <w:rPr>
                      <w:color w:val="auto"/>
                      <w:sz w:val="21"/>
                      <w:szCs w:val="21"/>
                      <w:highlight w:val="none"/>
                      <w:u w:val="wave"/>
                    </w:rPr>
                    <w:t>垂直距离（m）</w:t>
                  </w:r>
                </w:p>
              </w:tc>
              <w:tc>
                <w:tcPr>
                  <w:tcW w:w="1875"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color w:val="auto"/>
                      <w:sz w:val="21"/>
                      <w:szCs w:val="21"/>
                      <w:highlight w:val="none"/>
                      <w:u w:val="wave"/>
                    </w:rPr>
                    <w:t>环境特征</w:t>
                  </w:r>
                </w:p>
              </w:tc>
              <w:tc>
                <w:tcPr>
                  <w:tcW w:w="579"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color w:val="auto"/>
                      <w:sz w:val="21"/>
                      <w:szCs w:val="21"/>
                      <w:highlight w:val="none"/>
                      <w:u w:val="wave"/>
                    </w:rPr>
                    <w:t>影响因子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8" w:hRule="atLeast"/>
              </w:trPr>
              <w:tc>
                <w:tcPr>
                  <w:tcW w:w="458"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1</w:t>
                  </w:r>
                </w:p>
              </w:tc>
              <w:tc>
                <w:tcPr>
                  <w:tcW w:w="1899" w:type="dxa"/>
                  <w:tcBorders>
                    <w:tl2br w:val="nil"/>
                    <w:tr2bl w:val="nil"/>
                  </w:tcBorders>
                  <w:vAlign w:val="center"/>
                </w:tcPr>
                <w:p>
                  <w:pPr>
                    <w:spacing w:line="240" w:lineRule="atLeast"/>
                    <w:ind w:left="-120" w:leftChars="-50" w:right="-120" w:rightChars="-50"/>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孔家溶社区居民点</w:t>
                  </w:r>
                </w:p>
              </w:tc>
              <w:tc>
                <w:tcPr>
                  <w:tcW w:w="705" w:type="dxa"/>
                  <w:tcBorders>
                    <w:tl2br w:val="nil"/>
                    <w:tr2bl w:val="nil"/>
                  </w:tcBorders>
                  <w:vAlign w:val="center"/>
                </w:tcPr>
                <w:p>
                  <w:pPr>
                    <w:spacing w:line="240" w:lineRule="atLeast"/>
                    <w:ind w:left="-120" w:leftChars="-50" w:right="-120" w:rightChars="-50"/>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东</w:t>
                  </w:r>
                </w:p>
              </w:tc>
              <w:tc>
                <w:tcPr>
                  <w:tcW w:w="1035"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约60</w:t>
                  </w:r>
                </w:p>
              </w:tc>
              <w:tc>
                <w:tcPr>
                  <w:tcW w:w="975" w:type="dxa"/>
                  <w:tcBorders>
                    <w:tl2br w:val="nil"/>
                    <w:tr2bl w:val="nil"/>
                  </w:tcBorders>
                  <w:vAlign w:val="center"/>
                </w:tcPr>
                <w:p>
                  <w:pPr>
                    <w:adjustRightInd w:val="0"/>
                    <w:snapToGrid w:val="0"/>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val="en-US" w:eastAsia="zh-CN"/>
                    </w:rPr>
                    <w:t>约71</w:t>
                  </w:r>
                </w:p>
              </w:tc>
              <w:tc>
                <w:tcPr>
                  <w:tcW w:w="1005" w:type="dxa"/>
                  <w:tcBorders>
                    <w:tl2br w:val="nil"/>
                    <w:tr2bl w:val="nil"/>
                  </w:tcBorders>
                  <w:vAlign w:val="center"/>
                </w:tcPr>
                <w:p>
                  <w:pPr>
                    <w:adjustRightInd w:val="0"/>
                    <w:snapToGrid w:val="0"/>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-3</w:t>
                  </w:r>
                </w:p>
              </w:tc>
              <w:tc>
                <w:tcPr>
                  <w:tcW w:w="1875" w:type="dxa"/>
                  <w:tcBorders>
                    <w:tl2br w:val="nil"/>
                    <w:tr2bl w:val="nil"/>
                  </w:tcBorders>
                  <w:vAlign w:val="center"/>
                </w:tcPr>
                <w:p>
                  <w:pPr>
                    <w:pStyle w:val="13"/>
                    <w:spacing w:beforeLines="0" w:afterLines="0"/>
                    <w:jc w:val="center"/>
                    <w:rPr>
                      <w:rFonts w:hint="eastAsia" w:eastAsia="宋体"/>
                      <w:b w:val="0"/>
                      <w:bCs w:val="0"/>
                      <w:color w:val="auto"/>
                      <w:sz w:val="21"/>
                      <w:szCs w:val="21"/>
                      <w:highlight w:val="none"/>
                      <w:u w:val="wave"/>
                      <w:lang w:eastAsia="zh-CN"/>
                    </w:rPr>
                  </w:pPr>
                  <w:r>
                    <w:rPr>
                      <w:rFonts w:hint="eastAsia"/>
                      <w:b w:val="0"/>
                      <w:bCs w:val="0"/>
                      <w:color w:val="auto"/>
                      <w:sz w:val="21"/>
                      <w:szCs w:val="21"/>
                      <w:highlight w:val="none"/>
                      <w:u w:val="wave"/>
                      <w:lang w:eastAsia="zh-CN"/>
                    </w:rPr>
                    <w:t>居民点，约</w:t>
                  </w:r>
                  <w:r>
                    <w:rPr>
                      <w:rFonts w:hint="eastAsia"/>
                      <w:b w:val="0"/>
                      <w:bCs w:val="0"/>
                      <w:color w:val="auto"/>
                      <w:sz w:val="21"/>
                      <w:szCs w:val="21"/>
                      <w:highlight w:val="none"/>
                      <w:u w:val="wave"/>
                      <w:lang w:val="en-US" w:eastAsia="zh-CN"/>
                    </w:rPr>
                    <w:t>50户，150人</w:t>
                  </w:r>
                </w:p>
              </w:tc>
              <w:tc>
                <w:tcPr>
                  <w:tcW w:w="579" w:type="dxa"/>
                  <w:vMerge w:val="restart"/>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E、H、Seq、N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458"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2</w:t>
                  </w:r>
                </w:p>
              </w:tc>
              <w:tc>
                <w:tcPr>
                  <w:tcW w:w="1899" w:type="dxa"/>
                  <w:tcBorders>
                    <w:tl2br w:val="nil"/>
                    <w:tr2bl w:val="nil"/>
                  </w:tcBorders>
                  <w:vAlign w:val="center"/>
                </w:tcPr>
                <w:p>
                  <w:pPr>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孔家溶社区居民点</w:t>
                  </w:r>
                </w:p>
              </w:tc>
              <w:tc>
                <w:tcPr>
                  <w:tcW w:w="705" w:type="dxa"/>
                  <w:tcBorders>
                    <w:tl2br w:val="nil"/>
                    <w:tr2bl w:val="nil"/>
                  </w:tcBorders>
                  <w:vAlign w:val="center"/>
                </w:tcPr>
                <w:p>
                  <w:pPr>
                    <w:spacing w:line="240" w:lineRule="atLeast"/>
                    <w:ind w:left="-120" w:leftChars="-50" w:right="-120" w:rightChars="-50"/>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南</w:t>
                  </w:r>
                </w:p>
              </w:tc>
              <w:tc>
                <w:tcPr>
                  <w:tcW w:w="1035"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约20</w:t>
                  </w:r>
                </w:p>
              </w:tc>
              <w:tc>
                <w:tcPr>
                  <w:tcW w:w="975" w:type="dxa"/>
                  <w:tcBorders>
                    <w:tl2br w:val="nil"/>
                    <w:tr2bl w:val="nil"/>
                  </w:tcBorders>
                  <w:vAlign w:val="center"/>
                </w:tcPr>
                <w:p>
                  <w:pPr>
                    <w:adjustRightInd w:val="0"/>
                    <w:snapToGrid w:val="0"/>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val="en-US" w:eastAsia="zh-CN"/>
                    </w:rPr>
                    <w:t>约170</w:t>
                  </w:r>
                </w:p>
              </w:tc>
              <w:tc>
                <w:tcPr>
                  <w:tcW w:w="1005" w:type="dxa"/>
                  <w:tcBorders>
                    <w:tl2br w:val="nil"/>
                    <w:tr2bl w:val="nil"/>
                  </w:tcBorders>
                  <w:vAlign w:val="center"/>
                </w:tcPr>
                <w:p>
                  <w:pPr>
                    <w:adjustRightInd w:val="0"/>
                    <w:snapToGrid w:val="0"/>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-2</w:t>
                  </w:r>
                </w:p>
              </w:tc>
              <w:tc>
                <w:tcPr>
                  <w:tcW w:w="1875" w:type="dxa"/>
                  <w:tcBorders>
                    <w:tl2br w:val="nil"/>
                    <w:tr2bl w:val="nil"/>
                  </w:tcBorders>
                  <w:vAlign w:val="center"/>
                </w:tcPr>
                <w:p>
                  <w:pPr>
                    <w:pStyle w:val="13"/>
                    <w:spacing w:beforeLines="0" w:afterLines="0"/>
                    <w:jc w:val="center"/>
                    <w:rPr>
                      <w:rFonts w:hint="eastAsia" w:eastAsia="宋体"/>
                      <w:b w:val="0"/>
                      <w:bCs w:val="0"/>
                      <w:color w:val="auto"/>
                      <w:sz w:val="21"/>
                      <w:szCs w:val="21"/>
                      <w:highlight w:val="none"/>
                      <w:u w:val="wave"/>
                      <w:lang w:eastAsia="zh-CN"/>
                    </w:rPr>
                  </w:pPr>
                  <w:r>
                    <w:rPr>
                      <w:rFonts w:hint="eastAsia"/>
                      <w:b w:val="0"/>
                      <w:bCs w:val="0"/>
                      <w:color w:val="auto"/>
                      <w:sz w:val="21"/>
                      <w:szCs w:val="21"/>
                      <w:highlight w:val="none"/>
                      <w:u w:val="wave"/>
                      <w:lang w:eastAsia="zh-CN"/>
                    </w:rPr>
                    <w:t>居民点，约</w:t>
                  </w:r>
                  <w:r>
                    <w:rPr>
                      <w:rFonts w:hint="eastAsia"/>
                      <w:b w:val="0"/>
                      <w:bCs w:val="0"/>
                      <w:color w:val="auto"/>
                      <w:sz w:val="21"/>
                      <w:szCs w:val="21"/>
                      <w:highlight w:val="none"/>
                      <w:u w:val="wave"/>
                      <w:lang w:val="en-US" w:eastAsia="zh-CN"/>
                    </w:rPr>
                    <w:t>42户，126人</w:t>
                  </w:r>
                </w:p>
              </w:tc>
              <w:tc>
                <w:tcPr>
                  <w:tcW w:w="579" w:type="dxa"/>
                  <w:vMerge w:val="continue"/>
                  <w:tcBorders>
                    <w:tl2br w:val="nil"/>
                    <w:tr2bl w:val="nil"/>
                  </w:tcBorders>
                  <w:vAlign w:val="center"/>
                </w:tcPr>
                <w:p>
                  <w:pPr>
                    <w:spacing w:line="240" w:lineRule="auto"/>
                    <w:jc w:val="center"/>
                    <w:rPr>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c>
                <w:tcPr>
                  <w:tcW w:w="458"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3</w:t>
                  </w:r>
                </w:p>
              </w:tc>
              <w:tc>
                <w:tcPr>
                  <w:tcW w:w="1899"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eastAsia="zh-CN"/>
                    </w:rPr>
                    <w:t>孔家溶社区居民点</w:t>
                  </w:r>
                </w:p>
              </w:tc>
              <w:tc>
                <w:tcPr>
                  <w:tcW w:w="705"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西南</w:t>
                  </w:r>
                </w:p>
              </w:tc>
              <w:tc>
                <w:tcPr>
                  <w:tcW w:w="1035" w:type="dxa"/>
                  <w:tcBorders>
                    <w:tl2br w:val="nil"/>
                    <w:tr2bl w:val="nil"/>
                  </w:tcBorders>
                  <w:vAlign w:val="center"/>
                </w:tcPr>
                <w:p>
                  <w:pPr>
                    <w:spacing w:line="240" w:lineRule="auto"/>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约95</w:t>
                  </w:r>
                </w:p>
              </w:tc>
              <w:tc>
                <w:tcPr>
                  <w:tcW w:w="975"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val="en-US" w:eastAsia="zh-CN"/>
                    </w:rPr>
                    <w:t>约258</w:t>
                  </w:r>
                </w:p>
              </w:tc>
              <w:tc>
                <w:tcPr>
                  <w:tcW w:w="1005"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-0.5</w:t>
                  </w:r>
                </w:p>
              </w:tc>
              <w:tc>
                <w:tcPr>
                  <w:tcW w:w="1875" w:type="dxa"/>
                  <w:tcBorders>
                    <w:tl2br w:val="nil"/>
                    <w:tr2bl w:val="nil"/>
                  </w:tcBorders>
                  <w:vAlign w:val="center"/>
                </w:tcPr>
                <w:p>
                  <w:pPr>
                    <w:pStyle w:val="13"/>
                    <w:spacing w:beforeLines="0" w:afterLines="0"/>
                    <w:jc w:val="center"/>
                    <w:rPr>
                      <w:rFonts w:hint="eastAsia" w:eastAsia="宋体"/>
                      <w:b w:val="0"/>
                      <w:bCs w:val="0"/>
                      <w:color w:val="auto"/>
                      <w:sz w:val="21"/>
                      <w:szCs w:val="21"/>
                      <w:highlight w:val="none"/>
                      <w:u w:val="wave"/>
                      <w:lang w:eastAsia="zh-CN"/>
                    </w:rPr>
                  </w:pPr>
                  <w:r>
                    <w:rPr>
                      <w:rFonts w:hint="eastAsia"/>
                      <w:b w:val="0"/>
                      <w:bCs w:val="0"/>
                      <w:color w:val="auto"/>
                      <w:sz w:val="21"/>
                      <w:szCs w:val="21"/>
                      <w:highlight w:val="none"/>
                      <w:u w:val="wave"/>
                      <w:lang w:eastAsia="zh-CN"/>
                    </w:rPr>
                    <w:t>居民点，约</w:t>
                  </w:r>
                  <w:r>
                    <w:rPr>
                      <w:rFonts w:hint="eastAsia"/>
                      <w:b w:val="0"/>
                      <w:bCs w:val="0"/>
                      <w:color w:val="auto"/>
                      <w:sz w:val="21"/>
                      <w:szCs w:val="21"/>
                      <w:highlight w:val="none"/>
                      <w:u w:val="wave"/>
                      <w:lang w:val="en-US" w:eastAsia="zh-CN"/>
                    </w:rPr>
                    <w:t>47户，141人</w:t>
                  </w:r>
                </w:p>
              </w:tc>
              <w:tc>
                <w:tcPr>
                  <w:tcW w:w="579" w:type="dxa"/>
                  <w:vMerge w:val="continue"/>
                  <w:tcBorders>
                    <w:tl2br w:val="nil"/>
                    <w:tr2bl w:val="nil"/>
                  </w:tcBorders>
                  <w:vAlign w:val="center"/>
                </w:tcPr>
                <w:p>
                  <w:pPr>
                    <w:spacing w:line="240" w:lineRule="auto"/>
                    <w:jc w:val="center"/>
                    <w:rPr>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5" w:hRule="atLeast"/>
              </w:trPr>
              <w:tc>
                <w:tcPr>
                  <w:tcW w:w="458"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4</w:t>
                  </w:r>
                </w:p>
              </w:tc>
              <w:tc>
                <w:tcPr>
                  <w:tcW w:w="1899"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eastAsia="zh-CN"/>
                    </w:rPr>
                    <w:t>孔家溶社区居民点</w:t>
                  </w:r>
                </w:p>
              </w:tc>
              <w:tc>
                <w:tcPr>
                  <w:tcW w:w="705"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西</w:t>
                  </w:r>
                </w:p>
              </w:tc>
              <w:tc>
                <w:tcPr>
                  <w:tcW w:w="1035"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62</w:t>
                  </w:r>
                </w:p>
              </w:tc>
              <w:tc>
                <w:tcPr>
                  <w:tcW w:w="975"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192</w:t>
                  </w:r>
                </w:p>
              </w:tc>
              <w:tc>
                <w:tcPr>
                  <w:tcW w:w="1005"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-2</w:t>
                  </w:r>
                </w:p>
              </w:tc>
              <w:tc>
                <w:tcPr>
                  <w:tcW w:w="1875" w:type="dxa"/>
                  <w:tcBorders>
                    <w:tl2br w:val="nil"/>
                    <w:tr2bl w:val="nil"/>
                  </w:tcBorders>
                  <w:vAlign w:val="center"/>
                </w:tcPr>
                <w:p>
                  <w:pPr>
                    <w:pStyle w:val="13"/>
                    <w:spacing w:beforeLines="0" w:afterLines="0"/>
                    <w:jc w:val="center"/>
                    <w:rPr>
                      <w:b w:val="0"/>
                      <w:bCs w:val="0"/>
                      <w:color w:val="auto"/>
                      <w:sz w:val="21"/>
                      <w:szCs w:val="21"/>
                      <w:highlight w:val="none"/>
                      <w:u w:val="wave"/>
                    </w:rPr>
                  </w:pPr>
                  <w:r>
                    <w:rPr>
                      <w:rFonts w:hint="eastAsia"/>
                      <w:b w:val="0"/>
                      <w:bCs w:val="0"/>
                      <w:color w:val="auto"/>
                      <w:sz w:val="21"/>
                      <w:szCs w:val="21"/>
                      <w:highlight w:val="none"/>
                      <w:u w:val="wave"/>
                      <w:lang w:eastAsia="zh-CN"/>
                    </w:rPr>
                    <w:t>居民点，约</w:t>
                  </w:r>
                  <w:r>
                    <w:rPr>
                      <w:rFonts w:hint="eastAsia"/>
                      <w:b w:val="0"/>
                      <w:bCs w:val="0"/>
                      <w:color w:val="auto"/>
                      <w:sz w:val="21"/>
                      <w:szCs w:val="21"/>
                      <w:highlight w:val="none"/>
                      <w:u w:val="wave"/>
                      <w:lang w:val="en-US" w:eastAsia="zh-CN"/>
                    </w:rPr>
                    <w:t>4户，12人</w:t>
                  </w:r>
                </w:p>
              </w:tc>
              <w:tc>
                <w:tcPr>
                  <w:tcW w:w="579" w:type="dxa"/>
                  <w:vMerge w:val="continue"/>
                  <w:tcBorders>
                    <w:tl2br w:val="nil"/>
                    <w:tr2bl w:val="nil"/>
                  </w:tcBorders>
                  <w:vAlign w:val="center"/>
                </w:tcPr>
                <w:p>
                  <w:pPr>
                    <w:spacing w:line="240" w:lineRule="auto"/>
                    <w:jc w:val="center"/>
                    <w:rPr>
                      <w:color w:val="auto"/>
                      <w:sz w:val="21"/>
                      <w:szCs w:val="21"/>
                      <w:highlight w:val="none"/>
                      <w:u w:val="wave"/>
                    </w:rPr>
                  </w:pPr>
                </w:p>
              </w:tc>
            </w:tr>
          </w:tbl>
          <w:p>
            <w:pPr>
              <w:adjustRightInd w:val="0"/>
              <w:snapToGrid w:val="0"/>
              <w:spacing w:line="240" w:lineRule="auto"/>
              <w:jc w:val="left"/>
              <w:rPr>
                <w:b/>
                <w:bCs/>
                <w:color w:val="auto"/>
                <w:kern w:val="0"/>
                <w:sz w:val="21"/>
                <w:szCs w:val="21"/>
                <w:highlight w:val="none"/>
                <w:u w:val="none"/>
              </w:rPr>
            </w:pPr>
            <w:r>
              <w:rPr>
                <w:b/>
                <w:bCs/>
                <w:color w:val="auto"/>
                <w:kern w:val="0"/>
                <w:sz w:val="21"/>
                <w:szCs w:val="21"/>
                <w:highlight w:val="none"/>
                <w:u w:val="none"/>
              </w:rPr>
              <w:t>注：</w:t>
            </w:r>
            <w:r>
              <w:rPr>
                <w:rFonts w:hint="eastAsia" w:ascii="宋体" w:hAnsi="宋体" w:cs="宋体"/>
                <w:b/>
                <w:bCs/>
                <w:color w:val="auto"/>
                <w:kern w:val="0"/>
                <w:sz w:val="21"/>
                <w:szCs w:val="21"/>
                <w:highlight w:val="none"/>
                <w:u w:val="none"/>
              </w:rPr>
              <w:t>①</w:t>
            </w:r>
            <w:r>
              <w:rPr>
                <w:b/>
                <w:bCs/>
                <w:color w:val="auto"/>
                <w:kern w:val="0"/>
                <w:sz w:val="21"/>
                <w:szCs w:val="21"/>
                <w:highlight w:val="none"/>
                <w:u w:val="none"/>
              </w:rPr>
              <w:t>“-”表示比本项目天线低；</w:t>
            </w:r>
          </w:p>
          <w:p>
            <w:pPr>
              <w:adjustRightInd w:val="0"/>
              <w:snapToGrid w:val="0"/>
              <w:spacing w:line="240" w:lineRule="auto"/>
              <w:ind w:firstLine="435"/>
              <w:jc w:val="left"/>
              <w:rPr>
                <w:rFonts w:hint="eastAsia"/>
                <w:b/>
                <w:bCs/>
                <w:color w:val="auto"/>
                <w:sz w:val="21"/>
                <w:szCs w:val="21"/>
                <w:highlight w:val="none"/>
                <w:u w:val="none"/>
                <w:lang w:eastAsia="zh-CN"/>
              </w:rPr>
            </w:pPr>
            <w:r>
              <w:rPr>
                <w:rFonts w:hint="eastAsia" w:ascii="宋体" w:hAnsi="宋体" w:cs="宋体"/>
                <w:b/>
                <w:bCs/>
                <w:color w:val="auto"/>
                <w:kern w:val="0"/>
                <w:sz w:val="21"/>
                <w:szCs w:val="21"/>
                <w:highlight w:val="none"/>
                <w:u w:val="none"/>
              </w:rPr>
              <w:t>②</w:t>
            </w:r>
            <w:r>
              <w:rPr>
                <w:b/>
                <w:bCs/>
                <w:color w:val="auto"/>
                <w:sz w:val="21"/>
                <w:szCs w:val="21"/>
                <w:highlight w:val="none"/>
                <w:u w:val="none"/>
              </w:rPr>
              <w:t>E—电场强度，H—磁场强度，Seq—等效平面波功率密度，N—噪声</w:t>
            </w:r>
            <w:r>
              <w:rPr>
                <w:rFonts w:hint="eastAsia"/>
                <w:b/>
                <w:bCs/>
                <w:color w:val="auto"/>
                <w:sz w:val="21"/>
                <w:szCs w:val="21"/>
                <w:highlight w:val="none"/>
                <w:u w:val="none"/>
                <w:lang w:eastAsia="zh-CN"/>
              </w:rPr>
              <w:t>。</w:t>
            </w:r>
          </w:p>
          <w:p>
            <w:pPr>
              <w:adjustRightInd w:val="0"/>
              <w:snapToGrid w:val="0"/>
              <w:spacing w:line="240" w:lineRule="auto"/>
              <w:ind w:firstLine="435"/>
              <w:jc w:val="left"/>
              <w:rPr>
                <w:rFonts w:hint="eastAsia"/>
                <w:b/>
                <w:bCs/>
                <w:color w:val="auto"/>
                <w:sz w:val="21"/>
                <w:szCs w:val="21"/>
                <w:highlight w:val="none"/>
                <w:u w:val="none"/>
                <w:lang w:eastAsia="zh-CN"/>
              </w:rPr>
            </w:pPr>
          </w:p>
          <w:p>
            <w:pPr>
              <w:adjustRightInd w:val="0"/>
              <w:snapToGrid w:val="0"/>
              <w:spacing w:before="156" w:beforeLines="50" w:line="240" w:lineRule="auto"/>
              <w:jc w:val="left"/>
              <w:rPr>
                <w:b/>
                <w:bCs/>
                <w:color w:val="auto"/>
                <w:kern w:val="0"/>
                <w:highlight w:val="none"/>
                <w:u w:val="none"/>
              </w:rPr>
            </w:pPr>
            <w:r>
              <w:rPr>
                <w:b/>
                <w:bCs/>
                <w:color w:val="auto"/>
                <w:kern w:val="0"/>
                <w:highlight w:val="none"/>
                <w:u w:val="none"/>
              </w:rPr>
              <w:t>（2）环境保护目标</w:t>
            </w:r>
          </w:p>
          <w:p>
            <w:pPr>
              <w:ind w:firstLine="510"/>
              <w:rPr>
                <w:bCs/>
                <w:color w:val="auto"/>
                <w:kern w:val="0"/>
                <w:highlight w:val="none"/>
              </w:rPr>
            </w:pPr>
            <w:r>
              <w:rPr>
                <w:bCs/>
                <w:color w:val="auto"/>
                <w:kern w:val="0"/>
                <w:highlight w:val="none"/>
              </w:rPr>
              <w:t>本项目附近无重点文物保护单位，无名胜古迹和珍贵野生动植物分布等环境敏感点，因此确定本项目的环境保护目标为（在评价范围内）：</w:t>
            </w:r>
          </w:p>
          <w:p>
            <w:pPr>
              <w:ind w:firstLine="470" w:firstLineChars="196"/>
              <w:rPr>
                <w:color w:val="auto"/>
                <w:kern w:val="0"/>
                <w:szCs w:val="24"/>
                <w:highlight w:val="none"/>
                <w:u w:val="wave"/>
              </w:rPr>
            </w:pPr>
            <w:r>
              <w:rPr>
                <w:bCs/>
                <w:color w:val="auto"/>
                <w:kern w:val="0"/>
                <w:highlight w:val="none"/>
                <w:u w:val="wave"/>
              </w:rPr>
              <w:t>电磁环境：</w:t>
            </w:r>
            <w:r>
              <w:rPr>
                <w:color w:val="auto"/>
                <w:kern w:val="0"/>
                <w:szCs w:val="24"/>
                <w:highlight w:val="none"/>
                <w:u w:val="wave"/>
              </w:rPr>
              <w:t>电场强度、磁场强度、</w:t>
            </w:r>
            <w:r>
              <w:rPr>
                <w:bCs/>
                <w:color w:val="auto"/>
                <w:highlight w:val="none"/>
                <w:u w:val="wave"/>
              </w:rPr>
              <w:t>等效平面波功率密度</w:t>
            </w:r>
            <w:r>
              <w:rPr>
                <w:color w:val="auto"/>
                <w:kern w:val="0"/>
                <w:szCs w:val="24"/>
                <w:highlight w:val="none"/>
                <w:u w:val="wave"/>
              </w:rPr>
              <w:t>满足</w:t>
            </w:r>
            <w:r>
              <w:rPr>
                <w:color w:val="auto"/>
                <w:highlight w:val="none"/>
                <w:u w:val="wave"/>
              </w:rPr>
              <w:t>GB8702-2014中规定的公众暴露控制限值要求</w:t>
            </w:r>
            <w:r>
              <w:rPr>
                <w:color w:val="auto"/>
                <w:kern w:val="0"/>
                <w:szCs w:val="24"/>
                <w:highlight w:val="none"/>
                <w:u w:val="wave"/>
              </w:rPr>
              <w:t>：电场强度&lt;</w:t>
            </w:r>
            <w:r>
              <w:rPr>
                <w:rFonts w:hint="eastAsia"/>
                <w:color w:val="auto"/>
                <w:kern w:val="0"/>
                <w:szCs w:val="24"/>
                <w:highlight w:val="none"/>
                <w:u w:val="wave"/>
                <w:lang w:val="en-US" w:eastAsia="zh-CN"/>
              </w:rPr>
              <w:t>5.37</w:t>
            </w:r>
            <w:r>
              <w:rPr>
                <w:color w:val="auto"/>
                <w:kern w:val="0"/>
                <w:szCs w:val="24"/>
                <w:highlight w:val="none"/>
                <w:u w:val="wave"/>
              </w:rPr>
              <w:t>V/m；磁场强度&lt;0.0</w:t>
            </w:r>
            <w:r>
              <w:rPr>
                <w:rFonts w:hint="eastAsia"/>
                <w:color w:val="auto"/>
                <w:kern w:val="0"/>
                <w:szCs w:val="24"/>
                <w:highlight w:val="none"/>
                <w:u w:val="wave"/>
                <w:lang w:val="en-US" w:eastAsia="zh-CN"/>
              </w:rPr>
              <w:t>14</w:t>
            </w:r>
            <w:r>
              <w:rPr>
                <w:bCs/>
                <w:color w:val="auto"/>
                <w:highlight w:val="none"/>
                <w:u w:val="wave"/>
              </w:rPr>
              <w:t>A/m，等效平面波功率密度</w:t>
            </w:r>
            <w:r>
              <w:rPr>
                <w:color w:val="auto"/>
                <w:kern w:val="0"/>
                <w:szCs w:val="24"/>
                <w:highlight w:val="none"/>
                <w:u w:val="wave"/>
              </w:rPr>
              <w:t>&lt;</w:t>
            </w:r>
            <w:r>
              <w:rPr>
                <w:rFonts w:hint="eastAsia"/>
                <w:color w:val="auto"/>
                <w:kern w:val="0"/>
                <w:szCs w:val="24"/>
                <w:highlight w:val="none"/>
                <w:u w:val="wave"/>
                <w:lang w:val="en-US" w:eastAsia="zh-CN"/>
              </w:rPr>
              <w:t>0.08</w:t>
            </w:r>
            <w:r>
              <w:rPr>
                <w:rFonts w:hint="default" w:ascii="Times New Roman" w:hAnsi="Times New Roman" w:eastAsia="宋体" w:cs="Times New Roman"/>
                <w:sz w:val="24"/>
                <w:szCs w:val="24"/>
                <w:highlight w:val="none"/>
                <w:u w:val="wave"/>
                <w:lang w:val="en-US" w:eastAsia="zh-CN"/>
              </w:rPr>
              <w:t>W</w:t>
            </w:r>
            <w:r>
              <w:rPr>
                <w:rFonts w:hint="eastAsia" w:ascii="Times New Roman" w:hAnsi="宋体" w:eastAsia="宋体"/>
                <w:sz w:val="24"/>
                <w:szCs w:val="24"/>
                <w:highlight w:val="none"/>
                <w:u w:val="wave"/>
                <w:lang w:val="en-US" w:eastAsia="zh-CN"/>
              </w:rPr>
              <w:t>/m</w:t>
            </w:r>
            <w:r>
              <w:rPr>
                <w:rFonts w:hint="eastAsia" w:ascii="Times New Roman" w:hAnsi="宋体" w:eastAsia="宋体"/>
                <w:sz w:val="24"/>
                <w:szCs w:val="24"/>
                <w:highlight w:val="none"/>
                <w:u w:val="wave"/>
                <w:vertAlign w:val="superscript"/>
                <w:lang w:val="en-US" w:eastAsia="zh-CN"/>
              </w:rPr>
              <w:t>2</w:t>
            </w:r>
            <w:r>
              <w:rPr>
                <w:color w:val="auto"/>
                <w:kern w:val="0"/>
                <w:szCs w:val="24"/>
                <w:highlight w:val="none"/>
                <w:u w:val="wave"/>
              </w:rPr>
              <w:t>。</w:t>
            </w:r>
          </w:p>
          <w:p>
            <w:pPr>
              <w:ind w:firstLine="470" w:firstLineChars="196"/>
              <w:rPr>
                <w:color w:val="auto"/>
                <w:kern w:val="0"/>
                <w:szCs w:val="24"/>
                <w:highlight w:val="none"/>
              </w:rPr>
            </w:pPr>
            <w:r>
              <w:rPr>
                <w:color w:val="auto"/>
                <w:kern w:val="0"/>
                <w:highlight w:val="none"/>
              </w:rPr>
              <w:t>声环境：</w:t>
            </w:r>
            <w:r>
              <w:rPr>
                <w:rFonts w:hint="eastAsia"/>
                <w:color w:val="auto"/>
                <w:kern w:val="0"/>
                <w:highlight w:val="none"/>
                <w:lang w:eastAsia="zh-CN"/>
              </w:rPr>
              <w:t>临路侧</w:t>
            </w:r>
            <w:r>
              <w:rPr>
                <w:bCs/>
                <w:color w:val="auto"/>
                <w:kern w:val="0"/>
                <w:szCs w:val="24"/>
                <w:highlight w:val="none"/>
              </w:rPr>
              <w:t>昼间</w:t>
            </w:r>
            <w:r>
              <w:rPr>
                <w:color w:val="auto"/>
                <w:kern w:val="0"/>
                <w:szCs w:val="24"/>
                <w:highlight w:val="none"/>
              </w:rPr>
              <w:t>≤</w:t>
            </w:r>
            <w:r>
              <w:rPr>
                <w:rFonts w:hint="eastAsia"/>
                <w:color w:val="auto"/>
                <w:kern w:val="0"/>
                <w:szCs w:val="24"/>
                <w:highlight w:val="none"/>
                <w:lang w:val="en-US" w:eastAsia="zh-CN"/>
              </w:rPr>
              <w:t>70</w:t>
            </w:r>
            <w:r>
              <w:rPr>
                <w:color w:val="auto"/>
                <w:kern w:val="0"/>
                <w:szCs w:val="24"/>
                <w:highlight w:val="none"/>
              </w:rPr>
              <w:t>dB（A）、</w:t>
            </w:r>
            <w:r>
              <w:rPr>
                <w:bCs/>
                <w:color w:val="auto"/>
                <w:kern w:val="0"/>
                <w:szCs w:val="24"/>
                <w:highlight w:val="none"/>
              </w:rPr>
              <w:t>夜间</w:t>
            </w:r>
            <w:r>
              <w:rPr>
                <w:color w:val="auto"/>
                <w:kern w:val="0"/>
                <w:szCs w:val="24"/>
                <w:highlight w:val="none"/>
              </w:rPr>
              <w:t>≤</w:t>
            </w:r>
            <w:r>
              <w:rPr>
                <w:rFonts w:hint="eastAsia"/>
                <w:color w:val="auto"/>
                <w:kern w:val="0"/>
                <w:szCs w:val="24"/>
                <w:highlight w:val="none"/>
                <w:lang w:val="en-US" w:eastAsia="zh-CN"/>
              </w:rPr>
              <w:t>55</w:t>
            </w:r>
            <w:r>
              <w:rPr>
                <w:color w:val="auto"/>
                <w:kern w:val="0"/>
                <w:szCs w:val="24"/>
                <w:highlight w:val="none"/>
              </w:rPr>
              <w:t>dB（A）</w:t>
            </w:r>
            <w:r>
              <w:rPr>
                <w:rFonts w:hint="eastAsia"/>
                <w:color w:val="auto"/>
                <w:kern w:val="0"/>
                <w:szCs w:val="24"/>
                <w:highlight w:val="none"/>
                <w:lang w:eastAsia="zh-CN"/>
              </w:rPr>
              <w:t>；非临路侧</w:t>
            </w:r>
            <w:r>
              <w:rPr>
                <w:bCs/>
                <w:color w:val="auto"/>
                <w:kern w:val="0"/>
                <w:szCs w:val="24"/>
                <w:highlight w:val="none"/>
              </w:rPr>
              <w:t>昼间</w:t>
            </w:r>
            <w:r>
              <w:rPr>
                <w:color w:val="auto"/>
                <w:kern w:val="0"/>
                <w:szCs w:val="24"/>
                <w:highlight w:val="none"/>
              </w:rPr>
              <w:t>≤</w:t>
            </w:r>
            <w:r>
              <w:rPr>
                <w:rFonts w:hint="eastAsia"/>
                <w:color w:val="auto"/>
                <w:kern w:val="0"/>
                <w:szCs w:val="24"/>
                <w:highlight w:val="none"/>
                <w:lang w:val="en-US" w:eastAsia="zh-CN"/>
              </w:rPr>
              <w:t>60</w:t>
            </w:r>
            <w:r>
              <w:rPr>
                <w:color w:val="auto"/>
                <w:kern w:val="0"/>
                <w:szCs w:val="24"/>
                <w:highlight w:val="none"/>
              </w:rPr>
              <w:t>dB（A）、</w:t>
            </w:r>
            <w:r>
              <w:rPr>
                <w:bCs/>
                <w:color w:val="auto"/>
                <w:kern w:val="0"/>
                <w:szCs w:val="24"/>
                <w:highlight w:val="none"/>
              </w:rPr>
              <w:t>夜间</w:t>
            </w:r>
            <w:r>
              <w:rPr>
                <w:color w:val="auto"/>
                <w:kern w:val="0"/>
                <w:szCs w:val="24"/>
                <w:highlight w:val="none"/>
              </w:rPr>
              <w:t>≤</w:t>
            </w:r>
            <w:r>
              <w:rPr>
                <w:rFonts w:hint="eastAsia"/>
                <w:color w:val="auto"/>
                <w:kern w:val="0"/>
                <w:szCs w:val="24"/>
                <w:highlight w:val="none"/>
                <w:lang w:val="en-US" w:eastAsia="zh-CN"/>
              </w:rPr>
              <w:t>50</w:t>
            </w:r>
            <w:r>
              <w:rPr>
                <w:color w:val="auto"/>
                <w:kern w:val="0"/>
                <w:szCs w:val="24"/>
                <w:highlight w:val="none"/>
              </w:rPr>
              <w:t>dB（A）。</w:t>
            </w:r>
          </w:p>
          <w:p>
            <w:pPr>
              <w:ind w:firstLine="470" w:firstLineChars="196"/>
              <w:rPr>
                <w:color w:val="auto"/>
                <w:kern w:val="0"/>
                <w:szCs w:val="24"/>
                <w:highlight w:val="none"/>
              </w:rPr>
            </w:pPr>
          </w:p>
          <w:p>
            <w:pPr>
              <w:ind w:firstLine="470" w:firstLineChars="196"/>
              <w:rPr>
                <w:color w:val="auto"/>
                <w:kern w:val="0"/>
                <w:szCs w:val="24"/>
                <w:highlight w:val="yellow"/>
              </w:rPr>
            </w:pPr>
          </w:p>
          <w:p>
            <w:pPr>
              <w:ind w:firstLine="470" w:firstLineChars="196"/>
              <w:rPr>
                <w:color w:val="auto"/>
                <w:kern w:val="0"/>
                <w:szCs w:val="24"/>
                <w:highlight w:val="yellow"/>
              </w:rPr>
            </w:pPr>
          </w:p>
          <w:p>
            <w:pPr>
              <w:ind w:firstLine="470" w:firstLineChars="196"/>
              <w:rPr>
                <w:color w:val="auto"/>
                <w:kern w:val="0"/>
                <w:szCs w:val="24"/>
                <w:highlight w:val="yellow"/>
              </w:rPr>
            </w:pPr>
          </w:p>
          <w:p>
            <w:pPr>
              <w:ind w:firstLine="470" w:firstLineChars="196"/>
              <w:rPr>
                <w:color w:val="auto"/>
                <w:kern w:val="0"/>
                <w:szCs w:val="24"/>
                <w:highlight w:val="yellow"/>
              </w:rPr>
            </w:pPr>
          </w:p>
          <w:p>
            <w:pPr>
              <w:ind w:firstLine="470" w:firstLineChars="196"/>
              <w:rPr>
                <w:color w:val="auto"/>
                <w:kern w:val="0"/>
                <w:szCs w:val="24"/>
                <w:highlight w:val="yellow"/>
              </w:rPr>
            </w:pPr>
          </w:p>
          <w:p>
            <w:pPr>
              <w:ind w:firstLine="470" w:firstLineChars="196"/>
              <w:rPr>
                <w:color w:val="auto"/>
                <w:kern w:val="0"/>
                <w:szCs w:val="24"/>
                <w:highlight w:val="yellow"/>
              </w:rPr>
            </w:pPr>
          </w:p>
          <w:p>
            <w:pPr>
              <w:ind w:firstLine="470" w:firstLineChars="196"/>
              <w:rPr>
                <w:color w:val="auto"/>
                <w:kern w:val="0"/>
                <w:szCs w:val="24"/>
                <w:highlight w:val="yellow"/>
              </w:rPr>
            </w:pPr>
          </w:p>
          <w:p>
            <w:pPr>
              <w:snapToGrid w:val="0"/>
              <w:rPr>
                <w:b/>
                <w:bCs/>
                <w:color w:val="auto"/>
                <w:sz w:val="21"/>
                <w:szCs w:val="21"/>
                <w:highlight w:val="yellow"/>
              </w:rPr>
            </w:pPr>
          </w:p>
        </w:tc>
      </w:tr>
    </w:tbl>
    <w:p>
      <w:pPr>
        <w:spacing w:line="240" w:lineRule="atLeast"/>
        <w:rPr>
          <w:color w:val="auto"/>
          <w:sz w:val="10"/>
          <w:szCs w:val="10"/>
        </w:rPr>
      </w:pPr>
    </w:p>
    <w:p>
      <w:pPr>
        <w:rPr>
          <w:color w:val="auto"/>
        </w:rPr>
      </w:pPr>
    </w:p>
    <w:p>
      <w:pPr>
        <w:rPr>
          <w:b/>
          <w:color w:val="auto"/>
          <w:szCs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left"/>
        <w:rPr>
          <w:b/>
          <w:color w:val="auto"/>
          <w:szCs w:val="24"/>
          <w:lang w:val="en-US"/>
        </w:rPr>
      </w:pPr>
      <w:r>
        <w:rPr>
          <w:b/>
          <w:color w:val="auto"/>
          <w:szCs w:val="24"/>
        </w:rPr>
        <w:t>评价</w:t>
      </w:r>
      <w:r>
        <w:rPr>
          <w:rFonts w:hint="eastAsia"/>
          <w:b/>
          <w:color w:val="auto"/>
          <w:szCs w:val="24"/>
          <w:lang w:eastAsia="zh-CN"/>
        </w:rPr>
        <w:t>适用</w:t>
      </w:r>
      <w:r>
        <w:rPr>
          <w:b/>
          <w:color w:val="auto"/>
          <w:szCs w:val="24"/>
        </w:rPr>
        <w:t xml:space="preserve">标准 </w:t>
      </w:r>
      <w:r>
        <w:rPr>
          <w:rFonts w:hint="eastAsia"/>
          <w:b/>
          <w:color w:val="auto"/>
          <w:szCs w:val="24"/>
          <w:lang w:val="en-US" w:eastAsia="zh-CN"/>
        </w:rPr>
        <w:t xml:space="preserve">   </w:t>
      </w:r>
      <w:r>
        <w:rPr>
          <w:b/>
          <w:color w:val="auto"/>
          <w:szCs w:val="24"/>
        </w:rPr>
        <w:t xml:space="preserve">                                               表</w:t>
      </w:r>
      <w:r>
        <w:rPr>
          <w:rFonts w:hint="eastAsia"/>
          <w:b/>
          <w:color w:val="auto"/>
          <w:szCs w:val="24"/>
          <w:lang w:val="en-US" w:eastAsia="zh-CN"/>
        </w:rPr>
        <w:t>4</w:t>
      </w:r>
    </w:p>
    <w:tbl>
      <w:tblPr>
        <w:tblStyle w:val="35"/>
        <w:tblW w:w="8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
      <w:tblGrid>
        <w:gridCol w:w="898"/>
        <w:gridCol w:w="1746"/>
        <w:gridCol w:w="1875"/>
        <w:gridCol w:w="2310"/>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Ex>
        <w:trPr>
          <w:trHeight w:val="32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b/>
                <w:bCs/>
                <w:color w:val="auto"/>
                <w:sz w:val="21"/>
                <w:szCs w:val="21"/>
                <w:highlight w:val="none"/>
                <w:u w:val="none"/>
              </w:rPr>
            </w:pPr>
            <w:r>
              <w:rPr>
                <w:b/>
                <w:bCs/>
                <w:color w:val="auto"/>
                <w:sz w:val="21"/>
                <w:szCs w:val="21"/>
                <w:highlight w:val="none"/>
                <w:u w:val="none"/>
              </w:rPr>
              <w:t>分类</w:t>
            </w:r>
          </w:p>
        </w:tc>
        <w:tc>
          <w:tcPr>
            <w:tcW w:w="174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b/>
                <w:bCs/>
                <w:color w:val="auto"/>
                <w:sz w:val="21"/>
                <w:szCs w:val="21"/>
                <w:highlight w:val="none"/>
                <w:u w:val="none"/>
              </w:rPr>
            </w:pPr>
            <w:r>
              <w:rPr>
                <w:rFonts w:hint="eastAsia"/>
                <w:b/>
                <w:bCs/>
                <w:color w:val="auto"/>
                <w:sz w:val="21"/>
                <w:szCs w:val="21"/>
                <w:highlight w:val="none"/>
                <w:u w:val="none"/>
                <w:lang w:eastAsia="zh-CN"/>
              </w:rPr>
              <w:t>大气环境</w:t>
            </w:r>
          </w:p>
        </w:tc>
        <w:tc>
          <w:tcPr>
            <w:tcW w:w="18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eastAsia="宋体"/>
                <w:b/>
                <w:bCs/>
                <w:color w:val="auto"/>
                <w:sz w:val="21"/>
                <w:szCs w:val="21"/>
                <w:highlight w:val="none"/>
                <w:u w:val="none"/>
                <w:lang w:eastAsia="zh-CN"/>
              </w:rPr>
            </w:pPr>
            <w:r>
              <w:rPr>
                <w:rFonts w:hint="eastAsia"/>
                <w:b/>
                <w:bCs/>
                <w:color w:val="auto"/>
                <w:sz w:val="21"/>
                <w:szCs w:val="21"/>
                <w:highlight w:val="none"/>
                <w:u w:val="none"/>
                <w:lang w:eastAsia="zh-CN"/>
              </w:rPr>
              <w:t>水环境</w:t>
            </w:r>
          </w:p>
        </w:tc>
        <w:tc>
          <w:tcPr>
            <w:tcW w:w="231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eastAsia="宋体"/>
                <w:b/>
                <w:bCs/>
                <w:color w:val="auto"/>
                <w:sz w:val="21"/>
                <w:szCs w:val="21"/>
                <w:highlight w:val="none"/>
                <w:u w:val="none"/>
                <w:lang w:eastAsia="zh-CN"/>
              </w:rPr>
            </w:pPr>
            <w:r>
              <w:rPr>
                <w:b/>
                <w:bCs/>
                <w:color w:val="auto"/>
                <w:sz w:val="21"/>
                <w:szCs w:val="21"/>
                <w:highlight w:val="none"/>
                <w:u w:val="none"/>
              </w:rPr>
              <w:t>噪声</w:t>
            </w:r>
          </w:p>
        </w:tc>
        <w:tc>
          <w:tcPr>
            <w:tcW w:w="211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b/>
                <w:bCs/>
                <w:color w:val="auto"/>
                <w:sz w:val="21"/>
                <w:szCs w:val="21"/>
                <w:highlight w:val="none"/>
                <w:u w:val="none"/>
              </w:rPr>
            </w:pPr>
            <w:r>
              <w:rPr>
                <w:b/>
                <w:bCs/>
                <w:color w:val="auto"/>
                <w:sz w:val="21"/>
                <w:szCs w:val="21"/>
                <w:highlight w:val="none"/>
                <w:u w:val="none"/>
              </w:rPr>
              <w:t>电磁环境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Ex>
        <w:trPr>
          <w:trHeight w:val="1674"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color w:val="auto"/>
                <w:sz w:val="21"/>
                <w:szCs w:val="21"/>
                <w:highlight w:val="none"/>
                <w:u w:val="none"/>
              </w:rPr>
              <w:t>环境质量现状</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宋体"/>
                <w:color w:val="auto"/>
                <w:sz w:val="21"/>
                <w:szCs w:val="21"/>
                <w:highlight w:val="none"/>
                <w:u w:val="none"/>
                <w:lang w:eastAsia="zh-CN"/>
              </w:rPr>
            </w:pPr>
            <w:r>
              <w:rPr>
                <w:rFonts w:hint="eastAsia"/>
                <w:color w:val="auto"/>
                <w:sz w:val="21"/>
                <w:szCs w:val="21"/>
                <w:highlight w:val="none"/>
                <w:u w:val="none"/>
                <w:lang w:val="en-US" w:eastAsia="zh-CN"/>
              </w:rPr>
              <w:t>/</w:t>
            </w: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宋体"/>
                <w:color w:val="auto"/>
                <w:sz w:val="21"/>
                <w:szCs w:val="21"/>
                <w:highlight w:val="none"/>
                <w:u w:val="none"/>
                <w:lang w:eastAsia="zh-CN"/>
              </w:rPr>
            </w:pPr>
            <w:r>
              <w:rPr>
                <w:rFonts w:hint="eastAsia"/>
                <w:color w:val="auto"/>
                <w:sz w:val="21"/>
                <w:szCs w:val="21"/>
                <w:highlight w:val="none"/>
                <w:u w:val="none"/>
                <w:lang w:val="en-US" w:eastAsia="zh-CN"/>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color w:val="auto"/>
                <w:sz w:val="21"/>
                <w:szCs w:val="21"/>
                <w:highlight w:val="none"/>
                <w:u w:val="none"/>
              </w:rPr>
              <w:t>满足《声环境质量标准》</w:t>
            </w:r>
            <w:r>
              <w:rPr>
                <w:color w:val="auto"/>
                <w:spacing w:val="-8"/>
                <w:sz w:val="21"/>
                <w:szCs w:val="21"/>
                <w:highlight w:val="none"/>
                <w:u w:val="none"/>
              </w:rPr>
              <w:t>（GB3096-2008）</w:t>
            </w:r>
            <w:r>
              <w:rPr>
                <w:rFonts w:hint="eastAsia"/>
                <w:color w:val="auto"/>
                <w:sz w:val="21"/>
                <w:szCs w:val="21"/>
                <w:highlight w:val="none"/>
                <w:u w:val="none"/>
                <w:lang w:val="en-US" w:eastAsia="zh-CN"/>
              </w:rPr>
              <w:t>2</w:t>
            </w:r>
            <w:r>
              <w:rPr>
                <w:color w:val="auto"/>
                <w:sz w:val="21"/>
                <w:szCs w:val="21"/>
                <w:highlight w:val="none"/>
                <w:u w:val="none"/>
              </w:rPr>
              <w:t>类</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4a类</w:t>
            </w:r>
            <w:r>
              <w:rPr>
                <w:color w:val="auto"/>
                <w:sz w:val="21"/>
                <w:szCs w:val="21"/>
                <w:highlight w:val="none"/>
                <w:u w:val="none"/>
              </w:rPr>
              <w:t>标准</w:t>
            </w:r>
            <w:r>
              <w:rPr>
                <w:rFonts w:hint="eastAsia"/>
                <w:color w:val="auto"/>
                <w:sz w:val="21"/>
                <w:szCs w:val="21"/>
                <w:highlight w:val="none"/>
                <w:u w:val="none"/>
              </w:rPr>
              <w:t>（</w:t>
            </w:r>
            <w:r>
              <w:rPr>
                <w:rFonts w:hint="eastAsia"/>
                <w:color w:val="auto"/>
                <w:sz w:val="21"/>
                <w:szCs w:val="21"/>
                <w:highlight w:val="none"/>
                <w:u w:val="none"/>
                <w:lang w:val="en-US" w:eastAsia="zh-CN"/>
              </w:rPr>
              <w:t>2类：</w:t>
            </w:r>
            <w:r>
              <w:rPr>
                <w:rFonts w:hint="eastAsia"/>
                <w:color w:val="auto"/>
                <w:sz w:val="21"/>
                <w:szCs w:val="21"/>
                <w:highlight w:val="none"/>
                <w:u w:val="none"/>
              </w:rPr>
              <w:t>昼间</w:t>
            </w:r>
            <w:r>
              <w:rPr>
                <w:rFonts w:hint="eastAsia"/>
                <w:color w:val="auto"/>
                <w:sz w:val="21"/>
                <w:szCs w:val="21"/>
                <w:highlight w:val="none"/>
                <w:u w:val="none"/>
                <w:lang w:val="en-US" w:eastAsia="zh-CN"/>
              </w:rPr>
              <w:t>60</w:t>
            </w:r>
            <w:r>
              <w:rPr>
                <w:rFonts w:hint="eastAsia"/>
                <w:color w:val="auto"/>
                <w:sz w:val="21"/>
                <w:szCs w:val="21"/>
                <w:highlight w:val="none"/>
                <w:u w:val="none"/>
              </w:rPr>
              <w:t>dB，夜间</w:t>
            </w:r>
            <w:r>
              <w:rPr>
                <w:rFonts w:hint="eastAsia"/>
                <w:color w:val="auto"/>
                <w:sz w:val="21"/>
                <w:szCs w:val="21"/>
                <w:highlight w:val="none"/>
                <w:u w:val="none"/>
                <w:lang w:val="en-US" w:eastAsia="zh-CN"/>
              </w:rPr>
              <w:t>50</w:t>
            </w:r>
            <w:r>
              <w:rPr>
                <w:rFonts w:hint="eastAsia"/>
                <w:color w:val="auto"/>
                <w:sz w:val="21"/>
                <w:szCs w:val="21"/>
                <w:highlight w:val="none"/>
                <w:u w:val="none"/>
              </w:rPr>
              <w:t>dB</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4a类：</w:t>
            </w:r>
            <w:r>
              <w:rPr>
                <w:rFonts w:hint="eastAsia"/>
                <w:color w:val="auto"/>
                <w:sz w:val="21"/>
                <w:szCs w:val="21"/>
                <w:highlight w:val="none"/>
                <w:u w:val="none"/>
              </w:rPr>
              <w:t>昼间</w:t>
            </w:r>
            <w:r>
              <w:rPr>
                <w:rFonts w:hint="eastAsia"/>
                <w:color w:val="auto"/>
                <w:sz w:val="21"/>
                <w:szCs w:val="21"/>
                <w:highlight w:val="none"/>
                <w:u w:val="none"/>
                <w:lang w:val="en-US" w:eastAsia="zh-CN"/>
              </w:rPr>
              <w:t>70</w:t>
            </w:r>
            <w:r>
              <w:rPr>
                <w:rFonts w:hint="eastAsia"/>
                <w:color w:val="auto"/>
                <w:sz w:val="21"/>
                <w:szCs w:val="21"/>
                <w:highlight w:val="none"/>
                <w:u w:val="none"/>
              </w:rPr>
              <w:t>dB，夜间</w:t>
            </w:r>
            <w:r>
              <w:rPr>
                <w:rFonts w:hint="eastAsia"/>
                <w:color w:val="auto"/>
                <w:sz w:val="21"/>
                <w:szCs w:val="21"/>
                <w:highlight w:val="none"/>
                <w:u w:val="none"/>
                <w:lang w:val="en-US" w:eastAsia="zh-CN"/>
              </w:rPr>
              <w:t>55</w:t>
            </w:r>
            <w:r>
              <w:rPr>
                <w:rFonts w:hint="eastAsia"/>
                <w:color w:val="auto"/>
                <w:sz w:val="21"/>
                <w:szCs w:val="21"/>
                <w:highlight w:val="none"/>
                <w:u w:val="none"/>
              </w:rPr>
              <w:t>dB）</w:t>
            </w:r>
          </w:p>
        </w:tc>
        <w:tc>
          <w:tcPr>
            <w:tcW w:w="2111" w:type="dxa"/>
            <w:tcBorders>
              <w:top w:val="single" w:color="auto" w:sz="4" w:space="0"/>
              <w:left w:val="single" w:color="auto" w:sz="4" w:space="0"/>
              <w:bottom w:val="single" w:color="auto" w:sz="4" w:space="0"/>
              <w:right w:val="single" w:color="auto" w:sz="4" w:space="0"/>
            </w:tcBorders>
            <w:vAlign w:val="center"/>
          </w:tcPr>
          <w:p>
            <w:pPr>
              <w:spacing w:line="360" w:lineRule="exact"/>
              <w:rPr>
                <w:color w:val="auto"/>
                <w:sz w:val="21"/>
                <w:szCs w:val="21"/>
                <w:highlight w:val="none"/>
                <w:u w:val="none"/>
              </w:rPr>
            </w:pPr>
            <w:r>
              <w:rPr>
                <w:color w:val="auto"/>
                <w:sz w:val="21"/>
                <w:szCs w:val="21"/>
                <w:highlight w:val="none"/>
                <w:u w:val="none"/>
              </w:rPr>
              <w:t>满足《电磁环境控制限值》（GB8702-2014）电场强度、磁场强度、</w:t>
            </w:r>
            <w:r>
              <w:rPr>
                <w:bCs/>
                <w:color w:val="auto"/>
                <w:sz w:val="21"/>
                <w:szCs w:val="21"/>
                <w:highlight w:val="none"/>
                <w:u w:val="none"/>
              </w:rPr>
              <w:t>等效平面波功率密度</w:t>
            </w:r>
            <w:r>
              <w:rPr>
                <w:color w:val="auto"/>
                <w:sz w:val="21"/>
                <w:szCs w:val="21"/>
                <w:highlight w:val="none"/>
                <w:u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Ex>
        <w:trPr>
          <w:trHeight w:val="1433"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color w:val="auto"/>
                <w:sz w:val="21"/>
                <w:szCs w:val="21"/>
                <w:highlight w:val="none"/>
                <w:u w:val="none"/>
              </w:rPr>
              <w:t>环境质量标准</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pacing w:val="-8"/>
                <w:sz w:val="21"/>
                <w:szCs w:val="21"/>
                <w:highlight w:val="none"/>
                <w:u w:val="none"/>
              </w:rPr>
            </w:pPr>
            <w:r>
              <w:rPr>
                <w:rFonts w:hint="eastAsia"/>
                <w:color w:val="auto"/>
                <w:sz w:val="21"/>
                <w:szCs w:val="21"/>
                <w:highlight w:val="none"/>
                <w:u w:val="none"/>
                <w:lang w:eastAsia="zh-CN"/>
              </w:rPr>
              <w:t>执行《环境空气质量标准》（</w:t>
            </w:r>
            <w:r>
              <w:rPr>
                <w:rFonts w:hint="eastAsia"/>
                <w:color w:val="auto"/>
                <w:sz w:val="21"/>
                <w:szCs w:val="21"/>
                <w:highlight w:val="none"/>
                <w:u w:val="none"/>
                <w:lang w:val="en-US" w:eastAsia="zh-CN"/>
              </w:rPr>
              <w:t>GB3095-2012</w:t>
            </w:r>
            <w:r>
              <w:rPr>
                <w:rFonts w:hint="eastAsia"/>
                <w:color w:val="auto"/>
                <w:sz w:val="21"/>
                <w:szCs w:val="21"/>
                <w:highlight w:val="none"/>
                <w:u w:val="none"/>
                <w:lang w:eastAsia="zh-CN"/>
              </w:rPr>
              <w:t>）</w:t>
            </w:r>
            <w:r>
              <w:rPr>
                <w:rFonts w:hint="eastAsia"/>
                <w:color w:val="auto"/>
                <w:sz w:val="21"/>
                <w:szCs w:val="21"/>
                <w:highlight w:val="none"/>
                <w:u w:val="none"/>
                <w:lang w:val="en-US" w:eastAsia="zh-CN"/>
              </w:rPr>
              <w:t>中二级标准</w:t>
            </w: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auto"/>
                <w:spacing w:val="-8"/>
                <w:sz w:val="21"/>
                <w:szCs w:val="21"/>
                <w:highlight w:val="none"/>
                <w:u w:val="none"/>
                <w:lang w:val="en-US" w:eastAsia="zh-CN"/>
              </w:rPr>
            </w:pPr>
            <w:r>
              <w:rPr>
                <w:rFonts w:hint="eastAsia"/>
                <w:color w:val="auto"/>
                <w:sz w:val="21"/>
                <w:szCs w:val="21"/>
                <w:highlight w:val="none"/>
                <w:u w:val="none"/>
                <w:lang w:eastAsia="zh-CN"/>
              </w:rPr>
              <w:t>执行《地表水环境质量标准》中的</w:t>
            </w:r>
            <w:r>
              <w:rPr>
                <w:rFonts w:hint="eastAsia"/>
                <w:color w:val="auto"/>
                <w:sz w:val="21"/>
                <w:szCs w:val="21"/>
                <w:highlight w:val="none"/>
                <w:u w:val="none"/>
                <w:lang w:eastAsia="zh-CN"/>
              </w:rPr>
              <w:fldChar w:fldCharType="begin"/>
            </w:r>
            <w:r>
              <w:rPr>
                <w:rFonts w:hint="eastAsia"/>
                <w:color w:val="auto"/>
                <w:sz w:val="21"/>
                <w:szCs w:val="21"/>
                <w:highlight w:val="none"/>
                <w:u w:val="none"/>
                <w:lang w:eastAsia="zh-CN"/>
              </w:rPr>
              <w:instrText xml:space="preserve"> = 3 \* ROMAN \* MERGEFORMAT </w:instrText>
            </w:r>
            <w:r>
              <w:rPr>
                <w:rFonts w:hint="eastAsia"/>
                <w:color w:val="auto"/>
                <w:sz w:val="21"/>
                <w:szCs w:val="21"/>
                <w:highlight w:val="none"/>
                <w:u w:val="none"/>
                <w:lang w:eastAsia="zh-CN"/>
              </w:rPr>
              <w:fldChar w:fldCharType="separate"/>
            </w:r>
            <w:r>
              <w:rPr>
                <w:highlight w:val="none"/>
                <w:u w:val="none"/>
              </w:rPr>
              <w:t>III</w:t>
            </w:r>
            <w:r>
              <w:rPr>
                <w:rFonts w:hint="eastAsia"/>
                <w:color w:val="auto"/>
                <w:sz w:val="21"/>
                <w:szCs w:val="21"/>
                <w:highlight w:val="none"/>
                <w:u w:val="none"/>
                <w:lang w:eastAsia="zh-CN"/>
              </w:rPr>
              <w:fldChar w:fldCharType="end"/>
            </w:r>
            <w:r>
              <w:rPr>
                <w:rFonts w:hint="eastAsia"/>
                <w:color w:val="auto"/>
                <w:sz w:val="21"/>
                <w:szCs w:val="21"/>
                <w:highlight w:val="none"/>
                <w:u w:val="none"/>
                <w:lang w:eastAsia="zh-CN"/>
              </w:rPr>
              <w:t>类标准</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color w:val="auto"/>
                <w:spacing w:val="-8"/>
                <w:sz w:val="21"/>
                <w:szCs w:val="21"/>
                <w:highlight w:val="none"/>
                <w:u w:val="none"/>
                <w:lang w:val="en-US" w:eastAsia="zh-CN"/>
              </w:rPr>
            </w:pPr>
            <w:r>
              <w:rPr>
                <w:color w:val="auto"/>
                <w:sz w:val="21"/>
                <w:szCs w:val="21"/>
                <w:highlight w:val="none"/>
                <w:u w:val="none"/>
              </w:rPr>
              <w:t>执行《声环境质量标准》</w:t>
            </w:r>
            <w:r>
              <w:rPr>
                <w:color w:val="auto"/>
                <w:spacing w:val="-8"/>
                <w:sz w:val="21"/>
                <w:szCs w:val="21"/>
                <w:highlight w:val="none"/>
                <w:u w:val="none"/>
              </w:rPr>
              <w:t>（GB3096-2008）</w:t>
            </w:r>
            <w:r>
              <w:rPr>
                <w:rFonts w:hint="eastAsia"/>
                <w:color w:val="auto"/>
                <w:sz w:val="21"/>
                <w:szCs w:val="21"/>
                <w:highlight w:val="none"/>
                <w:u w:val="none"/>
                <w:lang w:val="en-US" w:eastAsia="zh-CN"/>
              </w:rPr>
              <w:t>2</w:t>
            </w:r>
            <w:r>
              <w:rPr>
                <w:color w:val="auto"/>
                <w:sz w:val="21"/>
                <w:szCs w:val="21"/>
                <w:highlight w:val="none"/>
                <w:u w:val="none"/>
              </w:rPr>
              <w:t>类</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4a类</w:t>
            </w:r>
            <w:r>
              <w:rPr>
                <w:color w:val="auto"/>
                <w:sz w:val="21"/>
                <w:szCs w:val="21"/>
                <w:highlight w:val="none"/>
                <w:u w:val="none"/>
              </w:rPr>
              <w:t>标准</w:t>
            </w:r>
            <w:r>
              <w:rPr>
                <w:rFonts w:hint="eastAsia"/>
                <w:color w:val="auto"/>
                <w:sz w:val="21"/>
                <w:szCs w:val="21"/>
                <w:highlight w:val="none"/>
                <w:u w:val="none"/>
              </w:rPr>
              <w:t>（</w:t>
            </w:r>
            <w:r>
              <w:rPr>
                <w:rFonts w:hint="eastAsia"/>
                <w:color w:val="auto"/>
                <w:sz w:val="21"/>
                <w:szCs w:val="21"/>
                <w:highlight w:val="none"/>
                <w:u w:val="none"/>
                <w:lang w:val="en-US" w:eastAsia="zh-CN"/>
              </w:rPr>
              <w:t>2类：</w:t>
            </w:r>
            <w:r>
              <w:rPr>
                <w:rFonts w:hint="eastAsia"/>
                <w:color w:val="auto"/>
                <w:sz w:val="21"/>
                <w:szCs w:val="21"/>
                <w:highlight w:val="none"/>
                <w:u w:val="none"/>
              </w:rPr>
              <w:t>昼间</w:t>
            </w:r>
            <w:r>
              <w:rPr>
                <w:rFonts w:hint="eastAsia"/>
                <w:color w:val="auto"/>
                <w:sz w:val="21"/>
                <w:szCs w:val="21"/>
                <w:highlight w:val="none"/>
                <w:u w:val="none"/>
                <w:lang w:val="en-US" w:eastAsia="zh-CN"/>
              </w:rPr>
              <w:t>60</w:t>
            </w:r>
            <w:r>
              <w:rPr>
                <w:rFonts w:hint="eastAsia"/>
                <w:color w:val="auto"/>
                <w:sz w:val="21"/>
                <w:szCs w:val="21"/>
                <w:highlight w:val="none"/>
                <w:u w:val="none"/>
              </w:rPr>
              <w:t>dB，夜间</w:t>
            </w:r>
            <w:r>
              <w:rPr>
                <w:rFonts w:hint="eastAsia"/>
                <w:color w:val="auto"/>
                <w:sz w:val="21"/>
                <w:szCs w:val="21"/>
                <w:highlight w:val="none"/>
                <w:u w:val="none"/>
                <w:lang w:val="en-US" w:eastAsia="zh-CN"/>
              </w:rPr>
              <w:t>50</w:t>
            </w:r>
            <w:r>
              <w:rPr>
                <w:rFonts w:hint="eastAsia"/>
                <w:color w:val="auto"/>
                <w:sz w:val="21"/>
                <w:szCs w:val="21"/>
                <w:highlight w:val="none"/>
                <w:u w:val="none"/>
              </w:rPr>
              <w:t>dB</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4a类：</w:t>
            </w:r>
            <w:r>
              <w:rPr>
                <w:rFonts w:hint="eastAsia"/>
                <w:color w:val="auto"/>
                <w:sz w:val="21"/>
                <w:szCs w:val="21"/>
                <w:highlight w:val="none"/>
                <w:u w:val="none"/>
              </w:rPr>
              <w:t>昼间</w:t>
            </w:r>
            <w:r>
              <w:rPr>
                <w:rFonts w:hint="eastAsia"/>
                <w:color w:val="auto"/>
                <w:sz w:val="21"/>
                <w:szCs w:val="21"/>
                <w:highlight w:val="none"/>
                <w:u w:val="none"/>
                <w:lang w:val="en-US" w:eastAsia="zh-CN"/>
              </w:rPr>
              <w:t>70</w:t>
            </w:r>
            <w:r>
              <w:rPr>
                <w:rFonts w:hint="eastAsia"/>
                <w:color w:val="auto"/>
                <w:sz w:val="21"/>
                <w:szCs w:val="21"/>
                <w:highlight w:val="none"/>
                <w:u w:val="none"/>
              </w:rPr>
              <w:t>dB，夜间</w:t>
            </w:r>
            <w:r>
              <w:rPr>
                <w:rFonts w:hint="eastAsia"/>
                <w:color w:val="auto"/>
                <w:sz w:val="21"/>
                <w:szCs w:val="21"/>
                <w:highlight w:val="none"/>
                <w:u w:val="none"/>
                <w:lang w:val="en-US" w:eastAsia="zh-CN"/>
              </w:rPr>
              <w:t>55</w:t>
            </w:r>
            <w:r>
              <w:rPr>
                <w:rFonts w:hint="eastAsia"/>
                <w:color w:val="auto"/>
                <w:sz w:val="21"/>
                <w:szCs w:val="21"/>
                <w:highlight w:val="none"/>
                <w:u w:val="none"/>
              </w:rPr>
              <w:t>dB）</w:t>
            </w:r>
          </w:p>
        </w:tc>
        <w:tc>
          <w:tcPr>
            <w:tcW w:w="2111" w:type="dxa"/>
            <w:vMerge w:val="restart"/>
            <w:tcBorders>
              <w:top w:val="single" w:color="auto" w:sz="4" w:space="0"/>
              <w:left w:val="single" w:color="auto" w:sz="4" w:space="0"/>
              <w:right w:val="single" w:color="auto" w:sz="4" w:space="0"/>
            </w:tcBorders>
            <w:vAlign w:val="center"/>
          </w:tcPr>
          <w:p>
            <w:pPr>
              <w:spacing w:line="360" w:lineRule="exact"/>
              <w:rPr>
                <w:color w:val="auto"/>
                <w:sz w:val="21"/>
                <w:szCs w:val="21"/>
                <w:highlight w:val="none"/>
                <w:u w:val="none"/>
              </w:rPr>
            </w:pPr>
            <w:r>
              <w:rPr>
                <w:color w:val="auto"/>
                <w:sz w:val="21"/>
                <w:szCs w:val="21"/>
                <w:highlight w:val="none"/>
                <w:u w:val="none"/>
              </w:rPr>
              <w:t>《电磁环境控制限值》（GB8702-2014）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Ex>
        <w:trPr>
          <w:trHeight w:val="1711"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color w:val="auto"/>
                <w:sz w:val="21"/>
                <w:szCs w:val="21"/>
                <w:highlight w:val="none"/>
                <w:u w:val="none"/>
              </w:rPr>
              <w:t>污染物排放标准</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18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rFonts w:hint="eastAsia"/>
                <w:color w:val="auto"/>
                <w:sz w:val="21"/>
                <w:szCs w:val="21"/>
                <w:highlight w:val="none"/>
                <w:u w:val="none"/>
                <w:lang w:val="en-US" w:eastAsia="zh-CN"/>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 w:val="21"/>
                <w:szCs w:val="21"/>
                <w:highlight w:val="none"/>
                <w:u w:val="none"/>
              </w:rPr>
            </w:pPr>
            <w:r>
              <w:rPr>
                <w:color w:val="auto"/>
                <w:sz w:val="21"/>
                <w:szCs w:val="21"/>
                <w:highlight w:val="none"/>
                <w:u w:val="none"/>
              </w:rPr>
              <w:t>《工业企业厂界环境噪声排放标准》（GB12348-2008）</w:t>
            </w:r>
            <w:r>
              <w:rPr>
                <w:rFonts w:hint="eastAsia"/>
                <w:color w:val="auto"/>
                <w:sz w:val="21"/>
                <w:szCs w:val="21"/>
                <w:highlight w:val="none"/>
                <w:u w:val="none"/>
                <w:lang w:val="en-US" w:eastAsia="zh-CN"/>
              </w:rPr>
              <w:t>2</w:t>
            </w:r>
            <w:r>
              <w:rPr>
                <w:color w:val="auto"/>
                <w:sz w:val="21"/>
                <w:szCs w:val="21"/>
                <w:highlight w:val="none"/>
                <w:u w:val="none"/>
              </w:rPr>
              <w:t>类</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4类</w:t>
            </w:r>
            <w:r>
              <w:rPr>
                <w:color w:val="auto"/>
                <w:sz w:val="21"/>
                <w:szCs w:val="21"/>
                <w:highlight w:val="none"/>
                <w:u w:val="none"/>
              </w:rPr>
              <w:t>标准</w:t>
            </w:r>
            <w:r>
              <w:rPr>
                <w:rFonts w:hint="eastAsia"/>
                <w:color w:val="auto"/>
                <w:sz w:val="21"/>
                <w:szCs w:val="21"/>
                <w:highlight w:val="none"/>
                <w:u w:val="none"/>
              </w:rPr>
              <w:t>（</w:t>
            </w:r>
            <w:r>
              <w:rPr>
                <w:rFonts w:hint="eastAsia"/>
                <w:color w:val="auto"/>
                <w:sz w:val="21"/>
                <w:szCs w:val="21"/>
                <w:highlight w:val="none"/>
                <w:u w:val="none"/>
                <w:lang w:val="en-US" w:eastAsia="zh-CN"/>
              </w:rPr>
              <w:t>2类：</w:t>
            </w:r>
            <w:r>
              <w:rPr>
                <w:rFonts w:hint="eastAsia"/>
                <w:color w:val="auto"/>
                <w:sz w:val="21"/>
                <w:szCs w:val="21"/>
                <w:highlight w:val="none"/>
                <w:u w:val="none"/>
              </w:rPr>
              <w:t>昼间</w:t>
            </w:r>
            <w:r>
              <w:rPr>
                <w:rFonts w:hint="eastAsia"/>
                <w:color w:val="auto"/>
                <w:sz w:val="21"/>
                <w:szCs w:val="21"/>
                <w:highlight w:val="none"/>
                <w:u w:val="none"/>
                <w:lang w:val="en-US" w:eastAsia="zh-CN"/>
              </w:rPr>
              <w:t>60</w:t>
            </w:r>
            <w:r>
              <w:rPr>
                <w:rFonts w:hint="eastAsia"/>
                <w:color w:val="auto"/>
                <w:sz w:val="21"/>
                <w:szCs w:val="21"/>
                <w:highlight w:val="none"/>
                <w:u w:val="none"/>
              </w:rPr>
              <w:t>dB，夜间</w:t>
            </w:r>
            <w:r>
              <w:rPr>
                <w:rFonts w:hint="eastAsia"/>
                <w:color w:val="auto"/>
                <w:sz w:val="21"/>
                <w:szCs w:val="21"/>
                <w:highlight w:val="none"/>
                <w:u w:val="none"/>
                <w:lang w:val="en-US" w:eastAsia="zh-CN"/>
              </w:rPr>
              <w:t>50</w:t>
            </w:r>
            <w:r>
              <w:rPr>
                <w:rFonts w:hint="eastAsia"/>
                <w:color w:val="auto"/>
                <w:sz w:val="21"/>
                <w:szCs w:val="21"/>
                <w:highlight w:val="none"/>
                <w:u w:val="none"/>
              </w:rPr>
              <w:t>dB</w:t>
            </w:r>
            <w:r>
              <w:rPr>
                <w:rFonts w:hint="eastAsia"/>
                <w:color w:val="auto"/>
                <w:sz w:val="21"/>
                <w:szCs w:val="21"/>
                <w:highlight w:val="none"/>
                <w:u w:val="none"/>
                <w:lang w:eastAsia="zh-CN"/>
              </w:rPr>
              <w:t>；</w:t>
            </w:r>
            <w:r>
              <w:rPr>
                <w:rFonts w:hint="eastAsia"/>
                <w:color w:val="auto"/>
                <w:sz w:val="21"/>
                <w:szCs w:val="21"/>
                <w:highlight w:val="none"/>
                <w:u w:val="none"/>
                <w:lang w:val="en-US" w:eastAsia="zh-CN"/>
              </w:rPr>
              <w:t>4类：</w:t>
            </w:r>
            <w:r>
              <w:rPr>
                <w:rFonts w:hint="eastAsia"/>
                <w:color w:val="auto"/>
                <w:sz w:val="21"/>
                <w:szCs w:val="21"/>
                <w:highlight w:val="none"/>
                <w:u w:val="none"/>
              </w:rPr>
              <w:t>昼间</w:t>
            </w:r>
            <w:r>
              <w:rPr>
                <w:rFonts w:hint="eastAsia"/>
                <w:color w:val="auto"/>
                <w:sz w:val="21"/>
                <w:szCs w:val="21"/>
                <w:highlight w:val="none"/>
                <w:u w:val="none"/>
                <w:lang w:val="en-US" w:eastAsia="zh-CN"/>
              </w:rPr>
              <w:t>70</w:t>
            </w:r>
            <w:r>
              <w:rPr>
                <w:rFonts w:hint="eastAsia"/>
                <w:color w:val="auto"/>
                <w:sz w:val="21"/>
                <w:szCs w:val="21"/>
                <w:highlight w:val="none"/>
                <w:u w:val="none"/>
              </w:rPr>
              <w:t>dB，夜间</w:t>
            </w:r>
            <w:r>
              <w:rPr>
                <w:rFonts w:hint="eastAsia"/>
                <w:color w:val="auto"/>
                <w:sz w:val="21"/>
                <w:szCs w:val="21"/>
                <w:highlight w:val="none"/>
                <w:u w:val="none"/>
                <w:lang w:val="en-US" w:eastAsia="zh-CN"/>
              </w:rPr>
              <w:t>55</w:t>
            </w:r>
            <w:r>
              <w:rPr>
                <w:rFonts w:hint="eastAsia"/>
                <w:color w:val="auto"/>
                <w:sz w:val="21"/>
                <w:szCs w:val="21"/>
                <w:highlight w:val="none"/>
                <w:u w:val="none"/>
              </w:rPr>
              <w:t>dB）</w:t>
            </w:r>
          </w:p>
        </w:tc>
        <w:tc>
          <w:tcPr>
            <w:tcW w:w="2111" w:type="dxa"/>
            <w:vMerge w:val="continue"/>
            <w:tcBorders>
              <w:left w:val="single" w:color="auto" w:sz="4" w:space="0"/>
              <w:bottom w:val="single" w:color="auto" w:sz="4" w:space="0"/>
              <w:right w:val="single" w:color="auto" w:sz="4" w:space="0"/>
            </w:tcBorders>
            <w:vAlign w:val="center"/>
          </w:tcPr>
          <w:p>
            <w:pPr>
              <w:adjustRightInd w:val="0"/>
              <w:snapToGrid w:val="0"/>
              <w:spacing w:line="360" w:lineRule="exact"/>
              <w:rPr>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28" w:type="dxa"/>
          </w:tblCellMar>
        </w:tblPrEx>
        <w:trPr>
          <w:trHeight w:val="1666" w:hRule="atLeast"/>
          <w:jc w:val="center"/>
        </w:trPr>
        <w:tc>
          <w:tcPr>
            <w:tcW w:w="894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b/>
                <w:color w:val="auto"/>
                <w:highlight w:val="none"/>
                <w:u w:val="none"/>
              </w:rPr>
            </w:pPr>
            <w:r>
              <w:rPr>
                <w:rFonts w:hint="eastAsia"/>
                <w:b/>
                <w:color w:val="auto"/>
                <w:highlight w:val="none"/>
                <w:u w:val="none"/>
                <w:lang w:val="en-US" w:eastAsia="zh-CN"/>
              </w:rPr>
              <w:t>4</w:t>
            </w:r>
            <w:r>
              <w:rPr>
                <w:b/>
                <w:color w:val="auto"/>
                <w:highlight w:val="none"/>
                <w:u w:val="none"/>
              </w:rPr>
              <w:t>.1 环境质量标准</w:t>
            </w:r>
          </w:p>
          <w:p>
            <w:pPr>
              <w:adjustRightInd w:val="0"/>
              <w:snapToGrid w:val="0"/>
              <w:rPr>
                <w:b/>
                <w:bCs/>
                <w:color w:val="auto"/>
                <w:kern w:val="0"/>
                <w:highlight w:val="none"/>
                <w:u w:val="none"/>
              </w:rPr>
            </w:pPr>
            <w:r>
              <w:rPr>
                <w:rFonts w:hint="eastAsia"/>
                <w:b/>
                <w:bCs/>
                <w:color w:val="auto"/>
                <w:kern w:val="0"/>
                <w:highlight w:val="none"/>
                <w:u w:val="none"/>
                <w:lang w:val="en-US" w:eastAsia="zh-CN"/>
              </w:rPr>
              <w:t>4</w:t>
            </w:r>
            <w:r>
              <w:rPr>
                <w:b/>
                <w:bCs/>
                <w:color w:val="auto"/>
                <w:kern w:val="0"/>
                <w:highlight w:val="none"/>
                <w:u w:val="none"/>
              </w:rPr>
              <w:t>.1.1 声环境</w:t>
            </w:r>
          </w:p>
          <w:p>
            <w:pPr>
              <w:ind w:firstLine="480" w:firstLineChars="200"/>
              <w:rPr>
                <w:color w:val="auto"/>
                <w:highlight w:val="none"/>
                <w:u w:val="none"/>
              </w:rPr>
            </w:pPr>
            <w:r>
              <w:rPr>
                <w:rFonts w:hint="eastAsia"/>
                <w:bCs/>
                <w:color w:val="auto"/>
                <w:highlight w:val="none"/>
                <w:u w:val="none"/>
                <w:lang w:eastAsia="zh-CN"/>
              </w:rPr>
              <w:t>本</w:t>
            </w:r>
            <w:r>
              <w:rPr>
                <w:bCs/>
                <w:color w:val="auto"/>
                <w:highlight w:val="none"/>
                <w:u w:val="none"/>
              </w:rPr>
              <w:t>项目位于</w:t>
            </w:r>
            <w:r>
              <w:rPr>
                <w:rFonts w:hint="eastAsia"/>
                <w:bCs/>
                <w:color w:val="auto"/>
                <w:highlight w:val="none"/>
                <w:u w:val="none"/>
                <w:lang w:eastAsia="zh-CN"/>
              </w:rPr>
              <w:t>常德市鼎城区块阳明大道与兴业路交汇处，</w:t>
            </w:r>
            <w:r>
              <w:rPr>
                <w:color w:val="auto"/>
                <w:highlight w:val="none"/>
                <w:u w:val="none"/>
              </w:rPr>
              <w:t>项目所在区域为</w:t>
            </w:r>
            <w:r>
              <w:rPr>
                <w:rFonts w:hint="eastAsia"/>
                <w:color w:val="auto"/>
                <w:highlight w:val="none"/>
                <w:u w:val="none"/>
                <w:lang w:eastAsia="zh-CN"/>
              </w:rPr>
              <w:t>老城区</w:t>
            </w:r>
            <w:r>
              <w:rPr>
                <w:bCs/>
                <w:color w:val="auto"/>
                <w:highlight w:val="none"/>
                <w:u w:val="none"/>
              </w:rPr>
              <w:t>。</w:t>
            </w:r>
            <w:r>
              <w:rPr>
                <w:rFonts w:hint="eastAsia"/>
                <w:bCs/>
                <w:color w:val="auto"/>
                <w:highlight w:val="none"/>
                <w:u w:val="none"/>
                <w:lang w:eastAsia="zh-CN"/>
              </w:rPr>
              <w:t>根据《声环境功能区划分技术规范》（</w:t>
            </w:r>
            <w:r>
              <w:rPr>
                <w:rFonts w:hint="eastAsia"/>
                <w:bCs/>
                <w:color w:val="auto"/>
                <w:highlight w:val="none"/>
                <w:u w:val="none"/>
                <w:lang w:val="en-US" w:eastAsia="zh-CN"/>
              </w:rPr>
              <w:t>GB/T15190-2014</w:t>
            </w:r>
            <w:r>
              <w:rPr>
                <w:rFonts w:hint="eastAsia"/>
                <w:bCs/>
                <w:color w:val="auto"/>
                <w:highlight w:val="none"/>
                <w:u w:val="none"/>
                <w:lang w:eastAsia="zh-CN"/>
              </w:rPr>
              <w:t>），本项目</w:t>
            </w:r>
            <w:r>
              <w:rPr>
                <w:bCs/>
                <w:color w:val="auto"/>
                <w:highlight w:val="none"/>
                <w:u w:val="none"/>
              </w:rPr>
              <w:t>声环境</w:t>
            </w:r>
            <w:r>
              <w:rPr>
                <w:color w:val="auto"/>
                <w:highlight w:val="none"/>
                <w:u w:val="none"/>
              </w:rPr>
              <w:t>执行《声环境质量标准》（GB3096-20</w:t>
            </w:r>
            <w:r>
              <w:rPr>
                <w:color w:val="auto"/>
                <w:sz w:val="24"/>
                <w:szCs w:val="24"/>
                <w:highlight w:val="none"/>
                <w:u w:val="none"/>
              </w:rPr>
              <w:t>08）</w:t>
            </w:r>
            <w:r>
              <w:rPr>
                <w:rFonts w:hint="eastAsia"/>
                <w:color w:val="auto"/>
                <w:sz w:val="24"/>
                <w:szCs w:val="24"/>
                <w:highlight w:val="none"/>
                <w:u w:val="none"/>
                <w:lang w:val="en-US" w:eastAsia="zh-CN"/>
              </w:rPr>
              <w:t>2</w:t>
            </w:r>
            <w:r>
              <w:rPr>
                <w:color w:val="auto"/>
                <w:sz w:val="24"/>
                <w:szCs w:val="24"/>
                <w:highlight w:val="none"/>
                <w:u w:val="none"/>
              </w:rPr>
              <w:t>类</w:t>
            </w:r>
            <w:r>
              <w:rPr>
                <w:rFonts w:hint="eastAsia"/>
                <w:color w:val="auto"/>
                <w:sz w:val="24"/>
                <w:szCs w:val="24"/>
                <w:highlight w:val="none"/>
                <w:u w:val="none"/>
                <w:lang w:eastAsia="zh-CN"/>
              </w:rPr>
              <w:t>、</w:t>
            </w:r>
            <w:r>
              <w:rPr>
                <w:rFonts w:hint="eastAsia"/>
                <w:color w:val="auto"/>
                <w:sz w:val="24"/>
                <w:szCs w:val="24"/>
                <w:highlight w:val="none"/>
                <w:u w:val="none"/>
                <w:lang w:val="en-US" w:eastAsia="zh-CN"/>
              </w:rPr>
              <w:t>4a类</w:t>
            </w:r>
            <w:r>
              <w:rPr>
                <w:rFonts w:hint="eastAsia"/>
                <w:color w:val="auto"/>
                <w:sz w:val="24"/>
                <w:szCs w:val="24"/>
                <w:highlight w:val="none"/>
                <w:u w:val="none"/>
                <w:lang w:eastAsia="zh-CN"/>
              </w:rPr>
              <w:t>标准要求</w:t>
            </w:r>
            <w:r>
              <w:rPr>
                <w:color w:val="auto"/>
                <w:sz w:val="24"/>
                <w:szCs w:val="24"/>
                <w:highlight w:val="none"/>
                <w:u w:val="none"/>
              </w:rPr>
              <w:t>。</w:t>
            </w:r>
            <w:r>
              <w:rPr>
                <w:color w:val="auto"/>
                <w:highlight w:val="none"/>
                <w:u w:val="none"/>
              </w:rPr>
              <w:t>声环境标准值见表</w:t>
            </w:r>
            <w:r>
              <w:rPr>
                <w:rFonts w:hint="eastAsia"/>
                <w:color w:val="auto"/>
                <w:highlight w:val="none"/>
                <w:u w:val="none"/>
                <w:lang w:val="en-US" w:eastAsia="zh-CN"/>
              </w:rPr>
              <w:t>4</w:t>
            </w:r>
            <w:r>
              <w:rPr>
                <w:color w:val="auto"/>
                <w:highlight w:val="none"/>
                <w:u w:val="none"/>
              </w:rPr>
              <w:t>-1。</w:t>
            </w:r>
          </w:p>
          <w:p>
            <w:pPr>
              <w:spacing w:line="240" w:lineRule="auto"/>
              <w:jc w:val="center"/>
              <w:rPr>
                <w:b/>
                <w:color w:val="auto"/>
                <w:szCs w:val="24"/>
                <w:highlight w:val="none"/>
                <w:u w:val="none"/>
              </w:rPr>
            </w:pPr>
            <w:r>
              <w:rPr>
                <w:b/>
                <w:color w:val="auto"/>
                <w:szCs w:val="24"/>
                <w:highlight w:val="none"/>
                <w:u w:val="none"/>
              </w:rPr>
              <w:t>表</w:t>
            </w:r>
            <w:r>
              <w:rPr>
                <w:rFonts w:hint="eastAsia"/>
                <w:b/>
                <w:color w:val="auto"/>
                <w:szCs w:val="24"/>
                <w:highlight w:val="none"/>
                <w:u w:val="none"/>
                <w:lang w:val="en-US" w:eastAsia="zh-CN"/>
              </w:rPr>
              <w:t>4</w:t>
            </w:r>
            <w:r>
              <w:rPr>
                <w:b/>
                <w:color w:val="auto"/>
                <w:szCs w:val="24"/>
                <w:highlight w:val="none"/>
                <w:u w:val="none"/>
              </w:rPr>
              <w:t>-1   声环境质量标准值       单位：dB（A）</w:t>
            </w:r>
          </w:p>
          <w:tbl>
            <w:tblPr>
              <w:tblStyle w:val="35"/>
              <w:tblW w:w="862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840"/>
              <w:gridCol w:w="1800"/>
              <w:gridCol w:w="3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570" w:type="dxa"/>
                  <w:tcBorders>
                    <w:tl2br w:val="nil"/>
                    <w:tr2bl w:val="nil"/>
                  </w:tcBorders>
                </w:tcPr>
                <w:p>
                  <w:pPr>
                    <w:spacing w:line="240" w:lineRule="auto"/>
                    <w:jc w:val="center"/>
                    <w:rPr>
                      <w:color w:val="auto"/>
                      <w:sz w:val="21"/>
                      <w:highlight w:val="none"/>
                      <w:u w:val="none"/>
                    </w:rPr>
                  </w:pPr>
                  <w:r>
                    <w:rPr>
                      <w:color w:val="auto"/>
                      <w:sz w:val="21"/>
                      <w:highlight w:val="none"/>
                      <w:u w:val="none"/>
                    </w:rPr>
                    <w:t>类别</w:t>
                  </w:r>
                </w:p>
              </w:tc>
              <w:tc>
                <w:tcPr>
                  <w:tcW w:w="1840" w:type="dxa"/>
                  <w:tcBorders>
                    <w:tl2br w:val="nil"/>
                    <w:tr2bl w:val="nil"/>
                  </w:tcBorders>
                </w:tcPr>
                <w:p>
                  <w:pPr>
                    <w:spacing w:line="240" w:lineRule="auto"/>
                    <w:jc w:val="center"/>
                    <w:rPr>
                      <w:color w:val="auto"/>
                      <w:sz w:val="21"/>
                      <w:highlight w:val="none"/>
                      <w:u w:val="none"/>
                    </w:rPr>
                  </w:pPr>
                  <w:r>
                    <w:rPr>
                      <w:color w:val="auto"/>
                      <w:sz w:val="21"/>
                      <w:highlight w:val="none"/>
                      <w:u w:val="none"/>
                    </w:rPr>
                    <w:t>昼间</w:t>
                  </w:r>
                </w:p>
              </w:tc>
              <w:tc>
                <w:tcPr>
                  <w:tcW w:w="1800" w:type="dxa"/>
                  <w:tcBorders>
                    <w:tl2br w:val="nil"/>
                    <w:tr2bl w:val="nil"/>
                  </w:tcBorders>
                </w:tcPr>
                <w:p>
                  <w:pPr>
                    <w:spacing w:line="240" w:lineRule="auto"/>
                    <w:jc w:val="center"/>
                    <w:rPr>
                      <w:color w:val="auto"/>
                      <w:sz w:val="21"/>
                      <w:highlight w:val="none"/>
                      <w:u w:val="none"/>
                    </w:rPr>
                  </w:pPr>
                  <w:r>
                    <w:rPr>
                      <w:color w:val="auto"/>
                      <w:sz w:val="21"/>
                      <w:highlight w:val="none"/>
                      <w:u w:val="none"/>
                    </w:rPr>
                    <w:t>夜间</w:t>
                  </w:r>
                </w:p>
              </w:tc>
              <w:tc>
                <w:tcPr>
                  <w:tcW w:w="3410" w:type="dxa"/>
                  <w:tcBorders>
                    <w:tl2br w:val="nil"/>
                    <w:tr2bl w:val="nil"/>
                  </w:tcBorders>
                </w:tcPr>
                <w:p>
                  <w:pPr>
                    <w:spacing w:line="240" w:lineRule="auto"/>
                    <w:jc w:val="center"/>
                    <w:rPr>
                      <w:color w:val="auto"/>
                      <w:sz w:val="21"/>
                      <w:highlight w:val="none"/>
                      <w:u w:val="none"/>
                    </w:rPr>
                  </w:pPr>
                  <w:r>
                    <w:rPr>
                      <w:color w:val="auto"/>
                      <w:sz w:val="21"/>
                      <w:highlight w:val="none"/>
                      <w:u w:val="none"/>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570" w:type="dxa"/>
                  <w:tcBorders>
                    <w:tl2br w:val="nil"/>
                    <w:tr2bl w:val="nil"/>
                  </w:tcBorders>
                </w:tcPr>
                <w:p>
                  <w:pPr>
                    <w:spacing w:line="240" w:lineRule="auto"/>
                    <w:jc w:val="center"/>
                    <w:rPr>
                      <w:color w:val="auto"/>
                      <w:sz w:val="21"/>
                      <w:highlight w:val="none"/>
                      <w:u w:val="none"/>
                    </w:rPr>
                  </w:pPr>
                  <w:r>
                    <w:rPr>
                      <w:rFonts w:hint="eastAsia"/>
                      <w:color w:val="auto"/>
                      <w:sz w:val="21"/>
                      <w:highlight w:val="none"/>
                      <w:u w:val="none"/>
                      <w:lang w:val="en-US" w:eastAsia="zh-CN"/>
                    </w:rPr>
                    <w:t>2</w:t>
                  </w:r>
                  <w:r>
                    <w:rPr>
                      <w:color w:val="auto"/>
                      <w:sz w:val="21"/>
                      <w:highlight w:val="none"/>
                      <w:u w:val="none"/>
                    </w:rPr>
                    <w:t>类</w:t>
                  </w:r>
                </w:p>
              </w:tc>
              <w:tc>
                <w:tcPr>
                  <w:tcW w:w="1840" w:type="dxa"/>
                  <w:tcBorders>
                    <w:tl2br w:val="nil"/>
                    <w:tr2bl w:val="nil"/>
                  </w:tcBorders>
                </w:tcPr>
                <w:p>
                  <w:pPr>
                    <w:spacing w:line="240" w:lineRule="auto"/>
                    <w:jc w:val="center"/>
                    <w:rPr>
                      <w:rFonts w:hint="eastAsia" w:eastAsia="宋体"/>
                      <w:color w:val="auto"/>
                      <w:sz w:val="21"/>
                      <w:highlight w:val="none"/>
                      <w:u w:val="none"/>
                      <w:lang w:eastAsia="zh-CN"/>
                    </w:rPr>
                  </w:pPr>
                  <w:r>
                    <w:rPr>
                      <w:rFonts w:hint="eastAsia"/>
                      <w:color w:val="auto"/>
                      <w:sz w:val="21"/>
                      <w:highlight w:val="none"/>
                      <w:u w:val="none"/>
                      <w:lang w:val="en-US" w:eastAsia="zh-CN"/>
                    </w:rPr>
                    <w:t>60</w:t>
                  </w:r>
                </w:p>
              </w:tc>
              <w:tc>
                <w:tcPr>
                  <w:tcW w:w="1800" w:type="dxa"/>
                  <w:tcBorders>
                    <w:tl2br w:val="nil"/>
                    <w:tr2bl w:val="nil"/>
                  </w:tcBorders>
                </w:tcPr>
                <w:p>
                  <w:pPr>
                    <w:spacing w:line="240" w:lineRule="auto"/>
                    <w:jc w:val="center"/>
                    <w:rPr>
                      <w:rFonts w:hint="eastAsia" w:eastAsia="宋体"/>
                      <w:color w:val="auto"/>
                      <w:sz w:val="21"/>
                      <w:highlight w:val="none"/>
                      <w:u w:val="none"/>
                      <w:lang w:eastAsia="zh-CN"/>
                    </w:rPr>
                  </w:pPr>
                  <w:r>
                    <w:rPr>
                      <w:rFonts w:hint="eastAsia"/>
                      <w:color w:val="auto"/>
                      <w:sz w:val="21"/>
                      <w:highlight w:val="none"/>
                      <w:u w:val="none"/>
                      <w:lang w:val="en-US" w:eastAsia="zh-CN"/>
                    </w:rPr>
                    <w:t>50</w:t>
                  </w:r>
                </w:p>
              </w:tc>
              <w:tc>
                <w:tcPr>
                  <w:tcW w:w="3410" w:type="dxa"/>
                  <w:tcBorders>
                    <w:tl2br w:val="nil"/>
                    <w:tr2bl w:val="nil"/>
                  </w:tcBorders>
                </w:tcPr>
                <w:p>
                  <w:pPr>
                    <w:spacing w:line="240" w:lineRule="auto"/>
                    <w:jc w:val="center"/>
                    <w:rPr>
                      <w:rFonts w:hint="eastAsia" w:eastAsia="宋体"/>
                      <w:color w:val="auto"/>
                      <w:sz w:val="21"/>
                      <w:highlight w:val="none"/>
                      <w:u w:val="none"/>
                      <w:lang w:eastAsia="zh-CN"/>
                    </w:rPr>
                  </w:pPr>
                  <w:r>
                    <w:rPr>
                      <w:rFonts w:hint="eastAsia"/>
                      <w:color w:val="auto"/>
                      <w:sz w:val="21"/>
                      <w:highlight w:val="none"/>
                      <w:u w:val="none"/>
                      <w:lang w:eastAsia="zh-CN"/>
                    </w:rPr>
                    <w:t>其他侧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570" w:type="dxa"/>
                  <w:tcBorders>
                    <w:tl2br w:val="nil"/>
                    <w:tr2bl w:val="nil"/>
                  </w:tcBorders>
                </w:tcPr>
                <w:p>
                  <w:pPr>
                    <w:spacing w:line="240" w:lineRule="auto"/>
                    <w:jc w:val="center"/>
                    <w:rPr>
                      <w:rFonts w:hint="eastAsia"/>
                      <w:color w:val="auto"/>
                      <w:sz w:val="21"/>
                      <w:highlight w:val="none"/>
                      <w:u w:val="none"/>
                      <w:lang w:val="en-US" w:eastAsia="zh-CN"/>
                    </w:rPr>
                  </w:pPr>
                  <w:r>
                    <w:rPr>
                      <w:rFonts w:hint="eastAsia"/>
                      <w:color w:val="auto"/>
                      <w:sz w:val="21"/>
                      <w:highlight w:val="none"/>
                      <w:u w:val="none"/>
                      <w:lang w:val="en-US" w:eastAsia="zh-CN"/>
                    </w:rPr>
                    <w:t>4a类</w:t>
                  </w:r>
                </w:p>
              </w:tc>
              <w:tc>
                <w:tcPr>
                  <w:tcW w:w="1840" w:type="dxa"/>
                  <w:tcBorders>
                    <w:tl2br w:val="nil"/>
                    <w:tr2bl w:val="nil"/>
                  </w:tcBorders>
                </w:tcPr>
                <w:p>
                  <w:pPr>
                    <w:spacing w:line="240" w:lineRule="auto"/>
                    <w:jc w:val="center"/>
                    <w:rPr>
                      <w:rFonts w:hint="eastAsia"/>
                      <w:color w:val="auto"/>
                      <w:sz w:val="21"/>
                      <w:highlight w:val="none"/>
                      <w:u w:val="none"/>
                      <w:lang w:val="en-US" w:eastAsia="zh-CN"/>
                    </w:rPr>
                  </w:pPr>
                  <w:r>
                    <w:rPr>
                      <w:rFonts w:hint="eastAsia"/>
                      <w:color w:val="auto"/>
                      <w:sz w:val="21"/>
                      <w:highlight w:val="none"/>
                      <w:u w:val="none"/>
                      <w:lang w:val="en-US" w:eastAsia="zh-CN"/>
                    </w:rPr>
                    <w:t>70</w:t>
                  </w:r>
                </w:p>
              </w:tc>
              <w:tc>
                <w:tcPr>
                  <w:tcW w:w="1800" w:type="dxa"/>
                  <w:tcBorders>
                    <w:tl2br w:val="nil"/>
                    <w:tr2bl w:val="nil"/>
                  </w:tcBorders>
                </w:tcPr>
                <w:p>
                  <w:pPr>
                    <w:spacing w:line="240" w:lineRule="auto"/>
                    <w:jc w:val="center"/>
                    <w:rPr>
                      <w:rFonts w:hint="eastAsia"/>
                      <w:color w:val="auto"/>
                      <w:sz w:val="21"/>
                      <w:highlight w:val="none"/>
                      <w:u w:val="none"/>
                      <w:lang w:val="en-US" w:eastAsia="zh-CN"/>
                    </w:rPr>
                  </w:pPr>
                  <w:r>
                    <w:rPr>
                      <w:rFonts w:hint="eastAsia"/>
                      <w:color w:val="auto"/>
                      <w:sz w:val="21"/>
                      <w:highlight w:val="none"/>
                      <w:u w:val="none"/>
                      <w:lang w:val="en-US" w:eastAsia="zh-CN"/>
                    </w:rPr>
                    <w:t>55</w:t>
                  </w:r>
                </w:p>
              </w:tc>
              <w:tc>
                <w:tcPr>
                  <w:tcW w:w="3410" w:type="dxa"/>
                  <w:tcBorders>
                    <w:tl2br w:val="nil"/>
                    <w:tr2bl w:val="nil"/>
                  </w:tcBorders>
                </w:tcPr>
                <w:p>
                  <w:pPr>
                    <w:spacing w:line="240" w:lineRule="auto"/>
                    <w:jc w:val="center"/>
                    <w:rPr>
                      <w:rFonts w:hint="eastAsia" w:eastAsia="宋体"/>
                      <w:color w:val="auto"/>
                      <w:sz w:val="21"/>
                      <w:highlight w:val="none"/>
                      <w:u w:val="none"/>
                      <w:lang w:eastAsia="zh-CN"/>
                    </w:rPr>
                  </w:pPr>
                  <w:r>
                    <w:rPr>
                      <w:rFonts w:hint="eastAsia"/>
                      <w:color w:val="auto"/>
                      <w:sz w:val="21"/>
                      <w:highlight w:val="none"/>
                      <w:u w:val="none"/>
                      <w:lang w:eastAsia="zh-CN"/>
                    </w:rPr>
                    <w:t>临路侧</w:t>
                  </w:r>
                </w:p>
              </w:tc>
            </w:tr>
          </w:tbl>
          <w:p>
            <w:pPr>
              <w:rPr>
                <w:b/>
                <w:color w:val="auto"/>
                <w:kern w:val="0"/>
                <w:highlight w:val="none"/>
              </w:rPr>
            </w:pPr>
            <w:r>
              <w:rPr>
                <w:rFonts w:hint="eastAsia"/>
                <w:b/>
                <w:color w:val="auto"/>
                <w:kern w:val="0"/>
                <w:highlight w:val="none"/>
                <w:lang w:val="en-US" w:eastAsia="zh-CN"/>
              </w:rPr>
              <w:t>4</w:t>
            </w:r>
            <w:r>
              <w:rPr>
                <w:b/>
                <w:color w:val="auto"/>
                <w:kern w:val="0"/>
                <w:highlight w:val="none"/>
              </w:rPr>
              <w:t>.1.2 电磁环境</w:t>
            </w:r>
          </w:p>
          <w:p>
            <w:pPr>
              <w:ind w:firstLine="480" w:firstLineChars="200"/>
              <w:rPr>
                <w:color w:val="auto"/>
                <w:highlight w:val="none"/>
              </w:rPr>
            </w:pPr>
            <w:r>
              <w:rPr>
                <w:color w:val="auto"/>
                <w:highlight w:val="none"/>
              </w:rPr>
              <w:t>本项目发射机工作频率为</w:t>
            </w:r>
            <w:r>
              <w:rPr>
                <w:rFonts w:hint="eastAsia"/>
                <w:color w:val="auto"/>
                <w:highlight w:val="none"/>
                <w:lang w:val="en-US" w:eastAsia="zh-CN"/>
              </w:rPr>
              <w:t>106.8</w:t>
            </w:r>
            <w:r>
              <w:rPr>
                <w:color w:val="auto"/>
                <w:highlight w:val="none"/>
              </w:rPr>
              <w:t xml:space="preserve"> MHz，频率范围在30MHz~3000MHz时，环境中电磁场场量参数的方均根值应满足《电磁环境控制限值》（GB8702-2014）中规定的公众暴露控制限值要求，所执行标准见表</w:t>
            </w:r>
            <w:r>
              <w:rPr>
                <w:rFonts w:hint="eastAsia"/>
                <w:color w:val="auto"/>
                <w:highlight w:val="none"/>
                <w:lang w:val="en-US" w:eastAsia="zh-CN"/>
              </w:rPr>
              <w:t>4</w:t>
            </w:r>
            <w:r>
              <w:rPr>
                <w:color w:val="auto"/>
                <w:highlight w:val="none"/>
              </w:rPr>
              <w:t xml:space="preserve">-2。 </w:t>
            </w:r>
          </w:p>
          <w:p>
            <w:pPr>
              <w:ind w:firstLine="480" w:firstLineChars="200"/>
              <w:rPr>
                <w:color w:val="auto"/>
                <w:highlight w:val="none"/>
              </w:rPr>
            </w:pPr>
            <w:r>
              <w:rPr>
                <w:color w:val="auto"/>
                <w:highlight w:val="none"/>
              </w:rPr>
              <w:t>根据《辐射环境保护管理导则 电磁辐射环境影响评价方法与标准》（HJ/T10.3-1996）第4.2款规定：“为使公众受到的总照射剂量小于GB8702的规定值，对单个项目的影响必须限制在GB8702限值的若干分之一。在评价时，对于由国家环境保护局负责审批的大型项目可取GB8702中场强限值的</w:t>
            </w:r>
            <w:r>
              <w:rPr>
                <w:color w:val="auto"/>
                <w:highlight w:val="none"/>
              </w:rPr>
              <w:object>
                <v:shape id="_x0000_i1026" o:spt="75" type="#_x0000_t75" style="height:18.75pt;width:30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7">
                  <o:LockedField>false</o:LockedField>
                </o:OLEObject>
              </w:object>
            </w:r>
            <w:r>
              <w:rPr>
                <w:color w:val="auto"/>
                <w:highlight w:val="none"/>
              </w:rPr>
              <w:t>，或功率密度限值的1/2。其它项目可取场强限值的</w:t>
            </w:r>
            <w:r>
              <w:rPr>
                <w:color w:val="auto"/>
                <w:highlight w:val="none"/>
              </w:rPr>
              <w:object>
                <v:shape id="_x0000_i1027" o:spt="75" type="#_x0000_t75" style="height:18.75pt;width:30pt;" o:ole="t" filled="f" o:preferrelative="t" stroked="f" coordsize="21600,21600">
                  <v:path/>
                  <v:fill on="f" focussize="0,0"/>
                  <v:stroke on="f" joinstyle="miter"/>
                  <v:imagedata r:id="rId10" o:title=""/>
                  <o:lock v:ext="edit" aspectratio="t"/>
                  <w10:wrap type="none"/>
                  <w10:anchorlock/>
                </v:shape>
                <o:OLEObject Type="Embed" ProgID="Equation.3" ShapeID="_x0000_i1027" DrawAspect="Content" ObjectID="_1468075727" r:id="rId9">
                  <o:LockedField>false</o:LockedField>
                </o:OLEObject>
              </w:object>
            </w:r>
            <w:r>
              <w:rPr>
                <w:color w:val="auto"/>
                <w:highlight w:val="none"/>
              </w:rPr>
              <w:t>，或功率密度限值的1/5作为评价标准。”</w:t>
            </w:r>
          </w:p>
          <w:p>
            <w:pPr>
              <w:ind w:firstLine="480" w:firstLineChars="200"/>
              <w:rPr>
                <w:color w:val="auto"/>
                <w:highlight w:val="none"/>
              </w:rPr>
            </w:pPr>
            <w:r>
              <w:rPr>
                <w:color w:val="auto"/>
                <w:highlight w:val="none"/>
              </w:rPr>
              <w:t>结合以上电磁环境标准，本项目发射频率属于GB8702-2014中30MHz～3000MHz频段范围，其标准执行情况如下：</w:t>
            </w:r>
          </w:p>
          <w:p>
            <w:pPr>
              <w:ind w:firstLine="480" w:firstLineChars="200"/>
              <w:rPr>
                <w:color w:val="auto"/>
                <w:highlight w:val="none"/>
              </w:rPr>
            </w:pPr>
            <w:r>
              <w:rPr>
                <w:color w:val="auto"/>
                <w:highlight w:val="none"/>
              </w:rPr>
              <w:t>环境影响预测评价标准：环境影响预测和评价中，确定评价标准汇总见表</w:t>
            </w:r>
            <w:r>
              <w:rPr>
                <w:rFonts w:hint="eastAsia"/>
                <w:color w:val="auto"/>
                <w:highlight w:val="none"/>
                <w:lang w:val="en-US" w:eastAsia="zh-CN"/>
              </w:rPr>
              <w:t>4</w:t>
            </w:r>
            <w:r>
              <w:rPr>
                <w:color w:val="auto"/>
                <w:highlight w:val="none"/>
              </w:rPr>
              <w:t>-2。</w:t>
            </w:r>
          </w:p>
          <w:p>
            <w:pPr>
              <w:adjustRightInd w:val="0"/>
              <w:snapToGrid w:val="0"/>
              <w:spacing w:before="156" w:beforeLines="50" w:line="240" w:lineRule="auto"/>
              <w:jc w:val="center"/>
              <w:rPr>
                <w:b/>
                <w:color w:val="auto"/>
                <w:szCs w:val="24"/>
                <w:highlight w:val="none"/>
              </w:rPr>
            </w:pPr>
            <w:r>
              <w:rPr>
                <w:b/>
                <w:bCs/>
                <w:color w:val="auto"/>
                <w:highlight w:val="none"/>
              </w:rPr>
              <w:t>表</w:t>
            </w:r>
            <w:r>
              <w:rPr>
                <w:rFonts w:hint="eastAsia"/>
                <w:b/>
                <w:bCs/>
                <w:color w:val="auto"/>
                <w:highlight w:val="none"/>
                <w:lang w:val="en-US" w:eastAsia="zh-CN"/>
              </w:rPr>
              <w:t>4</w:t>
            </w:r>
            <w:r>
              <w:rPr>
                <w:b/>
                <w:bCs/>
                <w:color w:val="auto"/>
                <w:highlight w:val="none"/>
              </w:rPr>
              <w:t>-2  电磁环境公众暴露限值执行标准</w:t>
            </w:r>
          </w:p>
          <w:tbl>
            <w:tblPr>
              <w:tblStyle w:val="35"/>
              <w:tblW w:w="854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1359"/>
              <w:gridCol w:w="1528"/>
              <w:gridCol w:w="1859"/>
              <w:gridCol w:w="2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749" w:type="dxa"/>
                  <w:vMerge w:val="restart"/>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适用对象</w:t>
                  </w:r>
                </w:p>
              </w:tc>
              <w:tc>
                <w:tcPr>
                  <w:tcW w:w="4746" w:type="dxa"/>
                  <w:gridSpan w:val="3"/>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标准值</w:t>
                  </w:r>
                </w:p>
              </w:tc>
              <w:tc>
                <w:tcPr>
                  <w:tcW w:w="2045" w:type="dxa"/>
                  <w:vMerge w:val="restart"/>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60" w:hRule="atLeast"/>
                <w:jc w:val="center"/>
              </w:trPr>
              <w:tc>
                <w:tcPr>
                  <w:tcW w:w="1749" w:type="dxa"/>
                  <w:vMerge w:val="continue"/>
                  <w:tcBorders>
                    <w:tl2br w:val="nil"/>
                    <w:tr2bl w:val="nil"/>
                  </w:tcBorders>
                  <w:vAlign w:val="center"/>
                </w:tcPr>
                <w:p>
                  <w:pPr>
                    <w:spacing w:line="320" w:lineRule="exact"/>
                    <w:jc w:val="center"/>
                    <w:rPr>
                      <w:color w:val="auto"/>
                      <w:sz w:val="21"/>
                      <w:highlight w:val="none"/>
                      <w:u w:val="wave"/>
                    </w:rPr>
                  </w:pPr>
                </w:p>
              </w:tc>
              <w:tc>
                <w:tcPr>
                  <w:tcW w:w="1359" w:type="dxa"/>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电场强度</w:t>
                  </w:r>
                </w:p>
                <w:p>
                  <w:pPr>
                    <w:spacing w:line="320" w:lineRule="exact"/>
                    <w:jc w:val="center"/>
                    <w:rPr>
                      <w:color w:val="auto"/>
                      <w:sz w:val="21"/>
                      <w:highlight w:val="none"/>
                      <w:u w:val="wave"/>
                    </w:rPr>
                  </w:pPr>
                  <w:r>
                    <w:rPr>
                      <w:color w:val="auto"/>
                      <w:sz w:val="21"/>
                      <w:highlight w:val="none"/>
                      <w:u w:val="wave"/>
                    </w:rPr>
                    <w:t>(V/m)</w:t>
                  </w:r>
                </w:p>
              </w:tc>
              <w:tc>
                <w:tcPr>
                  <w:tcW w:w="1528" w:type="dxa"/>
                  <w:tcBorders>
                    <w:tl2br w:val="nil"/>
                    <w:tr2bl w:val="nil"/>
                  </w:tcBorders>
                  <w:vAlign w:val="center"/>
                </w:tcPr>
                <w:p>
                  <w:pPr>
                    <w:adjustRightInd w:val="0"/>
                    <w:snapToGrid w:val="0"/>
                    <w:spacing w:line="320" w:lineRule="exact"/>
                    <w:jc w:val="center"/>
                    <w:rPr>
                      <w:color w:val="auto"/>
                      <w:sz w:val="21"/>
                      <w:highlight w:val="none"/>
                      <w:u w:val="wave"/>
                    </w:rPr>
                  </w:pPr>
                  <w:r>
                    <w:rPr>
                      <w:color w:val="auto"/>
                      <w:sz w:val="21"/>
                      <w:highlight w:val="none"/>
                      <w:u w:val="wave"/>
                    </w:rPr>
                    <w:t>磁场强度</w:t>
                  </w:r>
                </w:p>
                <w:p>
                  <w:pPr>
                    <w:spacing w:line="320" w:lineRule="exact"/>
                    <w:jc w:val="center"/>
                    <w:rPr>
                      <w:color w:val="auto"/>
                      <w:sz w:val="21"/>
                      <w:highlight w:val="none"/>
                      <w:u w:val="wave"/>
                    </w:rPr>
                  </w:pPr>
                  <w:r>
                    <w:rPr>
                      <w:color w:val="auto"/>
                      <w:sz w:val="21"/>
                      <w:highlight w:val="none"/>
                      <w:u w:val="wave"/>
                    </w:rPr>
                    <w:t>（A/m）</w:t>
                  </w:r>
                </w:p>
              </w:tc>
              <w:tc>
                <w:tcPr>
                  <w:tcW w:w="1859" w:type="dxa"/>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等效平面波</w:t>
                  </w:r>
                </w:p>
                <w:p>
                  <w:pPr>
                    <w:spacing w:line="320" w:lineRule="exact"/>
                    <w:jc w:val="center"/>
                    <w:rPr>
                      <w:color w:val="auto"/>
                      <w:sz w:val="21"/>
                      <w:highlight w:val="none"/>
                      <w:u w:val="wave"/>
                    </w:rPr>
                  </w:pPr>
                  <w:r>
                    <w:rPr>
                      <w:color w:val="auto"/>
                      <w:sz w:val="21"/>
                      <w:highlight w:val="none"/>
                      <w:u w:val="wave"/>
                    </w:rPr>
                    <w:t>功率密度</w:t>
                  </w:r>
                </w:p>
                <w:p>
                  <w:pPr>
                    <w:spacing w:line="320" w:lineRule="exact"/>
                    <w:jc w:val="center"/>
                    <w:rPr>
                      <w:color w:val="auto"/>
                      <w:sz w:val="21"/>
                      <w:highlight w:val="none"/>
                      <w:u w:val="wave"/>
                    </w:rPr>
                  </w:pPr>
                  <w:r>
                    <w:rPr>
                      <w:color w:val="auto"/>
                      <w:sz w:val="21"/>
                      <w:szCs w:val="21"/>
                      <w:highlight w:val="none"/>
                      <w:u w:val="wave"/>
                    </w:rPr>
                    <w:t>(</w:t>
                  </w:r>
                  <w:r>
                    <w:rPr>
                      <w:rFonts w:hint="default" w:ascii="Times New Roman" w:hAnsi="Times New Roman" w:eastAsia="宋体" w:cs="Times New Roman"/>
                      <w:sz w:val="21"/>
                      <w:szCs w:val="21"/>
                      <w:highlight w:val="none"/>
                      <w:u w:val="wave"/>
                      <w:lang w:val="en-US" w:eastAsia="zh-CN"/>
                    </w:rPr>
                    <w:t>W</w:t>
                  </w:r>
                  <w:r>
                    <w:rPr>
                      <w:rFonts w:hint="eastAsia" w:ascii="Times New Roman" w:hAnsi="宋体" w:eastAsia="宋体"/>
                      <w:sz w:val="21"/>
                      <w:szCs w:val="21"/>
                      <w:highlight w:val="none"/>
                      <w:u w:val="wave"/>
                      <w:lang w:val="en-US" w:eastAsia="zh-CN"/>
                    </w:rPr>
                    <w:t>/m</w:t>
                  </w:r>
                  <w:r>
                    <w:rPr>
                      <w:rFonts w:hint="eastAsia" w:ascii="Times New Roman" w:hAnsi="宋体" w:eastAsia="宋体"/>
                      <w:sz w:val="21"/>
                      <w:szCs w:val="21"/>
                      <w:highlight w:val="none"/>
                      <w:u w:val="wave"/>
                      <w:vertAlign w:val="superscript"/>
                      <w:lang w:val="en-US" w:eastAsia="zh-CN"/>
                    </w:rPr>
                    <w:t>2</w:t>
                  </w:r>
                  <w:r>
                    <w:rPr>
                      <w:color w:val="auto"/>
                      <w:sz w:val="21"/>
                      <w:szCs w:val="21"/>
                      <w:highlight w:val="none"/>
                      <w:u w:val="wave"/>
                    </w:rPr>
                    <w:t>)</w:t>
                  </w:r>
                </w:p>
              </w:tc>
              <w:tc>
                <w:tcPr>
                  <w:tcW w:w="2045" w:type="dxa"/>
                  <w:vMerge w:val="continue"/>
                  <w:tcBorders>
                    <w:tl2br w:val="nil"/>
                    <w:tr2bl w:val="nil"/>
                  </w:tcBorders>
                  <w:vAlign w:val="center"/>
                </w:tcPr>
                <w:p>
                  <w:pPr>
                    <w:spacing w:line="320" w:lineRule="exact"/>
                    <w:jc w:val="center"/>
                    <w:rPr>
                      <w:color w:val="auto"/>
                      <w:sz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43" w:hRule="atLeast"/>
                <w:jc w:val="center"/>
              </w:trPr>
              <w:tc>
                <w:tcPr>
                  <w:tcW w:w="1749" w:type="dxa"/>
                  <w:tcBorders>
                    <w:tl2br w:val="nil"/>
                    <w:tr2bl w:val="nil"/>
                  </w:tcBorders>
                  <w:vAlign w:val="center"/>
                </w:tcPr>
                <w:p>
                  <w:pPr>
                    <w:adjustRightInd w:val="0"/>
                    <w:snapToGrid w:val="0"/>
                    <w:spacing w:line="320" w:lineRule="exact"/>
                    <w:jc w:val="center"/>
                    <w:rPr>
                      <w:color w:val="auto"/>
                      <w:sz w:val="21"/>
                      <w:highlight w:val="none"/>
                      <w:u w:val="wave"/>
                    </w:rPr>
                  </w:pPr>
                  <w:r>
                    <w:rPr>
                      <w:color w:val="auto"/>
                      <w:sz w:val="21"/>
                      <w:highlight w:val="none"/>
                      <w:u w:val="wave"/>
                    </w:rPr>
                    <w:t>总受照射</w:t>
                  </w:r>
                </w:p>
                <w:p>
                  <w:pPr>
                    <w:adjustRightInd w:val="0"/>
                    <w:snapToGrid w:val="0"/>
                    <w:spacing w:line="320" w:lineRule="exact"/>
                    <w:jc w:val="center"/>
                    <w:rPr>
                      <w:color w:val="auto"/>
                      <w:sz w:val="21"/>
                      <w:highlight w:val="none"/>
                      <w:u w:val="wave"/>
                    </w:rPr>
                  </w:pPr>
                  <w:r>
                    <w:rPr>
                      <w:color w:val="auto"/>
                      <w:sz w:val="21"/>
                      <w:highlight w:val="none"/>
                      <w:u w:val="wave"/>
                    </w:rPr>
                    <w:t>剂量限值</w:t>
                  </w:r>
                </w:p>
              </w:tc>
              <w:tc>
                <w:tcPr>
                  <w:tcW w:w="1359" w:type="dxa"/>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12</w:t>
                  </w:r>
                </w:p>
              </w:tc>
              <w:tc>
                <w:tcPr>
                  <w:tcW w:w="1528" w:type="dxa"/>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0.032</w:t>
                  </w:r>
                </w:p>
              </w:tc>
              <w:tc>
                <w:tcPr>
                  <w:tcW w:w="1859" w:type="dxa"/>
                  <w:tcBorders>
                    <w:tl2br w:val="nil"/>
                    <w:tr2bl w:val="nil"/>
                  </w:tcBorders>
                  <w:vAlign w:val="center"/>
                </w:tcPr>
                <w:p>
                  <w:pPr>
                    <w:spacing w:line="320" w:lineRule="exact"/>
                    <w:jc w:val="center"/>
                    <w:rPr>
                      <w:rFonts w:hint="eastAsia" w:eastAsia="宋体"/>
                      <w:color w:val="auto"/>
                      <w:sz w:val="21"/>
                      <w:highlight w:val="none"/>
                      <w:u w:val="wave"/>
                      <w:lang w:eastAsia="zh-CN"/>
                    </w:rPr>
                  </w:pPr>
                  <w:r>
                    <w:rPr>
                      <w:rFonts w:hint="eastAsia"/>
                      <w:color w:val="auto"/>
                      <w:sz w:val="21"/>
                      <w:highlight w:val="none"/>
                      <w:u w:val="wave"/>
                      <w:lang w:val="en-US" w:eastAsia="zh-CN"/>
                    </w:rPr>
                    <w:t>0.4</w:t>
                  </w:r>
                </w:p>
              </w:tc>
              <w:tc>
                <w:tcPr>
                  <w:tcW w:w="2045" w:type="dxa"/>
                  <w:tcBorders>
                    <w:tl2br w:val="nil"/>
                    <w:tr2bl w:val="nil"/>
                  </w:tcBorders>
                  <w:vAlign w:val="center"/>
                </w:tcPr>
                <w:p>
                  <w:pPr>
                    <w:spacing w:line="320" w:lineRule="exact"/>
                    <w:jc w:val="center"/>
                    <w:rPr>
                      <w:color w:val="auto"/>
                      <w:sz w:val="21"/>
                      <w:highlight w:val="none"/>
                      <w:u w:val="wave"/>
                    </w:rPr>
                  </w:pPr>
                  <w:r>
                    <w:rPr>
                      <w:color w:val="auto"/>
                      <w:sz w:val="21"/>
                      <w:highlight w:val="none"/>
                      <w:u w:val="wave"/>
                    </w:rPr>
                    <w:t>GB8702-2014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72" w:hRule="atLeast"/>
                <w:jc w:val="center"/>
              </w:trPr>
              <w:tc>
                <w:tcPr>
                  <w:tcW w:w="1749" w:type="dxa"/>
                  <w:tcBorders>
                    <w:tl2br w:val="nil"/>
                    <w:tr2bl w:val="nil"/>
                  </w:tcBorders>
                  <w:vAlign w:val="center"/>
                </w:tcPr>
                <w:p>
                  <w:pPr>
                    <w:spacing w:line="240" w:lineRule="auto"/>
                    <w:jc w:val="center"/>
                    <w:rPr>
                      <w:color w:val="auto"/>
                      <w:sz w:val="21"/>
                      <w:highlight w:val="none"/>
                      <w:u w:val="wave"/>
                    </w:rPr>
                  </w:pPr>
                  <w:r>
                    <w:rPr>
                      <w:color w:val="auto"/>
                      <w:sz w:val="21"/>
                      <w:highlight w:val="none"/>
                      <w:u w:val="wave"/>
                    </w:rPr>
                    <w:t>单个项目</w:t>
                  </w:r>
                </w:p>
                <w:p>
                  <w:pPr>
                    <w:spacing w:line="240" w:lineRule="auto"/>
                    <w:jc w:val="center"/>
                    <w:rPr>
                      <w:color w:val="auto"/>
                      <w:sz w:val="21"/>
                      <w:highlight w:val="none"/>
                      <w:u w:val="wave"/>
                    </w:rPr>
                  </w:pPr>
                  <w:r>
                    <w:rPr>
                      <w:color w:val="auto"/>
                      <w:sz w:val="21"/>
                      <w:highlight w:val="none"/>
                      <w:u w:val="wave"/>
                    </w:rPr>
                    <w:t>控制限值</w:t>
                  </w:r>
                </w:p>
              </w:tc>
              <w:tc>
                <w:tcPr>
                  <w:tcW w:w="1359" w:type="dxa"/>
                  <w:tcBorders>
                    <w:tl2br w:val="nil"/>
                    <w:tr2bl w:val="nil"/>
                  </w:tcBorders>
                  <w:vAlign w:val="center"/>
                </w:tcPr>
                <w:p>
                  <w:pPr>
                    <w:spacing w:line="240" w:lineRule="auto"/>
                    <w:jc w:val="center"/>
                    <w:rPr>
                      <w:color w:val="auto"/>
                      <w:sz w:val="21"/>
                      <w:highlight w:val="none"/>
                      <w:u w:val="wave"/>
                    </w:rPr>
                  </w:pPr>
                  <w:r>
                    <w:rPr>
                      <w:color w:val="auto"/>
                      <w:sz w:val="21"/>
                      <w:highlight w:val="none"/>
                      <w:u w:val="wave"/>
                    </w:rPr>
                    <w:t>5.</w:t>
                  </w:r>
                  <w:r>
                    <w:rPr>
                      <w:rFonts w:hint="eastAsia"/>
                      <w:color w:val="auto"/>
                      <w:sz w:val="21"/>
                      <w:highlight w:val="none"/>
                      <w:u w:val="wave"/>
                      <w:lang w:val="en-US" w:eastAsia="zh-CN"/>
                    </w:rPr>
                    <w:t>37</w:t>
                  </w:r>
                </w:p>
              </w:tc>
              <w:tc>
                <w:tcPr>
                  <w:tcW w:w="1528" w:type="dxa"/>
                  <w:tcBorders>
                    <w:tl2br w:val="nil"/>
                    <w:tr2bl w:val="nil"/>
                  </w:tcBorders>
                  <w:vAlign w:val="center"/>
                </w:tcPr>
                <w:p>
                  <w:pPr>
                    <w:spacing w:line="240" w:lineRule="auto"/>
                    <w:jc w:val="center"/>
                    <w:rPr>
                      <w:color w:val="auto"/>
                      <w:sz w:val="21"/>
                      <w:highlight w:val="none"/>
                      <w:u w:val="wave"/>
                    </w:rPr>
                  </w:pPr>
                  <w:r>
                    <w:rPr>
                      <w:color w:val="auto"/>
                      <w:sz w:val="21"/>
                      <w:highlight w:val="none"/>
                      <w:u w:val="wave"/>
                    </w:rPr>
                    <w:t>0.014</w:t>
                  </w:r>
                </w:p>
              </w:tc>
              <w:tc>
                <w:tcPr>
                  <w:tcW w:w="1859" w:type="dxa"/>
                  <w:tcBorders>
                    <w:tl2br w:val="nil"/>
                    <w:tr2bl w:val="nil"/>
                  </w:tcBorders>
                  <w:vAlign w:val="center"/>
                </w:tcPr>
                <w:p>
                  <w:pPr>
                    <w:spacing w:line="240" w:lineRule="auto"/>
                    <w:jc w:val="center"/>
                    <w:rPr>
                      <w:rFonts w:hint="eastAsia" w:eastAsia="宋体"/>
                      <w:color w:val="auto"/>
                      <w:sz w:val="21"/>
                      <w:highlight w:val="none"/>
                      <w:u w:val="wave"/>
                      <w:lang w:val="en-US" w:eastAsia="zh-CN"/>
                    </w:rPr>
                  </w:pPr>
                  <w:r>
                    <w:rPr>
                      <w:rFonts w:hint="eastAsia"/>
                      <w:color w:val="auto"/>
                      <w:sz w:val="21"/>
                      <w:highlight w:val="none"/>
                      <w:u w:val="wave"/>
                      <w:lang w:val="en-US" w:eastAsia="zh-CN"/>
                    </w:rPr>
                    <w:t>0.08</w:t>
                  </w:r>
                </w:p>
              </w:tc>
              <w:tc>
                <w:tcPr>
                  <w:tcW w:w="2045" w:type="dxa"/>
                  <w:tcBorders>
                    <w:tl2br w:val="nil"/>
                    <w:tr2bl w:val="nil"/>
                  </w:tcBorders>
                  <w:vAlign w:val="center"/>
                </w:tcPr>
                <w:p>
                  <w:pPr>
                    <w:spacing w:line="240" w:lineRule="auto"/>
                    <w:jc w:val="center"/>
                    <w:rPr>
                      <w:color w:val="auto"/>
                      <w:sz w:val="21"/>
                      <w:highlight w:val="none"/>
                      <w:u w:val="wave"/>
                    </w:rPr>
                  </w:pPr>
                  <w:r>
                    <w:rPr>
                      <w:color w:val="auto"/>
                      <w:sz w:val="21"/>
                      <w:highlight w:val="none"/>
                      <w:u w:val="wave"/>
                    </w:rPr>
                    <w:t>GB8702-2014</w:t>
                  </w:r>
                </w:p>
                <w:p>
                  <w:pPr>
                    <w:spacing w:line="240" w:lineRule="auto"/>
                    <w:jc w:val="center"/>
                    <w:rPr>
                      <w:color w:val="auto"/>
                      <w:sz w:val="21"/>
                      <w:highlight w:val="none"/>
                      <w:u w:val="wave"/>
                    </w:rPr>
                  </w:pPr>
                  <w:r>
                    <w:rPr>
                      <w:color w:val="auto"/>
                      <w:sz w:val="21"/>
                      <w:highlight w:val="none"/>
                      <w:u w:val="wave"/>
                    </w:rPr>
                    <w:t>HJ/T10.3-1996</w:t>
                  </w:r>
                </w:p>
              </w:tc>
            </w:tr>
          </w:tbl>
          <w:p>
            <w:pPr>
              <w:rPr>
                <w:b/>
                <w:bCs/>
                <w:color w:val="auto"/>
                <w:szCs w:val="24"/>
                <w:highlight w:val="none"/>
              </w:rPr>
            </w:pPr>
            <w:r>
              <w:rPr>
                <w:rFonts w:hint="eastAsia"/>
                <w:b/>
                <w:bCs/>
                <w:color w:val="auto"/>
                <w:szCs w:val="24"/>
                <w:highlight w:val="none"/>
                <w:lang w:val="en-US" w:eastAsia="zh-CN"/>
              </w:rPr>
              <w:t>4</w:t>
            </w:r>
            <w:r>
              <w:rPr>
                <w:b/>
                <w:bCs/>
                <w:color w:val="auto"/>
                <w:szCs w:val="24"/>
                <w:highlight w:val="none"/>
              </w:rPr>
              <w:t>.2 污染物排放标准</w:t>
            </w:r>
          </w:p>
          <w:p>
            <w:pPr>
              <w:rPr>
                <w:b/>
                <w:bCs/>
                <w:color w:val="auto"/>
                <w:szCs w:val="24"/>
                <w:highlight w:val="none"/>
              </w:rPr>
            </w:pPr>
            <w:r>
              <w:rPr>
                <w:rFonts w:hint="eastAsia"/>
                <w:b/>
                <w:bCs/>
                <w:color w:val="auto"/>
                <w:szCs w:val="24"/>
                <w:highlight w:val="none"/>
                <w:lang w:val="en-US" w:eastAsia="zh-CN"/>
              </w:rPr>
              <w:t>4</w:t>
            </w:r>
            <w:r>
              <w:rPr>
                <w:b/>
                <w:bCs/>
                <w:color w:val="auto"/>
                <w:szCs w:val="24"/>
                <w:highlight w:val="none"/>
              </w:rPr>
              <w:t>.2.1 噪声</w:t>
            </w:r>
          </w:p>
          <w:p>
            <w:pPr>
              <w:ind w:firstLine="480" w:firstLineChars="200"/>
              <w:rPr>
                <w:b/>
                <w:color w:val="auto"/>
                <w:szCs w:val="24"/>
                <w:highlight w:val="none"/>
              </w:rPr>
            </w:pPr>
            <w:r>
              <w:rPr>
                <w:color w:val="auto"/>
                <w:szCs w:val="24"/>
                <w:highlight w:val="none"/>
              </w:rPr>
              <w:t>施工期噪声执行《建筑施工场界环境噪声排放标准》（GB12523-2011）中的相关标准，具体标准见表</w:t>
            </w:r>
            <w:r>
              <w:rPr>
                <w:rFonts w:hint="eastAsia"/>
                <w:color w:val="auto"/>
                <w:szCs w:val="24"/>
                <w:highlight w:val="none"/>
                <w:lang w:val="en-US" w:eastAsia="zh-CN"/>
              </w:rPr>
              <w:t>4</w:t>
            </w:r>
            <w:r>
              <w:rPr>
                <w:color w:val="auto"/>
                <w:szCs w:val="24"/>
                <w:highlight w:val="none"/>
              </w:rPr>
              <w:t>-</w:t>
            </w:r>
            <w:r>
              <w:rPr>
                <w:rFonts w:hint="eastAsia"/>
                <w:color w:val="auto"/>
                <w:szCs w:val="24"/>
                <w:highlight w:val="none"/>
                <w:lang w:val="en-US" w:eastAsia="zh-CN"/>
              </w:rPr>
              <w:t>3</w:t>
            </w:r>
            <w:r>
              <w:rPr>
                <w:color w:val="auto"/>
                <w:szCs w:val="24"/>
                <w:highlight w:val="none"/>
              </w:rPr>
              <w:t>。</w:t>
            </w:r>
          </w:p>
          <w:p>
            <w:pPr>
              <w:jc w:val="center"/>
              <w:rPr>
                <w:b/>
                <w:color w:val="auto"/>
                <w:szCs w:val="24"/>
                <w:highlight w:val="none"/>
              </w:rPr>
            </w:pPr>
            <w:r>
              <w:rPr>
                <w:b/>
                <w:color w:val="auto"/>
                <w:szCs w:val="24"/>
                <w:highlight w:val="none"/>
              </w:rPr>
              <w:t>表</w:t>
            </w:r>
            <w:r>
              <w:rPr>
                <w:rFonts w:hint="eastAsia"/>
                <w:b/>
                <w:color w:val="auto"/>
                <w:szCs w:val="24"/>
                <w:highlight w:val="none"/>
                <w:lang w:val="en-US" w:eastAsia="zh-CN"/>
              </w:rPr>
              <w:t>4</w:t>
            </w:r>
            <w:r>
              <w:rPr>
                <w:b/>
                <w:color w:val="auto"/>
                <w:szCs w:val="24"/>
                <w:highlight w:val="none"/>
              </w:rPr>
              <w:t>-</w:t>
            </w:r>
            <w:r>
              <w:rPr>
                <w:rFonts w:hint="eastAsia"/>
                <w:b/>
                <w:color w:val="auto"/>
                <w:szCs w:val="24"/>
                <w:highlight w:val="none"/>
                <w:lang w:val="en-US" w:eastAsia="zh-CN"/>
              </w:rPr>
              <w:t>3</w:t>
            </w:r>
            <w:r>
              <w:rPr>
                <w:b/>
                <w:color w:val="auto"/>
                <w:szCs w:val="24"/>
                <w:highlight w:val="none"/>
              </w:rPr>
              <w:t xml:space="preserve">  建筑施工场界环境噪声排放标准   单位：dB（A）</w:t>
            </w:r>
          </w:p>
          <w:tbl>
            <w:tblPr>
              <w:tblStyle w:val="35"/>
              <w:tblW w:w="8773"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4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6"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昼 间</w:t>
                  </w:r>
                </w:p>
              </w:tc>
              <w:tc>
                <w:tcPr>
                  <w:tcW w:w="4387"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86"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70</w:t>
                  </w:r>
                </w:p>
              </w:tc>
              <w:tc>
                <w:tcPr>
                  <w:tcW w:w="4387" w:type="dxa"/>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55</w:t>
                  </w:r>
                </w:p>
              </w:tc>
            </w:tr>
          </w:tbl>
          <w:p>
            <w:pPr>
              <w:ind w:firstLine="480" w:firstLineChars="200"/>
              <w:rPr>
                <w:b/>
                <w:color w:val="auto"/>
                <w:szCs w:val="24"/>
                <w:highlight w:val="none"/>
              </w:rPr>
            </w:pPr>
            <w:r>
              <w:rPr>
                <w:color w:val="auto"/>
                <w:szCs w:val="24"/>
                <w:highlight w:val="none"/>
              </w:rPr>
              <w:t>运行期项目地噪声排放执行《工业企业厂界环境声排放标准》（GB12348-2008）的</w:t>
            </w:r>
            <w:r>
              <w:rPr>
                <w:rFonts w:hint="eastAsia"/>
                <w:color w:val="auto"/>
                <w:szCs w:val="24"/>
                <w:highlight w:val="none"/>
                <w:lang w:val="en-US" w:eastAsia="zh-CN"/>
              </w:rPr>
              <w:t>2</w:t>
            </w:r>
            <w:r>
              <w:rPr>
                <w:color w:val="auto"/>
                <w:szCs w:val="24"/>
                <w:highlight w:val="none"/>
              </w:rPr>
              <w:t>类区</w:t>
            </w:r>
            <w:r>
              <w:rPr>
                <w:rFonts w:hint="eastAsia"/>
                <w:color w:val="auto"/>
                <w:szCs w:val="24"/>
                <w:highlight w:val="none"/>
                <w:lang w:val="en-US" w:eastAsia="zh-CN"/>
              </w:rPr>
              <w:t>、4类区</w:t>
            </w:r>
            <w:r>
              <w:rPr>
                <w:color w:val="auto"/>
                <w:szCs w:val="24"/>
                <w:highlight w:val="none"/>
              </w:rPr>
              <w:t>标准。执行标准值见表</w:t>
            </w:r>
            <w:r>
              <w:rPr>
                <w:rFonts w:hint="eastAsia"/>
                <w:color w:val="auto"/>
                <w:szCs w:val="24"/>
                <w:highlight w:val="none"/>
                <w:lang w:val="en-US" w:eastAsia="zh-CN"/>
              </w:rPr>
              <w:t>4</w:t>
            </w:r>
            <w:r>
              <w:rPr>
                <w:color w:val="auto"/>
                <w:szCs w:val="24"/>
                <w:highlight w:val="none"/>
              </w:rPr>
              <w:t>-</w:t>
            </w:r>
            <w:r>
              <w:rPr>
                <w:rFonts w:hint="eastAsia"/>
                <w:color w:val="auto"/>
                <w:szCs w:val="24"/>
                <w:highlight w:val="none"/>
                <w:lang w:val="en-US" w:eastAsia="zh-CN"/>
              </w:rPr>
              <w:t>4</w:t>
            </w:r>
            <w:r>
              <w:rPr>
                <w:color w:val="auto"/>
                <w:szCs w:val="24"/>
                <w:highlight w:val="none"/>
              </w:rPr>
              <w:t>所示：</w:t>
            </w:r>
          </w:p>
          <w:p>
            <w:pPr>
              <w:jc w:val="center"/>
              <w:rPr>
                <w:b/>
                <w:color w:val="auto"/>
                <w:szCs w:val="24"/>
                <w:highlight w:val="none"/>
              </w:rPr>
            </w:pPr>
            <w:r>
              <w:rPr>
                <w:b/>
                <w:color w:val="auto"/>
                <w:szCs w:val="24"/>
                <w:highlight w:val="none"/>
              </w:rPr>
              <w:t>表</w:t>
            </w:r>
            <w:r>
              <w:rPr>
                <w:rFonts w:hint="eastAsia"/>
                <w:b/>
                <w:color w:val="auto"/>
                <w:szCs w:val="24"/>
                <w:highlight w:val="none"/>
                <w:lang w:val="en-US" w:eastAsia="zh-CN"/>
              </w:rPr>
              <w:t>4</w:t>
            </w:r>
            <w:r>
              <w:rPr>
                <w:b/>
                <w:color w:val="auto"/>
                <w:szCs w:val="24"/>
                <w:highlight w:val="none"/>
              </w:rPr>
              <w:t>-</w:t>
            </w:r>
            <w:r>
              <w:rPr>
                <w:rFonts w:hint="eastAsia"/>
                <w:b/>
                <w:color w:val="auto"/>
                <w:szCs w:val="24"/>
                <w:highlight w:val="none"/>
                <w:lang w:val="en-US" w:eastAsia="zh-CN"/>
              </w:rPr>
              <w:t>4</w:t>
            </w:r>
            <w:r>
              <w:rPr>
                <w:b/>
                <w:color w:val="auto"/>
                <w:szCs w:val="24"/>
                <w:highlight w:val="none"/>
              </w:rPr>
              <w:t xml:space="preserve">  工业企业厂界环境噪声排放标准   单位：dB（A）</w:t>
            </w:r>
          </w:p>
          <w:tbl>
            <w:tblPr>
              <w:tblStyle w:val="35"/>
              <w:tblW w:w="8773"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6"/>
              <w:gridCol w:w="1446"/>
              <w:gridCol w:w="1133"/>
              <w:gridCol w:w="20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176" w:type="dxa"/>
                  <w:tcBorders>
                    <w:tl2br w:val="single" w:color="auto" w:sz="12" w:space="0"/>
                  </w:tcBorders>
                </w:tcPr>
                <w:p>
                  <w:pPr>
                    <w:pStyle w:val="18"/>
                    <w:spacing w:line="240" w:lineRule="auto"/>
                    <w:ind w:right="140"/>
                    <w:rPr>
                      <w:rFonts w:ascii="Times New Roman" w:hAnsi="Times New Roman"/>
                      <w:color w:val="auto"/>
                      <w:szCs w:val="21"/>
                      <w:highlight w:val="none"/>
                    </w:rPr>
                  </w:pPr>
                  <w:r>
                    <w:rPr>
                      <w:rFonts w:ascii="Times New Roman" w:hAnsi="Times New Roman"/>
                      <w:color w:val="auto"/>
                      <w:szCs w:val="21"/>
                      <w:highlight w:val="none"/>
                    </w:rPr>
                    <w:t xml:space="preserve">                           时段</w:t>
                  </w:r>
                </w:p>
                <w:p>
                  <w:pPr>
                    <w:pStyle w:val="18"/>
                    <w:spacing w:line="240" w:lineRule="auto"/>
                    <w:ind w:right="142"/>
                    <w:rPr>
                      <w:rFonts w:ascii="Times New Roman" w:hAnsi="Times New Roman"/>
                      <w:color w:val="auto"/>
                      <w:szCs w:val="21"/>
                      <w:highlight w:val="none"/>
                    </w:rPr>
                  </w:pPr>
                  <w:r>
                    <w:rPr>
                      <w:rFonts w:ascii="Times New Roman" w:hAnsi="Times New Roman"/>
                      <w:color w:val="auto"/>
                      <w:szCs w:val="21"/>
                      <w:highlight w:val="none"/>
                    </w:rPr>
                    <w:t>厂界外声环境功能区类别</w:t>
                  </w:r>
                </w:p>
              </w:tc>
              <w:tc>
                <w:tcPr>
                  <w:tcW w:w="1446" w:type="dxa"/>
                  <w:tcBorders>
                    <w:tl2br w:val="nil"/>
                    <w:tr2bl w:val="nil"/>
                  </w:tcBorders>
                  <w:vAlign w:val="center"/>
                </w:tcPr>
                <w:p>
                  <w:pPr>
                    <w:pStyle w:val="18"/>
                    <w:spacing w:line="240" w:lineRule="auto"/>
                    <w:ind w:right="140"/>
                    <w:jc w:val="center"/>
                    <w:rPr>
                      <w:rFonts w:ascii="Times New Roman" w:hAnsi="Times New Roman"/>
                      <w:color w:val="auto"/>
                      <w:szCs w:val="21"/>
                      <w:highlight w:val="none"/>
                    </w:rPr>
                  </w:pPr>
                  <w:r>
                    <w:rPr>
                      <w:rFonts w:ascii="Times New Roman" w:hAnsi="Times New Roman"/>
                      <w:color w:val="auto"/>
                      <w:szCs w:val="21"/>
                      <w:highlight w:val="none"/>
                    </w:rPr>
                    <w:t>昼间</w:t>
                  </w:r>
                </w:p>
              </w:tc>
              <w:tc>
                <w:tcPr>
                  <w:tcW w:w="1133" w:type="dxa"/>
                  <w:tcBorders>
                    <w:tl2br w:val="nil"/>
                    <w:tr2bl w:val="nil"/>
                  </w:tcBorders>
                  <w:vAlign w:val="center"/>
                </w:tcPr>
                <w:p>
                  <w:pPr>
                    <w:pStyle w:val="18"/>
                    <w:spacing w:line="240" w:lineRule="auto"/>
                    <w:ind w:right="140"/>
                    <w:jc w:val="center"/>
                    <w:rPr>
                      <w:rFonts w:ascii="Times New Roman" w:hAnsi="Times New Roman"/>
                      <w:color w:val="auto"/>
                      <w:szCs w:val="21"/>
                      <w:highlight w:val="none"/>
                    </w:rPr>
                  </w:pPr>
                  <w:r>
                    <w:rPr>
                      <w:rFonts w:ascii="Times New Roman" w:hAnsi="Times New Roman"/>
                      <w:color w:val="auto"/>
                      <w:szCs w:val="21"/>
                      <w:highlight w:val="none"/>
                    </w:rPr>
                    <w:t>夜间</w:t>
                  </w:r>
                </w:p>
              </w:tc>
              <w:tc>
                <w:tcPr>
                  <w:tcW w:w="2018" w:type="dxa"/>
                  <w:tcBorders>
                    <w:tl2br w:val="nil"/>
                    <w:tr2bl w:val="nil"/>
                  </w:tcBorders>
                  <w:vAlign w:val="center"/>
                </w:tcPr>
                <w:p>
                  <w:pPr>
                    <w:pStyle w:val="18"/>
                    <w:spacing w:line="240" w:lineRule="auto"/>
                    <w:ind w:right="140"/>
                    <w:jc w:val="center"/>
                    <w:rPr>
                      <w:rFonts w:ascii="Times New Roman" w:hAnsi="Times New Roman"/>
                      <w:color w:val="auto"/>
                      <w:szCs w:val="21"/>
                      <w:highlight w:val="none"/>
                    </w:rPr>
                  </w:pPr>
                  <w:r>
                    <w:rPr>
                      <w:rFonts w:ascii="Times New Roman" w:hAnsi="Times New Roman"/>
                      <w:color w:val="auto"/>
                      <w:szCs w:val="21"/>
                      <w:highlight w:val="none"/>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176" w:type="dxa"/>
                  <w:tcBorders>
                    <w:tl2br w:val="nil"/>
                    <w:tr2bl w:val="nil"/>
                  </w:tcBorders>
                  <w:vAlign w:val="center"/>
                </w:tcPr>
                <w:p>
                  <w:pPr>
                    <w:pStyle w:val="18"/>
                    <w:spacing w:line="240" w:lineRule="auto"/>
                    <w:ind w:right="142"/>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2</w:t>
                  </w:r>
                  <w:r>
                    <w:rPr>
                      <w:rFonts w:ascii="Times New Roman" w:hAnsi="Times New Roman"/>
                      <w:color w:val="auto"/>
                      <w:szCs w:val="21"/>
                      <w:highlight w:val="none"/>
                    </w:rPr>
                    <w:t>类</w:t>
                  </w:r>
                </w:p>
              </w:tc>
              <w:tc>
                <w:tcPr>
                  <w:tcW w:w="1446" w:type="dxa"/>
                  <w:tcBorders>
                    <w:tl2br w:val="nil"/>
                    <w:tr2bl w:val="nil"/>
                  </w:tcBorders>
                  <w:vAlign w:val="center"/>
                </w:tcPr>
                <w:p>
                  <w:pPr>
                    <w:pStyle w:val="18"/>
                    <w:spacing w:line="240" w:lineRule="auto"/>
                    <w:ind w:right="142"/>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60</w:t>
                  </w:r>
                </w:p>
              </w:tc>
              <w:tc>
                <w:tcPr>
                  <w:tcW w:w="1133" w:type="dxa"/>
                  <w:tcBorders>
                    <w:tl2br w:val="nil"/>
                    <w:tr2bl w:val="nil"/>
                  </w:tcBorders>
                  <w:vAlign w:val="center"/>
                </w:tcPr>
                <w:p>
                  <w:pPr>
                    <w:pStyle w:val="18"/>
                    <w:spacing w:line="240" w:lineRule="auto"/>
                    <w:ind w:right="142"/>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50</w:t>
                  </w:r>
                </w:p>
              </w:tc>
              <w:tc>
                <w:tcPr>
                  <w:tcW w:w="2018" w:type="dxa"/>
                  <w:tcBorders>
                    <w:tl2br w:val="nil"/>
                    <w:tr2bl w:val="nil"/>
                  </w:tcBorders>
                  <w:vAlign w:val="center"/>
                </w:tcPr>
                <w:p>
                  <w:pPr>
                    <w:pStyle w:val="18"/>
                    <w:spacing w:line="240" w:lineRule="auto"/>
                    <w:ind w:right="142"/>
                    <w:jc w:val="center"/>
                    <w:rPr>
                      <w:rFonts w:ascii="Times New Roman" w:hAnsi="Times New Roman"/>
                      <w:color w:val="auto"/>
                      <w:szCs w:val="21"/>
                      <w:highlight w:val="none"/>
                    </w:rPr>
                  </w:pPr>
                  <w:r>
                    <w:rPr>
                      <w:rFonts w:hint="eastAsia" w:ascii="Times New Roman" w:hAnsi="Times New Roman"/>
                      <w:color w:val="auto"/>
                      <w:szCs w:val="21"/>
                      <w:highlight w:val="none"/>
                      <w:lang w:eastAsia="zh-CN"/>
                    </w:rPr>
                    <w:t>其他侧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176" w:type="dxa"/>
                  <w:tcBorders>
                    <w:tl2br w:val="nil"/>
                    <w:tr2bl w:val="nil"/>
                  </w:tcBorders>
                  <w:vAlign w:val="center"/>
                </w:tcPr>
                <w:p>
                  <w:pPr>
                    <w:pStyle w:val="18"/>
                    <w:spacing w:line="240" w:lineRule="auto"/>
                    <w:ind w:right="142"/>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4类</w:t>
                  </w:r>
                </w:p>
              </w:tc>
              <w:tc>
                <w:tcPr>
                  <w:tcW w:w="1446" w:type="dxa"/>
                  <w:tcBorders>
                    <w:tl2br w:val="nil"/>
                    <w:tr2bl w:val="nil"/>
                  </w:tcBorders>
                  <w:vAlign w:val="center"/>
                </w:tcPr>
                <w:p>
                  <w:pPr>
                    <w:pStyle w:val="18"/>
                    <w:spacing w:line="240" w:lineRule="auto"/>
                    <w:ind w:right="142"/>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70</w:t>
                  </w:r>
                </w:p>
              </w:tc>
              <w:tc>
                <w:tcPr>
                  <w:tcW w:w="1133" w:type="dxa"/>
                  <w:tcBorders>
                    <w:tl2br w:val="nil"/>
                    <w:tr2bl w:val="nil"/>
                  </w:tcBorders>
                  <w:vAlign w:val="center"/>
                </w:tcPr>
                <w:p>
                  <w:pPr>
                    <w:pStyle w:val="18"/>
                    <w:spacing w:line="240" w:lineRule="auto"/>
                    <w:ind w:right="142"/>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55</w:t>
                  </w:r>
                </w:p>
              </w:tc>
              <w:tc>
                <w:tcPr>
                  <w:tcW w:w="2018" w:type="dxa"/>
                  <w:tcBorders>
                    <w:tl2br w:val="nil"/>
                    <w:tr2bl w:val="nil"/>
                  </w:tcBorders>
                  <w:vAlign w:val="center"/>
                </w:tcPr>
                <w:p>
                  <w:pPr>
                    <w:pStyle w:val="18"/>
                    <w:spacing w:line="240" w:lineRule="auto"/>
                    <w:ind w:right="142"/>
                    <w:jc w:val="center"/>
                    <w:rPr>
                      <w:rFonts w:hint="eastAsia" w:ascii="Times New Roman" w:hAnsi="Times New Roman"/>
                      <w:color w:val="auto"/>
                      <w:szCs w:val="21"/>
                      <w:highlight w:val="none"/>
                      <w:lang w:eastAsia="zh-CN"/>
                    </w:rPr>
                  </w:pPr>
                  <w:r>
                    <w:rPr>
                      <w:rFonts w:hint="eastAsia" w:ascii="Times New Roman" w:hAnsi="Times New Roman"/>
                      <w:color w:val="auto"/>
                      <w:szCs w:val="21"/>
                      <w:highlight w:val="none"/>
                      <w:lang w:eastAsia="zh-CN"/>
                    </w:rPr>
                    <w:t>临路侧</w:t>
                  </w:r>
                </w:p>
              </w:tc>
            </w:tr>
          </w:tbl>
          <w:p>
            <w:pPr>
              <w:rPr>
                <w:color w:val="auto"/>
                <w:highlight w:val="yellow"/>
              </w:rPr>
            </w:pPr>
          </w:p>
          <w:p>
            <w:pPr>
              <w:rPr>
                <w:color w:val="auto"/>
                <w:highlight w:val="yellow"/>
              </w:rPr>
            </w:pPr>
          </w:p>
          <w:p>
            <w:pPr>
              <w:rPr>
                <w:color w:val="auto"/>
                <w:highlight w:val="yellow"/>
              </w:rPr>
            </w:pPr>
          </w:p>
        </w:tc>
      </w:tr>
    </w:tbl>
    <w:p>
      <w:pPr>
        <w:rPr>
          <w:color w:val="auto"/>
        </w:rPr>
      </w:pPr>
    </w:p>
    <w:tbl>
      <w:tblPr>
        <w:tblStyle w:val="35"/>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Borders>
              <w:top w:val="nil"/>
              <w:left w:val="nil"/>
              <w:right w:val="nil"/>
            </w:tcBorders>
          </w:tcPr>
          <w:p>
            <w:pPr>
              <w:rPr>
                <w:color w:val="auto"/>
                <w:szCs w:val="24"/>
                <w:highlight w:val="yellow"/>
              </w:rPr>
            </w:pPr>
            <w:r>
              <w:rPr>
                <w:rFonts w:hint="eastAsia"/>
                <w:b/>
                <w:bCs/>
                <w:color w:val="auto"/>
                <w:szCs w:val="24"/>
                <w:highlight w:val="none"/>
                <w:lang w:eastAsia="zh-CN"/>
              </w:rPr>
              <w:t>建设项目</w:t>
            </w:r>
            <w:r>
              <w:rPr>
                <w:b/>
                <w:bCs/>
                <w:color w:val="auto"/>
                <w:szCs w:val="24"/>
                <w:highlight w:val="none"/>
              </w:rPr>
              <w:t xml:space="preserve">工程分析                             </w:t>
            </w:r>
            <w:r>
              <w:rPr>
                <w:rFonts w:hint="eastAsia"/>
                <w:b/>
                <w:bCs/>
                <w:color w:val="auto"/>
                <w:szCs w:val="24"/>
                <w:highlight w:val="none"/>
                <w:lang w:val="en-US" w:eastAsia="zh-CN"/>
              </w:rPr>
              <w:t xml:space="preserve">   </w:t>
            </w:r>
            <w:r>
              <w:rPr>
                <w:b/>
                <w:bCs/>
                <w:color w:val="auto"/>
                <w:szCs w:val="24"/>
                <w:highlight w:val="none"/>
              </w:rPr>
              <w:t xml:space="preserve">                 表</w:t>
            </w:r>
            <w:r>
              <w:rPr>
                <w:rFonts w:hint="eastAsia"/>
                <w:b/>
                <w:bCs/>
                <w:color w:val="auto"/>
                <w:szCs w:val="24"/>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38" w:hRule="atLeast"/>
          <w:jc w:val="center"/>
        </w:trPr>
        <w:tc>
          <w:tcPr>
            <w:tcW w:w="8999" w:type="dxa"/>
          </w:tcPr>
          <w:p>
            <w:pPr>
              <w:spacing w:before="156" w:beforeLines="50" w:after="156" w:afterLines="50"/>
              <w:rPr>
                <w:b/>
                <w:bCs/>
                <w:color w:val="auto"/>
                <w:szCs w:val="24"/>
                <w:highlight w:val="none"/>
              </w:rPr>
            </w:pPr>
            <w:r>
              <w:rPr>
                <w:rFonts w:hint="eastAsia"/>
                <w:b/>
                <w:bCs/>
                <w:color w:val="auto"/>
                <w:szCs w:val="24"/>
                <w:highlight w:val="none"/>
                <w:lang w:val="en-US" w:eastAsia="zh-CN"/>
              </w:rPr>
              <w:t>5</w:t>
            </w:r>
            <w:r>
              <w:rPr>
                <w:b/>
                <w:bCs/>
                <w:color w:val="auto"/>
                <w:szCs w:val="24"/>
                <w:highlight w:val="none"/>
              </w:rPr>
              <w:t>.1施工期工艺流程简述（图示）</w:t>
            </w:r>
          </w:p>
          <w:p>
            <w:pPr>
              <w:keepLines/>
              <w:widowControl/>
              <w:ind w:firstLine="480" w:firstLineChars="200"/>
              <w:rPr>
                <w:color w:val="auto"/>
                <w:highlight w:val="none"/>
              </w:rPr>
            </w:pPr>
            <w:r>
              <w:rPr>
                <w:color w:val="auto"/>
                <w:highlight w:val="none"/>
              </w:rPr>
              <w:t>广播发射塔施工流程及主要产污节点图：</w:t>
            </w:r>
          </w:p>
          <w:p>
            <w:pPr>
              <w:keepLines/>
              <w:widowControl/>
              <w:jc w:val="center"/>
              <w:rPr>
                <w:color w:val="auto"/>
                <w:highlight w:val="none"/>
              </w:rPr>
            </w:pPr>
            <w:r>
              <w:rPr>
                <w:color w:val="auto"/>
                <w:highlight w:val="none"/>
              </w:rPr>
              <w:object>
                <v:shape id="_x0000_i1028" o:spt="75" type="#_x0000_t75" style="height:124.5pt;width:333.75pt;" o:ole="t" filled="f" o:preferrelative="t" stroked="f" coordsize="21600,21600">
                  <v:path/>
                  <v:fill on="f" focussize="0,0"/>
                  <v:stroke on="f"/>
                  <v:imagedata r:id="rId12" o:title=""/>
                  <o:lock v:ext="edit" aspectratio="t"/>
                  <w10:wrap type="none"/>
                  <w10:anchorlock/>
                </v:shape>
                <o:OLEObject Type="Embed" ProgID="Visio.Drawing.11" ShapeID="_x0000_i1028" DrawAspect="Content" ObjectID="_1468075728" r:id="rId11">
                  <o:LockedField>false</o:LockedField>
                </o:OLEObject>
              </w:object>
            </w:r>
          </w:p>
          <w:p>
            <w:pPr>
              <w:keepLines/>
              <w:widowControl/>
              <w:jc w:val="center"/>
              <w:rPr>
                <w:b/>
                <w:color w:val="auto"/>
                <w:szCs w:val="24"/>
                <w:highlight w:val="none"/>
              </w:rPr>
            </w:pPr>
            <w:r>
              <w:rPr>
                <w:b/>
                <w:color w:val="auto"/>
                <w:highlight w:val="none"/>
              </w:rPr>
              <w:t>图</w:t>
            </w:r>
            <w:r>
              <w:rPr>
                <w:rFonts w:hint="eastAsia"/>
                <w:b/>
                <w:color w:val="auto"/>
                <w:highlight w:val="none"/>
                <w:lang w:val="en-US" w:eastAsia="zh-CN"/>
              </w:rPr>
              <w:t>5</w:t>
            </w:r>
            <w:r>
              <w:rPr>
                <w:b/>
                <w:color w:val="auto"/>
                <w:highlight w:val="none"/>
              </w:rPr>
              <w:t>-1 施工期工艺流程及产污节点图</w:t>
            </w:r>
          </w:p>
          <w:p>
            <w:pPr>
              <w:keepLines/>
              <w:widowControl/>
              <w:ind w:firstLine="480" w:firstLineChars="200"/>
              <w:rPr>
                <w:color w:val="auto"/>
                <w:szCs w:val="24"/>
                <w:highlight w:val="none"/>
              </w:rPr>
            </w:pPr>
            <w:r>
              <w:rPr>
                <w:color w:val="auto"/>
                <w:szCs w:val="24"/>
                <w:highlight w:val="none"/>
              </w:rPr>
              <w:t>施工期主要为铁塔搭建及机房装修等施工活动，对环境产生一定的影响，但随着施工期的结束而结束。</w:t>
            </w:r>
          </w:p>
          <w:p>
            <w:pPr>
              <w:keepLines/>
              <w:spacing w:before="156" w:beforeLines="50"/>
              <w:rPr>
                <w:b/>
                <w:bCs/>
                <w:color w:val="auto"/>
                <w:szCs w:val="24"/>
                <w:highlight w:val="none"/>
              </w:rPr>
            </w:pPr>
            <w:r>
              <w:rPr>
                <w:rFonts w:hint="eastAsia"/>
                <w:b/>
                <w:bCs/>
                <w:color w:val="auto"/>
                <w:szCs w:val="24"/>
                <w:highlight w:val="none"/>
                <w:lang w:val="en-US" w:eastAsia="zh-CN"/>
              </w:rPr>
              <w:t>5</w:t>
            </w:r>
            <w:r>
              <w:rPr>
                <w:b/>
                <w:bCs/>
                <w:color w:val="auto"/>
                <w:szCs w:val="24"/>
                <w:highlight w:val="none"/>
              </w:rPr>
              <w:t>.2施工期主要污染工序及环节</w:t>
            </w:r>
          </w:p>
          <w:p>
            <w:pPr>
              <w:pStyle w:val="24"/>
              <w:spacing w:line="360" w:lineRule="auto"/>
              <w:ind w:left="0" w:firstLine="482" w:firstLineChars="200"/>
              <w:rPr>
                <w:b/>
                <w:color w:val="auto"/>
                <w:sz w:val="24"/>
                <w:szCs w:val="24"/>
                <w:highlight w:val="none"/>
              </w:rPr>
            </w:pPr>
            <w:r>
              <w:rPr>
                <w:b/>
                <w:color w:val="auto"/>
                <w:sz w:val="24"/>
                <w:szCs w:val="24"/>
                <w:highlight w:val="none"/>
              </w:rPr>
              <w:t>（1）环境空气</w:t>
            </w:r>
          </w:p>
          <w:p>
            <w:pPr>
              <w:pStyle w:val="24"/>
              <w:spacing w:line="360" w:lineRule="auto"/>
              <w:ind w:left="0" w:firstLine="480" w:firstLineChars="200"/>
              <w:rPr>
                <w:color w:val="auto"/>
                <w:sz w:val="24"/>
                <w:szCs w:val="24"/>
                <w:highlight w:val="none"/>
              </w:rPr>
            </w:pPr>
            <w:r>
              <w:rPr>
                <w:color w:val="auto"/>
                <w:sz w:val="24"/>
                <w:szCs w:val="24"/>
                <w:highlight w:val="none"/>
              </w:rPr>
              <w:t>施工期主要为铁塔搭建及机房装修等施工活动，施工期环境空气污染源主要为装修废气、汽车尾气及其产生的扬尘等。由于施工数量不多，因此所排的废气污染物仅对施工点的空气质量产生间断的较小不利影响。</w:t>
            </w:r>
          </w:p>
          <w:p>
            <w:pPr>
              <w:pStyle w:val="24"/>
              <w:spacing w:line="360" w:lineRule="auto"/>
              <w:ind w:left="0" w:firstLine="482" w:firstLineChars="200"/>
              <w:rPr>
                <w:b/>
                <w:color w:val="auto"/>
                <w:sz w:val="24"/>
                <w:szCs w:val="24"/>
                <w:highlight w:val="none"/>
              </w:rPr>
            </w:pPr>
            <w:r>
              <w:rPr>
                <w:b/>
                <w:color w:val="auto"/>
                <w:sz w:val="24"/>
                <w:szCs w:val="24"/>
                <w:highlight w:val="none"/>
              </w:rPr>
              <w:t>（2）噪声</w:t>
            </w:r>
          </w:p>
          <w:p>
            <w:pPr>
              <w:pStyle w:val="24"/>
              <w:spacing w:line="360" w:lineRule="auto"/>
              <w:ind w:left="0" w:firstLine="480" w:firstLineChars="200"/>
              <w:rPr>
                <w:color w:val="auto"/>
                <w:sz w:val="24"/>
                <w:szCs w:val="24"/>
                <w:highlight w:val="none"/>
              </w:rPr>
            </w:pPr>
            <w:r>
              <w:rPr>
                <w:color w:val="auto"/>
                <w:sz w:val="24"/>
                <w:szCs w:val="24"/>
                <w:highlight w:val="none"/>
              </w:rPr>
              <w:t>项目施工期的噪声主要来自钢结构及设备安装调试等阶段，主要噪声源为汽车和钢结构、设备搬运噪声。噪声值一般约为90dB，施工场地的噪声对周围环境有一定的影响。</w:t>
            </w:r>
          </w:p>
          <w:p>
            <w:pPr>
              <w:pStyle w:val="24"/>
              <w:spacing w:line="360" w:lineRule="auto"/>
              <w:ind w:left="0" w:firstLine="482" w:firstLineChars="200"/>
              <w:rPr>
                <w:b/>
                <w:color w:val="auto"/>
                <w:sz w:val="24"/>
                <w:szCs w:val="24"/>
                <w:highlight w:val="none"/>
              </w:rPr>
            </w:pPr>
            <w:r>
              <w:rPr>
                <w:b/>
                <w:color w:val="auto"/>
                <w:sz w:val="24"/>
                <w:szCs w:val="24"/>
                <w:highlight w:val="none"/>
              </w:rPr>
              <w:t>（3）地表水</w:t>
            </w:r>
          </w:p>
          <w:p>
            <w:pPr>
              <w:pStyle w:val="24"/>
              <w:spacing w:line="360" w:lineRule="auto"/>
              <w:ind w:left="0" w:firstLine="480" w:firstLineChars="200"/>
              <w:rPr>
                <w:color w:val="auto"/>
                <w:sz w:val="24"/>
                <w:szCs w:val="24"/>
                <w:highlight w:val="none"/>
              </w:rPr>
            </w:pPr>
            <w:r>
              <w:rPr>
                <w:color w:val="auto"/>
                <w:sz w:val="24"/>
                <w:szCs w:val="24"/>
                <w:highlight w:val="none"/>
              </w:rPr>
              <w:t>拟建项目施工期污水主要为施工人员的生活污水。施工人员每天最多时约10人，其人均污水产生量按0.1m</w:t>
            </w:r>
            <w:r>
              <w:rPr>
                <w:color w:val="auto"/>
                <w:sz w:val="24"/>
                <w:szCs w:val="24"/>
                <w:highlight w:val="none"/>
                <w:vertAlign w:val="superscript"/>
              </w:rPr>
              <w:t>3</w:t>
            </w:r>
            <w:r>
              <w:rPr>
                <w:color w:val="auto"/>
                <w:sz w:val="24"/>
                <w:szCs w:val="24"/>
                <w:highlight w:val="none"/>
              </w:rPr>
              <w:t>/d计算，则废水产生量最大为1.0m</w:t>
            </w:r>
            <w:r>
              <w:rPr>
                <w:color w:val="auto"/>
                <w:sz w:val="24"/>
                <w:szCs w:val="24"/>
                <w:highlight w:val="none"/>
                <w:vertAlign w:val="superscript"/>
              </w:rPr>
              <w:t>3</w:t>
            </w:r>
            <w:r>
              <w:rPr>
                <w:color w:val="auto"/>
                <w:sz w:val="24"/>
                <w:szCs w:val="24"/>
                <w:highlight w:val="none"/>
              </w:rPr>
              <w:t>/d，主要污染物浓度COD浓度为300～500mg/L、SS浓度为200～300mg/L。</w:t>
            </w:r>
          </w:p>
          <w:p>
            <w:pPr>
              <w:pStyle w:val="24"/>
              <w:spacing w:line="360" w:lineRule="auto"/>
              <w:ind w:left="0" w:firstLine="482" w:firstLineChars="200"/>
              <w:rPr>
                <w:b/>
                <w:color w:val="auto"/>
                <w:sz w:val="24"/>
                <w:szCs w:val="24"/>
                <w:highlight w:val="none"/>
              </w:rPr>
            </w:pPr>
            <w:r>
              <w:rPr>
                <w:b/>
                <w:color w:val="auto"/>
                <w:sz w:val="24"/>
                <w:szCs w:val="24"/>
                <w:highlight w:val="none"/>
              </w:rPr>
              <w:t>（4）固体废弃物</w:t>
            </w:r>
          </w:p>
          <w:p>
            <w:pPr>
              <w:ind w:firstLine="480" w:firstLineChars="200"/>
              <w:rPr>
                <w:b/>
                <w:bCs/>
                <w:color w:val="auto"/>
                <w:szCs w:val="24"/>
                <w:highlight w:val="none"/>
              </w:rPr>
            </w:pPr>
            <w:r>
              <w:rPr>
                <w:color w:val="auto"/>
                <w:sz w:val="24"/>
                <w:szCs w:val="24"/>
                <w:highlight w:val="none"/>
              </w:rPr>
              <w:t>拟建项目施工期固体废弃物主要为施工人员的生活垃圾及设备等安装废料</w:t>
            </w:r>
            <w:r>
              <w:rPr>
                <w:rFonts w:hint="eastAsia"/>
                <w:color w:val="auto"/>
                <w:sz w:val="24"/>
                <w:szCs w:val="24"/>
                <w:highlight w:val="none"/>
                <w:lang w:eastAsia="zh-CN"/>
              </w:rPr>
              <w:t>少量</w:t>
            </w:r>
            <w:r>
              <w:rPr>
                <w:color w:val="auto"/>
                <w:sz w:val="24"/>
                <w:szCs w:val="24"/>
                <w:highlight w:val="none"/>
              </w:rPr>
              <w:t>。施工人员生活垃圾集中收集后交由环卫部门处理，设备安装废料交由物资回收部门处理。</w:t>
            </w:r>
            <w:r>
              <w:rPr>
                <w:color w:val="auto"/>
                <w:szCs w:val="24"/>
                <w:highlight w:val="none"/>
              </w:rPr>
              <w:t>此外本项目在传媒中心顶楼施工，施工时不得随意向楼下抛洒固体废物，注意施工安全。</w:t>
            </w:r>
          </w:p>
          <w:p>
            <w:pPr>
              <w:rPr>
                <w:color w:val="auto"/>
                <w:highlight w:val="none"/>
              </w:rPr>
            </w:pPr>
            <w:r>
              <w:rPr>
                <w:rFonts w:hint="eastAsia"/>
                <w:b/>
                <w:bCs/>
                <w:color w:val="auto"/>
                <w:szCs w:val="24"/>
                <w:highlight w:val="none"/>
                <w:lang w:val="en-US" w:eastAsia="zh-CN"/>
              </w:rPr>
              <w:t>5</w:t>
            </w:r>
            <w:r>
              <w:rPr>
                <w:b/>
                <w:bCs/>
                <w:color w:val="auto"/>
                <w:szCs w:val="24"/>
                <w:highlight w:val="none"/>
              </w:rPr>
              <w:t>.3运行期的主要污染工序及环节</w:t>
            </w:r>
          </w:p>
          <w:p>
            <w:pPr>
              <w:rPr>
                <w:color w:val="auto"/>
                <w:highlight w:val="none"/>
              </w:rPr>
            </w:pPr>
            <w:r>
              <w:rPr>
                <w:rFonts w:hint="eastAsia"/>
                <w:b/>
                <w:bCs/>
                <w:color w:val="auto"/>
                <w:szCs w:val="24"/>
                <w:highlight w:val="none"/>
                <w:lang w:val="en-US" w:eastAsia="zh-CN"/>
              </w:rPr>
              <w:t>5</w:t>
            </w:r>
            <w:r>
              <w:rPr>
                <w:b/>
                <w:bCs/>
                <w:color w:val="auto"/>
                <w:szCs w:val="24"/>
                <w:highlight w:val="none"/>
              </w:rPr>
              <w:t>.3.1 噪声</w:t>
            </w:r>
          </w:p>
          <w:p>
            <w:pPr>
              <w:ind w:firstLine="480" w:firstLineChars="200"/>
              <w:rPr>
                <w:color w:val="auto"/>
                <w:highlight w:val="none"/>
              </w:rPr>
            </w:pPr>
            <w:r>
              <w:rPr>
                <w:color w:val="auto"/>
                <w:highlight w:val="none"/>
              </w:rPr>
              <w:t>项目主要噪声源为机房设备噪声值，选用低噪声设备并采取机房内安置，机房噪声值约为60dB，噪声经距离衰减和机房建筑隔声，能够使噪声对周围环境的影响降至最低。</w:t>
            </w:r>
          </w:p>
          <w:p>
            <w:pPr>
              <w:keepLines/>
              <w:widowControl/>
              <w:rPr>
                <w:b/>
                <w:bCs/>
                <w:color w:val="auto"/>
                <w:szCs w:val="24"/>
                <w:highlight w:val="none"/>
              </w:rPr>
            </w:pPr>
            <w:r>
              <w:rPr>
                <w:rFonts w:hint="eastAsia"/>
                <w:b/>
                <w:bCs/>
                <w:color w:val="auto"/>
                <w:szCs w:val="24"/>
                <w:highlight w:val="none"/>
                <w:lang w:val="en-US" w:eastAsia="zh-CN"/>
              </w:rPr>
              <w:t>5</w:t>
            </w:r>
            <w:r>
              <w:rPr>
                <w:b/>
                <w:bCs/>
                <w:color w:val="auto"/>
                <w:szCs w:val="24"/>
                <w:highlight w:val="none"/>
              </w:rPr>
              <w:t>.3.2 电磁环境</w:t>
            </w:r>
          </w:p>
          <w:p>
            <w:pPr>
              <w:keepLines/>
              <w:widowControl/>
              <w:rPr>
                <w:b/>
                <w:color w:val="auto"/>
                <w:szCs w:val="24"/>
                <w:highlight w:val="none"/>
              </w:rPr>
            </w:pPr>
            <w:r>
              <w:rPr>
                <w:rFonts w:hint="eastAsia"/>
                <w:b/>
                <w:color w:val="auto"/>
                <w:szCs w:val="24"/>
                <w:highlight w:val="none"/>
                <w:lang w:val="en-US" w:eastAsia="zh-CN"/>
              </w:rPr>
              <w:t>5</w:t>
            </w:r>
            <w:r>
              <w:rPr>
                <w:b/>
                <w:color w:val="auto"/>
                <w:szCs w:val="24"/>
                <w:highlight w:val="none"/>
              </w:rPr>
              <w:t>.3.2.1 广播电视技术介绍</w:t>
            </w:r>
          </w:p>
          <w:p>
            <w:pPr>
              <w:ind w:firstLine="480" w:firstLineChars="200"/>
              <w:rPr>
                <w:color w:val="auto"/>
                <w:highlight w:val="none"/>
              </w:rPr>
            </w:pPr>
            <w:r>
              <w:rPr>
                <w:color w:val="auto"/>
                <w:szCs w:val="24"/>
                <w:highlight w:val="none"/>
              </w:rPr>
              <w:t>广播电视技术系统主要由节目采编、制播、远程传输、本地发射/分配接入、用户接收等几个部分组成。一般来说，广播电台、电视台负责采集、编辑、制作和播出节目，播出的节目信号通过卫星、光缆干线、微波等技术手段传输到各地，在当地由无线发射台或有线电视分配网将节目信号送入千家万户。广播电视技术基本构成示意</w:t>
            </w:r>
            <w:r>
              <w:rPr>
                <w:color w:val="auto"/>
                <w:highlight w:val="none"/>
              </w:rPr>
              <w:t>图见图</w:t>
            </w:r>
            <w:r>
              <w:rPr>
                <w:rFonts w:hint="eastAsia"/>
                <w:color w:val="auto"/>
                <w:highlight w:val="none"/>
                <w:lang w:val="en-US" w:eastAsia="zh-CN"/>
              </w:rPr>
              <w:t>5</w:t>
            </w:r>
            <w:r>
              <w:rPr>
                <w:color w:val="auto"/>
                <w:highlight w:val="none"/>
              </w:rPr>
              <w:t>-2。</w:t>
            </w:r>
          </w:p>
          <w:p>
            <w:pPr>
              <w:jc w:val="center"/>
              <w:rPr>
                <w:b/>
                <w:bCs/>
                <w:color w:val="auto"/>
                <w:szCs w:val="24"/>
                <w:highlight w:val="none"/>
              </w:rPr>
            </w:pPr>
            <w:r>
              <w:rPr>
                <w:b/>
                <w:bCs/>
                <w:color w:val="auto"/>
                <w:szCs w:val="24"/>
                <w:highlight w:val="none"/>
              </w:rPr>
              <w:drawing>
                <wp:inline distT="0" distB="0" distL="0" distR="0">
                  <wp:extent cx="3863975" cy="2879725"/>
                  <wp:effectExtent l="0" t="0" r="3175" b="15875"/>
                  <wp:docPr id="4" name="图片 4" descr="C:\Documents and Settings\Administrator\桌面\广播电视基本构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Administrator\桌面\广播电视基本构成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64220" cy="2880000"/>
                          </a:xfrm>
                          <a:prstGeom prst="rect">
                            <a:avLst/>
                          </a:prstGeom>
                          <a:noFill/>
                          <a:ln>
                            <a:noFill/>
                          </a:ln>
                        </pic:spPr>
                      </pic:pic>
                    </a:graphicData>
                  </a:graphic>
                </wp:inline>
              </w:drawing>
            </w:r>
          </w:p>
          <w:p>
            <w:pPr>
              <w:keepLines/>
              <w:widowControl/>
              <w:spacing w:line="240" w:lineRule="auto"/>
              <w:jc w:val="center"/>
              <w:rPr>
                <w:b/>
                <w:bCs/>
                <w:color w:val="auto"/>
                <w:szCs w:val="24"/>
                <w:highlight w:val="none"/>
              </w:rPr>
            </w:pPr>
            <w:r>
              <w:rPr>
                <w:b/>
                <w:bCs/>
                <w:color w:val="auto"/>
                <w:szCs w:val="24"/>
                <w:highlight w:val="none"/>
              </w:rPr>
              <w:t xml:space="preserve">图 </w:t>
            </w:r>
            <w:r>
              <w:rPr>
                <w:rFonts w:hint="eastAsia"/>
                <w:b/>
                <w:bCs/>
                <w:color w:val="auto"/>
                <w:szCs w:val="24"/>
                <w:highlight w:val="none"/>
                <w:lang w:val="en-US" w:eastAsia="zh-CN"/>
              </w:rPr>
              <w:t>5</w:t>
            </w:r>
            <w:r>
              <w:rPr>
                <w:b/>
                <w:bCs/>
                <w:color w:val="auto"/>
                <w:szCs w:val="24"/>
                <w:highlight w:val="none"/>
              </w:rPr>
              <w:t>-2 广播电视技术基本构成示意图</w:t>
            </w:r>
          </w:p>
          <w:p>
            <w:pPr>
              <w:keepLines/>
              <w:widowControl/>
              <w:spacing w:line="240" w:lineRule="auto"/>
              <w:jc w:val="center"/>
              <w:rPr>
                <w:b/>
                <w:bCs/>
                <w:color w:val="auto"/>
                <w:szCs w:val="24"/>
                <w:highlight w:val="none"/>
              </w:rPr>
            </w:pPr>
          </w:p>
          <w:p>
            <w:pPr>
              <w:keepLines/>
              <w:widowControl/>
              <w:rPr>
                <w:b/>
                <w:bCs/>
                <w:color w:val="auto"/>
                <w:szCs w:val="24"/>
                <w:highlight w:val="none"/>
              </w:rPr>
            </w:pPr>
            <w:r>
              <w:rPr>
                <w:rFonts w:hint="eastAsia"/>
                <w:b/>
                <w:color w:val="auto"/>
                <w:szCs w:val="24"/>
                <w:highlight w:val="none"/>
                <w:lang w:val="en-US" w:eastAsia="zh-CN"/>
              </w:rPr>
              <w:t>5</w:t>
            </w:r>
            <w:r>
              <w:rPr>
                <w:b/>
                <w:color w:val="auto"/>
                <w:szCs w:val="24"/>
                <w:highlight w:val="none"/>
              </w:rPr>
              <w:t>.3.2.2</w:t>
            </w:r>
            <w:r>
              <w:rPr>
                <w:b/>
                <w:bCs/>
                <w:color w:val="auto"/>
                <w:szCs w:val="24"/>
                <w:highlight w:val="none"/>
              </w:rPr>
              <w:t>设备情况介绍</w:t>
            </w:r>
          </w:p>
          <w:p>
            <w:pPr>
              <w:keepLines/>
              <w:widowControl/>
              <w:ind w:firstLine="480" w:firstLineChars="200"/>
              <w:rPr>
                <w:color w:val="auto"/>
                <w:szCs w:val="24"/>
                <w:highlight w:val="none"/>
              </w:rPr>
            </w:pPr>
            <w:r>
              <w:rPr>
                <w:color w:val="auto"/>
                <w:szCs w:val="24"/>
                <w:highlight w:val="none"/>
              </w:rPr>
              <w:t>本项目主发射系统由</w:t>
            </w:r>
            <w:r>
              <w:rPr>
                <w:color w:val="auto"/>
                <w:highlight w:val="none"/>
              </w:rPr>
              <w:t>机房（</w:t>
            </w:r>
            <w:r>
              <w:rPr>
                <w:rFonts w:hint="eastAsia"/>
                <w:color w:val="auto"/>
                <w:highlight w:val="none"/>
                <w:lang w:eastAsia="zh-CN"/>
              </w:rPr>
              <w:t>调频广播</w:t>
            </w:r>
            <w:r>
              <w:rPr>
                <w:color w:val="auto"/>
                <w:szCs w:val="24"/>
                <w:highlight w:val="none"/>
              </w:rPr>
              <w:t>发射机</w:t>
            </w:r>
            <w:r>
              <w:rPr>
                <w:color w:val="auto"/>
                <w:highlight w:val="none"/>
              </w:rPr>
              <w:t>）、馈线和天线及安装天线的铁塔所组成</w:t>
            </w:r>
            <w:r>
              <w:rPr>
                <w:color w:val="auto"/>
                <w:szCs w:val="24"/>
                <w:highlight w:val="none"/>
              </w:rPr>
              <w:t>。</w:t>
            </w:r>
          </w:p>
          <w:p>
            <w:pPr>
              <w:spacing w:line="480" w:lineRule="exact"/>
              <w:ind w:firstLine="479" w:firstLineChars="199"/>
              <w:rPr>
                <w:szCs w:val="24"/>
                <w:highlight w:val="none"/>
              </w:rPr>
            </w:pPr>
            <w:r>
              <w:rPr>
                <w:b/>
                <w:color w:val="auto"/>
                <w:szCs w:val="24"/>
                <w:highlight w:val="none"/>
              </w:rPr>
              <w:t>（1）发射设备</w:t>
            </w:r>
          </w:p>
          <w:p>
            <w:pPr>
              <w:ind w:firstLine="480" w:firstLineChars="200"/>
              <w:rPr>
                <w:szCs w:val="24"/>
              </w:rPr>
            </w:pPr>
            <w:r>
              <w:rPr>
                <w:szCs w:val="24"/>
                <w:highlight w:val="none"/>
              </w:rPr>
              <w:t>本项目调频广播发射机（激励器）是首先将音频信号和高频载波</w:t>
            </w:r>
            <w:r>
              <w:rPr>
                <w:szCs w:val="24"/>
              </w:rPr>
              <w:t>调制为调频波，使高频载波的频率随音频信号发生变化，再对所产生的高频信号进行放大，激励，功放和一系列的阻抗匹配，使信号输出到天线，发送出去的装置。主要由主控显示、音频接口、数字信号处理、功率放大、遥控遥测接口以及电源六部分组成。</w:t>
            </w:r>
            <w:r>
              <w:rPr>
                <w:rFonts w:hint="eastAsia"/>
                <w:szCs w:val="24"/>
              </w:rPr>
              <w:t>调频广播发射机内部结构见图</w:t>
            </w:r>
            <w:r>
              <w:rPr>
                <w:rFonts w:hint="eastAsia"/>
                <w:szCs w:val="24"/>
                <w:lang w:val="en-US" w:eastAsia="zh-CN"/>
              </w:rPr>
              <w:t>5-3</w:t>
            </w:r>
            <w:r>
              <w:rPr>
                <w:rFonts w:hint="eastAsia"/>
                <w:szCs w:val="24"/>
              </w:rPr>
              <w:t>。</w:t>
            </w:r>
          </w:p>
          <w:p>
            <w:pPr>
              <w:jc w:val="center"/>
              <w:rPr>
                <w:b/>
                <w:szCs w:val="24"/>
              </w:rPr>
            </w:pPr>
            <w:r>
              <w:drawing>
                <wp:inline distT="0" distB="0" distL="0" distR="0">
                  <wp:extent cx="4781550" cy="275336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4781550" cy="2753543"/>
                          </a:xfrm>
                          <a:prstGeom prst="rect">
                            <a:avLst/>
                          </a:prstGeom>
                        </pic:spPr>
                      </pic:pic>
                    </a:graphicData>
                  </a:graphic>
                </wp:inline>
              </w:drawing>
            </w:r>
          </w:p>
          <w:p>
            <w:pPr>
              <w:jc w:val="center"/>
              <w:rPr>
                <w:szCs w:val="24"/>
              </w:rPr>
            </w:pPr>
            <w:r>
              <w:rPr>
                <w:b/>
                <w:szCs w:val="24"/>
              </w:rPr>
              <w:t>图</w:t>
            </w:r>
            <w:r>
              <w:rPr>
                <w:rFonts w:hint="eastAsia"/>
                <w:b/>
                <w:szCs w:val="24"/>
                <w:lang w:val="en-US" w:eastAsia="zh-CN"/>
              </w:rPr>
              <w:t>5-3</w:t>
            </w:r>
            <w:r>
              <w:rPr>
                <w:rFonts w:hint="eastAsia"/>
                <w:b/>
                <w:szCs w:val="24"/>
              </w:rPr>
              <w:t xml:space="preserve">  </w:t>
            </w:r>
            <w:r>
              <w:rPr>
                <w:b/>
                <w:szCs w:val="24"/>
              </w:rPr>
              <w:t>调频广播发射机内部结构图</w:t>
            </w:r>
          </w:p>
          <w:p>
            <w:pPr>
              <w:keepLines/>
              <w:widowControl/>
              <w:ind w:firstLine="482" w:firstLineChars="200"/>
              <w:rPr>
                <w:b/>
                <w:color w:val="auto"/>
                <w:szCs w:val="24"/>
                <w:highlight w:val="none"/>
              </w:rPr>
            </w:pPr>
            <w:r>
              <w:rPr>
                <w:b/>
                <w:color w:val="auto"/>
                <w:szCs w:val="24"/>
                <w:highlight w:val="none"/>
              </w:rPr>
              <w:t>（2）天线</w:t>
            </w:r>
          </w:p>
          <w:p>
            <w:pPr>
              <w:ind w:firstLine="480" w:firstLineChars="200"/>
              <w:rPr>
                <w:color w:val="auto"/>
                <w:highlight w:val="none"/>
              </w:rPr>
            </w:pPr>
            <w:r>
              <w:rPr>
                <w:rFonts w:hint="eastAsia"/>
                <w:color w:val="auto"/>
                <w:highlight w:val="none"/>
              </w:rPr>
              <w:t>天线是一种变换器，它把传输线上传播的导行波，变换成在无界媒介（通常是自由空间）中传播的电磁波，或者进行相反的变换。在无线电设备中用来发射或接收电磁波的部件。其发射天线原理指的是广播台、电视台等将电磁波通过天线的转换进而发射出去。电视机或收音机天线接收到电视信号在经过相关系统处理成可视或可听的信息，将信息传给观众。天线是发射和接收电磁波的一个重要无线电设备，它不用和发射机直接相连，只需要经过馈线以及天调网络，即可完成传输信号工作。它的具体工作流程是，天线接收到广播台或电视台发射机发射的信号功率之后，将信号功率转换成电磁波，最后传给馈线发射到收音机或电视机接收机，就完成了信号的传输。</w:t>
            </w:r>
          </w:p>
          <w:p>
            <w:pPr>
              <w:ind w:firstLine="480" w:firstLineChars="200"/>
              <w:rPr>
                <w:color w:val="auto"/>
                <w:highlight w:val="none"/>
              </w:rPr>
            </w:pPr>
            <w:r>
              <w:rPr>
                <w:color w:val="auto"/>
                <w:highlight w:val="none"/>
              </w:rPr>
              <w:t>本项目</w:t>
            </w:r>
            <w:r>
              <w:rPr>
                <w:bCs/>
                <w:color w:val="auto"/>
                <w:highlight w:val="none"/>
              </w:rPr>
              <w:t xml:space="preserve">发射天线共 </w:t>
            </w:r>
            <w:r>
              <w:rPr>
                <w:rFonts w:hint="eastAsia"/>
                <w:bCs/>
                <w:color w:val="auto"/>
                <w:highlight w:val="none"/>
                <w:lang w:val="en-US" w:eastAsia="zh-CN"/>
              </w:rPr>
              <w:t>1</w:t>
            </w:r>
            <w:r>
              <w:rPr>
                <w:bCs/>
                <w:color w:val="auto"/>
                <w:highlight w:val="none"/>
              </w:rPr>
              <w:t xml:space="preserve"> 套，其中，</w:t>
            </w:r>
            <w:r>
              <w:rPr>
                <w:rFonts w:hint="eastAsia"/>
                <w:bCs/>
                <w:color w:val="auto"/>
                <w:highlight w:val="none"/>
                <w:lang w:eastAsia="zh-CN"/>
              </w:rPr>
              <w:t>为</w:t>
            </w:r>
            <w:r>
              <w:rPr>
                <w:rFonts w:hint="eastAsia"/>
                <w:bCs/>
                <w:color w:val="auto"/>
                <w:highlight w:val="none"/>
                <w:lang w:val="en-US" w:eastAsia="zh-CN"/>
              </w:rPr>
              <w:t>1</w:t>
            </w:r>
            <w:r>
              <w:rPr>
                <w:bCs/>
                <w:color w:val="auto"/>
                <w:highlight w:val="none"/>
              </w:rPr>
              <w:t>套</w:t>
            </w:r>
            <w:r>
              <w:rPr>
                <w:rFonts w:hint="eastAsia"/>
                <w:bCs/>
                <w:color w:val="auto"/>
                <w:highlight w:val="none"/>
                <w:lang w:val="en-US" w:eastAsia="zh-CN"/>
              </w:rPr>
              <w:t>FM</w:t>
            </w:r>
            <w:r>
              <w:rPr>
                <w:bCs/>
                <w:color w:val="auto"/>
                <w:highlight w:val="none"/>
              </w:rPr>
              <w:t xml:space="preserve"> 天馈系统，为水平极化</w:t>
            </w:r>
            <w:r>
              <w:rPr>
                <w:rFonts w:hint="eastAsia"/>
                <w:bCs/>
                <w:color w:val="auto"/>
                <w:highlight w:val="none"/>
                <w:lang w:eastAsia="zh-CN"/>
              </w:rPr>
              <w:t>六</w:t>
            </w:r>
            <w:r>
              <w:rPr>
                <w:bCs/>
                <w:color w:val="auto"/>
                <w:highlight w:val="none"/>
              </w:rPr>
              <w:t>层四面</w:t>
            </w:r>
            <w:r>
              <w:rPr>
                <w:rFonts w:hint="eastAsia"/>
                <w:bCs/>
                <w:color w:val="auto"/>
                <w:highlight w:val="none"/>
                <w:lang w:eastAsia="zh-CN"/>
              </w:rPr>
              <w:t>双</w:t>
            </w:r>
            <w:r>
              <w:rPr>
                <w:bCs/>
                <w:color w:val="auto"/>
                <w:highlight w:val="none"/>
              </w:rPr>
              <w:t>偶极板发射天线。</w:t>
            </w:r>
          </w:p>
          <w:p>
            <w:pPr>
              <w:ind w:firstLine="480" w:firstLineChars="200"/>
              <w:rPr>
                <w:color w:val="auto"/>
                <w:highlight w:val="none"/>
              </w:rPr>
            </w:pPr>
            <w:r>
              <w:rPr>
                <w:color w:val="auto"/>
                <w:highlight w:val="none"/>
              </w:rPr>
              <w:t>双偶极板天线由单元板天线、分馈电缆</w:t>
            </w:r>
            <w:r>
              <w:rPr>
                <w:rFonts w:hint="eastAsia"/>
                <w:color w:val="auto"/>
                <w:highlight w:val="none"/>
                <w:lang w:eastAsia="zh-CN"/>
              </w:rPr>
              <w:t>和功分器</w:t>
            </w:r>
            <w:r>
              <w:rPr>
                <w:color w:val="auto"/>
                <w:highlight w:val="none"/>
              </w:rPr>
              <w:t>组成。天线反射板和两对半波偶极子组成，天线反射板边框由矩形无缝钢管或A3钢热镀锌制作，天线振子体为不锈钢材质，馈电部分为紫铜表面镀银。</w:t>
            </w:r>
            <w:r>
              <w:rPr>
                <w:rFonts w:hint="eastAsia"/>
                <w:color w:val="auto"/>
                <w:highlight w:val="none"/>
              </w:rPr>
              <w:t>由于振子后面的反射板的作用，双偶极板天线是一种有较强方向性的天线，可通过四面组合（装于塔的4个侧面），采用偏置及90°相差馈电的方式，获得较好的水平面无方向性覆盖。</w:t>
            </w:r>
            <w:r>
              <w:rPr>
                <w:color w:val="auto"/>
                <w:highlight w:val="none"/>
              </w:rPr>
              <w:t>该天线功率容量大，可作为定向发射和全向发射天线，在垂直面上增加多层单元板可以组成天线阵以提高增益，根据用户要求可组成不同的场型。具有结构设计简单、天线稳定性好、频带宽、驻波比好等特点。双偶极板天线示意图见图</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color w:val="auto"/>
                <w:highlight w:val="none"/>
              </w:rPr>
              <w:t>。</w:t>
            </w:r>
          </w:p>
          <w:p>
            <w:pPr>
              <w:keepLines/>
              <w:widowControl/>
              <w:ind w:firstLine="480" w:firstLineChars="200"/>
              <w:jc w:val="center"/>
              <w:rPr>
                <w:color w:val="auto"/>
                <w:szCs w:val="24"/>
                <w:highlight w:val="none"/>
              </w:rPr>
            </w:pPr>
            <w:r>
              <w:rPr>
                <w:color w:val="auto"/>
                <w:highlight w:val="none"/>
              </w:rPr>
              <w:drawing>
                <wp:inline distT="0" distB="0" distL="0" distR="0">
                  <wp:extent cx="1800225" cy="2095500"/>
                  <wp:effectExtent l="0" t="0" r="9525" b="0"/>
                  <wp:docPr id="19" name="图片 19" descr="C:\Documents and Settings\Administrator\桌面\u=1545529572,49334450&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Documents and Settings\Administrator\桌面\u=1545529572,49334450&amp;fm=21&amp;g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00225" cy="2095500"/>
                          </a:xfrm>
                          <a:prstGeom prst="rect">
                            <a:avLst/>
                          </a:prstGeom>
                          <a:noFill/>
                          <a:ln>
                            <a:noFill/>
                          </a:ln>
                        </pic:spPr>
                      </pic:pic>
                    </a:graphicData>
                  </a:graphic>
                </wp:inline>
              </w:drawing>
            </w:r>
          </w:p>
          <w:p>
            <w:pPr>
              <w:ind w:firstLine="480" w:firstLineChars="200"/>
              <w:jc w:val="center"/>
              <w:rPr>
                <w:color w:val="auto"/>
                <w:szCs w:val="24"/>
                <w:highlight w:val="none"/>
              </w:rPr>
            </w:pPr>
            <w:r>
              <w:rPr>
                <w:color w:val="auto"/>
                <w:highlight w:val="none"/>
              </w:rPr>
              <w:t>（1）单元板天线</w:t>
            </w:r>
          </w:p>
          <w:p>
            <w:pPr>
              <w:keepLines/>
              <w:widowControl/>
              <w:ind w:firstLine="480" w:firstLineChars="200"/>
              <w:jc w:val="center"/>
              <w:rPr>
                <w:rFonts w:hint="eastAsia" w:eastAsia="宋体"/>
                <w:color w:val="auto"/>
                <w:szCs w:val="24"/>
                <w:highlight w:val="none"/>
                <w:lang w:eastAsia="zh-CN"/>
              </w:rPr>
            </w:pPr>
            <w:r>
              <w:rPr>
                <w:rFonts w:hint="eastAsia" w:eastAsia="宋体"/>
                <w:color w:val="auto"/>
                <w:szCs w:val="24"/>
                <w:highlight w:val="none"/>
                <w:lang w:eastAsia="zh-CN"/>
              </w:rPr>
              <w:drawing>
                <wp:inline distT="0" distB="0" distL="114300" distR="114300">
                  <wp:extent cx="4091940" cy="3457575"/>
                  <wp:effectExtent l="0" t="0" r="3810" b="9525"/>
                  <wp:docPr id="5" name="图片 5" descr="天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线"/>
                          <pic:cNvPicPr>
                            <a:picLocks noChangeAspect="1"/>
                          </pic:cNvPicPr>
                        </pic:nvPicPr>
                        <pic:blipFill>
                          <a:blip r:embed="rId16"/>
                          <a:srcRect l="37869" t="21646" r="6991" b="20874"/>
                          <a:stretch>
                            <a:fillRect/>
                          </a:stretch>
                        </pic:blipFill>
                        <pic:spPr>
                          <a:xfrm>
                            <a:off x="0" y="0"/>
                            <a:ext cx="4091940" cy="3457575"/>
                          </a:xfrm>
                          <a:prstGeom prst="rect">
                            <a:avLst/>
                          </a:prstGeom>
                        </pic:spPr>
                      </pic:pic>
                    </a:graphicData>
                  </a:graphic>
                </wp:inline>
              </w:drawing>
            </w:r>
          </w:p>
          <w:p>
            <w:pPr>
              <w:ind w:firstLine="480" w:firstLineChars="200"/>
              <w:jc w:val="center"/>
              <w:rPr>
                <w:color w:val="auto"/>
                <w:highlight w:val="none"/>
              </w:rPr>
            </w:pPr>
            <w:r>
              <w:rPr>
                <w:color w:val="auto"/>
                <w:highlight w:val="none"/>
              </w:rPr>
              <w:t>（2）</w:t>
            </w:r>
            <w:r>
              <w:rPr>
                <w:rFonts w:hint="eastAsia"/>
                <w:color w:val="auto"/>
                <w:highlight w:val="none"/>
                <w:lang w:eastAsia="zh-CN"/>
              </w:rPr>
              <w:t>六</w:t>
            </w:r>
            <w:r>
              <w:rPr>
                <w:color w:val="auto"/>
                <w:highlight w:val="none"/>
              </w:rPr>
              <w:t>层四面双偶极</w:t>
            </w:r>
            <w:r>
              <w:rPr>
                <w:rFonts w:hint="eastAsia"/>
                <w:color w:val="auto"/>
                <w:highlight w:val="none"/>
                <w:lang w:eastAsia="zh-CN"/>
              </w:rPr>
              <w:t>板</w:t>
            </w:r>
            <w:r>
              <w:rPr>
                <w:color w:val="auto"/>
                <w:highlight w:val="none"/>
              </w:rPr>
              <w:t>天线系统</w:t>
            </w:r>
          </w:p>
          <w:p>
            <w:pPr>
              <w:jc w:val="center"/>
              <w:rPr>
                <w:color w:val="auto"/>
                <w:szCs w:val="24"/>
                <w:highlight w:val="none"/>
              </w:rPr>
            </w:pPr>
            <w:r>
              <w:rPr>
                <w:b/>
                <w:bCs/>
                <w:color w:val="auto"/>
                <w:szCs w:val="24"/>
                <w:highlight w:val="none"/>
              </w:rPr>
              <w:t xml:space="preserve">图 </w:t>
            </w:r>
            <w:r>
              <w:rPr>
                <w:rFonts w:hint="eastAsia"/>
                <w:b/>
                <w:bCs/>
                <w:color w:val="auto"/>
                <w:szCs w:val="24"/>
                <w:highlight w:val="none"/>
                <w:lang w:val="en-US" w:eastAsia="zh-CN"/>
              </w:rPr>
              <w:t>5</w:t>
            </w:r>
            <w:r>
              <w:rPr>
                <w:b/>
                <w:bCs/>
                <w:color w:val="auto"/>
                <w:szCs w:val="24"/>
                <w:highlight w:val="none"/>
              </w:rPr>
              <w:t>-</w:t>
            </w:r>
            <w:r>
              <w:rPr>
                <w:rFonts w:hint="eastAsia"/>
                <w:b/>
                <w:bCs/>
                <w:color w:val="auto"/>
                <w:szCs w:val="24"/>
                <w:highlight w:val="none"/>
                <w:lang w:val="en-US" w:eastAsia="zh-CN"/>
              </w:rPr>
              <w:t>4</w:t>
            </w:r>
            <w:r>
              <w:rPr>
                <w:b/>
                <w:bCs/>
                <w:color w:val="auto"/>
                <w:szCs w:val="24"/>
                <w:highlight w:val="none"/>
              </w:rPr>
              <w:t>双偶极板天线示意图</w:t>
            </w:r>
          </w:p>
          <w:p>
            <w:pPr>
              <w:keepLines/>
              <w:widowControl/>
              <w:rPr>
                <w:b/>
                <w:color w:val="auto"/>
                <w:szCs w:val="24"/>
                <w:highlight w:val="none"/>
              </w:rPr>
            </w:pPr>
            <w:r>
              <w:rPr>
                <w:rFonts w:hint="eastAsia"/>
                <w:b/>
                <w:color w:val="auto"/>
                <w:szCs w:val="24"/>
                <w:highlight w:val="none"/>
                <w:lang w:val="en-US" w:eastAsia="zh-CN"/>
              </w:rPr>
              <w:t>5</w:t>
            </w:r>
            <w:r>
              <w:rPr>
                <w:b/>
                <w:color w:val="auto"/>
                <w:szCs w:val="24"/>
                <w:highlight w:val="none"/>
              </w:rPr>
              <w:t>.3.2.3项目污染源分析</w:t>
            </w:r>
          </w:p>
          <w:p>
            <w:pPr>
              <w:keepLines/>
              <w:widowControl/>
              <w:ind w:firstLine="480" w:firstLineChars="200"/>
              <w:rPr>
                <w:color w:val="auto"/>
                <w:szCs w:val="24"/>
                <w:highlight w:val="none"/>
                <w:u w:val="wave"/>
              </w:rPr>
            </w:pPr>
            <w:r>
              <w:rPr>
                <w:color w:val="auto"/>
                <w:szCs w:val="24"/>
                <w:highlight w:val="none"/>
              </w:rPr>
              <w:t>经过以上分析，本项目主要由机房（</w:t>
            </w:r>
            <w:r>
              <w:rPr>
                <w:rFonts w:hint="eastAsia"/>
                <w:color w:val="auto"/>
                <w:highlight w:val="none"/>
                <w:lang w:eastAsia="zh-CN"/>
              </w:rPr>
              <w:t>调频广播</w:t>
            </w:r>
            <w:r>
              <w:rPr>
                <w:color w:val="auto"/>
                <w:szCs w:val="24"/>
                <w:highlight w:val="none"/>
              </w:rPr>
              <w:t>发射机）、馈线和天线及安装天线的铁塔所组成。系统产生、处理的各类信号经设备一定频率的调制、放大、公分后，以电磁波的形式由天线向周围发射，通过无线手段发射声音和图像信息给用户接收器，其过程产生的电磁波对环境有一定影响。设备运行会产生噪声，设备噪声值约为60dB，机房内安置，机房建筑隔声效果约为15 dB，室外噪声约为45 dB。</w:t>
            </w:r>
            <w:r>
              <w:rPr>
                <w:rFonts w:hint="eastAsia"/>
                <w:color w:val="auto"/>
                <w:szCs w:val="24"/>
                <w:highlight w:val="none"/>
                <w:u w:val="wave"/>
                <w:lang w:eastAsia="zh-CN"/>
              </w:rPr>
              <w:t>本项目不使用蓄电池，不存在废旧蓄电池的产生。</w:t>
            </w:r>
          </w:p>
          <w:p>
            <w:pPr>
              <w:keepLines/>
              <w:widowControl/>
              <w:rPr>
                <w:b/>
                <w:color w:val="auto"/>
                <w:szCs w:val="24"/>
                <w:highlight w:val="none"/>
              </w:rPr>
            </w:pPr>
            <w:r>
              <w:rPr>
                <w:rFonts w:hint="eastAsia"/>
                <w:b/>
                <w:color w:val="auto"/>
                <w:szCs w:val="24"/>
                <w:highlight w:val="none"/>
                <w:lang w:val="en-US" w:eastAsia="zh-CN"/>
              </w:rPr>
              <w:t>5</w:t>
            </w:r>
            <w:r>
              <w:rPr>
                <w:b/>
                <w:color w:val="auto"/>
                <w:szCs w:val="24"/>
                <w:highlight w:val="none"/>
              </w:rPr>
              <w:t>.</w:t>
            </w:r>
            <w:r>
              <w:rPr>
                <w:rFonts w:hint="eastAsia"/>
                <w:b/>
                <w:color w:val="auto"/>
                <w:szCs w:val="24"/>
                <w:highlight w:val="none"/>
                <w:lang w:val="en-US" w:eastAsia="zh-CN"/>
              </w:rPr>
              <w:t>4</w:t>
            </w:r>
            <w:r>
              <w:rPr>
                <w:b/>
                <w:color w:val="auto"/>
                <w:szCs w:val="24"/>
                <w:highlight w:val="none"/>
              </w:rPr>
              <w:t>项目污染因子小结</w:t>
            </w:r>
            <w:r>
              <w:rPr>
                <w:b/>
                <w:color w:val="auto"/>
                <w:szCs w:val="24"/>
                <w:highlight w:val="none"/>
              </w:rPr>
              <w:tab/>
            </w:r>
          </w:p>
          <w:p>
            <w:pPr>
              <w:keepLines/>
              <w:widowControl/>
              <w:ind w:firstLine="480" w:firstLineChars="200"/>
              <w:rPr>
                <w:color w:val="auto"/>
                <w:szCs w:val="24"/>
                <w:highlight w:val="none"/>
              </w:rPr>
            </w:pPr>
            <w:r>
              <w:rPr>
                <w:color w:val="auto"/>
                <w:szCs w:val="24"/>
                <w:highlight w:val="none"/>
              </w:rPr>
              <w:t>项目污染因子小结见表</w:t>
            </w:r>
            <w:r>
              <w:rPr>
                <w:rFonts w:hint="eastAsia"/>
                <w:color w:val="auto"/>
                <w:szCs w:val="24"/>
                <w:highlight w:val="none"/>
                <w:lang w:val="en-US" w:eastAsia="zh-CN"/>
              </w:rPr>
              <w:t>5</w:t>
            </w:r>
            <w:r>
              <w:rPr>
                <w:color w:val="auto"/>
                <w:szCs w:val="24"/>
                <w:highlight w:val="none"/>
              </w:rPr>
              <w:t>-1。</w:t>
            </w:r>
          </w:p>
          <w:p>
            <w:pPr>
              <w:pStyle w:val="17"/>
              <w:spacing w:before="20" w:line="500" w:lineRule="exact"/>
              <w:ind w:right="-215" w:firstLine="482"/>
              <w:jc w:val="center"/>
              <w:rPr>
                <w:b/>
                <w:bCs/>
                <w:color w:val="auto"/>
                <w:szCs w:val="24"/>
                <w:highlight w:val="none"/>
              </w:rPr>
            </w:pPr>
            <w:r>
              <w:rPr>
                <w:b/>
                <w:bCs/>
                <w:color w:val="auto"/>
                <w:szCs w:val="24"/>
                <w:highlight w:val="none"/>
              </w:rPr>
              <w:t>表</w:t>
            </w:r>
            <w:r>
              <w:rPr>
                <w:rFonts w:hint="eastAsia"/>
                <w:b/>
                <w:bCs/>
                <w:color w:val="auto"/>
                <w:szCs w:val="24"/>
                <w:highlight w:val="none"/>
                <w:lang w:val="en-US" w:eastAsia="zh-CN"/>
              </w:rPr>
              <w:t>5</w:t>
            </w:r>
            <w:r>
              <w:rPr>
                <w:b/>
                <w:bCs/>
                <w:color w:val="auto"/>
                <w:szCs w:val="24"/>
                <w:highlight w:val="none"/>
              </w:rPr>
              <w:t>-1 项目主要污染物产生及排放情况汇总表</w:t>
            </w:r>
          </w:p>
          <w:tbl>
            <w:tblPr>
              <w:tblStyle w:val="35"/>
              <w:tblW w:w="8777" w:type="dxa"/>
              <w:jc w:val="center"/>
              <w:tblInd w:w="2"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
            <w:tblGrid>
              <w:gridCol w:w="521"/>
              <w:gridCol w:w="726"/>
              <w:gridCol w:w="1170"/>
              <w:gridCol w:w="1635"/>
              <w:gridCol w:w="2534"/>
              <w:gridCol w:w="219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398" w:hRule="atLeast"/>
                <w:jc w:val="center"/>
              </w:trPr>
              <w:tc>
                <w:tcPr>
                  <w:tcW w:w="1247" w:type="dxa"/>
                  <w:gridSpan w:val="2"/>
                  <w:tcBorders>
                    <w:tl2br w:val="nil"/>
                    <w:tr2bl w:val="nil"/>
                  </w:tcBorders>
                  <w:vAlign w:val="center"/>
                </w:tcPr>
                <w:p>
                  <w:pPr>
                    <w:snapToGrid w:val="0"/>
                    <w:spacing w:line="360" w:lineRule="exact"/>
                    <w:jc w:val="center"/>
                    <w:rPr>
                      <w:color w:val="auto"/>
                      <w:sz w:val="21"/>
                      <w:szCs w:val="21"/>
                      <w:highlight w:val="none"/>
                      <w:u w:val="wave"/>
                    </w:rPr>
                  </w:pPr>
                  <w:r>
                    <w:rPr>
                      <w:color w:val="auto"/>
                      <w:sz w:val="21"/>
                      <w:szCs w:val="21"/>
                      <w:highlight w:val="none"/>
                      <w:u w:val="wave"/>
                    </w:rPr>
                    <w:t>类型</w:t>
                  </w:r>
                </w:p>
              </w:tc>
              <w:tc>
                <w:tcPr>
                  <w:tcW w:w="1170"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污染源</w:t>
                  </w:r>
                </w:p>
              </w:tc>
              <w:tc>
                <w:tcPr>
                  <w:tcW w:w="1635"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污染物名称</w:t>
                  </w:r>
                </w:p>
              </w:tc>
              <w:tc>
                <w:tcPr>
                  <w:tcW w:w="2534"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处理方式</w:t>
                  </w:r>
                </w:p>
              </w:tc>
              <w:tc>
                <w:tcPr>
                  <w:tcW w:w="2191"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398" w:hRule="atLeast"/>
                <w:jc w:val="center"/>
              </w:trPr>
              <w:tc>
                <w:tcPr>
                  <w:tcW w:w="521" w:type="dxa"/>
                  <w:vMerge w:val="restart"/>
                  <w:tcBorders>
                    <w:tl2br w:val="nil"/>
                    <w:tr2bl w:val="nil"/>
                  </w:tcBorders>
                  <w:vAlign w:val="center"/>
                </w:tcPr>
                <w:p>
                  <w:pPr>
                    <w:snapToGrid w:val="0"/>
                    <w:spacing w:line="360" w:lineRule="exact"/>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施工期</w:t>
                  </w:r>
                </w:p>
              </w:tc>
              <w:tc>
                <w:tcPr>
                  <w:tcW w:w="726" w:type="dxa"/>
                  <w:tcBorders>
                    <w:tl2br w:val="nil"/>
                    <w:tr2bl w:val="nil"/>
                  </w:tcBorders>
                  <w:vAlign w:val="center"/>
                </w:tcPr>
                <w:p>
                  <w:pPr>
                    <w:snapToGrid w:val="0"/>
                    <w:spacing w:line="360" w:lineRule="exact"/>
                    <w:jc w:val="center"/>
                    <w:rPr>
                      <w:color w:val="auto"/>
                      <w:sz w:val="21"/>
                      <w:szCs w:val="21"/>
                      <w:highlight w:val="none"/>
                      <w:u w:val="wave"/>
                    </w:rPr>
                  </w:pPr>
                  <w:r>
                    <w:rPr>
                      <w:color w:val="auto"/>
                      <w:sz w:val="21"/>
                      <w:szCs w:val="21"/>
                      <w:highlight w:val="none"/>
                      <w:u w:val="wave"/>
                    </w:rPr>
                    <w:t>废气</w:t>
                  </w:r>
                </w:p>
              </w:tc>
              <w:tc>
                <w:tcPr>
                  <w:tcW w:w="1170"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铁塔搭建及机房装修等施工活动</w:t>
                  </w:r>
                </w:p>
              </w:tc>
              <w:tc>
                <w:tcPr>
                  <w:tcW w:w="1635"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装修废气、汽车尾气及其产生的扬尘</w:t>
                  </w:r>
                </w:p>
              </w:tc>
              <w:tc>
                <w:tcPr>
                  <w:tcW w:w="2534"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选择环保材料</w:t>
                  </w:r>
                  <w:r>
                    <w:rPr>
                      <w:rFonts w:hint="eastAsia"/>
                      <w:color w:val="auto"/>
                      <w:sz w:val="21"/>
                      <w:szCs w:val="21"/>
                      <w:highlight w:val="none"/>
                      <w:u w:val="wave"/>
                      <w:lang w:eastAsia="zh-CN"/>
                    </w:rPr>
                    <w:t>、加强管理、定期洒水抑尘等</w:t>
                  </w:r>
                </w:p>
              </w:tc>
              <w:tc>
                <w:tcPr>
                  <w:tcW w:w="2191"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满足标准要求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398" w:hRule="atLeast"/>
                <w:jc w:val="center"/>
              </w:trPr>
              <w:tc>
                <w:tcPr>
                  <w:tcW w:w="521" w:type="dxa"/>
                  <w:vMerge w:val="continue"/>
                  <w:tcBorders>
                    <w:tl2br w:val="nil"/>
                    <w:tr2bl w:val="nil"/>
                  </w:tcBorders>
                  <w:vAlign w:val="center"/>
                </w:tcPr>
                <w:p>
                  <w:pPr>
                    <w:snapToGrid w:val="0"/>
                    <w:spacing w:line="360" w:lineRule="exact"/>
                    <w:jc w:val="center"/>
                    <w:rPr>
                      <w:color w:val="auto"/>
                      <w:sz w:val="21"/>
                      <w:szCs w:val="21"/>
                      <w:highlight w:val="none"/>
                      <w:u w:val="wave"/>
                    </w:rPr>
                  </w:pPr>
                </w:p>
              </w:tc>
              <w:tc>
                <w:tcPr>
                  <w:tcW w:w="726" w:type="dxa"/>
                  <w:tcBorders>
                    <w:tl2br w:val="nil"/>
                    <w:tr2bl w:val="nil"/>
                  </w:tcBorders>
                  <w:vAlign w:val="center"/>
                </w:tcPr>
                <w:p>
                  <w:pPr>
                    <w:snapToGrid w:val="0"/>
                    <w:spacing w:line="360" w:lineRule="exact"/>
                    <w:jc w:val="center"/>
                    <w:rPr>
                      <w:color w:val="auto"/>
                      <w:sz w:val="21"/>
                      <w:szCs w:val="21"/>
                      <w:highlight w:val="none"/>
                      <w:u w:val="wave"/>
                    </w:rPr>
                  </w:pPr>
                  <w:r>
                    <w:rPr>
                      <w:color w:val="auto"/>
                      <w:sz w:val="21"/>
                      <w:szCs w:val="21"/>
                      <w:highlight w:val="none"/>
                      <w:u w:val="wave"/>
                    </w:rPr>
                    <w:t>噪声</w:t>
                  </w:r>
                </w:p>
              </w:tc>
              <w:tc>
                <w:tcPr>
                  <w:tcW w:w="1170"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设备</w:t>
                  </w:r>
                </w:p>
              </w:tc>
              <w:tc>
                <w:tcPr>
                  <w:tcW w:w="1635"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等效连续A声级</w:t>
                  </w:r>
                </w:p>
              </w:tc>
              <w:tc>
                <w:tcPr>
                  <w:tcW w:w="2534"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采取管理措施</w:t>
                  </w:r>
                </w:p>
              </w:tc>
              <w:tc>
                <w:tcPr>
                  <w:tcW w:w="2191"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满足标准要求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398" w:hRule="atLeast"/>
                <w:jc w:val="center"/>
              </w:trPr>
              <w:tc>
                <w:tcPr>
                  <w:tcW w:w="521" w:type="dxa"/>
                  <w:vMerge w:val="continue"/>
                  <w:tcBorders>
                    <w:tl2br w:val="nil"/>
                    <w:tr2bl w:val="nil"/>
                  </w:tcBorders>
                  <w:vAlign w:val="center"/>
                </w:tcPr>
                <w:p>
                  <w:pPr>
                    <w:snapToGrid w:val="0"/>
                    <w:spacing w:line="360" w:lineRule="exact"/>
                    <w:jc w:val="center"/>
                    <w:rPr>
                      <w:color w:val="auto"/>
                      <w:sz w:val="21"/>
                      <w:szCs w:val="21"/>
                      <w:highlight w:val="none"/>
                      <w:u w:val="wave"/>
                    </w:rPr>
                  </w:pPr>
                </w:p>
              </w:tc>
              <w:tc>
                <w:tcPr>
                  <w:tcW w:w="726" w:type="dxa"/>
                  <w:tcBorders>
                    <w:tl2br w:val="nil"/>
                    <w:tr2bl w:val="nil"/>
                  </w:tcBorders>
                  <w:vAlign w:val="center"/>
                </w:tcPr>
                <w:p>
                  <w:pPr>
                    <w:snapToGrid w:val="0"/>
                    <w:spacing w:line="360" w:lineRule="exact"/>
                    <w:jc w:val="center"/>
                    <w:rPr>
                      <w:color w:val="auto"/>
                      <w:sz w:val="21"/>
                      <w:szCs w:val="21"/>
                      <w:highlight w:val="none"/>
                      <w:u w:val="wave"/>
                    </w:rPr>
                  </w:pPr>
                  <w:r>
                    <w:rPr>
                      <w:color w:val="auto"/>
                      <w:sz w:val="21"/>
                      <w:szCs w:val="21"/>
                      <w:highlight w:val="none"/>
                      <w:u w:val="wave"/>
                    </w:rPr>
                    <w:t>废水</w:t>
                  </w:r>
                </w:p>
              </w:tc>
              <w:tc>
                <w:tcPr>
                  <w:tcW w:w="1170"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施工生活污水</w:t>
                  </w:r>
                </w:p>
              </w:tc>
              <w:tc>
                <w:tcPr>
                  <w:tcW w:w="1635"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COD、SS</w:t>
                  </w:r>
                </w:p>
              </w:tc>
              <w:tc>
                <w:tcPr>
                  <w:tcW w:w="2534"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依托</w:t>
                  </w:r>
                  <w:r>
                    <w:rPr>
                      <w:rFonts w:hint="eastAsia"/>
                      <w:color w:val="auto"/>
                      <w:sz w:val="21"/>
                      <w:szCs w:val="21"/>
                      <w:highlight w:val="none"/>
                      <w:u w:val="wave"/>
                      <w:lang w:eastAsia="zh-CN"/>
                    </w:rPr>
                    <w:t>电视台现有工程化粪池</w:t>
                  </w:r>
                  <w:r>
                    <w:rPr>
                      <w:color w:val="auto"/>
                      <w:sz w:val="21"/>
                      <w:szCs w:val="21"/>
                      <w:highlight w:val="none"/>
                      <w:u w:val="wave"/>
                    </w:rPr>
                    <w:t>处理</w:t>
                  </w:r>
                </w:p>
              </w:tc>
              <w:tc>
                <w:tcPr>
                  <w:tcW w:w="2191"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398" w:hRule="atLeast"/>
                <w:jc w:val="center"/>
              </w:trPr>
              <w:tc>
                <w:tcPr>
                  <w:tcW w:w="521" w:type="dxa"/>
                  <w:vMerge w:val="continue"/>
                  <w:tcBorders>
                    <w:tl2br w:val="nil"/>
                    <w:tr2bl w:val="nil"/>
                  </w:tcBorders>
                  <w:vAlign w:val="center"/>
                </w:tcPr>
                <w:p>
                  <w:pPr>
                    <w:snapToGrid w:val="0"/>
                    <w:spacing w:line="360" w:lineRule="exact"/>
                    <w:jc w:val="center"/>
                    <w:rPr>
                      <w:color w:val="auto"/>
                      <w:sz w:val="21"/>
                      <w:szCs w:val="21"/>
                      <w:highlight w:val="none"/>
                      <w:u w:val="wave"/>
                    </w:rPr>
                  </w:pPr>
                </w:p>
              </w:tc>
              <w:tc>
                <w:tcPr>
                  <w:tcW w:w="726" w:type="dxa"/>
                  <w:tcBorders>
                    <w:tl2br w:val="nil"/>
                    <w:tr2bl w:val="nil"/>
                  </w:tcBorders>
                  <w:vAlign w:val="center"/>
                </w:tcPr>
                <w:p>
                  <w:pPr>
                    <w:snapToGrid w:val="0"/>
                    <w:spacing w:line="360" w:lineRule="exact"/>
                    <w:jc w:val="center"/>
                    <w:rPr>
                      <w:color w:val="auto"/>
                      <w:sz w:val="21"/>
                      <w:szCs w:val="21"/>
                      <w:highlight w:val="none"/>
                      <w:u w:val="wave"/>
                    </w:rPr>
                  </w:pPr>
                  <w:r>
                    <w:rPr>
                      <w:color w:val="auto"/>
                      <w:sz w:val="21"/>
                      <w:szCs w:val="21"/>
                      <w:highlight w:val="none"/>
                      <w:u w:val="wave"/>
                    </w:rPr>
                    <w:t>固废</w:t>
                  </w:r>
                </w:p>
              </w:tc>
              <w:tc>
                <w:tcPr>
                  <w:tcW w:w="1170"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生活垃圾、安装废料</w:t>
                  </w:r>
                </w:p>
              </w:tc>
              <w:tc>
                <w:tcPr>
                  <w:tcW w:w="1635"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生活垃圾、安装废料</w:t>
                  </w:r>
                </w:p>
              </w:tc>
              <w:tc>
                <w:tcPr>
                  <w:tcW w:w="2534"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生活垃圾集中收集后交由环卫部门处理，安装废料交由物资回收部门处理。</w:t>
                  </w:r>
                </w:p>
              </w:tc>
              <w:tc>
                <w:tcPr>
                  <w:tcW w:w="2191" w:type="dxa"/>
                  <w:tcBorders>
                    <w:tl2br w:val="nil"/>
                    <w:tr2bl w:val="nil"/>
                  </w:tcBorders>
                  <w:vAlign w:val="center"/>
                </w:tcPr>
                <w:p>
                  <w:pPr>
                    <w:spacing w:line="360" w:lineRule="exact"/>
                    <w:jc w:val="center"/>
                    <w:rPr>
                      <w:color w:val="auto"/>
                      <w:sz w:val="21"/>
                      <w:szCs w:val="21"/>
                      <w:highlight w:val="none"/>
                      <w:u w:val="wave"/>
                    </w:rPr>
                  </w:pPr>
                  <w:r>
                    <w:rPr>
                      <w:color w:val="auto"/>
                      <w:sz w:val="21"/>
                      <w:szCs w:val="21"/>
                      <w:highlight w:val="none"/>
                      <w:u w:val="wav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786" w:hRule="atLeast"/>
                <w:jc w:val="center"/>
              </w:trPr>
              <w:tc>
                <w:tcPr>
                  <w:tcW w:w="521" w:type="dxa"/>
                  <w:vMerge w:val="restart"/>
                  <w:tcBorders>
                    <w:tl2br w:val="nil"/>
                    <w:tr2bl w:val="nil"/>
                  </w:tcBorders>
                  <w:vAlign w:val="center"/>
                </w:tcPr>
                <w:p>
                  <w:pPr>
                    <w:snapToGrid w:val="0"/>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运行期</w:t>
                  </w:r>
                </w:p>
              </w:tc>
              <w:tc>
                <w:tcPr>
                  <w:tcW w:w="726" w:type="dxa"/>
                  <w:tcBorders>
                    <w:tl2br w:val="nil"/>
                    <w:tr2bl w:val="nil"/>
                  </w:tcBorders>
                  <w:vAlign w:val="center"/>
                </w:tcPr>
                <w:p>
                  <w:pPr>
                    <w:snapToGrid w:val="0"/>
                    <w:spacing w:line="240" w:lineRule="auto"/>
                    <w:jc w:val="center"/>
                    <w:rPr>
                      <w:color w:val="auto"/>
                      <w:sz w:val="21"/>
                      <w:szCs w:val="21"/>
                      <w:highlight w:val="none"/>
                      <w:u w:val="wave"/>
                    </w:rPr>
                  </w:pPr>
                  <w:r>
                    <w:rPr>
                      <w:color w:val="auto"/>
                      <w:sz w:val="21"/>
                      <w:szCs w:val="21"/>
                      <w:highlight w:val="none"/>
                      <w:u w:val="wave"/>
                    </w:rPr>
                    <w:t>电磁环境</w:t>
                  </w:r>
                </w:p>
              </w:tc>
              <w:tc>
                <w:tcPr>
                  <w:tcW w:w="1170"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天线</w:t>
                  </w:r>
                </w:p>
              </w:tc>
              <w:tc>
                <w:tcPr>
                  <w:tcW w:w="1635"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电磁</w:t>
                  </w:r>
                  <w:r>
                    <w:rPr>
                      <w:rFonts w:hint="eastAsia"/>
                      <w:color w:val="auto"/>
                      <w:sz w:val="21"/>
                      <w:szCs w:val="21"/>
                      <w:highlight w:val="none"/>
                      <w:u w:val="wave"/>
                      <w:lang w:eastAsia="zh-CN"/>
                    </w:rPr>
                    <w:t>辐射</w:t>
                  </w:r>
                </w:p>
              </w:tc>
              <w:tc>
                <w:tcPr>
                  <w:tcW w:w="2534"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天线与敏感点水平或垂直距离满足达标距离要求</w:t>
                  </w:r>
                </w:p>
              </w:tc>
              <w:tc>
                <w:tcPr>
                  <w:tcW w:w="2191"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公众暴露控制限值电场强度＜5.</w:t>
                  </w:r>
                  <w:r>
                    <w:rPr>
                      <w:rFonts w:hint="eastAsia"/>
                      <w:color w:val="auto"/>
                      <w:sz w:val="21"/>
                      <w:szCs w:val="21"/>
                      <w:highlight w:val="none"/>
                      <w:u w:val="wave"/>
                      <w:lang w:val="en-US" w:eastAsia="zh-CN"/>
                    </w:rPr>
                    <w:t>37</w:t>
                  </w:r>
                  <w:r>
                    <w:rPr>
                      <w:color w:val="auto"/>
                      <w:sz w:val="21"/>
                      <w:szCs w:val="21"/>
                      <w:highlight w:val="none"/>
                      <w:u w:val="wave"/>
                    </w:rPr>
                    <w:t>V/m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Ex>
              <w:trPr>
                <w:cantSplit/>
                <w:trHeight w:val="555" w:hRule="atLeast"/>
                <w:jc w:val="center"/>
              </w:trPr>
              <w:tc>
                <w:tcPr>
                  <w:tcW w:w="521" w:type="dxa"/>
                  <w:vMerge w:val="continue"/>
                  <w:tcBorders>
                    <w:tl2br w:val="nil"/>
                    <w:tr2bl w:val="nil"/>
                  </w:tcBorders>
                  <w:vAlign w:val="center"/>
                </w:tcPr>
                <w:p>
                  <w:pPr>
                    <w:snapToGrid w:val="0"/>
                    <w:spacing w:line="240" w:lineRule="auto"/>
                    <w:jc w:val="center"/>
                    <w:rPr>
                      <w:color w:val="auto"/>
                      <w:sz w:val="21"/>
                      <w:szCs w:val="21"/>
                      <w:highlight w:val="none"/>
                      <w:u w:val="wave"/>
                    </w:rPr>
                  </w:pPr>
                </w:p>
              </w:tc>
              <w:tc>
                <w:tcPr>
                  <w:tcW w:w="726" w:type="dxa"/>
                  <w:tcBorders>
                    <w:tl2br w:val="nil"/>
                    <w:tr2bl w:val="nil"/>
                  </w:tcBorders>
                  <w:vAlign w:val="center"/>
                </w:tcPr>
                <w:p>
                  <w:pPr>
                    <w:snapToGrid w:val="0"/>
                    <w:spacing w:line="240" w:lineRule="auto"/>
                    <w:jc w:val="center"/>
                    <w:rPr>
                      <w:color w:val="auto"/>
                      <w:sz w:val="21"/>
                      <w:szCs w:val="21"/>
                      <w:highlight w:val="none"/>
                      <w:u w:val="wave"/>
                    </w:rPr>
                  </w:pPr>
                  <w:r>
                    <w:rPr>
                      <w:color w:val="auto"/>
                      <w:sz w:val="21"/>
                      <w:szCs w:val="21"/>
                      <w:highlight w:val="none"/>
                      <w:u w:val="wave"/>
                    </w:rPr>
                    <w:t>噪声</w:t>
                  </w:r>
                </w:p>
              </w:tc>
              <w:tc>
                <w:tcPr>
                  <w:tcW w:w="1170"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设备</w:t>
                  </w:r>
                </w:p>
              </w:tc>
              <w:tc>
                <w:tcPr>
                  <w:tcW w:w="1635"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等效连续A声级</w:t>
                  </w:r>
                </w:p>
              </w:tc>
              <w:tc>
                <w:tcPr>
                  <w:tcW w:w="2534"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购买低噪声设备，采取隔声措施</w:t>
                  </w:r>
                </w:p>
              </w:tc>
              <w:tc>
                <w:tcPr>
                  <w:tcW w:w="2191"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w:t>
                  </w:r>
                </w:p>
              </w:tc>
            </w:tr>
          </w:tbl>
          <w:p>
            <w:pPr>
              <w:pStyle w:val="24"/>
              <w:adjustRightInd w:val="0"/>
              <w:snapToGrid w:val="0"/>
              <w:spacing w:line="360" w:lineRule="auto"/>
              <w:ind w:left="0" w:firstLine="520" w:firstLineChars="248"/>
              <w:rPr>
                <w:color w:val="auto"/>
                <w:highlight w:val="yellow"/>
              </w:rPr>
            </w:pPr>
          </w:p>
          <w:p>
            <w:pPr>
              <w:pStyle w:val="24"/>
              <w:adjustRightInd w:val="0"/>
              <w:snapToGrid w:val="0"/>
              <w:spacing w:line="360" w:lineRule="auto"/>
              <w:ind w:left="0" w:firstLine="520" w:firstLineChars="248"/>
              <w:rPr>
                <w:color w:val="auto"/>
                <w:highlight w:val="yellow"/>
              </w:rPr>
            </w:pPr>
          </w:p>
          <w:p>
            <w:pPr>
              <w:pStyle w:val="24"/>
              <w:adjustRightInd w:val="0"/>
              <w:snapToGrid w:val="0"/>
              <w:spacing w:line="360" w:lineRule="auto"/>
              <w:ind w:left="0" w:firstLine="520" w:firstLineChars="248"/>
              <w:rPr>
                <w:color w:val="auto"/>
                <w:highlight w:val="yellow"/>
              </w:rPr>
            </w:pPr>
          </w:p>
          <w:p>
            <w:pPr>
              <w:pStyle w:val="24"/>
              <w:adjustRightInd w:val="0"/>
              <w:snapToGrid w:val="0"/>
              <w:spacing w:line="360" w:lineRule="auto"/>
              <w:ind w:left="0" w:firstLine="520" w:firstLineChars="248"/>
              <w:rPr>
                <w:color w:val="auto"/>
                <w:highlight w:val="yellow"/>
              </w:rPr>
            </w:pPr>
          </w:p>
          <w:p>
            <w:pPr>
              <w:pStyle w:val="24"/>
              <w:adjustRightInd w:val="0"/>
              <w:snapToGrid w:val="0"/>
              <w:spacing w:line="360" w:lineRule="auto"/>
              <w:ind w:left="0" w:firstLine="520" w:firstLineChars="248"/>
              <w:rPr>
                <w:color w:val="auto"/>
                <w:highlight w:val="yellow"/>
              </w:rPr>
            </w:pPr>
          </w:p>
          <w:p>
            <w:pPr>
              <w:pStyle w:val="24"/>
              <w:spacing w:line="360" w:lineRule="auto"/>
              <w:ind w:left="0" w:firstLine="480" w:firstLineChars="200"/>
              <w:rPr>
                <w:color w:val="auto"/>
                <w:sz w:val="24"/>
                <w:szCs w:val="24"/>
                <w:highlight w:val="yellow"/>
              </w:rPr>
            </w:pPr>
          </w:p>
        </w:tc>
      </w:tr>
    </w:tbl>
    <w:p>
      <w:pPr>
        <w:rPr>
          <w:color w:val="auto"/>
        </w:rPr>
      </w:pPr>
    </w:p>
    <w:p>
      <w:pPr>
        <w:spacing w:after="156" w:afterLines="50" w:line="240" w:lineRule="auto"/>
        <w:rPr>
          <w:b/>
          <w:bCs/>
          <w:color w:val="auto"/>
          <w:szCs w:val="24"/>
        </w:rPr>
      </w:pPr>
      <w:r>
        <w:rPr>
          <w:b/>
          <w:bCs/>
          <w:color w:val="auto"/>
          <w:szCs w:val="24"/>
        </w:rPr>
        <w:t>主要污染物产生及预计排放情况                                     表</w:t>
      </w:r>
      <w:r>
        <w:rPr>
          <w:rFonts w:hint="eastAsia"/>
          <w:b/>
          <w:bCs/>
          <w:color w:val="auto"/>
          <w:szCs w:val="24"/>
          <w:lang w:val="en-US" w:eastAsia="zh-CN"/>
        </w:rPr>
        <w:t>6</w:t>
      </w:r>
    </w:p>
    <w:tbl>
      <w:tblPr>
        <w:tblStyle w:val="35"/>
        <w:tblW w:w="9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461"/>
        <w:gridCol w:w="976"/>
        <w:gridCol w:w="1139"/>
        <w:gridCol w:w="1712"/>
        <w:gridCol w:w="1161"/>
        <w:gridCol w:w="1347"/>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tcBorders>
              <w:tl2br w:val="single" w:color="auto" w:sz="4" w:space="0"/>
            </w:tcBorders>
            <w:vAlign w:val="center"/>
          </w:tcPr>
          <w:p>
            <w:pPr>
              <w:spacing w:line="400" w:lineRule="exact"/>
              <w:ind w:firstLine="600" w:firstLineChars="250"/>
              <w:rPr>
                <w:color w:val="auto"/>
                <w:szCs w:val="24"/>
                <w:highlight w:val="none"/>
              </w:rPr>
            </w:pPr>
            <w:r>
              <w:rPr>
                <w:color w:val="auto"/>
                <w:szCs w:val="24"/>
                <w:highlight w:val="none"/>
              </w:rPr>
              <w:t>内容</w:t>
            </w:r>
          </w:p>
          <w:p>
            <w:pPr>
              <w:spacing w:line="400" w:lineRule="exact"/>
              <w:rPr>
                <w:color w:val="auto"/>
                <w:szCs w:val="24"/>
                <w:highlight w:val="none"/>
              </w:rPr>
            </w:pPr>
            <w:r>
              <w:rPr>
                <w:color w:val="auto"/>
                <w:szCs w:val="24"/>
                <w:highlight w:val="none"/>
              </w:rPr>
              <w:t>类型</w:t>
            </w:r>
          </w:p>
        </w:tc>
        <w:tc>
          <w:tcPr>
            <w:tcW w:w="976" w:type="dxa"/>
            <w:vAlign w:val="center"/>
          </w:tcPr>
          <w:p>
            <w:pPr>
              <w:spacing w:line="480" w:lineRule="exact"/>
              <w:jc w:val="center"/>
              <w:rPr>
                <w:color w:val="auto"/>
                <w:szCs w:val="24"/>
                <w:highlight w:val="none"/>
              </w:rPr>
            </w:pPr>
            <w:r>
              <w:rPr>
                <w:color w:val="auto"/>
                <w:szCs w:val="24"/>
                <w:highlight w:val="none"/>
              </w:rPr>
              <w:t>排放源</w:t>
            </w:r>
          </w:p>
        </w:tc>
        <w:tc>
          <w:tcPr>
            <w:tcW w:w="1139" w:type="dxa"/>
            <w:vAlign w:val="center"/>
          </w:tcPr>
          <w:p>
            <w:pPr>
              <w:spacing w:line="360" w:lineRule="exact"/>
              <w:jc w:val="center"/>
              <w:rPr>
                <w:color w:val="auto"/>
                <w:szCs w:val="24"/>
                <w:highlight w:val="none"/>
              </w:rPr>
            </w:pPr>
            <w:r>
              <w:rPr>
                <w:color w:val="auto"/>
                <w:szCs w:val="24"/>
                <w:highlight w:val="none"/>
              </w:rPr>
              <w:t>污染物</w:t>
            </w:r>
          </w:p>
          <w:p>
            <w:pPr>
              <w:spacing w:line="360" w:lineRule="exact"/>
              <w:jc w:val="center"/>
              <w:rPr>
                <w:color w:val="auto"/>
                <w:szCs w:val="24"/>
                <w:highlight w:val="none"/>
              </w:rPr>
            </w:pPr>
            <w:r>
              <w:rPr>
                <w:color w:val="auto"/>
                <w:szCs w:val="24"/>
                <w:highlight w:val="none"/>
              </w:rPr>
              <w:t>名称</w:t>
            </w:r>
          </w:p>
        </w:tc>
        <w:tc>
          <w:tcPr>
            <w:tcW w:w="1712" w:type="dxa"/>
            <w:vAlign w:val="center"/>
          </w:tcPr>
          <w:p>
            <w:pPr>
              <w:spacing w:line="360" w:lineRule="exact"/>
              <w:jc w:val="center"/>
              <w:rPr>
                <w:color w:val="auto"/>
                <w:szCs w:val="24"/>
                <w:highlight w:val="none"/>
              </w:rPr>
            </w:pPr>
            <w:r>
              <w:rPr>
                <w:color w:val="auto"/>
                <w:szCs w:val="24"/>
                <w:highlight w:val="none"/>
              </w:rPr>
              <w:t>处理前产生</w:t>
            </w:r>
          </w:p>
          <w:p>
            <w:pPr>
              <w:spacing w:line="360" w:lineRule="exact"/>
              <w:jc w:val="center"/>
              <w:rPr>
                <w:color w:val="auto"/>
                <w:szCs w:val="24"/>
                <w:highlight w:val="none"/>
              </w:rPr>
            </w:pPr>
            <w:r>
              <w:rPr>
                <w:color w:val="auto"/>
                <w:szCs w:val="24"/>
                <w:highlight w:val="none"/>
              </w:rPr>
              <w:t>浓度（mg/L）</w:t>
            </w:r>
          </w:p>
        </w:tc>
        <w:tc>
          <w:tcPr>
            <w:tcW w:w="1161" w:type="dxa"/>
            <w:vAlign w:val="center"/>
          </w:tcPr>
          <w:p>
            <w:pPr>
              <w:spacing w:line="360" w:lineRule="exact"/>
              <w:jc w:val="center"/>
              <w:rPr>
                <w:color w:val="auto"/>
                <w:szCs w:val="24"/>
                <w:highlight w:val="none"/>
              </w:rPr>
            </w:pPr>
            <w:r>
              <w:rPr>
                <w:color w:val="auto"/>
                <w:szCs w:val="24"/>
                <w:highlight w:val="none"/>
              </w:rPr>
              <w:t>产生量</w:t>
            </w:r>
          </w:p>
          <w:p>
            <w:pPr>
              <w:spacing w:line="360" w:lineRule="exact"/>
              <w:jc w:val="center"/>
              <w:rPr>
                <w:color w:val="auto"/>
                <w:szCs w:val="24"/>
                <w:highlight w:val="none"/>
              </w:rPr>
            </w:pPr>
            <w:r>
              <w:rPr>
                <w:color w:val="auto"/>
                <w:szCs w:val="24"/>
                <w:highlight w:val="none"/>
              </w:rPr>
              <w:t>（t/a）</w:t>
            </w:r>
          </w:p>
        </w:tc>
        <w:tc>
          <w:tcPr>
            <w:tcW w:w="1347" w:type="dxa"/>
            <w:vAlign w:val="center"/>
          </w:tcPr>
          <w:p>
            <w:pPr>
              <w:spacing w:line="360" w:lineRule="exact"/>
              <w:jc w:val="center"/>
              <w:rPr>
                <w:color w:val="auto"/>
                <w:szCs w:val="24"/>
                <w:highlight w:val="none"/>
              </w:rPr>
            </w:pPr>
            <w:r>
              <w:rPr>
                <w:color w:val="auto"/>
                <w:szCs w:val="24"/>
                <w:highlight w:val="none"/>
              </w:rPr>
              <w:t>排放浓度</w:t>
            </w:r>
          </w:p>
          <w:p>
            <w:pPr>
              <w:spacing w:line="360" w:lineRule="exact"/>
              <w:jc w:val="center"/>
              <w:rPr>
                <w:color w:val="auto"/>
                <w:szCs w:val="24"/>
                <w:highlight w:val="none"/>
              </w:rPr>
            </w:pPr>
            <w:r>
              <w:rPr>
                <w:color w:val="auto"/>
                <w:szCs w:val="24"/>
                <w:highlight w:val="none"/>
              </w:rPr>
              <w:t>（mg/L）</w:t>
            </w:r>
          </w:p>
        </w:tc>
        <w:tc>
          <w:tcPr>
            <w:tcW w:w="1223" w:type="dxa"/>
            <w:vAlign w:val="center"/>
          </w:tcPr>
          <w:p>
            <w:pPr>
              <w:spacing w:line="360" w:lineRule="exact"/>
              <w:jc w:val="center"/>
              <w:rPr>
                <w:color w:val="auto"/>
                <w:szCs w:val="24"/>
                <w:highlight w:val="none"/>
              </w:rPr>
            </w:pPr>
            <w:r>
              <w:rPr>
                <w:color w:val="auto"/>
                <w:szCs w:val="24"/>
                <w:highlight w:val="none"/>
              </w:rPr>
              <w:t>排放量</w:t>
            </w:r>
          </w:p>
          <w:p>
            <w:pPr>
              <w:spacing w:line="360" w:lineRule="exact"/>
              <w:jc w:val="center"/>
              <w:rPr>
                <w:color w:val="auto"/>
                <w:szCs w:val="24"/>
                <w:highlight w:val="none"/>
              </w:rPr>
            </w:pPr>
            <w:r>
              <w:rPr>
                <w:color w:val="auto"/>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vAlign w:val="center"/>
          </w:tcPr>
          <w:p>
            <w:pPr>
              <w:spacing w:line="480" w:lineRule="exact"/>
              <w:jc w:val="center"/>
              <w:rPr>
                <w:color w:val="auto"/>
                <w:szCs w:val="24"/>
                <w:highlight w:val="none"/>
                <w:u w:val="wave"/>
              </w:rPr>
            </w:pPr>
            <w:r>
              <w:rPr>
                <w:color w:val="auto"/>
                <w:szCs w:val="24"/>
                <w:highlight w:val="none"/>
                <w:u w:val="wave"/>
              </w:rPr>
              <w:t>大气污染物</w:t>
            </w:r>
          </w:p>
        </w:tc>
        <w:tc>
          <w:tcPr>
            <w:tcW w:w="7558" w:type="dxa"/>
            <w:gridSpan w:val="6"/>
            <w:vMerge w:val="restart"/>
            <w:vAlign w:val="center"/>
          </w:tcPr>
          <w:p>
            <w:pPr>
              <w:spacing w:line="480" w:lineRule="exact"/>
              <w:jc w:val="center"/>
              <w:rPr>
                <w:color w:val="auto"/>
                <w:szCs w:val="24"/>
                <w:highlight w:val="none"/>
              </w:rPr>
            </w:pPr>
            <w:r>
              <w:rPr>
                <w:rFonts w:hint="eastAsia"/>
                <w:color w:val="auto"/>
                <w:szCs w:val="24"/>
                <w:highlight w:val="none"/>
                <w:u w:val="wave"/>
                <w:lang w:eastAsia="zh-CN"/>
              </w:rPr>
              <w:t>按照主体工程环评要求执行</w:t>
            </w:r>
            <w:r>
              <w:rPr>
                <w:rFonts w:hint="eastAsia"/>
                <w:color w:val="auto"/>
                <w:szCs w:val="24"/>
                <w:highlight w:val="none"/>
                <w:u w:val="wave"/>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tcBorders>
              <w:bottom w:val="single" w:color="auto" w:sz="4" w:space="0"/>
            </w:tcBorders>
            <w:vAlign w:val="center"/>
          </w:tcPr>
          <w:p>
            <w:pPr>
              <w:spacing w:line="480" w:lineRule="exact"/>
              <w:jc w:val="center"/>
              <w:rPr>
                <w:color w:val="auto"/>
                <w:szCs w:val="24"/>
                <w:highlight w:val="none"/>
                <w:u w:val="wave"/>
              </w:rPr>
            </w:pPr>
            <w:r>
              <w:rPr>
                <w:color w:val="auto"/>
                <w:szCs w:val="24"/>
                <w:highlight w:val="none"/>
                <w:u w:val="wave"/>
              </w:rPr>
              <w:t>水污染物</w:t>
            </w:r>
          </w:p>
        </w:tc>
        <w:tc>
          <w:tcPr>
            <w:tcW w:w="7558" w:type="dxa"/>
            <w:gridSpan w:val="6"/>
            <w:vMerge w:val="continue"/>
            <w:vAlign w:val="center"/>
          </w:tcPr>
          <w:p>
            <w:pPr>
              <w:spacing w:line="240" w:lineRule="auto"/>
              <w:jc w:val="center"/>
              <w:rPr>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vAlign w:val="center"/>
          </w:tcPr>
          <w:p>
            <w:pPr>
              <w:spacing w:line="480" w:lineRule="exact"/>
              <w:jc w:val="center"/>
              <w:rPr>
                <w:color w:val="auto"/>
                <w:szCs w:val="24"/>
                <w:highlight w:val="none"/>
                <w:u w:val="wave"/>
              </w:rPr>
            </w:pPr>
            <w:r>
              <w:rPr>
                <w:color w:val="auto"/>
                <w:szCs w:val="24"/>
                <w:highlight w:val="none"/>
                <w:u w:val="wave"/>
              </w:rPr>
              <w:t>固体废物</w:t>
            </w:r>
          </w:p>
        </w:tc>
        <w:tc>
          <w:tcPr>
            <w:tcW w:w="7558" w:type="dxa"/>
            <w:gridSpan w:val="6"/>
            <w:vMerge w:val="continue"/>
            <w:vAlign w:val="center"/>
          </w:tcPr>
          <w:p>
            <w:pPr>
              <w:spacing w:line="480" w:lineRule="exact"/>
              <w:jc w:val="center"/>
              <w:rPr>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color w:val="auto"/>
                <w:szCs w:val="24"/>
                <w:highlight w:val="none"/>
              </w:rPr>
            </w:pPr>
            <w:r>
              <w:rPr>
                <w:color w:val="auto"/>
                <w:szCs w:val="24"/>
                <w:highlight w:val="none"/>
              </w:rPr>
              <w:t>噪  声</w:t>
            </w:r>
          </w:p>
        </w:tc>
        <w:tc>
          <w:tcPr>
            <w:tcW w:w="7558"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Cs w:val="24"/>
                <w:highlight w:val="none"/>
              </w:rPr>
            </w:pPr>
            <w:r>
              <w:rPr>
                <w:rFonts w:hint="eastAsia"/>
                <w:color w:val="auto"/>
                <w:szCs w:val="24"/>
                <w:highlight w:val="none"/>
                <w:lang w:eastAsia="zh-CN"/>
              </w:rPr>
              <w:t>非临路侧</w:t>
            </w:r>
            <w:r>
              <w:rPr>
                <w:color w:val="auto"/>
                <w:szCs w:val="24"/>
                <w:highlight w:val="none"/>
              </w:rPr>
              <w:t>：昼间</w:t>
            </w:r>
            <w:r>
              <w:rPr>
                <w:rFonts w:hint="eastAsia"/>
                <w:color w:val="auto"/>
                <w:szCs w:val="24"/>
                <w:highlight w:val="none"/>
                <w:lang w:val="en-US" w:eastAsia="zh-CN"/>
              </w:rPr>
              <w:t>60</w:t>
            </w:r>
            <w:r>
              <w:rPr>
                <w:color w:val="auto"/>
                <w:szCs w:val="24"/>
                <w:highlight w:val="none"/>
              </w:rPr>
              <w:t>dB</w:t>
            </w:r>
            <w:r>
              <w:rPr>
                <w:rFonts w:hint="eastAsia"/>
                <w:color w:val="auto"/>
                <w:szCs w:val="24"/>
                <w:highlight w:val="none"/>
                <w:lang w:eastAsia="zh-CN"/>
              </w:rPr>
              <w:t>（</w:t>
            </w:r>
            <w:r>
              <w:rPr>
                <w:rFonts w:hint="eastAsia"/>
                <w:color w:val="auto"/>
                <w:szCs w:val="24"/>
                <w:highlight w:val="none"/>
                <w:lang w:val="en-US" w:eastAsia="zh-CN"/>
              </w:rPr>
              <w:t>A</w:t>
            </w:r>
            <w:r>
              <w:rPr>
                <w:rFonts w:hint="eastAsia"/>
                <w:color w:val="auto"/>
                <w:szCs w:val="24"/>
                <w:highlight w:val="none"/>
                <w:lang w:eastAsia="zh-CN"/>
              </w:rPr>
              <w:t>）</w:t>
            </w:r>
            <w:r>
              <w:rPr>
                <w:color w:val="auto"/>
                <w:szCs w:val="24"/>
                <w:highlight w:val="none"/>
              </w:rPr>
              <w:t>，夜间</w:t>
            </w:r>
            <w:r>
              <w:rPr>
                <w:rFonts w:hint="eastAsia"/>
                <w:color w:val="auto"/>
                <w:szCs w:val="24"/>
                <w:highlight w:val="none"/>
                <w:lang w:val="en-US" w:eastAsia="zh-CN"/>
              </w:rPr>
              <w:t>50</w:t>
            </w:r>
            <w:r>
              <w:rPr>
                <w:color w:val="auto"/>
                <w:szCs w:val="24"/>
                <w:highlight w:val="none"/>
              </w:rPr>
              <w:t>dB</w:t>
            </w:r>
            <w:r>
              <w:rPr>
                <w:rFonts w:hint="eastAsia"/>
                <w:color w:val="auto"/>
                <w:szCs w:val="24"/>
                <w:highlight w:val="none"/>
                <w:lang w:eastAsia="zh-CN"/>
              </w:rPr>
              <w:t>（</w:t>
            </w:r>
            <w:r>
              <w:rPr>
                <w:rFonts w:hint="eastAsia"/>
                <w:color w:val="auto"/>
                <w:szCs w:val="24"/>
                <w:highlight w:val="none"/>
                <w:lang w:val="en-US" w:eastAsia="zh-CN"/>
              </w:rPr>
              <w:t>A</w:t>
            </w:r>
            <w:r>
              <w:rPr>
                <w:rFonts w:hint="eastAsia"/>
                <w:color w:val="auto"/>
                <w:szCs w:val="24"/>
                <w:highlight w:val="none"/>
                <w:lang w:eastAsia="zh-CN"/>
              </w:rPr>
              <w:t>）</w:t>
            </w:r>
            <w:r>
              <w:rPr>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宋体"/>
                <w:color w:val="auto"/>
                <w:szCs w:val="24"/>
                <w:highlight w:val="none"/>
                <w:lang w:eastAsia="zh-CN"/>
              </w:rPr>
            </w:pPr>
            <w:r>
              <w:rPr>
                <w:rFonts w:hint="eastAsia"/>
                <w:color w:val="auto"/>
                <w:szCs w:val="24"/>
                <w:highlight w:val="none"/>
                <w:lang w:eastAsia="zh-CN"/>
              </w:rPr>
              <w:t>临路侧：</w:t>
            </w:r>
            <w:r>
              <w:rPr>
                <w:color w:val="auto"/>
                <w:szCs w:val="24"/>
                <w:highlight w:val="none"/>
              </w:rPr>
              <w:t>昼间</w:t>
            </w:r>
            <w:r>
              <w:rPr>
                <w:rFonts w:hint="eastAsia"/>
                <w:color w:val="auto"/>
                <w:szCs w:val="24"/>
                <w:highlight w:val="none"/>
                <w:lang w:val="en-US" w:eastAsia="zh-CN"/>
              </w:rPr>
              <w:t>70</w:t>
            </w:r>
            <w:r>
              <w:rPr>
                <w:color w:val="auto"/>
                <w:szCs w:val="24"/>
                <w:highlight w:val="none"/>
              </w:rPr>
              <w:t>dB</w:t>
            </w:r>
            <w:r>
              <w:rPr>
                <w:rFonts w:hint="eastAsia"/>
                <w:color w:val="auto"/>
                <w:szCs w:val="24"/>
                <w:highlight w:val="none"/>
                <w:lang w:eastAsia="zh-CN"/>
              </w:rPr>
              <w:t>（</w:t>
            </w:r>
            <w:r>
              <w:rPr>
                <w:rFonts w:hint="eastAsia"/>
                <w:color w:val="auto"/>
                <w:szCs w:val="24"/>
                <w:highlight w:val="none"/>
                <w:lang w:val="en-US" w:eastAsia="zh-CN"/>
              </w:rPr>
              <w:t>A</w:t>
            </w:r>
            <w:r>
              <w:rPr>
                <w:rFonts w:hint="eastAsia"/>
                <w:color w:val="auto"/>
                <w:szCs w:val="24"/>
                <w:highlight w:val="none"/>
                <w:lang w:eastAsia="zh-CN"/>
              </w:rPr>
              <w:t>）</w:t>
            </w:r>
            <w:r>
              <w:rPr>
                <w:color w:val="auto"/>
                <w:szCs w:val="24"/>
                <w:highlight w:val="none"/>
              </w:rPr>
              <w:t>，夜间</w:t>
            </w:r>
            <w:r>
              <w:rPr>
                <w:rFonts w:hint="eastAsia"/>
                <w:color w:val="auto"/>
                <w:szCs w:val="24"/>
                <w:highlight w:val="none"/>
                <w:lang w:val="en-US" w:eastAsia="zh-CN"/>
              </w:rPr>
              <w:t>55</w:t>
            </w:r>
            <w:r>
              <w:rPr>
                <w:color w:val="auto"/>
                <w:szCs w:val="24"/>
                <w:highlight w:val="none"/>
              </w:rPr>
              <w:t>dB</w:t>
            </w:r>
            <w:r>
              <w:rPr>
                <w:rFonts w:hint="eastAsia"/>
                <w:color w:val="auto"/>
                <w:szCs w:val="24"/>
                <w:highlight w:val="none"/>
                <w:lang w:eastAsia="zh-CN"/>
              </w:rPr>
              <w:t>（</w:t>
            </w:r>
            <w:r>
              <w:rPr>
                <w:rFonts w:hint="eastAsia"/>
                <w:color w:val="auto"/>
                <w:szCs w:val="24"/>
                <w:highlight w:val="none"/>
                <w:lang w:val="en-US" w:eastAsia="zh-CN"/>
              </w:rPr>
              <w:t>A</w:t>
            </w:r>
            <w:r>
              <w:rPr>
                <w:rFonts w:hint="eastAsia"/>
                <w:color w:val="auto"/>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14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color w:val="auto"/>
                <w:szCs w:val="24"/>
                <w:highlight w:val="none"/>
                <w:u w:val="none"/>
              </w:rPr>
            </w:pPr>
            <w:r>
              <w:rPr>
                <w:color w:val="auto"/>
                <w:szCs w:val="24"/>
                <w:highlight w:val="none"/>
                <w:u w:val="none"/>
              </w:rPr>
              <w:t>其  他</w:t>
            </w:r>
          </w:p>
        </w:tc>
        <w:tc>
          <w:tcPr>
            <w:tcW w:w="7558"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Cs w:val="24"/>
                <w:highlight w:val="none"/>
                <w:u w:val="none"/>
              </w:rPr>
            </w:pPr>
            <w:r>
              <w:rPr>
                <w:color w:val="auto"/>
                <w:szCs w:val="24"/>
                <w:highlight w:val="none"/>
                <w:u w:val="none"/>
              </w:rPr>
              <w:t>单个辐射体公众暴露控制限值电场强度＜5.</w:t>
            </w:r>
            <w:r>
              <w:rPr>
                <w:rFonts w:hint="eastAsia"/>
                <w:color w:val="auto"/>
                <w:szCs w:val="24"/>
                <w:highlight w:val="none"/>
                <w:u w:val="none"/>
                <w:lang w:val="en-US" w:eastAsia="zh-CN"/>
              </w:rPr>
              <w:t>37</w:t>
            </w:r>
            <w:r>
              <w:rPr>
                <w:color w:val="auto"/>
                <w:szCs w:val="24"/>
                <w:highlight w:val="none"/>
                <w:u w:val="none"/>
              </w:rPr>
              <w:t>V/m，功率密度＜</w:t>
            </w:r>
            <w:r>
              <w:rPr>
                <w:rFonts w:hint="eastAsia"/>
                <w:color w:val="auto"/>
                <w:szCs w:val="24"/>
                <w:highlight w:val="none"/>
                <w:u w:val="none"/>
                <w:lang w:val="en-US" w:eastAsia="zh-CN"/>
              </w:rPr>
              <w:t>0.0</w:t>
            </w:r>
            <w:r>
              <w:rPr>
                <w:color w:val="auto"/>
                <w:szCs w:val="24"/>
                <w:highlight w:val="none"/>
                <w:u w:val="none"/>
              </w:rPr>
              <w:t>8</w:t>
            </w:r>
            <w:r>
              <w:rPr>
                <w:rFonts w:hint="default" w:ascii="Times New Roman" w:hAnsi="Times New Roman" w:eastAsia="宋体" w:cs="Times New Roman"/>
                <w:sz w:val="24"/>
                <w:szCs w:val="24"/>
                <w:highlight w:val="none"/>
                <w:u w:val="none"/>
                <w:lang w:val="en-US" w:eastAsia="zh-CN"/>
              </w:rPr>
              <w:t>W</w:t>
            </w:r>
            <w:r>
              <w:rPr>
                <w:rFonts w:hint="eastAsia" w:ascii="Times New Roman" w:hAnsi="宋体" w:eastAsia="宋体"/>
                <w:sz w:val="24"/>
                <w:szCs w:val="24"/>
                <w:highlight w:val="none"/>
                <w:u w:val="none"/>
                <w:lang w:val="en-US" w:eastAsia="zh-CN"/>
              </w:rPr>
              <w:t>/m</w:t>
            </w:r>
            <w:r>
              <w:rPr>
                <w:rFonts w:hint="eastAsia" w:ascii="Times New Roman" w:hAnsi="宋体" w:eastAsia="宋体"/>
                <w:sz w:val="24"/>
                <w:szCs w:val="24"/>
                <w:highlight w:val="none"/>
                <w:u w:val="none"/>
                <w:vertAlign w:val="superscript"/>
                <w:lang w:val="en-US" w:eastAsia="zh-CN"/>
              </w:rPr>
              <w:t>2</w:t>
            </w:r>
            <w:r>
              <w:rPr>
                <w:color w:val="auto"/>
                <w:szCs w:val="24"/>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019" w:type="dxa"/>
            <w:gridSpan w:val="7"/>
            <w:vAlign w:val="center"/>
          </w:tcPr>
          <w:p>
            <w:pPr>
              <w:spacing w:before="156" w:beforeLines="50"/>
              <w:rPr>
                <w:b/>
                <w:color w:val="auto"/>
                <w:szCs w:val="24"/>
                <w:highlight w:val="none"/>
              </w:rPr>
            </w:pPr>
            <w:r>
              <w:rPr>
                <w:b/>
                <w:color w:val="auto"/>
                <w:szCs w:val="24"/>
                <w:highlight w:val="none"/>
              </w:rPr>
              <w:t>主要生态影响、保护措施及预期效果</w:t>
            </w:r>
          </w:p>
          <w:p>
            <w:pPr>
              <w:ind w:firstLine="480" w:firstLineChars="200"/>
              <w:rPr>
                <w:rFonts w:hint="eastAsia"/>
                <w:b w:val="0"/>
                <w:bCs/>
                <w:color w:val="auto"/>
                <w:kern w:val="0"/>
                <w:sz w:val="24"/>
                <w:highlight w:val="none"/>
                <w:lang w:val="en-US" w:eastAsia="zh-CN"/>
              </w:rPr>
            </w:pPr>
            <w:r>
              <w:rPr>
                <w:color w:val="auto"/>
                <w:szCs w:val="24"/>
                <w:highlight w:val="none"/>
              </w:rPr>
              <w:t>本项目拟建于</w:t>
            </w:r>
            <w:r>
              <w:rPr>
                <w:rFonts w:hint="eastAsia"/>
                <w:bCs/>
                <w:color w:val="auto"/>
                <w:highlight w:val="none"/>
                <w:u w:val="none"/>
                <w:lang w:eastAsia="zh-CN"/>
              </w:rPr>
              <w:t>常德市鼎城区块阳明大道与兴业路交汇处</w:t>
            </w:r>
            <w:r>
              <w:rPr>
                <w:rFonts w:hint="eastAsia"/>
                <w:color w:val="auto"/>
                <w:szCs w:val="24"/>
                <w:highlight w:val="none"/>
                <w:lang w:val="en-US" w:eastAsia="zh-CN"/>
              </w:rPr>
              <w:t>，厂址现状为空地，周边均为村庄、荒地及农田</w:t>
            </w:r>
            <w:r>
              <w:rPr>
                <w:rFonts w:hint="eastAsia"/>
                <w:color w:val="auto"/>
                <w:highlight w:val="none"/>
                <w:lang w:eastAsia="zh-CN"/>
              </w:rPr>
              <w:t>。本项目占地</w:t>
            </w:r>
            <w:r>
              <w:rPr>
                <w:rFonts w:hint="eastAsia"/>
                <w:color w:val="auto"/>
                <w:highlight w:val="none"/>
                <w:lang w:val="en-US" w:eastAsia="zh-CN"/>
              </w:rPr>
              <w:t>200m</w:t>
            </w:r>
            <w:r>
              <w:rPr>
                <w:rFonts w:hint="eastAsia"/>
                <w:b w:val="0"/>
                <w:bCs/>
                <w:color w:val="auto"/>
                <w:kern w:val="0"/>
                <w:sz w:val="24"/>
                <w:highlight w:val="none"/>
                <w:vertAlign w:val="superscript"/>
                <w:lang w:val="en-US" w:eastAsia="zh-CN"/>
              </w:rPr>
              <w:t>2</w:t>
            </w:r>
            <w:r>
              <w:rPr>
                <w:color w:val="auto"/>
                <w:szCs w:val="24"/>
                <w:highlight w:val="none"/>
              </w:rPr>
              <w:t>，</w:t>
            </w:r>
            <w:r>
              <w:rPr>
                <w:rFonts w:hint="eastAsia"/>
                <w:color w:val="auto"/>
                <w:szCs w:val="24"/>
                <w:highlight w:val="none"/>
                <w:lang w:eastAsia="zh-CN"/>
              </w:rPr>
              <w:t>土地规划用途为新闻出版</w:t>
            </w:r>
            <w:r>
              <w:rPr>
                <w:rFonts w:hint="eastAsia"/>
                <w:b w:val="0"/>
                <w:bCs/>
                <w:color w:val="auto"/>
                <w:kern w:val="0"/>
                <w:sz w:val="24"/>
                <w:highlight w:val="none"/>
                <w:lang w:val="en-US" w:eastAsia="zh-CN"/>
              </w:rPr>
              <w:t>，占地范围内</w:t>
            </w:r>
            <w:r>
              <w:rPr>
                <w:bCs/>
                <w:color w:val="auto"/>
                <w:kern w:val="0"/>
                <w:highlight w:val="none"/>
              </w:rPr>
              <w:t>无重点文物保护单位，无名胜古迹和珍贵野生动植物分布等环境敏感点</w:t>
            </w:r>
            <w:r>
              <w:rPr>
                <w:rFonts w:hint="eastAsia"/>
                <w:bCs/>
                <w:color w:val="auto"/>
                <w:kern w:val="0"/>
                <w:highlight w:val="none"/>
                <w:lang w:eastAsia="zh-CN"/>
              </w:rPr>
              <w:t>。本项目施工期较短，施工完成后，运行期主要产生电磁影响，对周围林地影响甚微。</w:t>
            </w:r>
          </w:p>
          <w:p>
            <w:pPr>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ind w:firstLine="480" w:firstLineChars="200"/>
              <w:rPr>
                <w:color w:val="auto"/>
                <w:szCs w:val="24"/>
                <w:highlight w:val="none"/>
              </w:rPr>
            </w:pPr>
          </w:p>
          <w:p>
            <w:pPr>
              <w:adjustRightInd w:val="0"/>
              <w:snapToGrid w:val="0"/>
              <w:rPr>
                <w:color w:val="auto"/>
                <w:highlight w:val="none"/>
              </w:rPr>
            </w:pPr>
          </w:p>
        </w:tc>
      </w:tr>
    </w:tbl>
    <w:p>
      <w:pPr>
        <w:rPr>
          <w:color w:val="auto"/>
        </w:rPr>
      </w:pPr>
    </w:p>
    <w:tbl>
      <w:tblPr>
        <w:tblStyle w:val="35"/>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Borders>
              <w:top w:val="nil"/>
              <w:left w:val="nil"/>
              <w:right w:val="nil"/>
            </w:tcBorders>
          </w:tcPr>
          <w:p>
            <w:pPr>
              <w:spacing w:after="156" w:afterLines="50" w:line="240" w:lineRule="auto"/>
              <w:rPr>
                <w:b/>
                <w:color w:val="auto"/>
                <w:szCs w:val="24"/>
                <w:highlight w:val="none"/>
              </w:rPr>
            </w:pPr>
            <w:r>
              <w:rPr>
                <w:b/>
                <w:color w:val="auto"/>
                <w:szCs w:val="24"/>
                <w:highlight w:val="none"/>
              </w:rPr>
              <w:t>环境影响分析</w:t>
            </w:r>
            <w:r>
              <w:rPr>
                <w:rFonts w:hint="eastAsia"/>
                <w:b/>
                <w:color w:val="auto"/>
                <w:szCs w:val="24"/>
                <w:highlight w:val="none"/>
                <w:lang w:eastAsia="zh-CN"/>
              </w:rPr>
              <w:t>及保护措施</w:t>
            </w:r>
            <w:r>
              <w:rPr>
                <w:b/>
                <w:color w:val="auto"/>
                <w:szCs w:val="24"/>
                <w:highlight w:val="none"/>
              </w:rPr>
              <w:t xml:space="preserve">                     </w:t>
            </w:r>
            <w:r>
              <w:rPr>
                <w:rFonts w:hint="eastAsia"/>
                <w:b/>
                <w:color w:val="auto"/>
                <w:szCs w:val="24"/>
                <w:highlight w:val="none"/>
                <w:lang w:val="en-US" w:eastAsia="zh-CN"/>
              </w:rPr>
              <w:t xml:space="preserve">   </w:t>
            </w:r>
            <w:r>
              <w:rPr>
                <w:b/>
                <w:color w:val="auto"/>
                <w:szCs w:val="24"/>
                <w:highlight w:val="none"/>
              </w:rPr>
              <w:t xml:space="preserve">                   表</w:t>
            </w:r>
            <w:r>
              <w:rPr>
                <w:rFonts w:hint="eastAsia"/>
                <w:b/>
                <w:color w:val="auto"/>
                <w:szCs w:val="24"/>
                <w:highlight w:val="none"/>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Pr>
          <w:p>
            <w:pPr>
              <w:adjustRightInd w:val="0"/>
              <w:snapToGrid w:val="0"/>
              <w:spacing w:before="156" w:beforeLines="50"/>
              <w:rPr>
                <w:b/>
                <w:bCs/>
                <w:color w:val="auto"/>
                <w:szCs w:val="24"/>
                <w:highlight w:val="none"/>
              </w:rPr>
            </w:pPr>
            <w:r>
              <w:rPr>
                <w:rFonts w:hint="eastAsia"/>
                <w:b/>
                <w:bCs/>
                <w:color w:val="auto"/>
                <w:szCs w:val="24"/>
                <w:highlight w:val="none"/>
                <w:lang w:val="en-US" w:eastAsia="zh-CN"/>
              </w:rPr>
              <w:t>7</w:t>
            </w:r>
            <w:r>
              <w:rPr>
                <w:b/>
                <w:bCs/>
                <w:color w:val="auto"/>
                <w:szCs w:val="24"/>
                <w:highlight w:val="none"/>
              </w:rPr>
              <w:t>.1 施工期环境影响分析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Cs w:val="24"/>
                <w:highlight w:val="none"/>
              </w:rPr>
            </w:pPr>
            <w:r>
              <w:rPr>
                <w:color w:val="auto"/>
                <w:szCs w:val="24"/>
                <w:highlight w:val="none"/>
              </w:rPr>
              <w:t>本项目施工期可能产生的环境影响主要由于铁塔搭建及机房装修、施工人员生活（生活污水、垃圾）等。</w:t>
            </w:r>
          </w:p>
          <w:p>
            <w:pPr>
              <w:pStyle w:val="2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color w:val="auto"/>
                <w:sz w:val="24"/>
                <w:szCs w:val="24"/>
                <w:highlight w:val="none"/>
              </w:rPr>
            </w:pPr>
            <w:r>
              <w:rPr>
                <w:color w:val="auto"/>
                <w:sz w:val="24"/>
                <w:szCs w:val="24"/>
                <w:highlight w:val="none"/>
              </w:rPr>
              <w:t>（1）环境空气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Cs w:val="24"/>
                <w:highlight w:val="none"/>
              </w:rPr>
            </w:pPr>
            <w:r>
              <w:rPr>
                <w:color w:val="auto"/>
                <w:szCs w:val="24"/>
                <w:highlight w:val="none"/>
              </w:rPr>
              <w:t>施工期环境空气污染源主要为装修废气、汽车尾气及其产生的扬尘等。汽车扬尘主要采取控制行驶速度抑制扬尘产生，装修</w:t>
            </w:r>
            <w:r>
              <w:rPr>
                <w:color w:val="auto"/>
                <w:highlight w:val="none"/>
              </w:rPr>
              <w:t>严格按照《室内装饰装修材料有害物质限量》（GB18580-2001～GB18588-2001）等国家标准，选择使用</w:t>
            </w:r>
            <w:r>
              <w:rPr>
                <w:color w:val="auto"/>
                <w:szCs w:val="24"/>
                <w:highlight w:val="none"/>
              </w:rPr>
              <w:t>环保型装修材料，因此所排的废气能够满足相应环境标准，不会对周围环境产生不利影响。</w:t>
            </w:r>
          </w:p>
          <w:p>
            <w:pPr>
              <w:keepNext w:val="0"/>
              <w:keepLines w:val="0"/>
              <w:pageBreakBefore w:val="0"/>
              <w:widowControl w:val="0"/>
              <w:tabs>
                <w:tab w:val="left" w:pos="2716"/>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Cs w:val="24"/>
                <w:highlight w:val="none"/>
              </w:rPr>
            </w:pPr>
            <w:r>
              <w:rPr>
                <w:color w:val="auto"/>
                <w:szCs w:val="24"/>
                <w:highlight w:val="none"/>
              </w:rPr>
              <w:t>（2）噪声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kern w:val="0"/>
                <w:szCs w:val="24"/>
                <w:highlight w:val="none"/>
              </w:rPr>
            </w:pPr>
            <w:r>
              <w:rPr>
                <w:color w:val="auto"/>
                <w:szCs w:val="24"/>
                <w:highlight w:val="none"/>
              </w:rPr>
              <w:t>项目施工期的噪声主要来自钢结构及设备安装调试等阶段，</w:t>
            </w:r>
            <w:r>
              <w:rPr>
                <w:rFonts w:hint="eastAsia"/>
                <w:color w:val="auto"/>
                <w:szCs w:val="24"/>
                <w:highlight w:val="none"/>
                <w:lang w:eastAsia="zh-CN"/>
              </w:rPr>
              <w:t>主</w:t>
            </w:r>
            <w:r>
              <w:rPr>
                <w:color w:val="auto"/>
                <w:szCs w:val="24"/>
                <w:highlight w:val="none"/>
              </w:rPr>
              <w:t>要噪声源为汽车和钢结构、设备搬运噪声。噪声值一般约为90dB。汽车噪声主要通过采取</w:t>
            </w:r>
            <w:r>
              <w:rPr>
                <w:color w:val="auto"/>
                <w:kern w:val="0"/>
                <w:szCs w:val="24"/>
                <w:highlight w:val="none"/>
              </w:rPr>
              <w:t>不得超载运输、不得随意鸣笛等</w:t>
            </w:r>
            <w:r>
              <w:rPr>
                <w:color w:val="auto"/>
                <w:szCs w:val="24"/>
                <w:highlight w:val="none"/>
              </w:rPr>
              <w:t>交通管理措施</w:t>
            </w:r>
            <w:r>
              <w:rPr>
                <w:color w:val="auto"/>
                <w:kern w:val="0"/>
                <w:szCs w:val="24"/>
                <w:highlight w:val="none"/>
              </w:rPr>
              <w:t>降低噪声对周围环境的影响。搬运噪声采取措施有：轻拿轻放，缩短搬运时间，尽量避免上班及休息时间进行搬运。随着施工期的结束，施工噪声影响也随之结束。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eastAsia="宋体"/>
                <w:color w:val="auto"/>
                <w:kern w:val="0"/>
                <w:szCs w:val="24"/>
                <w:highlight w:val="none"/>
                <w:lang w:eastAsia="zh-CN"/>
              </w:rPr>
            </w:pPr>
            <w:r>
              <w:rPr>
                <w:rFonts w:hint="eastAsia"/>
                <w:color w:val="auto"/>
                <w:kern w:val="0"/>
                <w:szCs w:val="24"/>
                <w:highlight w:val="none"/>
                <w:lang w:eastAsia="zh-CN"/>
              </w:rPr>
              <w:t>距离本项目最近的敏感点为项目东侧的孔家溶社区居民点，距离天线中心点约为</w:t>
            </w:r>
            <w:r>
              <w:rPr>
                <w:rFonts w:hint="eastAsia"/>
                <w:color w:val="auto"/>
                <w:kern w:val="0"/>
                <w:szCs w:val="24"/>
                <w:highlight w:val="none"/>
                <w:lang w:val="en-US" w:eastAsia="zh-CN"/>
              </w:rPr>
              <w:t>71m，根据现场踏勘实际情况，该处孔家溶社区居民点与本项目之间种植有高大树木，施工期噪声通过距离衰减及树木遮挡后，对敏感点的影响很小。</w:t>
            </w:r>
          </w:p>
          <w:p>
            <w:pPr>
              <w:pStyle w:val="2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color w:val="auto"/>
                <w:sz w:val="24"/>
                <w:szCs w:val="24"/>
                <w:highlight w:val="none"/>
              </w:rPr>
            </w:pPr>
            <w:r>
              <w:rPr>
                <w:color w:val="auto"/>
                <w:sz w:val="24"/>
                <w:szCs w:val="24"/>
                <w:highlight w:val="none"/>
              </w:rPr>
              <w:t>（3）地表水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Cs w:val="24"/>
                <w:highlight w:val="none"/>
              </w:rPr>
            </w:pPr>
            <w:r>
              <w:rPr>
                <w:color w:val="auto"/>
                <w:szCs w:val="24"/>
                <w:highlight w:val="none"/>
              </w:rPr>
              <w:t>拟建项目施工期污水主要为施工人员的生活污水。废水产生量为1.5m</w:t>
            </w:r>
            <w:r>
              <w:rPr>
                <w:color w:val="auto"/>
                <w:szCs w:val="24"/>
                <w:highlight w:val="none"/>
                <w:vertAlign w:val="superscript"/>
              </w:rPr>
              <w:t>3</w:t>
            </w:r>
            <w:r>
              <w:rPr>
                <w:color w:val="auto"/>
                <w:szCs w:val="24"/>
                <w:highlight w:val="none"/>
              </w:rPr>
              <w:t>/d，主要污染物浓度COD浓度为300～500mg/L、SS浓度为200～300mg/L。施工废水</w:t>
            </w:r>
            <w:r>
              <w:rPr>
                <w:rFonts w:hint="eastAsia"/>
                <w:color w:val="auto"/>
                <w:szCs w:val="24"/>
                <w:highlight w:val="none"/>
                <w:lang w:eastAsia="zh-CN"/>
              </w:rPr>
              <w:t>经厂区内临时沉淀</w:t>
            </w:r>
            <w:r>
              <w:rPr>
                <w:color w:val="auto"/>
                <w:szCs w:val="24"/>
                <w:highlight w:val="none"/>
              </w:rPr>
              <w:t>处理后</w:t>
            </w:r>
            <w:r>
              <w:rPr>
                <w:rFonts w:hint="eastAsia"/>
                <w:color w:val="auto"/>
                <w:szCs w:val="24"/>
                <w:highlight w:val="none"/>
                <w:lang w:eastAsia="zh-CN"/>
              </w:rPr>
              <w:t>用于周边绿化及灌木丛植被绿化及泼洒抑尘，不外排</w:t>
            </w:r>
            <w:r>
              <w:rPr>
                <w:color w:val="auto"/>
                <w:szCs w:val="24"/>
                <w:highlight w:val="none"/>
              </w:rPr>
              <w:t>。</w:t>
            </w:r>
          </w:p>
          <w:p>
            <w:pPr>
              <w:pStyle w:val="24"/>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color w:val="auto"/>
                <w:sz w:val="24"/>
                <w:szCs w:val="24"/>
                <w:highlight w:val="none"/>
              </w:rPr>
            </w:pPr>
            <w:r>
              <w:rPr>
                <w:color w:val="auto"/>
                <w:sz w:val="24"/>
                <w:szCs w:val="24"/>
                <w:highlight w:val="none"/>
              </w:rPr>
              <w:t>（4）固体废弃物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Cs w:val="24"/>
                <w:highlight w:val="none"/>
              </w:rPr>
            </w:pPr>
            <w:r>
              <w:rPr>
                <w:color w:val="auto"/>
                <w:szCs w:val="24"/>
                <w:highlight w:val="none"/>
              </w:rPr>
              <w:t>拟建项目施工期固体废弃物主要为施工人员的生活垃圾及设备等安装废料。施工人员生活垃圾集中收集后交由环卫部门处理，设备安装废料交由物资回收部门处理。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b/>
                <w:bCs/>
                <w:color w:val="auto"/>
                <w:szCs w:val="24"/>
                <w:highlight w:val="none"/>
              </w:rPr>
            </w:pPr>
            <w:r>
              <w:rPr>
                <w:rFonts w:hint="eastAsia"/>
                <w:b/>
                <w:bCs/>
                <w:color w:val="auto"/>
                <w:szCs w:val="24"/>
                <w:highlight w:val="none"/>
                <w:lang w:eastAsia="zh-CN"/>
              </w:rPr>
              <w:t>7</w:t>
            </w:r>
            <w:r>
              <w:rPr>
                <w:b/>
                <w:bCs/>
                <w:color w:val="auto"/>
                <w:szCs w:val="24"/>
                <w:highlight w:val="none"/>
              </w:rPr>
              <w:t>.2 运行期环境影响分析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b/>
                <w:bCs/>
                <w:color w:val="auto"/>
                <w:szCs w:val="24"/>
                <w:highlight w:val="none"/>
              </w:rPr>
            </w:pPr>
            <w:r>
              <w:rPr>
                <w:rFonts w:hint="eastAsia"/>
                <w:b/>
                <w:bCs/>
                <w:color w:val="auto"/>
                <w:szCs w:val="24"/>
                <w:highlight w:val="none"/>
                <w:lang w:eastAsia="zh-CN"/>
              </w:rPr>
              <w:t>7</w:t>
            </w:r>
            <w:r>
              <w:rPr>
                <w:b/>
                <w:bCs/>
                <w:color w:val="auto"/>
                <w:szCs w:val="24"/>
                <w:highlight w:val="none"/>
              </w:rPr>
              <w:t>.2.1电磁环境</w:t>
            </w:r>
          </w:p>
          <w:p>
            <w:pPr>
              <w:pStyle w:val="24"/>
              <w:keepNext w:val="0"/>
              <w:keepLines w:val="0"/>
              <w:pageBreakBefore w:val="0"/>
              <w:widowControl w:val="0"/>
              <w:kinsoku/>
              <w:wordWrap/>
              <w:overflowPunct/>
              <w:topLinePunct w:val="0"/>
              <w:autoSpaceDE/>
              <w:autoSpaceDN/>
              <w:bidi w:val="0"/>
              <w:spacing w:line="360" w:lineRule="auto"/>
              <w:ind w:right="0" w:rightChars="0" w:firstLine="518" w:firstLineChars="216"/>
              <w:jc w:val="both"/>
              <w:textAlignment w:val="auto"/>
              <w:rPr>
                <w:bCs/>
                <w:color w:val="auto"/>
                <w:sz w:val="24"/>
                <w:szCs w:val="24"/>
                <w:highlight w:val="none"/>
              </w:rPr>
            </w:pPr>
            <w:r>
              <w:rPr>
                <w:bCs/>
                <w:color w:val="auto"/>
                <w:sz w:val="24"/>
                <w:szCs w:val="24"/>
                <w:highlight w:val="none"/>
              </w:rPr>
              <w:t>（1）天线辐射的特点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highlight w:val="none"/>
                <w:u w:val="wave"/>
              </w:rPr>
            </w:pPr>
            <w:r>
              <w:rPr>
                <w:bCs/>
                <w:color w:val="auto"/>
                <w:sz w:val="24"/>
                <w:szCs w:val="24"/>
                <w:highlight w:val="none"/>
              </w:rPr>
              <w:t>天线辐射电磁波是有方向性的，它表示天线向一定方向辐射电磁波的能力。反之，作为接收天线的方向性表示了它接收不同方向来的电磁波的能力。我们通常用垂直平面及水平平面上表示不同方向辐射（或接收）电磁波功率大小的曲线来表示天线的方向性，并称为天线</w:t>
            </w:r>
            <w:r>
              <w:rPr>
                <w:rFonts w:hint="eastAsia"/>
                <w:bCs/>
                <w:color w:val="auto"/>
                <w:sz w:val="24"/>
                <w:szCs w:val="24"/>
                <w:highlight w:val="none"/>
                <w:lang w:eastAsia="zh-CN"/>
              </w:rPr>
              <w:t>辐射</w:t>
            </w:r>
            <w:r>
              <w:rPr>
                <w:bCs/>
                <w:color w:val="auto"/>
                <w:szCs w:val="24"/>
                <w:highlight w:val="none"/>
              </w:rPr>
              <w:t>辐射的方向图，</w:t>
            </w:r>
            <w:r>
              <w:rPr>
                <w:bCs/>
                <w:color w:val="auto"/>
                <w:szCs w:val="24"/>
                <w:highlight w:val="none"/>
                <w:u w:val="wave"/>
              </w:rPr>
              <w:t>同时用半功率点之间的夹角表示了天线方向图中的水平波束宽度及垂直波束宽度，天线波束图举例见图</w:t>
            </w:r>
            <w:r>
              <w:rPr>
                <w:rFonts w:hint="eastAsia"/>
                <w:bCs/>
                <w:color w:val="auto"/>
                <w:szCs w:val="24"/>
                <w:highlight w:val="none"/>
                <w:u w:val="wave"/>
                <w:lang w:eastAsia="zh-CN"/>
              </w:rPr>
              <w:t>7</w:t>
            </w:r>
            <w:r>
              <w:rPr>
                <w:bCs/>
                <w:color w:val="auto"/>
                <w:szCs w:val="24"/>
                <w:highlight w:val="none"/>
                <w:u w:val="wave"/>
              </w:rPr>
              <w:t>-1。</w:t>
            </w:r>
          </w:p>
          <w:p>
            <w:pPr>
              <w:keepNext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color w:val="auto"/>
                <w:highlight w:val="none"/>
                <w:u w:val="wave"/>
              </w:rPr>
            </w:pPr>
            <w:r>
              <w:rPr>
                <w:u w:val="wave"/>
              </w:rPr>
              <w:drawing>
                <wp:inline distT="0" distB="0" distL="114300" distR="114300">
                  <wp:extent cx="4737735" cy="2424430"/>
                  <wp:effectExtent l="0" t="0" r="5715" b="13970"/>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pic:cNvPicPr>
                            <a:picLocks noChangeAspect="1"/>
                          </pic:cNvPicPr>
                        </pic:nvPicPr>
                        <pic:blipFill>
                          <a:blip r:embed="rId17"/>
                          <a:stretch>
                            <a:fillRect/>
                          </a:stretch>
                        </pic:blipFill>
                        <pic:spPr>
                          <a:xfrm>
                            <a:off x="0" y="0"/>
                            <a:ext cx="4737735" cy="2424430"/>
                          </a:xfrm>
                          <a:prstGeom prst="rect">
                            <a:avLst/>
                          </a:prstGeom>
                          <a:noFill/>
                          <a:ln w="9525">
                            <a:noFill/>
                          </a:ln>
                        </pic:spPr>
                      </pic:pic>
                    </a:graphicData>
                  </a:graphic>
                </wp:inline>
              </w:drawing>
            </w:r>
          </w:p>
          <w:p>
            <w:pPr>
              <w:keepNext w:val="0"/>
              <w:keepLines/>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b/>
                <w:bCs/>
                <w:color w:val="auto"/>
                <w:szCs w:val="24"/>
                <w:highlight w:val="none"/>
                <w:u w:val="wave"/>
                <w:lang w:eastAsia="zh-CN"/>
              </w:rPr>
            </w:pPr>
            <w:r>
              <w:rPr>
                <w:rFonts w:hint="eastAsia"/>
                <w:b/>
                <w:bCs/>
                <w:color w:val="auto"/>
                <w:szCs w:val="24"/>
                <w:highlight w:val="none"/>
                <w:u w:val="wave"/>
                <w:lang w:eastAsia="zh-CN"/>
              </w:rPr>
              <w:drawing>
                <wp:inline distT="0" distB="0" distL="114300" distR="114300">
                  <wp:extent cx="4438650" cy="2612390"/>
                  <wp:effectExtent l="0" t="0" r="0" b="16510"/>
                  <wp:docPr id="10" name="图片 10" descr="天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天线"/>
                          <pic:cNvPicPr>
                            <a:picLocks noChangeAspect="1"/>
                          </pic:cNvPicPr>
                        </pic:nvPicPr>
                        <pic:blipFill>
                          <a:blip r:embed="rId18"/>
                          <a:srcRect b="8046"/>
                          <a:stretch>
                            <a:fillRect/>
                          </a:stretch>
                        </pic:blipFill>
                        <pic:spPr>
                          <a:xfrm>
                            <a:off x="0" y="0"/>
                            <a:ext cx="4438650" cy="2612390"/>
                          </a:xfrm>
                          <a:prstGeom prst="rect">
                            <a:avLst/>
                          </a:prstGeom>
                        </pic:spPr>
                      </pic:pic>
                    </a:graphicData>
                  </a:graphic>
                </wp:inline>
              </w:drawing>
            </w:r>
          </w:p>
          <w:p>
            <w:pPr>
              <w:keepNext w:val="0"/>
              <w:keepLines/>
              <w:pageBreakBefore w:val="0"/>
              <w:widowControl/>
              <w:kinsoku/>
              <w:wordWrap/>
              <w:overflowPunct/>
              <w:topLinePunct w:val="0"/>
              <w:autoSpaceDE/>
              <w:autoSpaceDN/>
              <w:bidi w:val="0"/>
              <w:adjustRightInd/>
              <w:snapToGrid/>
              <w:spacing w:line="360" w:lineRule="auto"/>
              <w:ind w:left="0" w:leftChars="0" w:right="0" w:rightChars="0" w:firstLine="482" w:firstLineChars="200"/>
              <w:jc w:val="center"/>
              <w:textAlignment w:val="auto"/>
              <w:outlineLvl w:val="9"/>
              <w:rPr>
                <w:rFonts w:hint="eastAsia" w:eastAsia="宋体"/>
                <w:b/>
                <w:bCs/>
                <w:color w:val="auto"/>
                <w:szCs w:val="24"/>
                <w:highlight w:val="none"/>
                <w:u w:val="wave"/>
                <w:lang w:eastAsia="zh-CN"/>
              </w:rPr>
            </w:pPr>
            <w:r>
              <w:rPr>
                <w:rFonts w:hint="eastAsia"/>
                <w:b/>
                <w:bCs/>
                <w:color w:val="auto"/>
                <w:szCs w:val="24"/>
                <w:highlight w:val="none"/>
                <w:u w:val="wave"/>
                <w:lang w:eastAsia="zh-CN"/>
              </w:rPr>
              <w:t>图</w:t>
            </w:r>
            <w:r>
              <w:rPr>
                <w:rFonts w:hint="eastAsia"/>
                <w:b/>
                <w:bCs/>
                <w:color w:val="auto"/>
                <w:szCs w:val="24"/>
                <w:highlight w:val="none"/>
                <w:u w:val="wave"/>
                <w:lang w:val="en-US" w:eastAsia="zh-CN"/>
              </w:rPr>
              <w:t>7-1  天线水平及垂直方向波瓣图</w:t>
            </w:r>
          </w:p>
          <w:p>
            <w:pPr>
              <w:keepNext w:val="0"/>
              <w:keepLines/>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Cs w:val="24"/>
                <w:highlight w:val="none"/>
              </w:rPr>
            </w:pPr>
            <w:r>
              <w:rPr>
                <w:color w:val="auto"/>
                <w:szCs w:val="24"/>
                <w:highlight w:val="none"/>
              </w:rPr>
              <w:t>在天线辐射的方向图中，处于主射方向的方向叶称为主瓣，处于主瓣反方向位置的方向叶称为后瓣，其它方向的方向叶统称为副瓣。主瓣的宽度越窄，说明天线的方向性越好；后瓣和副瓣越小，则天线可能出现的窜扰就越小。天线辐射的水平波束宽度决定了天线辐射的电磁波水平覆盖范围；天线辐射的垂直波束宽度则决定了天线传输距离及纵向覆盖范围。</w:t>
            </w:r>
          </w:p>
          <w:p>
            <w:pPr>
              <w:keepLines/>
              <w:widowControl/>
              <w:ind w:firstLine="480" w:firstLineChars="200"/>
              <w:rPr>
                <w:color w:val="auto"/>
                <w:szCs w:val="24"/>
                <w:highlight w:val="none"/>
              </w:rPr>
            </w:pPr>
            <w:r>
              <w:rPr>
                <w:color w:val="auto"/>
                <w:szCs w:val="24"/>
                <w:highlight w:val="none"/>
              </w:rPr>
              <w:t>（2）电磁环境影响预测</w:t>
            </w:r>
          </w:p>
          <w:p>
            <w:pPr>
              <w:keepLines/>
              <w:widowControl/>
              <w:ind w:firstLine="480" w:firstLineChars="200"/>
              <w:rPr>
                <w:color w:val="auto"/>
                <w:szCs w:val="24"/>
                <w:highlight w:val="none"/>
              </w:rPr>
            </w:pPr>
            <w:r>
              <w:rPr>
                <w:color w:val="auto"/>
                <w:szCs w:val="24"/>
                <w:highlight w:val="none"/>
              </w:rPr>
              <w:t>发射塔电磁辐射环境影响主要以选定发射塔周围的监测结果作为背景值，并采用适当的理论模型进行预测后再进行叠加。</w:t>
            </w:r>
          </w:p>
          <w:p>
            <w:pPr>
              <w:keepLines/>
              <w:widowControl/>
              <w:ind w:firstLine="480" w:firstLineChars="200"/>
              <w:rPr>
                <w:color w:val="auto"/>
                <w:szCs w:val="24"/>
                <w:highlight w:val="none"/>
              </w:rPr>
            </w:pPr>
            <w:r>
              <w:rPr>
                <w:color w:val="auto"/>
                <w:szCs w:val="24"/>
                <w:highlight w:val="none"/>
              </w:rPr>
              <w:t>采用《辐射环境保护管理导则 电磁辐射检测仪器和方法》（HJ/T10.2-1996）中规定模型进行预测。</w:t>
            </w:r>
          </w:p>
          <w:p>
            <w:pPr>
              <w:keepLines/>
              <w:widowControl/>
              <w:ind w:firstLine="482" w:firstLineChars="200"/>
              <w:rPr>
                <w:b/>
                <w:color w:val="auto"/>
                <w:szCs w:val="24"/>
                <w:highlight w:val="none"/>
              </w:rPr>
            </w:pPr>
            <w:r>
              <w:rPr>
                <w:b/>
                <w:color w:val="auto"/>
                <w:szCs w:val="24"/>
                <w:highlight w:val="none"/>
              </w:rPr>
              <w:t>A.近场区和远场区划分：</w:t>
            </w:r>
          </w:p>
          <w:p>
            <w:pPr>
              <w:keepLines/>
              <w:widowControl/>
              <w:ind w:firstLine="480" w:firstLineChars="200"/>
              <w:rPr>
                <w:color w:val="auto"/>
                <w:szCs w:val="24"/>
                <w:highlight w:val="none"/>
              </w:rPr>
            </w:pPr>
            <w:r>
              <w:rPr>
                <w:color w:val="auto"/>
                <w:szCs w:val="24"/>
                <w:highlight w:val="none"/>
              </w:rPr>
              <w:t>电磁辐射源产生的交变电磁场可分为性质不同的两个部分，其中一部分电磁场能量在辐射源周围空间及辐射源之间周期性地来回流动，不向外发射，称为感应场；另一部分电磁场能量脱离辐射体，以电磁波的形式向外发射，称为辐射场。一般情况下，电磁辐射场根据感应场和辐射场的不同而区分为近区场（感应场）和远区场（辐射场），如图</w:t>
            </w:r>
            <w:r>
              <w:rPr>
                <w:rFonts w:hint="eastAsia"/>
                <w:color w:val="auto"/>
                <w:szCs w:val="24"/>
                <w:highlight w:val="none"/>
                <w:lang w:eastAsia="zh-CN"/>
              </w:rPr>
              <w:t>7</w:t>
            </w:r>
            <w:r>
              <w:rPr>
                <w:color w:val="auto"/>
                <w:szCs w:val="24"/>
                <w:highlight w:val="none"/>
              </w:rPr>
              <w:t>-3 所示。</w:t>
            </w:r>
          </w:p>
          <w:p>
            <w:pPr>
              <w:keepLines/>
              <w:widowControl/>
              <w:jc w:val="center"/>
              <w:rPr>
                <w:color w:val="auto"/>
                <w:szCs w:val="24"/>
                <w:highlight w:val="none"/>
              </w:rPr>
            </w:pPr>
            <w:r>
              <w:rPr>
                <w:color w:val="auto"/>
                <w:szCs w:val="24"/>
                <w:highlight w:val="none"/>
              </w:rPr>
              <w:drawing>
                <wp:inline distT="0" distB="0" distL="0" distR="0">
                  <wp:extent cx="4467860" cy="1633855"/>
                  <wp:effectExtent l="0" t="0" r="8890" b="4445"/>
                  <wp:docPr id="1" name="图片 1" descr="C:\Documents and Settings\Administrator\桌面\QQ截图201511060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桌面\QQ截图201511060935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67869" cy="1634400"/>
                          </a:xfrm>
                          <a:prstGeom prst="rect">
                            <a:avLst/>
                          </a:prstGeom>
                          <a:noFill/>
                          <a:ln>
                            <a:noFill/>
                          </a:ln>
                        </pic:spPr>
                      </pic:pic>
                    </a:graphicData>
                  </a:graphic>
                </wp:inline>
              </w:drawing>
            </w:r>
          </w:p>
          <w:p>
            <w:pPr>
              <w:keepLines/>
              <w:widowControl/>
              <w:jc w:val="center"/>
              <w:rPr>
                <w:b/>
                <w:color w:val="auto"/>
                <w:szCs w:val="24"/>
                <w:highlight w:val="none"/>
              </w:rPr>
            </w:pPr>
            <w:r>
              <w:rPr>
                <w:b/>
                <w:color w:val="auto"/>
                <w:szCs w:val="24"/>
                <w:highlight w:val="none"/>
              </w:rPr>
              <w:t>图</w:t>
            </w:r>
            <w:r>
              <w:rPr>
                <w:rFonts w:hint="eastAsia"/>
                <w:b/>
                <w:color w:val="auto"/>
                <w:szCs w:val="24"/>
                <w:highlight w:val="none"/>
                <w:lang w:eastAsia="zh-CN"/>
              </w:rPr>
              <w:t>7</w:t>
            </w:r>
            <w:r>
              <w:rPr>
                <w:b/>
                <w:color w:val="auto"/>
                <w:szCs w:val="24"/>
                <w:highlight w:val="none"/>
              </w:rPr>
              <w:t>-</w:t>
            </w:r>
            <w:r>
              <w:rPr>
                <w:rFonts w:hint="eastAsia"/>
                <w:b/>
                <w:color w:val="auto"/>
                <w:szCs w:val="24"/>
                <w:highlight w:val="none"/>
                <w:lang w:val="en-US" w:eastAsia="zh-CN"/>
              </w:rPr>
              <w:t>2</w:t>
            </w:r>
            <w:r>
              <w:rPr>
                <w:b/>
                <w:color w:val="auto"/>
                <w:szCs w:val="24"/>
                <w:highlight w:val="none"/>
              </w:rPr>
              <w:t xml:space="preserve"> 电磁辐射场区分布示意图</w:t>
            </w:r>
          </w:p>
          <w:p>
            <w:pPr>
              <w:rPr>
                <w:color w:val="auto"/>
                <w:highlight w:val="none"/>
              </w:rPr>
            </w:pPr>
            <w:r>
              <w:rPr>
                <w:color w:val="auto"/>
                <w:highlight w:val="none"/>
              </w:rPr>
              <w:t xml:space="preserve">    </w:t>
            </w:r>
            <w:r>
              <w:rPr>
                <w:color w:val="auto"/>
                <w:kern w:val="0"/>
                <w:szCs w:val="24"/>
                <w:highlight w:val="none"/>
              </w:rPr>
              <w:t>以离辐射源 2</w:t>
            </w:r>
            <w:r>
              <w:rPr>
                <w:i/>
                <w:iCs/>
                <w:color w:val="auto"/>
                <w:kern w:val="0"/>
                <w:szCs w:val="24"/>
                <w:highlight w:val="none"/>
              </w:rPr>
              <w:t>D</w:t>
            </w:r>
            <w:r>
              <w:rPr>
                <w:color w:val="auto"/>
                <w:kern w:val="0"/>
                <w:szCs w:val="24"/>
                <w:highlight w:val="none"/>
                <w:vertAlign w:val="superscript"/>
              </w:rPr>
              <w:t>2</w:t>
            </w:r>
            <w:r>
              <w:rPr>
                <w:color w:val="auto"/>
                <w:kern w:val="0"/>
                <w:szCs w:val="24"/>
                <w:highlight w:val="none"/>
              </w:rPr>
              <w:t>/</w:t>
            </w:r>
            <w:r>
              <w:rPr>
                <w:i/>
                <w:iCs/>
                <w:color w:val="auto"/>
                <w:kern w:val="0"/>
                <w:szCs w:val="24"/>
                <w:highlight w:val="none"/>
              </w:rPr>
              <w:t xml:space="preserve">λ </w:t>
            </w:r>
            <w:r>
              <w:rPr>
                <w:color w:val="auto"/>
                <w:kern w:val="0"/>
                <w:szCs w:val="24"/>
                <w:highlight w:val="none"/>
              </w:rPr>
              <w:t>的距离作为近、远场区的分界，其计算如下：</w:t>
            </w:r>
          </w:p>
          <w:p>
            <w:pPr>
              <w:ind w:firstLine="2640" w:firstLineChars="1100"/>
              <w:rPr>
                <w:color w:val="auto"/>
                <w:highlight w:val="none"/>
              </w:rPr>
            </w:pPr>
            <w:r>
              <w:rPr>
                <w:color w:val="auto"/>
                <w:highlight w:val="none"/>
              </w:rPr>
              <w:t>r=2D</w:t>
            </w:r>
            <w:r>
              <w:rPr>
                <w:color w:val="auto"/>
                <w:highlight w:val="none"/>
                <w:vertAlign w:val="superscript"/>
              </w:rPr>
              <w:t>2</w:t>
            </w:r>
            <w:r>
              <w:rPr>
                <w:color w:val="auto"/>
                <w:highlight w:val="none"/>
              </w:rPr>
              <w:t>/λ                          （</w:t>
            </w:r>
            <w:r>
              <w:rPr>
                <w:rFonts w:hint="eastAsia"/>
                <w:color w:val="auto"/>
                <w:highlight w:val="none"/>
                <w:lang w:val="en-US" w:eastAsia="zh-CN"/>
              </w:rPr>
              <w:t>7</w:t>
            </w:r>
            <w:r>
              <w:rPr>
                <w:color w:val="auto"/>
                <w:highlight w:val="none"/>
              </w:rPr>
              <w:t>-1）</w:t>
            </w:r>
          </w:p>
          <w:p>
            <w:pPr>
              <w:ind w:firstLine="480" w:firstLineChars="200"/>
              <w:rPr>
                <w:color w:val="auto"/>
                <w:highlight w:val="none"/>
              </w:rPr>
            </w:pPr>
            <w:r>
              <w:rPr>
                <w:color w:val="auto"/>
                <w:highlight w:val="none"/>
              </w:rPr>
              <w:t>式中：r—近、远场区分界距离，m；</w:t>
            </w:r>
          </w:p>
          <w:p>
            <w:pPr>
              <w:ind w:firstLine="1200" w:firstLineChars="500"/>
              <w:rPr>
                <w:color w:val="auto"/>
                <w:highlight w:val="none"/>
              </w:rPr>
            </w:pPr>
            <w:r>
              <w:rPr>
                <w:color w:val="auto"/>
                <w:highlight w:val="none"/>
              </w:rPr>
              <w:t>D--天线的长边尺寸，m；</w:t>
            </w:r>
          </w:p>
          <w:p>
            <w:pPr>
              <w:ind w:firstLine="480" w:firstLineChars="200"/>
              <w:rPr>
                <w:color w:val="auto"/>
                <w:highlight w:val="none"/>
              </w:rPr>
            </w:pPr>
            <w:r>
              <w:rPr>
                <w:color w:val="auto"/>
                <w:highlight w:val="none"/>
              </w:rPr>
              <w:t xml:space="preserve">      λ--波长，m。</w:t>
            </w:r>
          </w:p>
          <w:p>
            <w:pPr>
              <w:keepLines/>
              <w:widowControl/>
              <w:ind w:firstLine="480" w:firstLineChars="200"/>
              <w:rPr>
                <w:color w:val="auto"/>
                <w:kern w:val="0"/>
                <w:szCs w:val="24"/>
                <w:highlight w:val="none"/>
              </w:rPr>
            </w:pPr>
            <w:r>
              <w:rPr>
                <w:color w:val="auto"/>
                <w:kern w:val="0"/>
                <w:szCs w:val="24"/>
                <w:highlight w:val="none"/>
              </w:rPr>
              <w:t>本项目所用的天线及近、远场区分界距离计算结果如表</w:t>
            </w:r>
            <w:r>
              <w:rPr>
                <w:rFonts w:hint="eastAsia"/>
                <w:color w:val="auto"/>
                <w:kern w:val="0"/>
                <w:szCs w:val="24"/>
                <w:highlight w:val="none"/>
                <w:lang w:eastAsia="zh-CN"/>
              </w:rPr>
              <w:t>7</w:t>
            </w:r>
            <w:r>
              <w:rPr>
                <w:color w:val="auto"/>
                <w:kern w:val="0"/>
                <w:szCs w:val="24"/>
                <w:highlight w:val="none"/>
              </w:rPr>
              <w:t>-1 所示。</w:t>
            </w:r>
          </w:p>
          <w:p>
            <w:pPr>
              <w:keepLines/>
              <w:widowControl/>
              <w:jc w:val="center"/>
              <w:rPr>
                <w:b/>
                <w:color w:val="auto"/>
                <w:kern w:val="0"/>
                <w:szCs w:val="24"/>
                <w:highlight w:val="none"/>
              </w:rPr>
            </w:pPr>
            <w:r>
              <w:rPr>
                <w:b/>
                <w:color w:val="auto"/>
                <w:kern w:val="0"/>
                <w:szCs w:val="24"/>
                <w:highlight w:val="none"/>
              </w:rPr>
              <w:t>表</w:t>
            </w:r>
            <w:r>
              <w:rPr>
                <w:rFonts w:hint="eastAsia"/>
                <w:b/>
                <w:color w:val="auto"/>
                <w:kern w:val="0"/>
                <w:szCs w:val="24"/>
                <w:highlight w:val="none"/>
                <w:lang w:eastAsia="zh-CN"/>
              </w:rPr>
              <w:t>7</w:t>
            </w:r>
            <w:r>
              <w:rPr>
                <w:b/>
                <w:color w:val="auto"/>
                <w:kern w:val="0"/>
                <w:szCs w:val="24"/>
                <w:highlight w:val="none"/>
              </w:rPr>
              <w:t>-1 近、远场区分界距离</w:t>
            </w:r>
          </w:p>
          <w:tbl>
            <w:tblPr>
              <w:tblStyle w:val="36"/>
              <w:tblW w:w="87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817"/>
              <w:gridCol w:w="1678"/>
              <w:gridCol w:w="1400"/>
              <w:gridCol w:w="2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104" w:type="dxa"/>
                  <w:tcBorders>
                    <w:tl2br w:val="nil"/>
                    <w:tr2bl w:val="nil"/>
                  </w:tcBorders>
                </w:tcPr>
                <w:p>
                  <w:pPr>
                    <w:spacing w:line="240" w:lineRule="auto"/>
                    <w:jc w:val="center"/>
                    <w:rPr>
                      <w:color w:val="auto"/>
                      <w:sz w:val="21"/>
                      <w:szCs w:val="21"/>
                      <w:highlight w:val="none"/>
                    </w:rPr>
                  </w:pPr>
                  <w:r>
                    <w:rPr>
                      <w:color w:val="auto"/>
                      <w:sz w:val="21"/>
                      <w:szCs w:val="21"/>
                      <w:highlight w:val="none"/>
                    </w:rPr>
                    <w:t>天线编号</w:t>
                  </w:r>
                </w:p>
              </w:tc>
              <w:tc>
                <w:tcPr>
                  <w:tcW w:w="1817" w:type="dxa"/>
                  <w:tcBorders>
                    <w:tl2br w:val="nil"/>
                    <w:tr2bl w:val="nil"/>
                  </w:tcBorders>
                </w:tcPr>
                <w:p>
                  <w:pPr>
                    <w:spacing w:line="240" w:lineRule="auto"/>
                    <w:jc w:val="center"/>
                    <w:rPr>
                      <w:color w:val="auto"/>
                      <w:sz w:val="21"/>
                      <w:szCs w:val="21"/>
                      <w:highlight w:val="none"/>
                    </w:rPr>
                  </w:pPr>
                  <w:r>
                    <w:rPr>
                      <w:color w:val="auto"/>
                      <w:sz w:val="21"/>
                      <w:szCs w:val="21"/>
                      <w:highlight w:val="none"/>
                    </w:rPr>
                    <w:t>发射频率（MHz）</w:t>
                  </w:r>
                </w:p>
              </w:tc>
              <w:tc>
                <w:tcPr>
                  <w:tcW w:w="1678" w:type="dxa"/>
                  <w:tcBorders>
                    <w:tl2br w:val="nil"/>
                    <w:tr2bl w:val="nil"/>
                  </w:tcBorders>
                </w:tcPr>
                <w:p>
                  <w:pPr>
                    <w:spacing w:line="240" w:lineRule="auto"/>
                    <w:jc w:val="center"/>
                    <w:rPr>
                      <w:color w:val="auto"/>
                      <w:sz w:val="21"/>
                      <w:szCs w:val="21"/>
                      <w:highlight w:val="none"/>
                    </w:rPr>
                  </w:pPr>
                  <w:r>
                    <w:rPr>
                      <w:rFonts w:hint="eastAsia"/>
                      <w:color w:val="auto"/>
                      <w:sz w:val="21"/>
                      <w:szCs w:val="21"/>
                      <w:highlight w:val="none"/>
                      <w:lang w:eastAsia="zh-CN"/>
                    </w:rPr>
                    <w:t>长边</w:t>
                  </w:r>
                  <w:r>
                    <w:rPr>
                      <w:color w:val="auto"/>
                      <w:sz w:val="21"/>
                      <w:szCs w:val="21"/>
                      <w:highlight w:val="none"/>
                    </w:rPr>
                    <w:t>尺寸（m）</w:t>
                  </w:r>
                </w:p>
              </w:tc>
              <w:tc>
                <w:tcPr>
                  <w:tcW w:w="1400" w:type="dxa"/>
                  <w:tcBorders>
                    <w:tl2br w:val="nil"/>
                    <w:tr2bl w:val="nil"/>
                  </w:tcBorders>
                </w:tcPr>
                <w:p>
                  <w:pPr>
                    <w:spacing w:line="240" w:lineRule="auto"/>
                    <w:jc w:val="center"/>
                    <w:rPr>
                      <w:color w:val="auto"/>
                      <w:sz w:val="21"/>
                      <w:szCs w:val="21"/>
                      <w:highlight w:val="none"/>
                    </w:rPr>
                  </w:pPr>
                  <w:r>
                    <w:rPr>
                      <w:color w:val="auto"/>
                      <w:sz w:val="21"/>
                      <w:szCs w:val="21"/>
                      <w:highlight w:val="none"/>
                    </w:rPr>
                    <w:t>波长（m）</w:t>
                  </w:r>
                </w:p>
              </w:tc>
              <w:tc>
                <w:tcPr>
                  <w:tcW w:w="2721" w:type="dxa"/>
                  <w:tcBorders>
                    <w:tl2br w:val="nil"/>
                    <w:tr2bl w:val="nil"/>
                  </w:tcBorders>
                </w:tcPr>
                <w:p>
                  <w:pPr>
                    <w:spacing w:line="240" w:lineRule="auto"/>
                    <w:jc w:val="center"/>
                    <w:rPr>
                      <w:color w:val="auto"/>
                      <w:sz w:val="21"/>
                      <w:szCs w:val="21"/>
                      <w:highlight w:val="none"/>
                    </w:rPr>
                  </w:pPr>
                  <w:r>
                    <w:rPr>
                      <w:color w:val="auto"/>
                      <w:sz w:val="21"/>
                      <w:szCs w:val="21"/>
                      <w:highlight w:val="none"/>
                    </w:rPr>
                    <w:t>近、远场区分界距离（m）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04" w:type="dxa"/>
                  <w:tcBorders>
                    <w:tl2br w:val="nil"/>
                    <w:tr2bl w:val="nil"/>
                  </w:tcBorders>
                </w:tcPr>
                <w:p>
                  <w:pPr>
                    <w:spacing w:line="240" w:lineRule="auto"/>
                    <w:jc w:val="center"/>
                    <w:rPr>
                      <w:color w:val="auto"/>
                      <w:sz w:val="21"/>
                      <w:szCs w:val="21"/>
                      <w:highlight w:val="none"/>
                    </w:rPr>
                  </w:pPr>
                  <w:r>
                    <w:rPr>
                      <w:color w:val="auto"/>
                      <w:sz w:val="21"/>
                      <w:szCs w:val="21"/>
                      <w:highlight w:val="none"/>
                    </w:rPr>
                    <w:t>1</w:t>
                  </w:r>
                </w:p>
              </w:tc>
              <w:tc>
                <w:tcPr>
                  <w:tcW w:w="1817" w:type="dxa"/>
                  <w:tcBorders>
                    <w:tl2br w:val="nil"/>
                    <w:tr2bl w:val="nil"/>
                  </w:tcBorders>
                </w:tcPr>
                <w:p>
                  <w:pPr>
                    <w:spacing w:line="240" w:lineRule="auto"/>
                    <w:jc w:val="center"/>
                    <w:rPr>
                      <w:color w:val="auto"/>
                      <w:sz w:val="21"/>
                      <w:szCs w:val="21"/>
                      <w:highlight w:val="none"/>
                    </w:rPr>
                  </w:pPr>
                  <w:r>
                    <w:rPr>
                      <w:rFonts w:hint="eastAsia"/>
                      <w:color w:val="auto"/>
                      <w:sz w:val="21"/>
                      <w:szCs w:val="21"/>
                      <w:highlight w:val="none"/>
                      <w:lang w:val="en-US" w:eastAsia="zh-CN"/>
                    </w:rPr>
                    <w:t>106.8</w:t>
                  </w:r>
                </w:p>
              </w:tc>
              <w:tc>
                <w:tcPr>
                  <w:tcW w:w="1678" w:type="dxa"/>
                  <w:tcBorders>
                    <w:tl2br w:val="nil"/>
                    <w:tr2bl w:val="nil"/>
                  </w:tcBorders>
                </w:tcPr>
                <w:p>
                  <w:pPr>
                    <w:spacing w:line="240" w:lineRule="auto"/>
                    <w:jc w:val="center"/>
                    <w:rPr>
                      <w:rFonts w:hint="eastAsia" w:eastAsia="宋体"/>
                      <w:color w:val="auto"/>
                      <w:sz w:val="21"/>
                      <w:szCs w:val="21"/>
                      <w:highlight w:val="none"/>
                      <w:lang w:eastAsia="zh-CN"/>
                    </w:rPr>
                  </w:pPr>
                  <w:r>
                    <w:rPr>
                      <w:rFonts w:hint="eastAsia"/>
                      <w:sz w:val="21"/>
                      <w:szCs w:val="21"/>
                      <w:highlight w:val="none"/>
                      <w:lang w:val="en-US" w:eastAsia="zh-CN"/>
                    </w:rPr>
                    <w:t>1.8</w:t>
                  </w:r>
                </w:p>
              </w:tc>
              <w:tc>
                <w:tcPr>
                  <w:tcW w:w="1400" w:type="dxa"/>
                  <w:tcBorders>
                    <w:tl2br w:val="nil"/>
                    <w:tr2bl w:val="nil"/>
                  </w:tcBorders>
                </w:tcPr>
                <w:p>
                  <w:pP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2.8</w:t>
                  </w:r>
                </w:p>
              </w:tc>
              <w:tc>
                <w:tcPr>
                  <w:tcW w:w="2721" w:type="dxa"/>
                  <w:tcBorders>
                    <w:tl2br w:val="nil"/>
                    <w:tr2bl w:val="nil"/>
                  </w:tcBorders>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2.3</w:t>
                  </w:r>
                </w:p>
              </w:tc>
            </w:tr>
          </w:tbl>
          <w:p>
            <w:pPr>
              <w:keepLines/>
              <w:widowControl/>
              <w:ind w:firstLine="480" w:firstLineChars="200"/>
              <w:rPr>
                <w:color w:val="auto"/>
                <w:szCs w:val="24"/>
                <w:highlight w:val="none"/>
              </w:rPr>
            </w:pPr>
            <w:r>
              <w:rPr>
                <w:color w:val="auto"/>
                <w:szCs w:val="24"/>
                <w:highlight w:val="none"/>
              </w:rPr>
              <w:t xml:space="preserve">如表 </w:t>
            </w:r>
            <w:r>
              <w:rPr>
                <w:rFonts w:hint="eastAsia"/>
                <w:color w:val="auto"/>
                <w:szCs w:val="24"/>
                <w:highlight w:val="none"/>
                <w:lang w:eastAsia="zh-CN"/>
              </w:rPr>
              <w:t>7</w:t>
            </w:r>
            <w:r>
              <w:rPr>
                <w:color w:val="auto"/>
                <w:szCs w:val="24"/>
                <w:highlight w:val="none"/>
              </w:rPr>
              <w:t>-</w:t>
            </w:r>
            <w:r>
              <w:rPr>
                <w:rFonts w:hint="eastAsia"/>
                <w:color w:val="auto"/>
                <w:szCs w:val="24"/>
                <w:highlight w:val="none"/>
                <w:lang w:val="en-US" w:eastAsia="zh-CN"/>
              </w:rPr>
              <w:t>1</w:t>
            </w:r>
            <w:r>
              <w:rPr>
                <w:color w:val="auto"/>
                <w:szCs w:val="24"/>
                <w:highlight w:val="none"/>
              </w:rPr>
              <w:t xml:space="preserve"> 的计算结果可得近、远场区分界距离取</w:t>
            </w:r>
            <w:r>
              <w:rPr>
                <w:rFonts w:hint="eastAsia"/>
                <w:color w:val="auto"/>
                <w:szCs w:val="24"/>
                <w:highlight w:val="none"/>
                <w:lang w:val="en-US" w:eastAsia="zh-CN"/>
              </w:rPr>
              <w:t>2.3</w:t>
            </w:r>
            <w:r>
              <w:rPr>
                <w:color w:val="auto"/>
                <w:szCs w:val="24"/>
                <w:highlight w:val="none"/>
              </w:rPr>
              <w:t>m。</w:t>
            </w:r>
          </w:p>
          <w:p>
            <w:pPr>
              <w:keepLines/>
              <w:widowControl/>
              <w:ind w:firstLine="480" w:firstLineChars="200"/>
              <w:rPr>
                <w:color w:val="auto"/>
                <w:szCs w:val="24"/>
                <w:highlight w:val="none"/>
              </w:rPr>
            </w:pPr>
            <w:r>
              <w:rPr>
                <w:color w:val="auto"/>
                <w:szCs w:val="24"/>
                <w:highlight w:val="none"/>
              </w:rPr>
              <w:t>近区场通常指物理的区域，通常具有如下特点：</w:t>
            </w:r>
          </w:p>
          <w:p>
            <w:pPr>
              <w:keepLines/>
              <w:widowControl/>
              <w:ind w:firstLine="480" w:firstLineChars="200"/>
              <w:rPr>
                <w:color w:val="auto"/>
                <w:szCs w:val="24"/>
                <w:highlight w:val="none"/>
              </w:rPr>
            </w:pPr>
            <w:r>
              <w:rPr>
                <w:rFonts w:hint="eastAsia" w:ascii="宋体" w:hAnsi="宋体" w:cs="宋体"/>
                <w:color w:val="auto"/>
                <w:szCs w:val="24"/>
                <w:highlight w:val="none"/>
              </w:rPr>
              <w:t>①</w:t>
            </w:r>
            <w:r>
              <w:rPr>
                <w:color w:val="auto"/>
                <w:szCs w:val="24"/>
                <w:highlight w:val="none"/>
              </w:rPr>
              <w:t>在近区场（感应场区），电场强度E 与等效平面波功率密度S 的大小没有确定的比例关系，即：E</w:t>
            </w:r>
            <w:r>
              <w:rPr>
                <w:color w:val="auto"/>
                <w:szCs w:val="24"/>
                <w:highlight w:val="none"/>
                <w:vertAlign w:val="superscript"/>
              </w:rPr>
              <w:t>2</w:t>
            </w:r>
            <w:r>
              <w:rPr>
                <w:color w:val="auto"/>
                <w:szCs w:val="24"/>
                <w:highlight w:val="none"/>
              </w:rPr>
              <w:t>≠377 S（E：V/m，S：W/m</w:t>
            </w:r>
            <w:r>
              <w:rPr>
                <w:color w:val="auto"/>
                <w:szCs w:val="24"/>
                <w:highlight w:val="none"/>
                <w:vertAlign w:val="superscript"/>
              </w:rPr>
              <w:t>2</w:t>
            </w:r>
            <w:r>
              <w:rPr>
                <w:color w:val="auto"/>
                <w:szCs w:val="24"/>
                <w:highlight w:val="none"/>
              </w:rPr>
              <w:t>）；</w:t>
            </w:r>
          </w:p>
          <w:p>
            <w:pPr>
              <w:keepLines/>
              <w:widowControl/>
              <w:ind w:firstLine="480" w:firstLineChars="200"/>
              <w:rPr>
                <w:color w:val="auto"/>
                <w:szCs w:val="24"/>
                <w:highlight w:val="none"/>
              </w:rPr>
            </w:pPr>
            <w:r>
              <w:rPr>
                <w:rFonts w:hint="eastAsia" w:ascii="宋体" w:hAnsi="宋体" w:cs="宋体"/>
                <w:color w:val="auto"/>
                <w:szCs w:val="24"/>
                <w:highlight w:val="none"/>
              </w:rPr>
              <w:t>②</w:t>
            </w:r>
            <w:r>
              <w:rPr>
                <w:color w:val="auto"/>
                <w:szCs w:val="24"/>
                <w:highlight w:val="none"/>
              </w:rPr>
              <w:t>近区场电磁场强度要比远区场电磁场强度随距离衰减的快，在此空间内的不均匀度较大</w:t>
            </w:r>
            <w:r>
              <w:rPr>
                <w:rFonts w:hint="eastAsia"/>
                <w:color w:val="auto"/>
                <w:szCs w:val="24"/>
                <w:highlight w:val="none"/>
                <w:lang w:eastAsia="zh-CN"/>
              </w:rPr>
              <w:t>；且近场区电磁场传不出去；</w:t>
            </w:r>
          </w:p>
          <w:p>
            <w:pPr>
              <w:keepLines/>
              <w:widowControl/>
              <w:ind w:firstLine="480" w:firstLineChars="200"/>
              <w:rPr>
                <w:color w:val="auto"/>
                <w:szCs w:val="24"/>
                <w:highlight w:val="none"/>
              </w:rPr>
            </w:pPr>
            <w:r>
              <w:rPr>
                <w:rFonts w:hint="eastAsia" w:ascii="宋体" w:hAnsi="宋体" w:cs="宋体"/>
                <w:color w:val="auto"/>
                <w:szCs w:val="24"/>
                <w:highlight w:val="none"/>
              </w:rPr>
              <w:t>③</w:t>
            </w:r>
            <w:r>
              <w:rPr>
                <w:color w:val="auto"/>
                <w:szCs w:val="24"/>
                <w:highlight w:val="none"/>
              </w:rPr>
              <w:t>近区场不能脱离场源单独存在。</w:t>
            </w:r>
          </w:p>
          <w:p>
            <w:pPr>
              <w:keepLines/>
              <w:widowControl/>
              <w:ind w:firstLine="480" w:firstLineChars="200"/>
              <w:rPr>
                <w:color w:val="auto"/>
                <w:szCs w:val="24"/>
                <w:highlight w:val="none"/>
              </w:rPr>
            </w:pPr>
            <w:r>
              <w:rPr>
                <w:color w:val="auto"/>
                <w:szCs w:val="24"/>
                <w:highlight w:val="none"/>
              </w:rPr>
              <w:t>由于天线近区场各点发射的电磁波在此区间形成干涉，目前尚无普遍接受或者标准规定的计算模型，在天线近区内电磁辐射情况非常复杂，很难准确的分析计算出天线的辐射分布情况。本环评仅给出近区场的划分，若敏感点位于近区场范围内，则根据天线功率密度三维图进行达标性分析。根据现场调查，近区场范围内没有敏感点。</w:t>
            </w:r>
          </w:p>
          <w:p>
            <w:pPr>
              <w:keepLines/>
              <w:widowControl/>
              <w:ind w:firstLine="482" w:firstLineChars="200"/>
              <w:rPr>
                <w:b/>
                <w:color w:val="auto"/>
                <w:szCs w:val="24"/>
                <w:highlight w:val="none"/>
              </w:rPr>
            </w:pPr>
            <w:r>
              <w:rPr>
                <w:b/>
                <w:color w:val="auto"/>
                <w:szCs w:val="24"/>
                <w:highlight w:val="none"/>
              </w:rPr>
              <w:t>B.远场区预测模型：</w:t>
            </w:r>
          </w:p>
          <w:p>
            <w:pPr>
              <w:keepLines/>
              <w:widowControl/>
              <w:ind w:firstLine="480" w:firstLineChars="200"/>
              <w:rPr>
                <w:szCs w:val="24"/>
                <w:highlight w:val="none"/>
              </w:rPr>
            </w:pPr>
            <w:r>
              <w:rPr>
                <w:szCs w:val="24"/>
                <w:highlight w:val="none"/>
              </w:rPr>
              <w:t>远区场电场强度E与功率密度S 的大小有确定的比例关系，即：E</w:t>
            </w:r>
            <w:r>
              <w:rPr>
                <w:szCs w:val="24"/>
                <w:highlight w:val="none"/>
                <w:vertAlign w:val="superscript"/>
              </w:rPr>
              <w:t>2</w:t>
            </w:r>
            <w:r>
              <w:rPr>
                <w:szCs w:val="24"/>
                <w:highlight w:val="none"/>
              </w:rPr>
              <w:t>=377S。</w:t>
            </w:r>
          </w:p>
          <w:p>
            <w:pPr>
              <w:keepLines/>
              <w:widowControl/>
              <w:ind w:firstLine="464" w:firstLineChars="200"/>
              <w:rPr>
                <w:spacing w:val="-4"/>
                <w:szCs w:val="24"/>
              </w:rPr>
            </w:pPr>
            <w:r>
              <w:rPr>
                <w:spacing w:val="-4"/>
                <w:szCs w:val="24"/>
                <w:highlight w:val="none"/>
              </w:rPr>
              <w:t>根据《辐射环</w:t>
            </w:r>
            <w:r>
              <w:rPr>
                <w:spacing w:val="-4"/>
                <w:szCs w:val="24"/>
              </w:rPr>
              <w:t>境保护管理导则电磁辐射监测仪器和方法》HJ/T10.2-1996 中第 4.3 条列出的超短波频段（电视、调频，频率范围30MHz ~300MHz）规定的模型对发射塔中超短波部分进行预测。公式如下：</w:t>
            </w:r>
          </w:p>
          <w:p>
            <w:pPr>
              <w:keepLines/>
              <w:widowControl/>
              <w:jc w:val="center"/>
              <w:rPr>
                <w:spacing w:val="-4"/>
                <w:szCs w:val="24"/>
              </w:rPr>
            </w:pPr>
            <w:bookmarkStart w:id="8" w:name="OLE_LINK2"/>
            <w:bookmarkEnd w:id="8"/>
            <w:r>
              <w:rPr>
                <w:spacing w:val="-4"/>
                <w:szCs w:val="24"/>
              </w:rPr>
              <w:drawing>
                <wp:inline distT="0" distB="0" distL="0" distR="0">
                  <wp:extent cx="1257300" cy="438150"/>
                  <wp:effectExtent l="0" t="0" r="0" b="0"/>
                  <wp:docPr id="9" name="图片 9" descr="wps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ps248"/>
                          <pic:cNvPicPr>
                            <a:picLocks noChangeAspect="1" noChangeArrowheads="1"/>
                          </pic:cNvPicPr>
                        </pic:nvPicPr>
                        <pic:blipFill>
                          <a:blip r:embed="rId20"/>
                          <a:srcRect/>
                          <a:stretch>
                            <a:fillRect/>
                          </a:stretch>
                        </pic:blipFill>
                        <pic:spPr>
                          <a:xfrm>
                            <a:off x="0" y="0"/>
                            <a:ext cx="1257300" cy="438150"/>
                          </a:xfrm>
                          <a:prstGeom prst="rect">
                            <a:avLst/>
                          </a:prstGeom>
                          <a:noFill/>
                          <a:ln w="9525">
                            <a:noFill/>
                            <a:miter lim="800000"/>
                            <a:headEnd/>
                            <a:tailEnd/>
                          </a:ln>
                        </pic:spPr>
                      </pic:pic>
                    </a:graphicData>
                  </a:graphic>
                </wp:inline>
              </w:drawing>
            </w:r>
            <w:r>
              <w:rPr>
                <w:rFonts w:hint="eastAsia"/>
                <w:spacing w:val="-4"/>
                <w:szCs w:val="24"/>
                <w:lang w:val="en-US" w:eastAsia="zh-CN"/>
              </w:rPr>
              <w:t xml:space="preserve">               </w:t>
            </w:r>
            <w:r>
              <w:rPr>
                <w:spacing w:val="-4"/>
                <w:szCs w:val="24"/>
              </w:rPr>
              <w:t>(</w:t>
            </w:r>
            <w:r>
              <w:rPr>
                <w:rFonts w:hint="eastAsia"/>
                <w:spacing w:val="-4"/>
                <w:szCs w:val="24"/>
                <w:lang w:val="en-US" w:eastAsia="zh-CN"/>
              </w:rPr>
              <w:t>7</w:t>
            </w:r>
            <w:r>
              <w:rPr>
                <w:spacing w:val="-4"/>
                <w:szCs w:val="24"/>
              </w:rPr>
              <w:t>-</w:t>
            </w:r>
            <w:r>
              <w:rPr>
                <w:rFonts w:hint="eastAsia"/>
                <w:spacing w:val="-4"/>
                <w:szCs w:val="24"/>
                <w:lang w:val="en-US" w:eastAsia="zh-CN"/>
              </w:rPr>
              <w:t>2</w:t>
            </w:r>
            <w:r>
              <w:rPr>
                <w:spacing w:val="-4"/>
                <w:szCs w:val="24"/>
              </w:rPr>
              <w:t>)</w:t>
            </w:r>
          </w:p>
          <w:p>
            <w:pPr>
              <w:keepLines/>
              <w:widowControl/>
              <w:ind w:firstLine="464" w:firstLineChars="200"/>
              <w:rPr>
                <w:spacing w:val="-4"/>
                <w:szCs w:val="24"/>
              </w:rPr>
            </w:pPr>
            <w:r>
              <w:rPr>
                <w:spacing w:val="-4"/>
                <w:szCs w:val="24"/>
              </w:rPr>
              <w:t>式中：E——电场强度，mV/m；</w:t>
            </w:r>
          </w:p>
          <w:p>
            <w:pPr>
              <w:keepLines/>
              <w:widowControl/>
              <w:ind w:firstLine="1160" w:firstLineChars="500"/>
              <w:rPr>
                <w:spacing w:val="-4"/>
                <w:szCs w:val="24"/>
              </w:rPr>
            </w:pPr>
            <w:r>
              <w:rPr>
                <w:spacing w:val="-4"/>
                <w:szCs w:val="24"/>
              </w:rPr>
              <w:t>P——发射机标称功率，kW；</w:t>
            </w:r>
          </w:p>
          <w:p>
            <w:pPr>
              <w:keepLines/>
              <w:widowControl/>
              <w:ind w:firstLine="1160" w:firstLineChars="500"/>
              <w:rPr>
                <w:spacing w:val="-4"/>
                <w:szCs w:val="24"/>
              </w:rPr>
            </w:pPr>
            <w:r>
              <w:rPr>
                <w:spacing w:val="-4"/>
                <w:szCs w:val="24"/>
              </w:rPr>
              <w:t>G——</w:t>
            </w:r>
            <w:r>
              <w:rPr>
                <w:szCs w:val="24"/>
              </w:rPr>
              <w:t xml:space="preserve">相对于半波偶极子（G </w:t>
            </w:r>
            <w:r>
              <w:rPr>
                <w:szCs w:val="24"/>
                <w:vertAlign w:val="subscript"/>
              </w:rPr>
              <w:t>0.5λ</w:t>
            </w:r>
            <w:r>
              <w:rPr>
                <w:szCs w:val="24"/>
              </w:rPr>
              <w:t xml:space="preserve"> =1.64）天线增益（倍数）</w:t>
            </w:r>
            <w:r>
              <w:rPr>
                <w:spacing w:val="-4"/>
                <w:szCs w:val="24"/>
              </w:rPr>
              <w:t>；</w:t>
            </w:r>
          </w:p>
          <w:p>
            <w:pPr>
              <w:keepLines/>
              <w:widowControl/>
              <w:ind w:firstLine="1160" w:firstLineChars="500"/>
              <w:rPr>
                <w:spacing w:val="-4"/>
                <w:szCs w:val="24"/>
              </w:rPr>
            </w:pPr>
            <w:r>
              <w:rPr>
                <w:spacing w:val="-4"/>
                <w:szCs w:val="24"/>
              </w:rPr>
              <w:t>r——测量位置与天线的水平距离，km；</w:t>
            </w:r>
          </w:p>
          <w:p>
            <w:pPr>
              <w:keepLines/>
              <w:widowControl/>
              <w:ind w:firstLine="1160" w:firstLineChars="500"/>
              <w:rPr>
                <w:spacing w:val="-4"/>
                <w:szCs w:val="24"/>
              </w:rPr>
            </w:pPr>
            <w:r>
              <w:rPr>
                <w:spacing w:val="-4"/>
                <w:szCs w:val="24"/>
              </w:rPr>
              <w:t>F(θ)——天线垂直面方向性函数</w:t>
            </w:r>
            <w:r>
              <w:rPr>
                <w:szCs w:val="24"/>
              </w:rPr>
              <w:t>（视天线型式和层数而异）</w:t>
            </w:r>
            <w:r>
              <w:rPr>
                <w:spacing w:val="-4"/>
                <w:szCs w:val="24"/>
              </w:rPr>
              <w:t>。</w:t>
            </w:r>
          </w:p>
          <w:p>
            <w:pPr>
              <w:keepLines/>
              <w:widowControl/>
              <w:ind w:firstLine="450"/>
              <w:rPr>
                <w:spacing w:val="-4"/>
                <w:szCs w:val="24"/>
              </w:rPr>
            </w:pPr>
            <w:r>
              <w:rPr>
                <w:spacing w:val="-4"/>
                <w:szCs w:val="24"/>
              </w:rPr>
              <w:t>本项目天线全部采用偶极子天线，偶极子天线的归一化方向函数：</w:t>
            </w:r>
          </w:p>
          <w:p>
            <w:pPr>
              <w:keepLines/>
              <w:widowControl/>
              <w:tabs>
                <w:tab w:val="center" w:pos="4391"/>
              </w:tabs>
              <w:ind w:firstLine="2880" w:firstLineChars="1200"/>
              <w:rPr>
                <w:szCs w:val="24"/>
              </w:rPr>
            </w:pPr>
            <w:r>
              <w:rPr>
                <w:position w:val="-30"/>
                <w:szCs w:val="24"/>
              </w:rPr>
              <w:object>
                <v:shape id="_x0000_i1029" o:spt="75" type="#_x0000_t75" style="height:31.5pt;width:60.75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hint="eastAsia"/>
                <w:spacing w:val="-4"/>
                <w:szCs w:val="24"/>
              </w:rPr>
              <w:t>（0＜</w:t>
            </w:r>
            <w:r>
              <w:rPr>
                <w:spacing w:val="-4"/>
                <w:szCs w:val="24"/>
              </w:rPr>
              <w:t>θ</w:t>
            </w:r>
            <w:r>
              <w:rPr>
                <w:rFonts w:hint="eastAsia"/>
                <w:spacing w:val="-4"/>
                <w:szCs w:val="24"/>
              </w:rPr>
              <w:t>≤90）</w:t>
            </w:r>
            <w:r>
              <w:rPr>
                <w:rFonts w:hint="eastAsia"/>
                <w:spacing w:val="-4"/>
                <w:szCs w:val="24"/>
                <w:lang w:eastAsia="zh-CN"/>
              </w:rPr>
              <w:tab/>
            </w:r>
            <w:r>
              <w:rPr>
                <w:rFonts w:hint="eastAsia"/>
                <w:spacing w:val="-4"/>
                <w:szCs w:val="24"/>
                <w:lang w:eastAsia="zh-CN"/>
              </w:rPr>
              <w:t>（</w:t>
            </w:r>
            <w:r>
              <w:rPr>
                <w:rFonts w:hint="eastAsia"/>
                <w:spacing w:val="-4"/>
                <w:szCs w:val="24"/>
                <w:lang w:val="en-US" w:eastAsia="zh-CN"/>
              </w:rPr>
              <w:t>7-3</w:t>
            </w:r>
            <w:r>
              <w:rPr>
                <w:rFonts w:hint="eastAsia"/>
                <w:spacing w:val="-4"/>
                <w:szCs w:val="24"/>
                <w:lang w:eastAsia="zh-CN"/>
              </w:rPr>
              <w:t>）</w:t>
            </w:r>
          </w:p>
          <w:p>
            <w:pPr>
              <w:keepLines/>
              <w:widowControl/>
              <w:jc w:val="center"/>
              <w:rPr>
                <w:position w:val="-24"/>
                <w:szCs w:val="24"/>
              </w:rPr>
            </w:pPr>
            <w:r>
              <w:rPr>
                <w:position w:val="-24"/>
                <w:szCs w:val="24"/>
              </w:rPr>
              <w:object>
                <v:shape id="_x0000_i1030" o:spt="75" type="#_x0000_t75" style="height:28.5pt;width:135.75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p>
          <w:p>
            <w:pPr>
              <w:keepLines/>
              <w:widowControl/>
              <w:ind w:firstLine="464" w:firstLineChars="200"/>
              <w:rPr>
                <w:spacing w:val="-4"/>
                <w:szCs w:val="24"/>
              </w:rPr>
            </w:pPr>
            <w:r>
              <w:rPr>
                <w:spacing w:val="-4"/>
                <w:szCs w:val="24"/>
              </w:rPr>
              <w:t>式中：β——相位常数，β=2π/λ；</w:t>
            </w:r>
          </w:p>
          <w:p>
            <w:pPr>
              <w:keepLines/>
              <w:widowControl/>
              <w:ind w:firstLine="1160" w:firstLineChars="500"/>
              <w:rPr>
                <w:spacing w:val="-4"/>
                <w:szCs w:val="24"/>
              </w:rPr>
            </w:pPr>
            <w:r>
              <w:rPr>
                <w:spacing w:val="-4"/>
                <w:szCs w:val="24"/>
              </w:rPr>
              <w:t>2l——天线振子长度，m；</w:t>
            </w:r>
          </w:p>
          <w:p>
            <w:pPr>
              <w:keepLines/>
              <w:widowControl/>
              <w:ind w:firstLine="1160" w:firstLineChars="500"/>
              <w:rPr>
                <w:spacing w:val="-4"/>
                <w:szCs w:val="24"/>
              </w:rPr>
            </w:pPr>
            <w:r>
              <w:rPr>
                <w:spacing w:val="-4"/>
                <w:szCs w:val="24"/>
              </w:rPr>
              <w:t>f</w:t>
            </w:r>
            <w:r>
              <w:rPr>
                <w:spacing w:val="-4"/>
                <w:szCs w:val="24"/>
                <w:vertAlign w:val="subscript"/>
              </w:rPr>
              <w:t>max</w:t>
            </w:r>
            <w:r>
              <w:rPr>
                <w:spacing w:val="-4"/>
                <w:szCs w:val="24"/>
              </w:rPr>
              <w:t>——对称振子方向图函数</w:t>
            </w:r>
            <w:r>
              <w:rPr>
                <w:rFonts w:hint="eastAsia"/>
                <w:spacing w:val="-4"/>
                <w:szCs w:val="24"/>
              </w:rPr>
              <w:t>（f</w:t>
            </w:r>
            <w:r>
              <w:rPr>
                <w:spacing w:val="-4"/>
                <w:szCs w:val="24"/>
              </w:rPr>
              <w:t>(θ)</w:t>
            </w:r>
            <w:r>
              <w:rPr>
                <w:rFonts w:hint="eastAsia"/>
                <w:spacing w:val="-4"/>
                <w:szCs w:val="24"/>
              </w:rPr>
              <w:t>）</w:t>
            </w:r>
            <w:r>
              <w:rPr>
                <w:spacing w:val="-4"/>
                <w:szCs w:val="24"/>
              </w:rPr>
              <w:t>的最大值。</w:t>
            </w:r>
          </w:p>
          <w:p>
            <w:pPr>
              <w:keepLines/>
              <w:widowControl/>
              <w:ind w:firstLine="480" w:firstLineChars="200"/>
              <w:rPr>
                <w:color w:val="auto"/>
                <w:szCs w:val="24"/>
                <w:highlight w:val="none"/>
              </w:rPr>
            </w:pPr>
            <w:r>
              <w:rPr>
                <w:bCs/>
                <w:color w:val="auto"/>
                <w:kern w:val="0"/>
                <w:szCs w:val="24"/>
                <w:highlight w:val="none"/>
              </w:rPr>
              <w:t>1）</w:t>
            </w:r>
            <w:r>
              <w:rPr>
                <w:color w:val="auto"/>
                <w:kern w:val="0"/>
                <w:szCs w:val="24"/>
                <w:highlight w:val="none"/>
              </w:rPr>
              <w:t>天线的辐射影响分析及电磁达标距离的计算：</w:t>
            </w:r>
          </w:p>
          <w:p>
            <w:pPr>
              <w:keepLines/>
              <w:widowControl/>
              <w:ind w:firstLine="480" w:firstLineChars="200"/>
              <w:rPr>
                <w:bCs/>
                <w:color w:val="auto"/>
                <w:kern w:val="0"/>
                <w:szCs w:val="24"/>
                <w:highlight w:val="none"/>
              </w:rPr>
            </w:pPr>
            <w:r>
              <w:rPr>
                <w:bCs/>
                <w:color w:val="auto"/>
                <w:kern w:val="0"/>
                <w:szCs w:val="24"/>
                <w:highlight w:val="none"/>
              </w:rPr>
              <w:t>本项目所有天线系统均采用等功率馈电系统，组成天线系统的各片天线单元类型一致。即</w:t>
            </w:r>
            <w:r>
              <w:rPr>
                <w:rFonts w:hint="eastAsia"/>
                <w:bCs/>
                <w:color w:val="auto"/>
                <w:kern w:val="0"/>
                <w:szCs w:val="24"/>
                <w:highlight w:val="none"/>
                <w:lang w:eastAsia="zh-CN"/>
              </w:rPr>
              <w:t>六</w:t>
            </w:r>
            <w:r>
              <w:rPr>
                <w:bCs/>
                <w:color w:val="auto"/>
                <w:kern w:val="0"/>
                <w:szCs w:val="24"/>
                <w:highlight w:val="none"/>
              </w:rPr>
              <w:t>层四面天线共有</w:t>
            </w:r>
            <w:r>
              <w:rPr>
                <w:rFonts w:hint="eastAsia"/>
                <w:bCs/>
                <w:color w:val="auto"/>
                <w:kern w:val="0"/>
                <w:szCs w:val="24"/>
                <w:highlight w:val="none"/>
                <w:lang w:val="en-US" w:eastAsia="zh-CN"/>
              </w:rPr>
              <w:t>24</w:t>
            </w:r>
            <w:r>
              <w:rPr>
                <w:bCs/>
                <w:color w:val="auto"/>
                <w:kern w:val="0"/>
                <w:szCs w:val="24"/>
                <w:highlight w:val="none"/>
              </w:rPr>
              <w:t>片天线，总功率平均分配给各天线单元。所以对于某一测量位置，各天线单元发射功率</w:t>
            </w:r>
            <w:r>
              <w:rPr>
                <w:rFonts w:hint="eastAsia"/>
                <w:bCs/>
                <w:color w:val="auto"/>
                <w:kern w:val="0"/>
                <w:szCs w:val="24"/>
                <w:highlight w:val="none"/>
              </w:rPr>
              <w:t>为</w:t>
            </w:r>
            <w:r>
              <w:rPr>
                <w:bCs/>
                <w:color w:val="auto"/>
                <w:kern w:val="0"/>
                <w:szCs w:val="24"/>
                <w:highlight w:val="none"/>
              </w:rPr>
              <w:t>总功率的1/</w:t>
            </w:r>
            <w:r>
              <w:rPr>
                <w:rFonts w:hint="eastAsia"/>
                <w:bCs/>
                <w:color w:val="auto"/>
                <w:kern w:val="0"/>
                <w:szCs w:val="24"/>
                <w:highlight w:val="none"/>
                <w:lang w:val="en-US" w:eastAsia="zh-CN"/>
              </w:rPr>
              <w:t>24</w:t>
            </w:r>
            <w:r>
              <w:rPr>
                <w:rFonts w:hint="eastAsia"/>
                <w:bCs/>
                <w:color w:val="auto"/>
                <w:kern w:val="0"/>
                <w:szCs w:val="24"/>
                <w:highlight w:val="none"/>
              </w:rPr>
              <w:t>，各面</w:t>
            </w:r>
            <w:r>
              <w:rPr>
                <w:bCs/>
                <w:color w:val="auto"/>
                <w:kern w:val="0"/>
                <w:szCs w:val="24"/>
                <w:highlight w:val="none"/>
              </w:rPr>
              <w:t>计算时发射功率</w:t>
            </w:r>
            <w:r>
              <w:rPr>
                <w:rFonts w:hint="eastAsia"/>
                <w:bCs/>
                <w:color w:val="auto"/>
                <w:kern w:val="0"/>
                <w:szCs w:val="24"/>
                <w:highlight w:val="none"/>
              </w:rPr>
              <w:t>则为</w:t>
            </w:r>
            <w:r>
              <w:rPr>
                <w:bCs/>
                <w:color w:val="auto"/>
                <w:kern w:val="0"/>
                <w:szCs w:val="24"/>
                <w:highlight w:val="none"/>
              </w:rPr>
              <w:t>总功率的1/4。本项目的所有计算均没有考虑损耗，以最不利的情况进行计算。天线挂高使用天线最低高度来计算。</w:t>
            </w:r>
          </w:p>
          <w:p>
            <w:pPr>
              <w:keepLines/>
              <w:widowControl/>
              <w:ind w:firstLine="480" w:firstLineChars="200"/>
              <w:rPr>
                <w:bCs/>
                <w:color w:val="auto"/>
                <w:kern w:val="0"/>
                <w:szCs w:val="24"/>
                <w:highlight w:val="none"/>
              </w:rPr>
            </w:pPr>
            <w:r>
              <w:rPr>
                <w:color w:val="auto"/>
                <w:kern w:val="0"/>
                <w:szCs w:val="24"/>
                <w:highlight w:val="none"/>
              </w:rPr>
              <w:t>首先根据参数计算出天线满足《电磁环境控制限值》（GB 8702-2014）的距离。</w:t>
            </w:r>
            <w:r>
              <w:rPr>
                <w:color w:val="auto"/>
                <w:spacing w:val="-4"/>
                <w:szCs w:val="24"/>
                <w:highlight w:val="none"/>
              </w:rPr>
              <w:t>根据现场勘查，</w:t>
            </w:r>
            <w:r>
              <w:rPr>
                <w:rFonts w:hint="eastAsia"/>
                <w:color w:val="auto"/>
                <w:spacing w:val="-4"/>
                <w:szCs w:val="24"/>
                <w:highlight w:val="none"/>
                <w:lang w:eastAsia="zh-CN"/>
              </w:rPr>
              <w:t>本项目位于阳明湖板块阳明大道与兴业街交叉处，本项目发射塔所在海拔高度约为</w:t>
            </w:r>
            <w:r>
              <w:rPr>
                <w:rFonts w:hint="eastAsia"/>
                <w:color w:val="auto"/>
                <w:spacing w:val="-4"/>
                <w:szCs w:val="24"/>
                <w:highlight w:val="none"/>
                <w:lang w:val="en-US" w:eastAsia="zh-CN"/>
              </w:rPr>
              <w:t>32m，塔高158m；评价范围内涉及敏感点最近及最低地势的是孔家溶社区居民点，海拔高度约为32~35m</w:t>
            </w:r>
            <w:r>
              <w:rPr>
                <w:color w:val="auto"/>
                <w:spacing w:val="-4"/>
                <w:szCs w:val="24"/>
                <w:highlight w:val="none"/>
              </w:rPr>
              <w:t>，</w:t>
            </w:r>
            <w:r>
              <w:rPr>
                <w:rFonts w:hint="eastAsia"/>
                <w:color w:val="auto"/>
                <w:spacing w:val="-4"/>
                <w:szCs w:val="24"/>
                <w:highlight w:val="none"/>
                <w:lang w:eastAsia="zh-CN"/>
              </w:rPr>
              <w:t>因此，</w:t>
            </w:r>
            <w:r>
              <w:rPr>
                <w:color w:val="auto"/>
                <w:spacing w:val="-4"/>
                <w:szCs w:val="24"/>
                <w:highlight w:val="none"/>
              </w:rPr>
              <w:t>选定计算范围为水平距离</w:t>
            </w:r>
            <w:r>
              <w:rPr>
                <w:rFonts w:hint="eastAsia"/>
                <w:color w:val="auto"/>
                <w:spacing w:val="-4"/>
                <w:szCs w:val="24"/>
                <w:highlight w:val="none"/>
                <w:lang w:val="en-US" w:eastAsia="zh-CN"/>
              </w:rPr>
              <w:t>3</w:t>
            </w:r>
            <w:r>
              <w:rPr>
                <w:color w:val="auto"/>
                <w:spacing w:val="-4"/>
                <w:szCs w:val="24"/>
                <w:highlight w:val="none"/>
              </w:rPr>
              <w:t>m-</w:t>
            </w:r>
            <w:r>
              <w:rPr>
                <w:rFonts w:hint="eastAsia"/>
                <w:color w:val="auto"/>
                <w:spacing w:val="-4"/>
                <w:szCs w:val="24"/>
                <w:highlight w:val="none"/>
                <w:lang w:val="en-US" w:eastAsia="zh-CN"/>
              </w:rPr>
              <w:t>500</w:t>
            </w:r>
            <w:r>
              <w:rPr>
                <w:color w:val="auto"/>
                <w:spacing w:val="-4"/>
                <w:szCs w:val="24"/>
                <w:highlight w:val="none"/>
              </w:rPr>
              <w:t>m，垂直高度-</w:t>
            </w:r>
            <w:r>
              <w:rPr>
                <w:rFonts w:hint="eastAsia"/>
                <w:color w:val="auto"/>
                <w:spacing w:val="-4"/>
                <w:szCs w:val="24"/>
                <w:highlight w:val="none"/>
                <w:lang w:val="en-US" w:eastAsia="zh-CN"/>
              </w:rPr>
              <w:t>5</w:t>
            </w:r>
            <w:r>
              <w:rPr>
                <w:color w:val="auto"/>
                <w:spacing w:val="-4"/>
                <w:szCs w:val="24"/>
                <w:highlight w:val="none"/>
              </w:rPr>
              <w:t>0m-300m 范围内微波频段的功率密度预测结果。</w:t>
            </w:r>
          </w:p>
          <w:p>
            <w:pPr>
              <w:keepLines/>
              <w:widowControl/>
              <w:ind w:firstLine="480" w:firstLineChars="200"/>
              <w:rPr>
                <w:color w:val="auto"/>
                <w:spacing w:val="-4"/>
                <w:szCs w:val="24"/>
                <w:highlight w:val="none"/>
              </w:rPr>
            </w:pPr>
            <w:r>
              <w:rPr>
                <w:color w:val="auto"/>
                <w:szCs w:val="24"/>
                <w:highlight w:val="none"/>
              </w:rPr>
              <w:t>本项目天线辐射预测参数见表</w:t>
            </w:r>
            <w:r>
              <w:rPr>
                <w:rFonts w:hint="eastAsia"/>
                <w:color w:val="auto"/>
                <w:szCs w:val="24"/>
                <w:highlight w:val="none"/>
                <w:lang w:eastAsia="zh-CN"/>
              </w:rPr>
              <w:t>7</w:t>
            </w:r>
            <w:r>
              <w:rPr>
                <w:color w:val="auto"/>
                <w:szCs w:val="24"/>
                <w:highlight w:val="none"/>
              </w:rPr>
              <w:t>-2。</w:t>
            </w:r>
            <w:r>
              <w:rPr>
                <w:color w:val="auto"/>
                <w:spacing w:val="-4"/>
                <w:szCs w:val="24"/>
                <w:highlight w:val="none"/>
              </w:rPr>
              <w:t>根据公式（</w:t>
            </w:r>
            <w:r>
              <w:rPr>
                <w:rFonts w:hint="eastAsia"/>
                <w:color w:val="auto"/>
                <w:spacing w:val="-4"/>
                <w:szCs w:val="24"/>
                <w:highlight w:val="none"/>
                <w:lang w:eastAsia="zh-CN"/>
              </w:rPr>
              <w:t>7</w:t>
            </w:r>
            <w:r>
              <w:rPr>
                <w:color w:val="auto"/>
                <w:spacing w:val="-4"/>
                <w:szCs w:val="24"/>
                <w:highlight w:val="none"/>
              </w:rPr>
              <w:t>-</w:t>
            </w:r>
            <w:r>
              <w:rPr>
                <w:rFonts w:hint="eastAsia"/>
                <w:color w:val="auto"/>
                <w:spacing w:val="-4"/>
                <w:szCs w:val="24"/>
                <w:highlight w:val="none"/>
                <w:lang w:val="en-US" w:eastAsia="zh-CN"/>
              </w:rPr>
              <w:t>2</w:t>
            </w:r>
            <w:r>
              <w:rPr>
                <w:color w:val="auto"/>
                <w:spacing w:val="-4"/>
                <w:szCs w:val="24"/>
                <w:highlight w:val="none"/>
              </w:rPr>
              <w:t>）计算公式及相关的参数，计算出发射塔在500m范围内的电场强度理论预测结果，如表</w:t>
            </w:r>
            <w:r>
              <w:rPr>
                <w:rFonts w:hint="eastAsia"/>
                <w:color w:val="auto"/>
                <w:spacing w:val="-4"/>
                <w:szCs w:val="24"/>
                <w:highlight w:val="none"/>
                <w:lang w:eastAsia="zh-CN"/>
              </w:rPr>
              <w:t>7</w:t>
            </w:r>
            <w:r>
              <w:rPr>
                <w:color w:val="auto"/>
                <w:spacing w:val="-4"/>
                <w:szCs w:val="24"/>
                <w:highlight w:val="none"/>
              </w:rPr>
              <w:t>-3。</w:t>
            </w:r>
          </w:p>
          <w:p>
            <w:pPr>
              <w:jc w:val="center"/>
              <w:rPr>
                <w:b/>
                <w:bCs/>
                <w:color w:val="auto"/>
                <w:highlight w:val="none"/>
                <w:u w:val="wave"/>
              </w:rPr>
            </w:pPr>
            <w:r>
              <w:rPr>
                <w:b/>
                <w:bCs/>
                <w:color w:val="auto"/>
                <w:highlight w:val="none"/>
                <w:u w:val="wave"/>
              </w:rPr>
              <w:t>表</w:t>
            </w:r>
            <w:r>
              <w:rPr>
                <w:rFonts w:hint="eastAsia"/>
                <w:b/>
                <w:bCs/>
                <w:color w:val="auto"/>
                <w:highlight w:val="none"/>
                <w:u w:val="wave"/>
                <w:lang w:eastAsia="zh-CN"/>
              </w:rPr>
              <w:t>7</w:t>
            </w:r>
            <w:r>
              <w:rPr>
                <w:b/>
                <w:bCs/>
                <w:color w:val="auto"/>
                <w:highlight w:val="none"/>
                <w:u w:val="wave"/>
              </w:rPr>
              <w:t>-2  天线辐射预测参数</w:t>
            </w:r>
          </w:p>
          <w:tbl>
            <w:tblPr>
              <w:tblStyle w:val="36"/>
              <w:tblW w:w="892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448"/>
              <w:gridCol w:w="4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Borders>
                    <w:tl2br w:val="nil"/>
                    <w:tr2bl w:val="nil"/>
                  </w:tcBorders>
                </w:tcPr>
                <w:p>
                  <w:pPr>
                    <w:adjustRightInd w:val="0"/>
                    <w:snapToGrid w:val="0"/>
                    <w:spacing w:line="240" w:lineRule="auto"/>
                    <w:jc w:val="center"/>
                    <w:rPr>
                      <w:color w:val="auto"/>
                      <w:sz w:val="21"/>
                      <w:szCs w:val="21"/>
                      <w:highlight w:val="none"/>
                      <w:u w:val="wave"/>
                    </w:rPr>
                  </w:pPr>
                  <w:r>
                    <w:rPr>
                      <w:color w:val="auto"/>
                      <w:sz w:val="21"/>
                      <w:szCs w:val="21"/>
                      <w:highlight w:val="none"/>
                      <w:u w:val="wave"/>
                    </w:rPr>
                    <w:t>设备及单元</w:t>
                  </w:r>
                </w:p>
              </w:tc>
              <w:tc>
                <w:tcPr>
                  <w:tcW w:w="2448" w:type="dxa"/>
                  <w:tcBorders>
                    <w:tl2br w:val="nil"/>
                    <w:tr2bl w:val="nil"/>
                  </w:tcBorders>
                </w:tcPr>
                <w:p>
                  <w:pPr>
                    <w:adjustRightInd w:val="0"/>
                    <w:snapToGrid w:val="0"/>
                    <w:spacing w:line="240" w:lineRule="auto"/>
                    <w:jc w:val="center"/>
                    <w:rPr>
                      <w:color w:val="auto"/>
                      <w:sz w:val="21"/>
                      <w:szCs w:val="21"/>
                      <w:highlight w:val="none"/>
                      <w:u w:val="wave"/>
                    </w:rPr>
                  </w:pPr>
                  <w:r>
                    <w:rPr>
                      <w:color w:val="auto"/>
                      <w:sz w:val="21"/>
                      <w:szCs w:val="21"/>
                      <w:highlight w:val="none"/>
                      <w:u w:val="wave"/>
                    </w:rPr>
                    <w:t>主要指标</w:t>
                  </w:r>
                </w:p>
              </w:tc>
              <w:tc>
                <w:tcPr>
                  <w:tcW w:w="4359" w:type="dxa"/>
                  <w:tcBorders>
                    <w:tl2br w:val="nil"/>
                    <w:tr2bl w:val="nil"/>
                  </w:tcBorders>
                </w:tcPr>
                <w:p>
                  <w:pPr>
                    <w:adjustRightInd w:val="0"/>
                    <w:snapToGrid w:val="0"/>
                    <w:spacing w:line="240" w:lineRule="auto"/>
                    <w:jc w:val="center"/>
                    <w:rPr>
                      <w:color w:val="auto"/>
                      <w:sz w:val="21"/>
                      <w:szCs w:val="21"/>
                      <w:highlight w:val="none"/>
                      <w:u w:val="wave"/>
                    </w:rPr>
                  </w:pPr>
                  <w:r>
                    <w:rPr>
                      <w:color w:val="auto"/>
                      <w:sz w:val="21"/>
                      <w:szCs w:val="21"/>
                      <w:highlight w:val="none"/>
                      <w:u w:val="wave"/>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restart"/>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天线</w:t>
                  </w:r>
                </w:p>
              </w:tc>
              <w:tc>
                <w:tcPr>
                  <w:tcW w:w="2448" w:type="dxa"/>
                  <w:tcBorders>
                    <w:tl2br w:val="nil"/>
                    <w:tr2bl w:val="nil"/>
                  </w:tcBorders>
                </w:tcPr>
                <w:p>
                  <w:pPr>
                    <w:adjustRightInd w:val="0"/>
                    <w:snapToGrid w:val="0"/>
                    <w:spacing w:line="240" w:lineRule="auto"/>
                    <w:jc w:val="center"/>
                    <w:rPr>
                      <w:color w:val="auto"/>
                      <w:sz w:val="21"/>
                      <w:szCs w:val="21"/>
                      <w:highlight w:val="none"/>
                      <w:u w:val="wave"/>
                    </w:rPr>
                  </w:pPr>
                  <w:r>
                    <w:rPr>
                      <w:color w:val="auto"/>
                      <w:sz w:val="21"/>
                      <w:szCs w:val="21"/>
                      <w:highlight w:val="none"/>
                      <w:u w:val="wave"/>
                    </w:rPr>
                    <w:t>天线型号</w:t>
                  </w:r>
                </w:p>
              </w:tc>
              <w:tc>
                <w:tcPr>
                  <w:tcW w:w="4359" w:type="dxa"/>
                  <w:tcBorders>
                    <w:tl2br w:val="nil"/>
                    <w:tr2bl w:val="nil"/>
                  </w:tcBorders>
                </w:tcPr>
                <w:p>
                  <w:pPr>
                    <w:adjustRightInd w:val="0"/>
                    <w:snapToGrid w:val="0"/>
                    <w:spacing w:line="240" w:lineRule="auto"/>
                    <w:jc w:val="center"/>
                    <w:rPr>
                      <w:rFonts w:hint="eastAsia" w:eastAsia="宋体"/>
                      <w:bCs/>
                      <w:color w:val="auto"/>
                      <w:sz w:val="21"/>
                      <w:szCs w:val="21"/>
                      <w:highlight w:val="none"/>
                      <w:u w:val="wave"/>
                      <w:lang w:eastAsia="zh-CN"/>
                    </w:rPr>
                  </w:pPr>
                  <w:r>
                    <w:rPr>
                      <w:rFonts w:hint="eastAsia"/>
                      <w:bCs/>
                      <w:color w:val="auto"/>
                      <w:sz w:val="21"/>
                      <w:szCs w:val="21"/>
                      <w:highlight w:val="none"/>
                      <w:u w:val="wav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spacing w:line="240" w:lineRule="atLeast"/>
                    <w:jc w:val="center"/>
                    <w:rPr>
                      <w:color w:val="auto"/>
                      <w:sz w:val="21"/>
                      <w:szCs w:val="21"/>
                      <w:highlight w:val="none"/>
                      <w:u w:val="wave"/>
                    </w:rPr>
                  </w:pPr>
                </w:p>
              </w:tc>
              <w:tc>
                <w:tcPr>
                  <w:tcW w:w="2448" w:type="dxa"/>
                  <w:tcBorders>
                    <w:tl2br w:val="nil"/>
                    <w:tr2bl w:val="nil"/>
                  </w:tcBorders>
                </w:tcPr>
                <w:p>
                  <w:pPr>
                    <w:adjustRightInd w:val="0"/>
                    <w:snapToGrid w:val="0"/>
                    <w:spacing w:line="240" w:lineRule="auto"/>
                    <w:jc w:val="center"/>
                    <w:rPr>
                      <w:color w:val="auto"/>
                      <w:sz w:val="21"/>
                      <w:szCs w:val="21"/>
                      <w:highlight w:val="none"/>
                      <w:u w:val="wave"/>
                    </w:rPr>
                  </w:pPr>
                  <w:r>
                    <w:rPr>
                      <w:color w:val="auto"/>
                      <w:sz w:val="21"/>
                      <w:szCs w:val="21"/>
                      <w:highlight w:val="none"/>
                      <w:u w:val="wave"/>
                    </w:rPr>
                    <w:t>天线型式</w:t>
                  </w:r>
                </w:p>
              </w:tc>
              <w:tc>
                <w:tcPr>
                  <w:tcW w:w="4359" w:type="dxa"/>
                  <w:tcBorders>
                    <w:tl2br w:val="nil"/>
                    <w:tr2bl w:val="nil"/>
                  </w:tcBorders>
                </w:tcPr>
                <w:p>
                  <w:pPr>
                    <w:adjustRightInd w:val="0"/>
                    <w:snapToGrid w:val="0"/>
                    <w:spacing w:line="240" w:lineRule="auto"/>
                    <w:jc w:val="center"/>
                    <w:rPr>
                      <w:color w:val="auto"/>
                      <w:sz w:val="21"/>
                      <w:szCs w:val="21"/>
                      <w:highlight w:val="none"/>
                      <w:u w:val="wave"/>
                    </w:rPr>
                  </w:pPr>
                  <w:r>
                    <w:rPr>
                      <w:rFonts w:hint="eastAsia"/>
                      <w:color w:val="auto"/>
                      <w:sz w:val="21"/>
                      <w:szCs w:val="21"/>
                      <w:highlight w:val="none"/>
                      <w:u w:val="wave"/>
                      <w:lang w:val="en-US" w:eastAsia="zh-CN"/>
                    </w:rPr>
                    <w:t>FM六</w:t>
                  </w:r>
                  <w:r>
                    <w:rPr>
                      <w:color w:val="auto"/>
                      <w:sz w:val="21"/>
                      <w:szCs w:val="21"/>
                      <w:highlight w:val="none"/>
                      <w:u w:val="wave"/>
                    </w:rPr>
                    <w:t>层四面双偶极板天线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kern w:val="0"/>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kern w:val="0"/>
                      <w:sz w:val="21"/>
                      <w:szCs w:val="21"/>
                      <w:highlight w:val="none"/>
                      <w:u w:val="wave"/>
                    </w:rPr>
                  </w:pPr>
                  <w:r>
                    <w:rPr>
                      <w:color w:val="auto"/>
                      <w:sz w:val="21"/>
                      <w:szCs w:val="21"/>
                      <w:highlight w:val="none"/>
                      <w:u w:val="wave"/>
                    </w:rPr>
                    <w:t>天线数量</w:t>
                  </w:r>
                </w:p>
              </w:tc>
              <w:tc>
                <w:tcPr>
                  <w:tcW w:w="4359"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1</w:t>
                  </w:r>
                  <w:r>
                    <w:rPr>
                      <w:rFonts w:hint="eastAsia"/>
                      <w:color w:val="auto"/>
                      <w:sz w:val="21"/>
                      <w:szCs w:val="21"/>
                      <w:highlight w:val="none"/>
                      <w:u w:val="wave"/>
                      <w:lang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kern w:val="0"/>
                      <w:sz w:val="21"/>
                      <w:szCs w:val="21"/>
                      <w:highlight w:val="none"/>
                      <w:u w:val="wave"/>
                    </w:rPr>
                    <w:t>天线增益</w:t>
                  </w:r>
                </w:p>
              </w:tc>
              <w:tc>
                <w:tcPr>
                  <w:tcW w:w="4359"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val="en-US" w:eastAsia="zh-CN"/>
                    </w:rPr>
                    <w:t>10</w:t>
                  </w:r>
                  <w:r>
                    <w:rPr>
                      <w:color w:val="auto"/>
                      <w:sz w:val="21"/>
                      <w:szCs w:val="21"/>
                      <w:highlight w:val="none"/>
                      <w:u w:val="wave"/>
                    </w:rPr>
                    <w:t>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kern w:val="0"/>
                      <w:sz w:val="21"/>
                      <w:szCs w:val="21"/>
                      <w:highlight w:val="none"/>
                      <w:u w:val="wave"/>
                    </w:rPr>
                    <w:t>极化方式</w:t>
                  </w:r>
                </w:p>
              </w:tc>
              <w:tc>
                <w:tcPr>
                  <w:tcW w:w="4359"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eastAsia="zh-CN"/>
                    </w:rPr>
                    <w:t>垂直</w:t>
                  </w:r>
                  <w:r>
                    <w:rPr>
                      <w:color w:val="auto"/>
                      <w:sz w:val="21"/>
                      <w:szCs w:val="21"/>
                      <w:highlight w:val="none"/>
                      <w:u w:val="wave"/>
                    </w:rPr>
                    <w:t>极化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垂直半功率角（°）</w:t>
                  </w:r>
                </w:p>
              </w:tc>
              <w:tc>
                <w:tcPr>
                  <w:tcW w:w="4359" w:type="dxa"/>
                  <w:tcBorders>
                    <w:tl2br w:val="nil"/>
                    <w:tr2bl w:val="nil"/>
                  </w:tcBorders>
                  <w:vAlign w:val="center"/>
                </w:tcPr>
                <w:p>
                  <w:pPr>
                    <w:spacing w:line="240" w:lineRule="auto"/>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水平方位角（°）</w:t>
                  </w:r>
                </w:p>
              </w:tc>
              <w:tc>
                <w:tcPr>
                  <w:tcW w:w="4359"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360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restart"/>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发射机</w:t>
                  </w: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调频频率（MHz）</w:t>
                  </w:r>
                </w:p>
              </w:tc>
              <w:tc>
                <w:tcPr>
                  <w:tcW w:w="4359"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106.8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发射机功率（kW）</w:t>
                  </w:r>
                </w:p>
              </w:tc>
              <w:tc>
                <w:tcPr>
                  <w:tcW w:w="4359"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22" w:type="dxa"/>
                  <w:vMerge w:val="continue"/>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p>
              </w:tc>
              <w:tc>
                <w:tcPr>
                  <w:tcW w:w="2448" w:type="dxa"/>
                  <w:tcBorders>
                    <w:tl2br w:val="nil"/>
                    <w:tr2bl w:val="nil"/>
                  </w:tcBorders>
                  <w:vAlign w:val="center"/>
                </w:tcPr>
                <w:p>
                  <w:pPr>
                    <w:autoSpaceDE w:val="0"/>
                    <w:autoSpaceDN w:val="0"/>
                    <w:adjustRightInd w:val="0"/>
                    <w:snapToGrid w:val="0"/>
                    <w:spacing w:line="240" w:lineRule="auto"/>
                    <w:jc w:val="center"/>
                    <w:rPr>
                      <w:color w:val="auto"/>
                      <w:sz w:val="21"/>
                      <w:szCs w:val="21"/>
                      <w:highlight w:val="none"/>
                      <w:u w:val="wave"/>
                    </w:rPr>
                  </w:pPr>
                  <w:r>
                    <w:rPr>
                      <w:color w:val="auto"/>
                      <w:sz w:val="21"/>
                      <w:szCs w:val="21"/>
                      <w:highlight w:val="none"/>
                      <w:u w:val="wave"/>
                    </w:rPr>
                    <w:t>计算功率（kW）</w:t>
                  </w:r>
                </w:p>
              </w:tc>
              <w:tc>
                <w:tcPr>
                  <w:tcW w:w="4359"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0.75</w:t>
                  </w:r>
                </w:p>
              </w:tc>
            </w:tr>
          </w:tbl>
          <w:p>
            <w:pPr>
              <w:spacing w:line="440" w:lineRule="exact"/>
              <w:jc w:val="center"/>
              <w:rPr>
                <w:b/>
                <w:bCs/>
                <w:color w:val="auto"/>
                <w:highlight w:val="none"/>
                <w:u w:val="wave"/>
              </w:rPr>
            </w:pPr>
            <w:r>
              <w:rPr>
                <w:b/>
                <w:bCs/>
                <w:color w:val="auto"/>
                <w:highlight w:val="none"/>
                <w:u w:val="wave"/>
              </w:rPr>
              <w:t>表</w:t>
            </w:r>
            <w:r>
              <w:rPr>
                <w:rFonts w:hint="eastAsia"/>
                <w:b/>
                <w:bCs/>
                <w:color w:val="auto"/>
                <w:highlight w:val="none"/>
                <w:u w:val="wave"/>
                <w:lang w:eastAsia="zh-CN"/>
              </w:rPr>
              <w:t>7</w:t>
            </w:r>
            <w:r>
              <w:rPr>
                <w:b/>
                <w:bCs/>
                <w:color w:val="auto"/>
                <w:highlight w:val="none"/>
                <w:u w:val="wave"/>
              </w:rPr>
              <w:t>-3  电视发射塔周围500m范围内电场强度理论预测值V/m</w:t>
            </w:r>
          </w:p>
          <w:tbl>
            <w:tblPr>
              <w:tblStyle w:val="35"/>
              <w:tblW w:w="8740" w:type="dxa"/>
              <w:jc w:val="center"/>
              <w:tblInd w:w="109"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545"/>
              <w:gridCol w:w="545"/>
              <w:gridCol w:w="545"/>
              <w:gridCol w:w="545"/>
              <w:gridCol w:w="566"/>
              <w:gridCol w:w="545"/>
              <w:gridCol w:w="544"/>
              <w:gridCol w:w="546"/>
              <w:gridCol w:w="545"/>
              <w:gridCol w:w="544"/>
              <w:gridCol w:w="546"/>
              <w:gridCol w:w="544"/>
              <w:gridCol w:w="545"/>
              <w:gridCol w:w="545"/>
              <w:gridCol w:w="545"/>
              <w:gridCol w:w="5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Ex>
              <w:trPr>
                <w:trHeight w:val="772" w:hRule="atLeast"/>
                <w:jc w:val="center"/>
              </w:trPr>
              <w:tc>
                <w:tcPr>
                  <w:tcW w:w="545" w:type="dxa"/>
                  <w:tcBorders>
                    <w:tl2br w:val="single" w:color="000000" w:sz="12" w:space="0"/>
                  </w:tcBorders>
                  <w:shd w:val="clear" w:color="auto" w:fill="auto"/>
                  <w:vAlign w:val="center"/>
                </w:tcPr>
                <w:p>
                  <w:pPr>
                    <w:jc w:val="center"/>
                    <w:rPr>
                      <w:rFonts w:hint="default" w:ascii="Times New Roman" w:hAnsi="Times New Roman" w:cs="Times New Roman"/>
                      <w:b/>
                      <w:bCs/>
                      <w:i w:val="0"/>
                      <w:color w:val="auto"/>
                      <w:sz w:val="18"/>
                      <w:szCs w:val="18"/>
                      <w:highlight w:val="none"/>
                      <w:u w:val="wave"/>
                      <w:lang w:val="en-US" w:eastAsia="zh-CN"/>
                    </w:rPr>
                  </w:pPr>
                  <w:r>
                    <w:rPr>
                      <w:rFonts w:hint="default" w:ascii="Times New Roman" w:hAnsi="Times New Roman" w:cs="Times New Roman"/>
                      <w:b/>
                      <w:bCs/>
                      <w:i w:val="0"/>
                      <w:color w:val="auto"/>
                      <w:sz w:val="18"/>
                      <w:szCs w:val="18"/>
                      <w:highlight w:val="none"/>
                      <w:u w:val="wave"/>
                      <w:lang w:val="en-US" w:eastAsia="zh-CN"/>
                    </w:rPr>
                    <w:t>X</w:t>
                  </w:r>
                </w:p>
                <w:p>
                  <w:pPr>
                    <w:jc w:val="center"/>
                    <w:rPr>
                      <w:rFonts w:hint="default" w:ascii="Times New Roman" w:hAnsi="Times New Roman" w:cs="Times New Roman"/>
                      <w:b w:val="0"/>
                      <w:bCs w:val="0"/>
                      <w:i w:val="0"/>
                      <w:color w:val="auto"/>
                      <w:sz w:val="18"/>
                      <w:szCs w:val="18"/>
                      <w:highlight w:val="yellow"/>
                      <w:u w:val="wave"/>
                      <w:lang w:val="en-US" w:eastAsia="zh-CN"/>
                    </w:rPr>
                  </w:pPr>
                  <w:r>
                    <w:rPr>
                      <w:rFonts w:hint="default" w:ascii="Times New Roman" w:hAnsi="Times New Roman" w:cs="Times New Roman"/>
                      <w:b/>
                      <w:bCs/>
                      <w:i w:val="0"/>
                      <w:color w:val="auto"/>
                      <w:sz w:val="18"/>
                      <w:szCs w:val="18"/>
                      <w:highlight w:val="none"/>
                      <w:u w:val="wave"/>
                      <w:lang w:val="en-US" w:eastAsia="zh-CN"/>
                    </w:rPr>
                    <w:t>Y</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rPr>
                  </w:pPr>
                  <w:r>
                    <w:rPr>
                      <w:rFonts w:hint="default" w:ascii="Times New Roman" w:hAnsi="Times New Roman" w:eastAsia="宋体" w:cs="Times New Roman"/>
                      <w:i w:val="0"/>
                      <w:color w:val="000000"/>
                      <w:kern w:val="0"/>
                      <w:sz w:val="18"/>
                      <w:szCs w:val="18"/>
                      <w:u w:val="wave"/>
                      <w:lang w:val="en-US" w:eastAsia="zh-CN" w:bidi="ar"/>
                    </w:rPr>
                    <w:t>30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50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80</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150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200</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226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227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250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0.07</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0.15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0.47</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0.85</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1.18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1.40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1.58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0.05</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0.24</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0.46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1.13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1.68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1.87</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1.88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1.99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2.11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0.30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1.70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3.17</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2.54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91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0.14</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0.53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4.35</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5.31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4.75</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3.62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92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0.15</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0.57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2.20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4.50</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5.23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5.39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4.79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3.64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0.29</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3.40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5.84</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6.34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5.95</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4.67</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4.66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4.33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3.74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120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0.25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5.66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9.96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10.33</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9.43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7.22</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5.69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4.66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3.94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149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297.27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118.06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60.35</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40.40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24.29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15.19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12.16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8.11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6.08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5.38</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5.36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4.86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4.05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3.04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151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297.27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118.06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60.35</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40.40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24.29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15.19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12.16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8.11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6.08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lang w:val="en-US" w:eastAsia="zh-CN"/>
                    </w:rPr>
                  </w:pPr>
                  <w:r>
                    <w:rPr>
                      <w:rFonts w:hint="default" w:ascii="Times New Roman" w:hAnsi="Times New Roman" w:eastAsia="宋体" w:cs="Times New Roman"/>
                      <w:b/>
                      <w:bCs/>
                      <w:i w:val="0"/>
                      <w:color w:val="000000"/>
                      <w:kern w:val="0"/>
                      <w:sz w:val="18"/>
                      <w:szCs w:val="18"/>
                      <w:u w:val="wave"/>
                      <w:lang w:val="en-US" w:eastAsia="zh-CN" w:bidi="ar"/>
                    </w:rPr>
                    <w:t>5.38</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5.36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4.86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4.05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3.04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2.43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176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0.48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3.81</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8.17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12.10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11.31</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10.03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7.43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5.79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5.17</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4.71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3.96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lang w:val="en-US" w:eastAsia="zh-CN"/>
                    </w:rPr>
                  </w:pPr>
                  <w:r>
                    <w:rPr>
                      <w:rFonts w:hint="default" w:ascii="Times New Roman" w:hAnsi="Times New Roman" w:eastAsia="宋体" w:cs="Times New Roman"/>
                      <w:i w:val="0"/>
                      <w:color w:val="000000"/>
                      <w:kern w:val="0"/>
                      <w:sz w:val="18"/>
                      <w:szCs w:val="18"/>
                      <w:u w:val="wave"/>
                      <w:lang w:val="en-US" w:eastAsia="zh-CN" w:bidi="ar"/>
                    </w:rPr>
                    <w:t>180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0.25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5.66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9.96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10.33</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9.43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7.22</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5.69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5.09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4.66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3.94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0.15</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0.57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2.20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4.50</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5.23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b/>
                      <w:bCs/>
                      <w:i w:val="0"/>
                      <w:color w:val="000000"/>
                      <w:kern w:val="0"/>
                      <w:sz w:val="18"/>
                      <w:szCs w:val="18"/>
                      <w:u w:val="wave"/>
                      <w:lang w:val="en-US" w:eastAsia="zh-CN" w:bidi="ar"/>
                    </w:rPr>
                    <w:t>5.39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4.79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3.64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0.14</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0.53</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2.09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4.35</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5.11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5.31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4.75</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4.42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3.62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220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0.06</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0.26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1.18</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3.85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4.56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4.33</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4.10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3.89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3.47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2.78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250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0.01</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0.05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0.30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1.08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1.70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2.80</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3.17</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3.19</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3.15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2.97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2.54</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highlight w:val="yellow"/>
                      <w:u w:val="wave"/>
                    </w:rPr>
                  </w:pPr>
                  <w:r>
                    <w:rPr>
                      <w:rFonts w:hint="default" w:ascii="Times New Roman" w:hAnsi="Times New Roman" w:eastAsia="宋体" w:cs="Times New Roman"/>
                      <w:i w:val="0"/>
                      <w:color w:val="000000"/>
                      <w:kern w:val="0"/>
                      <w:sz w:val="18"/>
                      <w:szCs w:val="18"/>
                      <w:u w:val="wave"/>
                      <w:lang w:val="en-US" w:eastAsia="zh-CN" w:bidi="ar"/>
                    </w:rPr>
                    <w:t>2.17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270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0.14</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0.58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0.99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1.96</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2.49</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2.61</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2.61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2.65</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2.62</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2.36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396" w:hRule="atLeast"/>
                <w:jc w:val="center"/>
              </w:trPr>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300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0.00</w:t>
                  </w:r>
                </w:p>
              </w:tc>
              <w:tc>
                <w:tcPr>
                  <w:tcW w:w="5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0.05</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0.24</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0.46</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1.13</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1.68</w:t>
                  </w:r>
                </w:p>
              </w:tc>
              <w:tc>
                <w:tcPr>
                  <w:tcW w:w="54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1.87</w:t>
                  </w:r>
                </w:p>
              </w:tc>
              <w:tc>
                <w:tcPr>
                  <w:tcW w:w="5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1.88</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1.99</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2.11</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2.07</w:t>
                  </w:r>
                </w:p>
              </w:tc>
              <w:tc>
                <w:tcPr>
                  <w:tcW w:w="5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18"/>
                      <w:szCs w:val="18"/>
                      <w:u w:val="wave"/>
                      <w:lang w:val="en-US" w:eastAsia="zh-CN" w:bidi="ar"/>
                    </w:rPr>
                  </w:pPr>
                  <w:r>
                    <w:rPr>
                      <w:rFonts w:hint="default" w:ascii="Times New Roman" w:hAnsi="Times New Roman" w:eastAsia="宋体" w:cs="Times New Roman"/>
                      <w:i w:val="0"/>
                      <w:color w:val="000000"/>
                      <w:kern w:val="0"/>
                      <w:sz w:val="18"/>
                      <w:szCs w:val="18"/>
                      <w:u w:val="wave"/>
                      <w:lang w:val="en-US" w:eastAsia="zh-CN" w:bidi="ar"/>
                    </w:rPr>
                    <w:t>1.89</w:t>
                  </w:r>
                </w:p>
              </w:tc>
            </w:tr>
          </w:tbl>
          <w:p>
            <w:pPr>
              <w:keepNext w:val="0"/>
              <w:keepLines/>
              <w:pageBreakBefore w:val="0"/>
              <w:widowControl/>
              <w:kinsoku/>
              <w:wordWrap/>
              <w:overflowPunct/>
              <w:topLinePunct w:val="0"/>
              <w:autoSpaceDE/>
              <w:autoSpaceDN/>
              <w:bidi w:val="0"/>
              <w:adjustRightInd/>
              <w:snapToGrid/>
              <w:spacing w:line="360" w:lineRule="auto"/>
              <w:ind w:left="0" w:leftChars="0" w:right="0" w:rightChars="0"/>
              <w:jc w:val="both"/>
              <w:textAlignment w:val="auto"/>
              <w:outlineLvl w:val="9"/>
              <w:rPr>
                <w:b/>
                <w:color w:val="auto"/>
                <w:kern w:val="0"/>
                <w:sz w:val="21"/>
                <w:szCs w:val="21"/>
                <w:highlight w:val="none"/>
                <w:u w:val="wave"/>
              </w:rPr>
            </w:pPr>
            <w:r>
              <w:rPr>
                <w:b/>
                <w:color w:val="auto"/>
                <w:kern w:val="0"/>
                <w:sz w:val="21"/>
                <w:szCs w:val="21"/>
                <w:highlight w:val="none"/>
                <w:u w:val="wave"/>
              </w:rPr>
              <w:t>注：</w:t>
            </w:r>
            <w:r>
              <w:rPr>
                <w:rFonts w:hint="eastAsia" w:ascii="宋体" w:hAnsi="宋体" w:cs="宋体"/>
                <w:b/>
                <w:color w:val="auto"/>
                <w:kern w:val="0"/>
                <w:sz w:val="21"/>
                <w:szCs w:val="21"/>
                <w:highlight w:val="none"/>
                <w:u w:val="wave"/>
              </w:rPr>
              <w:t>①</w:t>
            </w:r>
            <w:r>
              <w:rPr>
                <w:b/>
                <w:color w:val="auto"/>
                <w:kern w:val="0"/>
                <w:sz w:val="21"/>
                <w:szCs w:val="21"/>
                <w:highlight w:val="none"/>
                <w:u w:val="wave"/>
              </w:rPr>
              <w:t>“X”以天线为原点水平方向的距离；“Y”以天线</w:t>
            </w:r>
            <w:r>
              <w:rPr>
                <w:rFonts w:hint="eastAsia"/>
                <w:b/>
                <w:color w:val="auto"/>
                <w:kern w:val="0"/>
                <w:sz w:val="21"/>
                <w:szCs w:val="21"/>
                <w:highlight w:val="none"/>
                <w:u w:val="wave"/>
                <w:lang w:eastAsia="zh-CN"/>
              </w:rPr>
              <w:t>塔基</w:t>
            </w:r>
            <w:r>
              <w:rPr>
                <w:b/>
                <w:color w:val="auto"/>
                <w:kern w:val="0"/>
                <w:sz w:val="21"/>
                <w:szCs w:val="21"/>
                <w:highlight w:val="none"/>
                <w:u w:val="wave"/>
              </w:rPr>
              <w:t>所在</w:t>
            </w:r>
            <w:r>
              <w:rPr>
                <w:rFonts w:hint="eastAsia"/>
                <w:b/>
                <w:color w:val="auto"/>
                <w:kern w:val="0"/>
                <w:sz w:val="21"/>
                <w:szCs w:val="21"/>
                <w:highlight w:val="none"/>
                <w:u w:val="wave"/>
                <w:lang w:eastAsia="zh-CN"/>
              </w:rPr>
              <w:t>平面</w:t>
            </w:r>
            <w:r>
              <w:rPr>
                <w:b/>
                <w:color w:val="auto"/>
                <w:kern w:val="0"/>
                <w:sz w:val="21"/>
                <w:szCs w:val="21"/>
                <w:highlight w:val="none"/>
                <w:u w:val="wave"/>
              </w:rPr>
              <w:t>为零点。</w:t>
            </w:r>
          </w:p>
          <w:p>
            <w:pPr>
              <w:keepNext w:val="0"/>
              <w:keepLines/>
              <w:pageBreakBefore w:val="0"/>
              <w:widowControl/>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9"/>
              <w:rPr>
                <w:b/>
                <w:color w:val="auto"/>
                <w:kern w:val="0"/>
                <w:sz w:val="21"/>
                <w:szCs w:val="21"/>
                <w:highlight w:val="none"/>
                <w:u w:val="wave"/>
              </w:rPr>
            </w:pPr>
            <w:r>
              <w:rPr>
                <w:rFonts w:hint="eastAsia" w:ascii="宋体" w:hAnsi="宋体" w:cs="宋体"/>
                <w:b/>
                <w:color w:val="auto"/>
                <w:kern w:val="0"/>
                <w:sz w:val="21"/>
                <w:szCs w:val="21"/>
                <w:highlight w:val="none"/>
                <w:u w:val="wave"/>
              </w:rPr>
              <w:t>②</w:t>
            </w:r>
            <w:r>
              <w:rPr>
                <w:b/>
                <w:color w:val="auto"/>
                <w:kern w:val="0"/>
                <w:sz w:val="21"/>
                <w:szCs w:val="21"/>
                <w:highlight w:val="none"/>
                <w:u w:val="wave"/>
              </w:rPr>
              <w:t>本项目的所有计算均没有考虑损耗，以最不利的情况进行计算。</w:t>
            </w:r>
          </w:p>
          <w:p>
            <w:pPr>
              <w:keepNext w:val="0"/>
              <w:keepLines/>
              <w:pageBreakBefore w:val="0"/>
              <w:widowControl/>
              <w:kinsoku/>
              <w:wordWrap/>
              <w:overflowPunct/>
              <w:topLinePunct w:val="0"/>
              <w:autoSpaceDE/>
              <w:autoSpaceDN/>
              <w:bidi w:val="0"/>
              <w:adjustRightInd/>
              <w:snapToGrid/>
              <w:spacing w:line="360" w:lineRule="auto"/>
              <w:ind w:left="0" w:leftChars="0" w:right="0" w:rightChars="0" w:firstLine="464" w:firstLineChars="200"/>
              <w:jc w:val="both"/>
              <w:textAlignment w:val="auto"/>
              <w:outlineLvl w:val="9"/>
              <w:rPr>
                <w:color w:val="auto"/>
                <w:spacing w:val="-4"/>
                <w:szCs w:val="24"/>
                <w:highlight w:val="none"/>
                <w:u w:val="wave"/>
              </w:rPr>
            </w:pPr>
            <w:r>
              <w:rPr>
                <w:color w:val="auto"/>
                <w:spacing w:val="-4"/>
                <w:szCs w:val="24"/>
                <w:highlight w:val="none"/>
                <w:u w:val="wave"/>
              </w:rPr>
              <w:t>根据表</w:t>
            </w:r>
            <w:r>
              <w:rPr>
                <w:rFonts w:hint="eastAsia"/>
                <w:color w:val="auto"/>
                <w:spacing w:val="-4"/>
                <w:szCs w:val="24"/>
                <w:highlight w:val="none"/>
                <w:u w:val="wave"/>
                <w:lang w:eastAsia="zh-CN"/>
              </w:rPr>
              <w:t>7</w:t>
            </w:r>
            <w:r>
              <w:rPr>
                <w:color w:val="auto"/>
                <w:spacing w:val="-4"/>
                <w:szCs w:val="24"/>
                <w:highlight w:val="none"/>
                <w:u w:val="wave"/>
              </w:rPr>
              <w:t>-3的预测结果，可绘制发射塔理论预测结果图，如图</w:t>
            </w:r>
            <w:r>
              <w:rPr>
                <w:rFonts w:hint="eastAsia"/>
                <w:color w:val="auto"/>
                <w:spacing w:val="-4"/>
                <w:szCs w:val="24"/>
                <w:highlight w:val="none"/>
                <w:u w:val="wave"/>
                <w:lang w:eastAsia="zh-CN"/>
              </w:rPr>
              <w:t>7</w:t>
            </w:r>
            <w:r>
              <w:rPr>
                <w:color w:val="auto"/>
                <w:spacing w:val="-4"/>
                <w:szCs w:val="24"/>
                <w:highlight w:val="none"/>
                <w:u w:val="wave"/>
              </w:rPr>
              <w:t>-</w:t>
            </w:r>
            <w:r>
              <w:rPr>
                <w:rFonts w:hint="eastAsia"/>
                <w:color w:val="auto"/>
                <w:spacing w:val="-4"/>
                <w:szCs w:val="24"/>
                <w:highlight w:val="none"/>
                <w:u w:val="wave"/>
                <w:lang w:val="en-US" w:eastAsia="zh-CN"/>
              </w:rPr>
              <w:t>3</w:t>
            </w:r>
            <w:r>
              <w:rPr>
                <w:color w:val="auto"/>
                <w:spacing w:val="-4"/>
                <w:szCs w:val="24"/>
                <w:highlight w:val="none"/>
                <w:u w:val="wave"/>
              </w:rPr>
              <w:t>。</w:t>
            </w:r>
          </w:p>
          <w:p>
            <w:pPr>
              <w:keepLines/>
              <w:widowControl/>
              <w:jc w:val="both"/>
              <w:rPr>
                <w:color w:val="auto"/>
                <w:spacing w:val="-4"/>
                <w:szCs w:val="24"/>
                <w:highlight w:val="yellow"/>
                <w:u w:val="wave"/>
              </w:rPr>
            </w:pPr>
            <w:r>
              <w:rPr>
                <w:u w:val="wave"/>
              </w:rPr>
              <w:drawing>
                <wp:inline distT="0" distB="0" distL="114300" distR="114300">
                  <wp:extent cx="5457190" cy="3419475"/>
                  <wp:effectExtent l="4445" t="4445" r="5715" b="5080"/>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center"/>
              <w:rPr>
                <w:b/>
                <w:bCs/>
                <w:color w:val="auto"/>
                <w:highlight w:val="none"/>
                <w:u w:val="wave"/>
              </w:rPr>
            </w:pPr>
            <w:r>
              <w:rPr>
                <w:b/>
                <w:bCs/>
                <w:color w:val="auto"/>
                <w:highlight w:val="none"/>
                <w:u w:val="wave"/>
              </w:rPr>
              <w:t>（1）发射天线在各</w:t>
            </w:r>
            <w:r>
              <w:rPr>
                <w:rFonts w:hint="eastAsia"/>
                <w:b/>
                <w:bCs/>
                <w:color w:val="auto"/>
                <w:highlight w:val="none"/>
                <w:u w:val="wave"/>
                <w:lang w:eastAsia="zh-CN"/>
              </w:rPr>
              <w:t>水平</w:t>
            </w:r>
            <w:r>
              <w:rPr>
                <w:b/>
                <w:bCs/>
                <w:color w:val="auto"/>
                <w:highlight w:val="none"/>
                <w:u w:val="wave"/>
              </w:rPr>
              <w:t>距离上电场强度值随距离的变化趋势</w:t>
            </w:r>
            <w:r>
              <w:rPr>
                <w:rFonts w:hint="eastAsia"/>
                <w:b/>
                <w:bCs/>
                <w:color w:val="auto"/>
                <w:highlight w:val="none"/>
                <w:u w:val="wave"/>
                <w:lang w:eastAsia="zh-CN"/>
              </w:rPr>
              <w:t>（</w:t>
            </w:r>
            <w:r>
              <w:rPr>
                <w:rFonts w:hint="eastAsia"/>
                <w:b/>
                <w:bCs/>
                <w:color w:val="auto"/>
                <w:highlight w:val="none"/>
                <w:u w:val="wave"/>
                <w:lang w:val="en-US" w:eastAsia="zh-CN"/>
              </w:rPr>
              <w:t>-50m~151m</w:t>
            </w:r>
            <w:r>
              <w:rPr>
                <w:rFonts w:hint="eastAsia"/>
                <w:b/>
                <w:bCs/>
                <w:color w:val="auto"/>
                <w:highlight w:val="none"/>
                <w:u w:val="wave"/>
                <w:lang w:eastAsia="zh-CN"/>
              </w:rPr>
              <w:t>）</w:t>
            </w:r>
          </w:p>
          <w:p>
            <w:pPr>
              <w:keepLines/>
              <w:widowControl/>
              <w:jc w:val="center"/>
              <w:rPr>
                <w:color w:val="auto"/>
                <w:spacing w:val="-4"/>
                <w:szCs w:val="24"/>
                <w:highlight w:val="yellow"/>
                <w:u w:val="wave"/>
              </w:rPr>
            </w:pPr>
            <w:r>
              <w:rPr>
                <w:u w:val="wave"/>
              </w:rPr>
              <w:drawing>
                <wp:inline distT="0" distB="0" distL="114300" distR="114300">
                  <wp:extent cx="5442585" cy="3547110"/>
                  <wp:effectExtent l="4445" t="4445" r="20320" b="1079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rPr>
                <w:b/>
                <w:bCs/>
                <w:color w:val="auto"/>
                <w:highlight w:val="none"/>
                <w:u w:val="wave"/>
              </w:rPr>
            </w:pPr>
            <w:r>
              <w:rPr>
                <w:b/>
                <w:bCs/>
                <w:color w:val="auto"/>
                <w:highlight w:val="none"/>
                <w:u w:val="wave"/>
              </w:rPr>
              <w:t>（</w:t>
            </w:r>
            <w:r>
              <w:rPr>
                <w:rFonts w:hint="eastAsia"/>
                <w:b/>
                <w:bCs/>
                <w:color w:val="auto"/>
                <w:highlight w:val="none"/>
                <w:u w:val="wave"/>
                <w:lang w:val="en-US" w:eastAsia="zh-CN"/>
              </w:rPr>
              <w:t>2</w:t>
            </w:r>
            <w:r>
              <w:rPr>
                <w:b/>
                <w:bCs/>
                <w:color w:val="auto"/>
                <w:highlight w:val="none"/>
                <w:u w:val="wave"/>
              </w:rPr>
              <w:t>）发射天线在各</w:t>
            </w:r>
            <w:r>
              <w:rPr>
                <w:rFonts w:hint="eastAsia"/>
                <w:b/>
                <w:bCs/>
                <w:color w:val="auto"/>
                <w:highlight w:val="none"/>
                <w:u w:val="wave"/>
                <w:lang w:eastAsia="zh-CN"/>
              </w:rPr>
              <w:t>水平</w:t>
            </w:r>
            <w:r>
              <w:rPr>
                <w:b/>
                <w:bCs/>
                <w:color w:val="auto"/>
                <w:highlight w:val="none"/>
                <w:u w:val="wave"/>
              </w:rPr>
              <w:t>距离上电场强度值随距离的变化趋势</w:t>
            </w:r>
            <w:r>
              <w:rPr>
                <w:rFonts w:hint="eastAsia"/>
                <w:b/>
                <w:bCs/>
                <w:color w:val="auto"/>
                <w:highlight w:val="none"/>
                <w:u w:val="wave"/>
                <w:lang w:eastAsia="zh-CN"/>
              </w:rPr>
              <w:t>（</w:t>
            </w:r>
            <w:r>
              <w:rPr>
                <w:rFonts w:hint="eastAsia"/>
                <w:b/>
                <w:bCs/>
                <w:color w:val="auto"/>
                <w:highlight w:val="none"/>
                <w:u w:val="wave"/>
                <w:lang w:val="en-US" w:eastAsia="zh-CN"/>
              </w:rPr>
              <w:t>176m~300m</w:t>
            </w:r>
            <w:r>
              <w:rPr>
                <w:rFonts w:hint="eastAsia"/>
                <w:b/>
                <w:bCs/>
                <w:color w:val="auto"/>
                <w:highlight w:val="none"/>
                <w:u w:val="wave"/>
                <w:lang w:eastAsia="zh-CN"/>
              </w:rPr>
              <w:t>）</w:t>
            </w:r>
          </w:p>
          <w:p>
            <w:pPr>
              <w:jc w:val="center"/>
              <w:rPr>
                <w:b/>
                <w:bCs/>
                <w:color w:val="auto"/>
                <w:highlight w:val="none"/>
                <w:u w:val="wave"/>
              </w:rPr>
            </w:pPr>
            <w:r>
              <w:rPr>
                <w:u w:val="wave"/>
              </w:rPr>
              <w:drawing>
                <wp:inline distT="0" distB="0" distL="114300" distR="114300">
                  <wp:extent cx="4838700" cy="2942590"/>
                  <wp:effectExtent l="4445" t="4445" r="14605" b="57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b/>
                <w:bCs/>
                <w:color w:val="auto"/>
                <w:highlight w:val="none"/>
                <w:u w:val="wave"/>
              </w:rPr>
            </w:pPr>
            <w:r>
              <w:rPr>
                <w:b/>
                <w:bCs/>
                <w:color w:val="auto"/>
                <w:highlight w:val="none"/>
                <w:u w:val="wave"/>
              </w:rPr>
              <w:t>（</w:t>
            </w:r>
            <w:r>
              <w:rPr>
                <w:rFonts w:hint="eastAsia"/>
                <w:b/>
                <w:bCs/>
                <w:color w:val="auto"/>
                <w:highlight w:val="none"/>
                <w:u w:val="wave"/>
                <w:lang w:val="en-US" w:eastAsia="zh-CN"/>
              </w:rPr>
              <w:t>3</w:t>
            </w:r>
            <w:r>
              <w:rPr>
                <w:b/>
                <w:bCs/>
                <w:color w:val="auto"/>
                <w:highlight w:val="none"/>
                <w:u w:val="wave"/>
              </w:rPr>
              <w:t>）发射天线在</w:t>
            </w:r>
            <w:r>
              <w:rPr>
                <w:rFonts w:hint="eastAsia"/>
                <w:b/>
                <w:bCs/>
                <w:color w:val="auto"/>
                <w:highlight w:val="none"/>
                <w:u w:val="wave"/>
                <w:lang w:eastAsia="zh-CN"/>
              </w:rPr>
              <w:t>水平距离</w:t>
            </w:r>
            <w:r>
              <w:rPr>
                <w:rFonts w:hint="eastAsia"/>
                <w:b/>
                <w:bCs/>
                <w:color w:val="auto"/>
                <w:highlight w:val="none"/>
                <w:u w:val="wave"/>
                <w:lang w:val="en-US" w:eastAsia="zh-CN"/>
              </w:rPr>
              <w:t>227m处电场强度随垂直距离变化趋势</w:t>
            </w:r>
          </w:p>
          <w:p>
            <w:pPr>
              <w:jc w:val="center"/>
              <w:rPr>
                <w:b/>
                <w:bCs/>
                <w:color w:val="auto"/>
                <w:highlight w:val="none"/>
                <w:u w:val="wave"/>
              </w:rPr>
            </w:pPr>
            <w:r>
              <w:rPr>
                <w:u w:val="wave"/>
              </w:rPr>
              <w:drawing>
                <wp:inline distT="0" distB="0" distL="114300" distR="114300">
                  <wp:extent cx="4572000" cy="2743200"/>
                  <wp:effectExtent l="4445" t="4445" r="14605" b="14605"/>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center"/>
              <w:rPr>
                <w:b/>
                <w:bCs/>
                <w:color w:val="auto"/>
                <w:highlight w:val="none"/>
                <w:u w:val="wave"/>
              </w:rPr>
            </w:pPr>
            <w:r>
              <w:rPr>
                <w:b/>
                <w:bCs/>
                <w:color w:val="auto"/>
                <w:highlight w:val="none"/>
                <w:u w:val="wave"/>
              </w:rPr>
              <w:t>（</w:t>
            </w:r>
            <w:r>
              <w:rPr>
                <w:rFonts w:hint="eastAsia"/>
                <w:b/>
                <w:bCs/>
                <w:color w:val="auto"/>
                <w:highlight w:val="none"/>
                <w:u w:val="wave"/>
                <w:lang w:val="en-US" w:eastAsia="zh-CN"/>
              </w:rPr>
              <w:t>4</w:t>
            </w:r>
            <w:r>
              <w:rPr>
                <w:b/>
                <w:bCs/>
                <w:color w:val="auto"/>
                <w:highlight w:val="none"/>
                <w:u w:val="wave"/>
              </w:rPr>
              <w:t>）发射天线在</w:t>
            </w:r>
            <w:r>
              <w:rPr>
                <w:rFonts w:hint="eastAsia"/>
                <w:b/>
                <w:bCs/>
                <w:color w:val="auto"/>
                <w:highlight w:val="none"/>
                <w:u w:val="wave"/>
                <w:lang w:eastAsia="zh-CN"/>
              </w:rPr>
              <w:t>垂直距离</w:t>
            </w:r>
            <w:r>
              <w:rPr>
                <w:rFonts w:hint="eastAsia"/>
                <w:b/>
                <w:bCs/>
                <w:color w:val="auto"/>
                <w:highlight w:val="none"/>
                <w:u w:val="wave"/>
                <w:lang w:val="en-US" w:eastAsia="zh-CN"/>
              </w:rPr>
              <w:t>91m处电场强度随水平距离变化趋势</w:t>
            </w:r>
          </w:p>
          <w:p>
            <w:pPr>
              <w:jc w:val="center"/>
              <w:rPr>
                <w:color w:val="auto"/>
                <w:szCs w:val="24"/>
                <w:highlight w:val="none"/>
                <w:u w:val="wave"/>
              </w:rPr>
            </w:pPr>
            <w:r>
              <w:rPr>
                <w:b/>
                <w:bCs/>
                <w:color w:val="auto"/>
                <w:highlight w:val="none"/>
                <w:u w:val="wave"/>
              </w:rPr>
              <w:t>图</w:t>
            </w:r>
            <w:r>
              <w:rPr>
                <w:rFonts w:hint="eastAsia"/>
                <w:b/>
                <w:bCs/>
                <w:color w:val="auto"/>
                <w:highlight w:val="none"/>
                <w:u w:val="wave"/>
                <w:lang w:eastAsia="zh-CN"/>
              </w:rPr>
              <w:t>7</w:t>
            </w:r>
            <w:r>
              <w:rPr>
                <w:b/>
                <w:bCs/>
                <w:color w:val="auto"/>
                <w:highlight w:val="none"/>
                <w:u w:val="wave"/>
              </w:rPr>
              <w:t>-</w:t>
            </w:r>
            <w:r>
              <w:rPr>
                <w:rFonts w:hint="eastAsia"/>
                <w:b/>
                <w:bCs/>
                <w:color w:val="auto"/>
                <w:highlight w:val="none"/>
                <w:u w:val="wave"/>
                <w:lang w:val="en-US" w:eastAsia="zh-CN"/>
              </w:rPr>
              <w:t>3</w:t>
            </w:r>
            <w:r>
              <w:rPr>
                <w:b/>
                <w:bCs/>
                <w:color w:val="auto"/>
                <w:highlight w:val="none"/>
                <w:u w:val="wave"/>
              </w:rPr>
              <w:t xml:space="preserve"> 发射天线理论电场强度预测值</w:t>
            </w:r>
          </w:p>
          <w:p>
            <w:pPr>
              <w:keepLines/>
              <w:widowControl/>
              <w:ind w:firstLine="480" w:firstLineChars="200"/>
              <w:rPr>
                <w:color w:val="auto"/>
                <w:spacing w:val="-4"/>
                <w:szCs w:val="24"/>
                <w:highlight w:val="none"/>
                <w:u w:val="wave"/>
              </w:rPr>
            </w:pPr>
            <w:r>
              <w:rPr>
                <w:color w:val="auto"/>
                <w:szCs w:val="24"/>
                <w:highlight w:val="none"/>
                <w:u w:val="wave"/>
              </w:rPr>
              <w:t xml:space="preserve"> </w:t>
            </w:r>
            <w:r>
              <w:rPr>
                <w:color w:val="auto"/>
                <w:spacing w:val="-4"/>
                <w:szCs w:val="24"/>
                <w:highlight w:val="none"/>
                <w:u w:val="wave"/>
              </w:rPr>
              <w:t>从预测的电场强度可以看出，在距天线垂直高度</w:t>
            </w:r>
            <w:r>
              <w:rPr>
                <w:rFonts w:hint="eastAsia"/>
                <w:color w:val="auto"/>
                <w:spacing w:val="-4"/>
                <w:szCs w:val="24"/>
                <w:highlight w:val="none"/>
                <w:u w:val="wave"/>
                <w:lang w:val="en-US" w:eastAsia="zh-CN"/>
              </w:rPr>
              <w:t>91</w:t>
            </w:r>
            <w:r>
              <w:rPr>
                <w:color w:val="auto"/>
                <w:spacing w:val="-4"/>
                <w:szCs w:val="24"/>
                <w:highlight w:val="none"/>
                <w:u w:val="wave"/>
              </w:rPr>
              <w:t>m以下，或水平距离</w:t>
            </w:r>
            <w:r>
              <w:rPr>
                <w:rFonts w:hint="eastAsia"/>
                <w:color w:val="auto"/>
                <w:spacing w:val="-4"/>
                <w:szCs w:val="24"/>
                <w:highlight w:val="none"/>
                <w:u w:val="wave"/>
                <w:lang w:val="en-US" w:eastAsia="zh-CN"/>
              </w:rPr>
              <w:t>227</w:t>
            </w:r>
            <w:r>
              <w:rPr>
                <w:color w:val="auto"/>
                <w:spacing w:val="-4"/>
                <w:szCs w:val="24"/>
                <w:highlight w:val="none"/>
                <w:u w:val="wave"/>
              </w:rPr>
              <w:t>m范围以外区域的电场强度</w:t>
            </w:r>
            <w:r>
              <w:rPr>
                <w:szCs w:val="24"/>
                <w:highlight w:val="none"/>
                <w:u w:val="wave"/>
              </w:rPr>
              <w:t>满足评价标准《电磁环境控制限值》（GB8702-2014）中公众曝露控制限值，即电场强度为</w:t>
            </w:r>
            <w:r>
              <w:rPr>
                <w:rFonts w:hint="eastAsia"/>
                <w:szCs w:val="24"/>
                <w:highlight w:val="none"/>
                <w:u w:val="wave"/>
                <w:lang w:val="en-US" w:eastAsia="zh-CN"/>
              </w:rPr>
              <w:t>5.37</w:t>
            </w:r>
            <w:r>
              <w:rPr>
                <w:szCs w:val="24"/>
                <w:highlight w:val="none"/>
                <w:u w:val="wave"/>
              </w:rPr>
              <w:t>V/m</w:t>
            </w:r>
            <w:r>
              <w:rPr>
                <w:rFonts w:hint="eastAsia"/>
                <w:szCs w:val="24"/>
                <w:highlight w:val="none"/>
                <w:u w:val="wave"/>
                <w:lang w:eastAsia="zh-CN"/>
              </w:rPr>
              <w:t>；根据现场踏勘实际情况以及建设单位提供资料，本项目周边</w:t>
            </w:r>
            <w:r>
              <w:rPr>
                <w:rFonts w:hint="eastAsia"/>
                <w:szCs w:val="24"/>
                <w:highlight w:val="none"/>
                <w:u w:val="wave"/>
                <w:lang w:val="en-US" w:eastAsia="zh-CN"/>
              </w:rPr>
              <w:t>227m范围内，东南西三侧现均为孔家溶社区居民点民房，均为2~3层，建筑高度7~12m，北侧现为空地、农田，暂未规划，而本项目占地已经取得常德市鼎城区国土资源局关于本项目建设用地批准书。</w:t>
            </w:r>
          </w:p>
          <w:p>
            <w:pPr>
              <w:keepLines/>
              <w:widowControl/>
              <w:ind w:firstLine="480" w:firstLineChars="200"/>
              <w:rPr>
                <w:color w:val="auto"/>
                <w:szCs w:val="24"/>
                <w:highlight w:val="none"/>
                <w:u w:val="wave"/>
              </w:rPr>
            </w:pPr>
            <w:r>
              <w:rPr>
                <w:color w:val="auto"/>
                <w:szCs w:val="24"/>
                <w:highlight w:val="none"/>
                <w:u w:val="wave"/>
              </w:rPr>
              <w:t>从预测值计算结果可得，本环评建议：</w:t>
            </w:r>
          </w:p>
          <w:p>
            <w:pPr>
              <w:keepLines/>
              <w:widowControl/>
              <w:ind w:firstLine="480" w:firstLineChars="200"/>
              <w:rPr>
                <w:color w:val="auto"/>
                <w:szCs w:val="24"/>
                <w:highlight w:val="none"/>
                <w:u w:val="wave"/>
              </w:rPr>
            </w:pPr>
            <w:r>
              <w:rPr>
                <w:rFonts w:hint="eastAsia" w:ascii="宋体" w:hAnsi="宋体" w:cs="宋体"/>
                <w:color w:val="auto"/>
                <w:szCs w:val="24"/>
                <w:highlight w:val="none"/>
                <w:u w:val="wave"/>
              </w:rPr>
              <w:t>①</w:t>
            </w:r>
            <w:r>
              <w:rPr>
                <w:color w:val="auto"/>
                <w:szCs w:val="24"/>
                <w:highlight w:val="none"/>
                <w:u w:val="wave"/>
              </w:rPr>
              <w:t>发射塔周围约</w:t>
            </w:r>
            <w:r>
              <w:rPr>
                <w:rFonts w:hint="eastAsia"/>
                <w:color w:val="auto"/>
                <w:szCs w:val="24"/>
                <w:highlight w:val="none"/>
                <w:u w:val="wave"/>
                <w:lang w:val="en-US" w:eastAsia="zh-CN"/>
              </w:rPr>
              <w:t>227</w:t>
            </w:r>
            <w:r>
              <w:rPr>
                <w:color w:val="auto"/>
                <w:szCs w:val="24"/>
                <w:highlight w:val="none"/>
                <w:u w:val="wave"/>
              </w:rPr>
              <w:t>m 范围内不能再新建超过</w:t>
            </w:r>
            <w:r>
              <w:rPr>
                <w:rFonts w:hint="eastAsia"/>
                <w:color w:val="auto"/>
                <w:szCs w:val="24"/>
                <w:highlight w:val="none"/>
                <w:u w:val="wave"/>
                <w:lang w:val="en-US" w:eastAsia="zh-CN"/>
              </w:rPr>
              <w:t>91</w:t>
            </w:r>
            <w:r>
              <w:rPr>
                <w:color w:val="auto"/>
                <w:szCs w:val="24"/>
                <w:highlight w:val="none"/>
                <w:u w:val="wave"/>
              </w:rPr>
              <w:t>m 的建筑物</w:t>
            </w:r>
            <w:r>
              <w:rPr>
                <w:rFonts w:hint="eastAsia"/>
                <w:color w:val="auto"/>
                <w:szCs w:val="24"/>
                <w:highlight w:val="none"/>
                <w:u w:val="wave"/>
                <w:lang w:eastAsia="zh-CN"/>
              </w:rPr>
              <w:t>（不得新建海拔超过</w:t>
            </w:r>
            <w:r>
              <w:rPr>
                <w:rFonts w:hint="eastAsia"/>
                <w:color w:val="auto"/>
                <w:szCs w:val="24"/>
                <w:highlight w:val="none"/>
                <w:u w:val="wave"/>
                <w:lang w:val="en-US" w:eastAsia="zh-CN"/>
              </w:rPr>
              <w:t>91m+32m=123m的建筑</w:t>
            </w:r>
            <w:r>
              <w:rPr>
                <w:rFonts w:hint="eastAsia"/>
                <w:color w:val="auto"/>
                <w:szCs w:val="24"/>
                <w:highlight w:val="none"/>
                <w:u w:val="wave"/>
                <w:lang w:eastAsia="zh-CN"/>
              </w:rPr>
              <w:t>）</w:t>
            </w:r>
            <w:r>
              <w:rPr>
                <w:color w:val="auto"/>
                <w:szCs w:val="24"/>
                <w:highlight w:val="none"/>
                <w:u w:val="wave"/>
              </w:rPr>
              <w:t>；如需在近场区修建专用设施建筑，应该进行电磁环境监测；</w:t>
            </w:r>
          </w:p>
          <w:p>
            <w:pPr>
              <w:keepLines/>
              <w:widowControl/>
              <w:ind w:firstLine="480" w:firstLineChars="200"/>
              <w:rPr>
                <w:color w:val="auto"/>
                <w:szCs w:val="24"/>
                <w:highlight w:val="none"/>
                <w:u w:val="wave"/>
              </w:rPr>
            </w:pPr>
            <w:r>
              <w:rPr>
                <w:rFonts w:hint="eastAsia" w:ascii="宋体" w:hAnsi="宋体" w:cs="宋体"/>
                <w:color w:val="auto"/>
                <w:szCs w:val="24"/>
                <w:highlight w:val="none"/>
                <w:u w:val="wave"/>
              </w:rPr>
              <w:t>②</w:t>
            </w:r>
            <w:r>
              <w:rPr>
                <w:color w:val="auto"/>
                <w:szCs w:val="24"/>
                <w:highlight w:val="none"/>
                <w:u w:val="wave"/>
              </w:rPr>
              <w:t>发射塔周围</w:t>
            </w:r>
            <w:r>
              <w:rPr>
                <w:rFonts w:hint="eastAsia"/>
                <w:color w:val="auto"/>
                <w:szCs w:val="24"/>
                <w:highlight w:val="none"/>
                <w:u w:val="wave"/>
                <w:lang w:val="en-US" w:eastAsia="zh-CN"/>
              </w:rPr>
              <w:t>500</w:t>
            </w:r>
            <w:r>
              <w:rPr>
                <w:color w:val="auto"/>
                <w:szCs w:val="24"/>
                <w:highlight w:val="none"/>
                <w:u w:val="wave"/>
              </w:rPr>
              <w:t>m内新建敏感项目（如含有精密仪器设备的工厂、医院、住宅等）需要监测电磁环境背景值。</w:t>
            </w:r>
          </w:p>
          <w:p>
            <w:pPr>
              <w:keepLines/>
              <w:widowControl/>
              <w:ind w:firstLine="464" w:firstLineChars="200"/>
              <w:rPr>
                <w:color w:val="auto"/>
                <w:spacing w:val="-4"/>
                <w:szCs w:val="24"/>
                <w:highlight w:val="none"/>
              </w:rPr>
            </w:pPr>
            <w:r>
              <w:rPr>
                <w:color w:val="auto"/>
                <w:spacing w:val="-4"/>
                <w:szCs w:val="24"/>
                <w:highlight w:val="none"/>
              </w:rPr>
              <w:t>2）评价范围内敏感点的电磁强度</w:t>
            </w:r>
            <w:r>
              <w:rPr>
                <w:rFonts w:hint="eastAsia"/>
                <w:color w:val="auto"/>
                <w:spacing w:val="-4"/>
                <w:szCs w:val="24"/>
                <w:highlight w:val="none"/>
                <w:lang w:eastAsia="zh-CN"/>
              </w:rPr>
              <w:t>预测</w:t>
            </w:r>
            <w:r>
              <w:rPr>
                <w:color w:val="auto"/>
                <w:spacing w:val="-4"/>
                <w:szCs w:val="24"/>
                <w:highlight w:val="none"/>
              </w:rPr>
              <w:t>值：</w:t>
            </w:r>
          </w:p>
          <w:p>
            <w:pPr>
              <w:keepLines/>
              <w:widowControl/>
              <w:ind w:firstLine="480" w:firstLineChars="200"/>
              <w:rPr>
                <w:color w:val="auto"/>
                <w:spacing w:val="-4"/>
                <w:szCs w:val="24"/>
                <w:highlight w:val="none"/>
              </w:rPr>
            </w:pPr>
            <w:r>
              <w:rPr>
                <w:color w:val="auto"/>
                <w:kern w:val="0"/>
                <w:szCs w:val="24"/>
                <w:highlight w:val="none"/>
              </w:rPr>
              <w:t>根据现场勘察，该项目发射塔拟建位置评价范围内的敏感点主要为</w:t>
            </w:r>
            <w:r>
              <w:rPr>
                <w:color w:val="auto"/>
                <w:szCs w:val="24"/>
                <w:highlight w:val="none"/>
              </w:rPr>
              <w:t>居民楼等</w:t>
            </w:r>
            <w:r>
              <w:rPr>
                <w:color w:val="auto"/>
                <w:kern w:val="0"/>
                <w:szCs w:val="24"/>
                <w:highlight w:val="none"/>
              </w:rPr>
              <w:t>，</w:t>
            </w:r>
            <w:r>
              <w:rPr>
                <w:color w:val="auto"/>
                <w:spacing w:val="-4"/>
                <w:szCs w:val="24"/>
                <w:highlight w:val="none"/>
              </w:rPr>
              <w:t>预测周围敏感保护目标的电磁环境影响结果如</w:t>
            </w:r>
            <w:r>
              <w:rPr>
                <w:rFonts w:hint="eastAsia"/>
                <w:color w:val="auto"/>
                <w:spacing w:val="-4"/>
                <w:szCs w:val="24"/>
                <w:highlight w:val="none"/>
                <w:lang w:eastAsia="zh-CN"/>
              </w:rPr>
              <w:t>7</w:t>
            </w:r>
            <w:r>
              <w:rPr>
                <w:color w:val="auto"/>
                <w:spacing w:val="-4"/>
                <w:szCs w:val="24"/>
                <w:highlight w:val="none"/>
              </w:rPr>
              <w:t>-4。</w:t>
            </w:r>
          </w:p>
          <w:p>
            <w:pPr>
              <w:keepLines/>
              <w:widowControl/>
              <w:ind w:firstLine="464" w:firstLineChars="200"/>
              <w:rPr>
                <w:color w:val="auto"/>
                <w:spacing w:val="-4"/>
                <w:szCs w:val="24"/>
                <w:highlight w:val="none"/>
              </w:rPr>
            </w:pPr>
          </w:p>
          <w:p>
            <w:pPr>
              <w:keepLines/>
              <w:widowControl/>
              <w:ind w:firstLine="464" w:firstLineChars="200"/>
              <w:rPr>
                <w:color w:val="auto"/>
                <w:spacing w:val="-4"/>
                <w:szCs w:val="24"/>
                <w:highlight w:val="none"/>
              </w:rPr>
            </w:pPr>
          </w:p>
          <w:p>
            <w:pPr>
              <w:spacing w:line="440" w:lineRule="exact"/>
              <w:ind w:firstLine="480"/>
              <w:jc w:val="center"/>
              <w:rPr>
                <w:b/>
                <w:bCs/>
                <w:color w:val="auto"/>
                <w:sz w:val="21"/>
                <w:szCs w:val="21"/>
                <w:highlight w:val="none"/>
              </w:rPr>
            </w:pPr>
            <w:r>
              <w:rPr>
                <w:b/>
                <w:bCs/>
                <w:color w:val="auto"/>
                <w:highlight w:val="none"/>
              </w:rPr>
              <w:t>表</w:t>
            </w:r>
            <w:r>
              <w:rPr>
                <w:rFonts w:hint="eastAsia"/>
                <w:b/>
                <w:bCs/>
                <w:color w:val="auto"/>
                <w:highlight w:val="none"/>
                <w:lang w:eastAsia="zh-CN"/>
              </w:rPr>
              <w:t>7</w:t>
            </w:r>
            <w:r>
              <w:rPr>
                <w:b/>
                <w:bCs/>
                <w:color w:val="auto"/>
                <w:highlight w:val="none"/>
              </w:rPr>
              <w:t>-4   敏感点电场强度预测值</w:t>
            </w:r>
          </w:p>
          <w:tbl>
            <w:tblPr>
              <w:tblStyle w:val="35"/>
              <w:tblW w:w="85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594"/>
              <w:gridCol w:w="559"/>
              <w:gridCol w:w="936"/>
              <w:gridCol w:w="936"/>
              <w:gridCol w:w="981"/>
              <w:gridCol w:w="866"/>
              <w:gridCol w:w="732"/>
              <w:gridCol w:w="733"/>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466" w:type="dxa"/>
                  <w:tcBorders>
                    <w:tl2br w:val="nil"/>
                    <w:tr2bl w:val="nil"/>
                  </w:tcBorders>
                  <w:vAlign w:val="center"/>
                </w:tcPr>
                <w:p>
                  <w:pPr>
                    <w:spacing w:line="240" w:lineRule="atLeast"/>
                    <w:ind w:left="-120" w:leftChars="-50" w:right="-120" w:rightChars="-50"/>
                    <w:jc w:val="center"/>
                    <w:rPr>
                      <w:color w:val="auto"/>
                      <w:sz w:val="21"/>
                      <w:szCs w:val="21"/>
                      <w:highlight w:val="none"/>
                      <w:u w:val="wave"/>
                    </w:rPr>
                  </w:pPr>
                  <w:r>
                    <w:rPr>
                      <w:color w:val="auto"/>
                      <w:sz w:val="21"/>
                      <w:szCs w:val="21"/>
                      <w:highlight w:val="none"/>
                      <w:u w:val="wave"/>
                    </w:rPr>
                    <w:t>序号</w:t>
                  </w:r>
                </w:p>
              </w:tc>
              <w:tc>
                <w:tcPr>
                  <w:tcW w:w="1594" w:type="dxa"/>
                  <w:tcBorders>
                    <w:tl2br w:val="nil"/>
                    <w:tr2bl w:val="nil"/>
                  </w:tcBorders>
                  <w:vAlign w:val="center"/>
                </w:tcPr>
                <w:p>
                  <w:pPr>
                    <w:spacing w:line="240" w:lineRule="atLeast"/>
                    <w:ind w:left="-120" w:leftChars="-50" w:right="-120" w:rightChars="-50"/>
                    <w:jc w:val="center"/>
                    <w:rPr>
                      <w:color w:val="auto"/>
                      <w:sz w:val="21"/>
                      <w:szCs w:val="21"/>
                      <w:highlight w:val="none"/>
                      <w:u w:val="wave"/>
                    </w:rPr>
                  </w:pPr>
                  <w:r>
                    <w:rPr>
                      <w:color w:val="auto"/>
                      <w:sz w:val="21"/>
                      <w:highlight w:val="none"/>
                      <w:u w:val="wave"/>
                    </w:rPr>
                    <w:t>预测点</w:t>
                  </w:r>
                </w:p>
              </w:tc>
              <w:tc>
                <w:tcPr>
                  <w:tcW w:w="559" w:type="dxa"/>
                  <w:tcBorders>
                    <w:tl2br w:val="nil"/>
                    <w:tr2bl w:val="nil"/>
                  </w:tcBorders>
                  <w:vAlign w:val="center"/>
                </w:tcPr>
                <w:p>
                  <w:pPr>
                    <w:spacing w:line="240" w:lineRule="atLeast"/>
                    <w:ind w:left="-120" w:leftChars="-50" w:right="-120" w:rightChars="-50"/>
                    <w:jc w:val="center"/>
                    <w:rPr>
                      <w:color w:val="auto"/>
                      <w:sz w:val="21"/>
                      <w:szCs w:val="21"/>
                      <w:highlight w:val="none"/>
                      <w:u w:val="wave"/>
                    </w:rPr>
                  </w:pPr>
                  <w:r>
                    <w:rPr>
                      <w:color w:val="auto"/>
                      <w:sz w:val="21"/>
                      <w:highlight w:val="none"/>
                      <w:u w:val="wave"/>
                    </w:rPr>
                    <w:t>方位</w:t>
                  </w:r>
                </w:p>
              </w:tc>
              <w:tc>
                <w:tcPr>
                  <w:tcW w:w="936"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rFonts w:hint="eastAsia"/>
                      <w:color w:val="auto"/>
                      <w:sz w:val="21"/>
                      <w:szCs w:val="21"/>
                      <w:highlight w:val="none"/>
                      <w:u w:val="wave"/>
                      <w:lang w:val="en-US" w:eastAsia="zh-CN"/>
                    </w:rPr>
                    <w:t>与厂界围墙的水平距离</w:t>
                  </w:r>
                  <w:r>
                    <w:rPr>
                      <w:color w:val="auto"/>
                      <w:sz w:val="21"/>
                      <w:szCs w:val="21"/>
                      <w:highlight w:val="none"/>
                      <w:u w:val="wave"/>
                    </w:rPr>
                    <w:t>（m）</w:t>
                  </w:r>
                </w:p>
              </w:tc>
              <w:tc>
                <w:tcPr>
                  <w:tcW w:w="936"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与发射塔中心</w:t>
                  </w:r>
                  <w:r>
                    <w:rPr>
                      <w:color w:val="auto"/>
                      <w:sz w:val="21"/>
                      <w:szCs w:val="21"/>
                      <w:highlight w:val="none"/>
                      <w:u w:val="wave"/>
                    </w:rPr>
                    <w:t>水平距离（m）</w:t>
                  </w:r>
                </w:p>
              </w:tc>
              <w:tc>
                <w:tcPr>
                  <w:tcW w:w="981" w:type="dxa"/>
                  <w:tcBorders>
                    <w:tl2br w:val="nil"/>
                    <w:tr2bl w:val="nil"/>
                  </w:tcBorders>
                  <w:vAlign w:val="center"/>
                </w:tcPr>
                <w:p>
                  <w:pPr>
                    <w:adjustRightInd w:val="0"/>
                    <w:snapToGrid w:val="0"/>
                    <w:spacing w:line="240" w:lineRule="auto"/>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与发射塔塔基所在平面</w:t>
                  </w:r>
                  <w:r>
                    <w:rPr>
                      <w:color w:val="auto"/>
                      <w:sz w:val="21"/>
                      <w:szCs w:val="21"/>
                      <w:highlight w:val="none"/>
                      <w:u w:val="wave"/>
                    </w:rPr>
                    <w:t>垂直距离（m）</w:t>
                  </w:r>
                </w:p>
              </w:tc>
              <w:tc>
                <w:tcPr>
                  <w:tcW w:w="866" w:type="dxa"/>
                  <w:tcBorders>
                    <w:tl2br w:val="nil"/>
                    <w:tr2bl w:val="nil"/>
                  </w:tcBorders>
                  <w:vAlign w:val="center"/>
                </w:tcPr>
                <w:p>
                  <w:pPr>
                    <w:adjustRightInd w:val="0"/>
                    <w:snapToGrid w:val="0"/>
                    <w:spacing w:line="240" w:lineRule="atLeast"/>
                    <w:ind w:left="-120" w:leftChars="-50" w:right="-120" w:rightChars="-50"/>
                    <w:jc w:val="center"/>
                    <w:rPr>
                      <w:color w:val="auto"/>
                      <w:sz w:val="21"/>
                      <w:highlight w:val="none"/>
                      <w:u w:val="wave"/>
                    </w:rPr>
                  </w:pPr>
                  <w:r>
                    <w:rPr>
                      <w:color w:val="auto"/>
                      <w:sz w:val="21"/>
                      <w:highlight w:val="none"/>
                      <w:u w:val="wave"/>
                    </w:rPr>
                    <w:t>贡献值</w:t>
                  </w:r>
                </w:p>
                <w:p>
                  <w:pPr>
                    <w:adjustRightInd w:val="0"/>
                    <w:snapToGrid w:val="0"/>
                    <w:spacing w:line="240" w:lineRule="atLeast"/>
                    <w:ind w:left="-120" w:leftChars="-50" w:right="-120" w:rightChars="-50"/>
                    <w:jc w:val="center"/>
                    <w:rPr>
                      <w:color w:val="auto"/>
                      <w:sz w:val="21"/>
                      <w:szCs w:val="21"/>
                      <w:highlight w:val="none"/>
                      <w:u w:val="wave"/>
                    </w:rPr>
                  </w:pPr>
                  <w:r>
                    <w:rPr>
                      <w:color w:val="auto"/>
                      <w:sz w:val="21"/>
                      <w:highlight w:val="none"/>
                      <w:u w:val="wave"/>
                    </w:rPr>
                    <w:t>（V/m）</w:t>
                  </w:r>
                </w:p>
              </w:tc>
              <w:tc>
                <w:tcPr>
                  <w:tcW w:w="732"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highlight w:val="none"/>
                      <w:u w:val="wave"/>
                      <w:lang w:eastAsia="zh-CN"/>
                    </w:rPr>
                  </w:pPr>
                  <w:r>
                    <w:rPr>
                      <w:rFonts w:hint="eastAsia"/>
                      <w:color w:val="auto"/>
                      <w:sz w:val="21"/>
                      <w:highlight w:val="none"/>
                      <w:u w:val="wave"/>
                      <w:lang w:eastAsia="zh-CN"/>
                    </w:rPr>
                    <w:t>本底值</w:t>
                  </w:r>
                </w:p>
                <w:p>
                  <w:pPr>
                    <w:tabs>
                      <w:tab w:val="left" w:pos="342"/>
                    </w:tabs>
                    <w:adjustRightInd w:val="0"/>
                    <w:snapToGrid w:val="0"/>
                    <w:spacing w:line="240" w:lineRule="atLeast"/>
                    <w:ind w:left="-120" w:leftChars="-50" w:right="-120" w:rightChars="-50"/>
                    <w:jc w:val="center"/>
                    <w:rPr>
                      <w:rFonts w:hint="eastAsia"/>
                      <w:color w:val="auto"/>
                      <w:sz w:val="21"/>
                      <w:highlight w:val="none"/>
                      <w:u w:val="wave"/>
                      <w:lang w:eastAsia="zh-CN"/>
                    </w:rPr>
                  </w:pPr>
                  <w:r>
                    <w:rPr>
                      <w:color w:val="auto"/>
                      <w:sz w:val="21"/>
                      <w:highlight w:val="none"/>
                      <w:u w:val="wave"/>
                    </w:rPr>
                    <w:t>（V/m）</w:t>
                  </w:r>
                </w:p>
              </w:tc>
              <w:tc>
                <w:tcPr>
                  <w:tcW w:w="733"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highlight w:val="none"/>
                      <w:u w:val="wave"/>
                      <w:lang w:eastAsia="zh-CN"/>
                    </w:rPr>
                  </w:pPr>
                  <w:r>
                    <w:rPr>
                      <w:rFonts w:hint="eastAsia"/>
                      <w:color w:val="auto"/>
                      <w:sz w:val="21"/>
                      <w:highlight w:val="none"/>
                      <w:u w:val="wave"/>
                      <w:lang w:eastAsia="zh-CN"/>
                    </w:rPr>
                    <w:t>叠加值</w:t>
                  </w:r>
                </w:p>
                <w:p>
                  <w:pPr>
                    <w:adjustRightInd w:val="0"/>
                    <w:snapToGrid w:val="0"/>
                    <w:spacing w:line="240" w:lineRule="atLeast"/>
                    <w:ind w:left="-120" w:leftChars="-50" w:right="-120" w:rightChars="-50"/>
                    <w:jc w:val="center"/>
                    <w:rPr>
                      <w:rFonts w:hint="eastAsia"/>
                      <w:color w:val="auto"/>
                      <w:sz w:val="21"/>
                      <w:highlight w:val="none"/>
                      <w:u w:val="wave"/>
                      <w:lang w:eastAsia="zh-CN"/>
                    </w:rPr>
                  </w:pPr>
                  <w:r>
                    <w:rPr>
                      <w:color w:val="auto"/>
                      <w:sz w:val="21"/>
                      <w:highlight w:val="none"/>
                      <w:u w:val="wave"/>
                    </w:rPr>
                    <w:t>（V/m）</w:t>
                  </w:r>
                </w:p>
              </w:tc>
              <w:tc>
                <w:tcPr>
                  <w:tcW w:w="732" w:type="dxa"/>
                  <w:tcBorders>
                    <w:tl2br w:val="nil"/>
                    <w:tr2bl w:val="nil"/>
                  </w:tcBorders>
                  <w:vAlign w:val="center"/>
                </w:tcPr>
                <w:p>
                  <w:pPr>
                    <w:adjustRightInd w:val="0"/>
                    <w:snapToGrid w:val="0"/>
                    <w:spacing w:line="240" w:lineRule="atLeast"/>
                    <w:ind w:left="-120" w:leftChars="-50" w:right="-120" w:rightChars="-50"/>
                    <w:jc w:val="center"/>
                    <w:rPr>
                      <w:color w:val="auto"/>
                      <w:sz w:val="21"/>
                      <w:highlight w:val="none"/>
                      <w:u w:val="wave"/>
                    </w:rPr>
                  </w:pPr>
                  <w:r>
                    <w:rPr>
                      <w:color w:val="auto"/>
                      <w:sz w:val="21"/>
                      <w:highlight w:val="none"/>
                      <w:u w:val="wave"/>
                    </w:rPr>
                    <w:t>标准值</w:t>
                  </w:r>
                </w:p>
                <w:p>
                  <w:pPr>
                    <w:adjustRightInd w:val="0"/>
                    <w:snapToGrid w:val="0"/>
                    <w:spacing w:line="240" w:lineRule="atLeast"/>
                    <w:ind w:left="-120" w:leftChars="-50" w:right="-120" w:rightChars="-50"/>
                    <w:jc w:val="center"/>
                    <w:rPr>
                      <w:color w:val="auto"/>
                      <w:sz w:val="21"/>
                      <w:szCs w:val="21"/>
                      <w:highlight w:val="none"/>
                      <w:u w:val="wave"/>
                    </w:rPr>
                  </w:pPr>
                  <w:r>
                    <w:rPr>
                      <w:color w:val="auto"/>
                      <w:sz w:val="21"/>
                      <w:highlight w:val="none"/>
                      <w:u w:val="wave"/>
                    </w:rPr>
                    <w:t>（V/m）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466" w:type="dxa"/>
                  <w:tcBorders>
                    <w:tl2br w:val="nil"/>
                    <w:tr2bl w:val="nil"/>
                  </w:tcBorders>
                  <w:vAlign w:val="center"/>
                </w:tcPr>
                <w:p>
                  <w:pPr>
                    <w:spacing w:line="240" w:lineRule="atLeast"/>
                    <w:ind w:left="-120" w:leftChars="-50" w:right="-120" w:rightChars="-50"/>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1</w:t>
                  </w:r>
                </w:p>
              </w:tc>
              <w:tc>
                <w:tcPr>
                  <w:tcW w:w="1594" w:type="dxa"/>
                  <w:tcBorders>
                    <w:tl2br w:val="nil"/>
                    <w:tr2bl w:val="nil"/>
                  </w:tcBorders>
                  <w:vAlign w:val="center"/>
                </w:tcPr>
                <w:p>
                  <w:pPr>
                    <w:spacing w:line="240" w:lineRule="atLeast"/>
                    <w:ind w:left="-120" w:leftChars="-50" w:right="-120" w:rightChars="-50"/>
                    <w:jc w:val="center"/>
                    <w:rPr>
                      <w:rFonts w:hint="eastAsia" w:eastAsia="宋体"/>
                      <w:color w:val="auto"/>
                      <w:sz w:val="21"/>
                      <w:highlight w:val="none"/>
                      <w:u w:val="wave"/>
                      <w:lang w:eastAsia="zh-CN"/>
                    </w:rPr>
                  </w:pPr>
                  <w:r>
                    <w:rPr>
                      <w:rFonts w:hint="eastAsia"/>
                      <w:color w:val="auto"/>
                      <w:sz w:val="21"/>
                      <w:szCs w:val="21"/>
                      <w:highlight w:val="none"/>
                      <w:u w:val="wave"/>
                      <w:lang w:eastAsia="zh-CN"/>
                    </w:rPr>
                    <w:t>孔家溶社区居民点</w:t>
                  </w:r>
                </w:p>
              </w:tc>
              <w:tc>
                <w:tcPr>
                  <w:tcW w:w="559" w:type="dxa"/>
                  <w:tcBorders>
                    <w:tl2br w:val="nil"/>
                    <w:tr2bl w:val="nil"/>
                  </w:tcBorders>
                  <w:vAlign w:val="center"/>
                </w:tcPr>
                <w:p>
                  <w:pPr>
                    <w:spacing w:line="240" w:lineRule="atLeast"/>
                    <w:ind w:left="-120" w:leftChars="-50" w:right="-120" w:rightChars="-50"/>
                    <w:jc w:val="center"/>
                    <w:rPr>
                      <w:rFonts w:hint="eastAsia" w:eastAsia="宋体"/>
                      <w:color w:val="auto"/>
                      <w:sz w:val="21"/>
                      <w:highlight w:val="none"/>
                      <w:u w:val="wave"/>
                      <w:lang w:eastAsia="zh-CN"/>
                    </w:rPr>
                  </w:pPr>
                  <w:r>
                    <w:rPr>
                      <w:rFonts w:hint="eastAsia"/>
                      <w:color w:val="auto"/>
                      <w:sz w:val="21"/>
                      <w:szCs w:val="21"/>
                      <w:highlight w:val="none"/>
                      <w:u w:val="wave"/>
                      <w:lang w:eastAsia="zh-CN"/>
                    </w:rPr>
                    <w:t>东</w:t>
                  </w:r>
                </w:p>
              </w:tc>
              <w:tc>
                <w:tcPr>
                  <w:tcW w:w="936"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约60</w:t>
                  </w:r>
                </w:p>
              </w:tc>
              <w:tc>
                <w:tcPr>
                  <w:tcW w:w="936" w:type="dxa"/>
                  <w:tcBorders>
                    <w:tl2br w:val="nil"/>
                    <w:tr2bl w:val="nil"/>
                  </w:tcBorders>
                  <w:vAlign w:val="center"/>
                </w:tcPr>
                <w:p>
                  <w:pPr>
                    <w:adjustRightInd w:val="0"/>
                    <w:snapToGrid w:val="0"/>
                    <w:spacing w:line="240" w:lineRule="atLeast"/>
                    <w:ind w:left="-120" w:leftChars="-50" w:right="-120" w:rightChars="-50"/>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约71</w:t>
                  </w:r>
                </w:p>
              </w:tc>
              <w:tc>
                <w:tcPr>
                  <w:tcW w:w="981" w:type="dxa"/>
                  <w:tcBorders>
                    <w:tl2br w:val="nil"/>
                    <w:tr2bl w:val="nil"/>
                  </w:tcBorders>
                  <w:vAlign w:val="center"/>
                </w:tcPr>
                <w:p>
                  <w:pPr>
                    <w:adjustRightInd w:val="0"/>
                    <w:snapToGrid w:val="0"/>
                    <w:spacing w:line="240" w:lineRule="atLeast"/>
                    <w:ind w:left="-120" w:leftChars="-50" w:right="-120" w:rightChars="-50"/>
                    <w:jc w:val="center"/>
                    <w:rPr>
                      <w:color w:val="auto"/>
                      <w:sz w:val="21"/>
                      <w:szCs w:val="21"/>
                      <w:highlight w:val="none"/>
                      <w:u w:val="wave"/>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-3</w:t>
                  </w:r>
                </w:p>
              </w:tc>
              <w:tc>
                <w:tcPr>
                  <w:tcW w:w="866" w:type="dxa"/>
                  <w:tcBorders>
                    <w:tl2br w:val="nil"/>
                    <w:tr2bl w:val="nil"/>
                  </w:tcBorders>
                  <w:vAlign w:val="center"/>
                </w:tcPr>
                <w:p>
                  <w:pPr>
                    <w:adjustRightInd w:val="0"/>
                    <w:snapToGrid w:val="0"/>
                    <w:spacing w:line="240" w:lineRule="atLeast"/>
                    <w:ind w:left="-120" w:leftChars="-50" w:right="-120" w:rightChars="-50"/>
                    <w:jc w:val="center"/>
                    <w:rPr>
                      <w:rFonts w:hint="eastAsia" w:eastAsia="宋体"/>
                      <w:color w:val="auto"/>
                      <w:sz w:val="21"/>
                      <w:highlight w:val="none"/>
                      <w:u w:val="wave"/>
                      <w:lang w:val="en-US" w:eastAsia="zh-CN"/>
                    </w:rPr>
                  </w:pPr>
                  <w:r>
                    <w:rPr>
                      <w:rFonts w:hint="eastAsia"/>
                      <w:color w:val="auto"/>
                      <w:sz w:val="21"/>
                      <w:highlight w:val="none"/>
                      <w:u w:val="wave"/>
                      <w:lang w:val="en-US" w:eastAsia="zh-CN"/>
                    </w:rPr>
                    <w:t>0.15</w:t>
                  </w:r>
                </w:p>
              </w:tc>
              <w:tc>
                <w:tcPr>
                  <w:tcW w:w="732"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0.16</w:t>
                  </w:r>
                </w:p>
              </w:tc>
              <w:tc>
                <w:tcPr>
                  <w:tcW w:w="733"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0.17</w:t>
                  </w:r>
                </w:p>
              </w:tc>
              <w:tc>
                <w:tcPr>
                  <w:tcW w:w="732" w:type="dxa"/>
                  <w:tcBorders>
                    <w:tl2br w:val="nil"/>
                    <w:tr2bl w:val="nil"/>
                  </w:tcBorders>
                  <w:vAlign w:val="center"/>
                </w:tcPr>
                <w:p>
                  <w:pPr>
                    <w:spacing w:line="400" w:lineRule="exact"/>
                    <w:jc w:val="center"/>
                    <w:rPr>
                      <w:rFonts w:hint="eastAsia" w:eastAsia="宋体"/>
                      <w:color w:val="auto"/>
                      <w:sz w:val="21"/>
                      <w:highlight w:val="none"/>
                      <w:u w:val="wave"/>
                      <w:lang w:eastAsia="zh-CN"/>
                    </w:rPr>
                  </w:pPr>
                  <w:r>
                    <w:rPr>
                      <w:rFonts w:hint="eastAsia"/>
                      <w:color w:val="auto"/>
                      <w:sz w:val="21"/>
                      <w:szCs w:val="21"/>
                      <w:highlight w:val="none"/>
                      <w:u w:val="wave"/>
                      <w:lang w:val="en-US" w:eastAsia="zh-CN"/>
                    </w:rPr>
                    <w:t>5.37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466" w:type="dxa"/>
                  <w:tcBorders>
                    <w:tl2br w:val="nil"/>
                    <w:tr2bl w:val="nil"/>
                  </w:tcBorders>
                  <w:vAlign w:val="center"/>
                </w:tcPr>
                <w:p>
                  <w:pPr>
                    <w:spacing w:line="240" w:lineRule="atLeast"/>
                    <w:ind w:left="-120" w:leftChars="-50" w:right="-120" w:rightChars="-50"/>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2</w:t>
                  </w:r>
                </w:p>
              </w:tc>
              <w:tc>
                <w:tcPr>
                  <w:tcW w:w="1594" w:type="dxa"/>
                  <w:tcBorders>
                    <w:tl2br w:val="nil"/>
                    <w:tr2bl w:val="nil"/>
                  </w:tcBorders>
                  <w:vAlign w:val="center"/>
                </w:tcPr>
                <w:p>
                  <w:pPr>
                    <w:spacing w:line="240" w:lineRule="atLeast"/>
                    <w:ind w:left="-120" w:leftChars="-50" w:right="-120" w:rightChars="-50"/>
                    <w:jc w:val="center"/>
                    <w:rPr>
                      <w:rFonts w:hint="eastAsia" w:eastAsia="宋体"/>
                      <w:color w:val="auto"/>
                      <w:sz w:val="21"/>
                      <w:highlight w:val="none"/>
                      <w:u w:val="wave"/>
                      <w:lang w:eastAsia="zh-CN"/>
                    </w:rPr>
                  </w:pPr>
                  <w:r>
                    <w:rPr>
                      <w:rFonts w:hint="eastAsia"/>
                      <w:color w:val="auto"/>
                      <w:sz w:val="21"/>
                      <w:szCs w:val="21"/>
                      <w:highlight w:val="none"/>
                      <w:u w:val="wave"/>
                      <w:lang w:eastAsia="zh-CN"/>
                    </w:rPr>
                    <w:t>孔家溶社区居民点</w:t>
                  </w:r>
                </w:p>
              </w:tc>
              <w:tc>
                <w:tcPr>
                  <w:tcW w:w="559" w:type="dxa"/>
                  <w:tcBorders>
                    <w:tl2br w:val="nil"/>
                    <w:tr2bl w:val="nil"/>
                  </w:tcBorders>
                  <w:vAlign w:val="center"/>
                </w:tcPr>
                <w:p>
                  <w:pPr>
                    <w:spacing w:line="240" w:lineRule="atLeast"/>
                    <w:ind w:left="-120" w:leftChars="-50" w:right="-120" w:rightChars="-50"/>
                    <w:jc w:val="center"/>
                    <w:rPr>
                      <w:rFonts w:hint="eastAsia" w:eastAsia="宋体"/>
                      <w:color w:val="auto"/>
                      <w:sz w:val="21"/>
                      <w:highlight w:val="none"/>
                      <w:u w:val="wave"/>
                      <w:lang w:eastAsia="zh-CN"/>
                    </w:rPr>
                  </w:pPr>
                  <w:r>
                    <w:rPr>
                      <w:rFonts w:hint="eastAsia"/>
                      <w:color w:val="auto"/>
                      <w:sz w:val="21"/>
                      <w:szCs w:val="21"/>
                      <w:highlight w:val="none"/>
                      <w:u w:val="wave"/>
                      <w:lang w:eastAsia="zh-CN"/>
                    </w:rPr>
                    <w:t>南</w:t>
                  </w:r>
                </w:p>
              </w:tc>
              <w:tc>
                <w:tcPr>
                  <w:tcW w:w="936" w:type="dxa"/>
                  <w:tcBorders>
                    <w:tl2br w:val="nil"/>
                    <w:tr2bl w:val="nil"/>
                  </w:tcBorders>
                  <w:vAlign w:val="center"/>
                </w:tcPr>
                <w:p>
                  <w:pPr>
                    <w:adjustRightInd w:val="0"/>
                    <w:snapToGrid w:val="0"/>
                    <w:spacing w:line="240" w:lineRule="atLeast"/>
                    <w:ind w:left="-120" w:leftChars="-50" w:right="-120" w:rightChars="-50"/>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约20</w:t>
                  </w:r>
                </w:p>
              </w:tc>
              <w:tc>
                <w:tcPr>
                  <w:tcW w:w="936" w:type="dxa"/>
                  <w:tcBorders>
                    <w:tl2br w:val="nil"/>
                    <w:tr2bl w:val="nil"/>
                  </w:tcBorders>
                  <w:vAlign w:val="center"/>
                </w:tcPr>
                <w:p>
                  <w:pPr>
                    <w:adjustRightInd w:val="0"/>
                    <w:snapToGrid w:val="0"/>
                    <w:spacing w:line="240" w:lineRule="atLeast"/>
                    <w:ind w:left="-120" w:leftChars="-50" w:right="-120" w:rightChars="-50"/>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约170</w:t>
                  </w:r>
                </w:p>
              </w:tc>
              <w:tc>
                <w:tcPr>
                  <w:tcW w:w="981" w:type="dxa"/>
                  <w:tcBorders>
                    <w:tl2br w:val="nil"/>
                    <w:tr2bl w:val="nil"/>
                  </w:tcBorders>
                  <w:vAlign w:val="center"/>
                </w:tcPr>
                <w:p>
                  <w:pPr>
                    <w:adjustRightInd w:val="0"/>
                    <w:snapToGrid w:val="0"/>
                    <w:spacing w:line="240" w:lineRule="atLeast"/>
                    <w:ind w:left="-120" w:leftChars="-50" w:right="-120" w:rightChars="-50"/>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-2</w:t>
                  </w:r>
                </w:p>
              </w:tc>
              <w:tc>
                <w:tcPr>
                  <w:tcW w:w="866" w:type="dxa"/>
                  <w:tcBorders>
                    <w:tl2br w:val="nil"/>
                    <w:tr2bl w:val="nil"/>
                  </w:tcBorders>
                  <w:vAlign w:val="center"/>
                </w:tcPr>
                <w:p>
                  <w:pPr>
                    <w:adjustRightInd w:val="0"/>
                    <w:snapToGrid w:val="0"/>
                    <w:spacing w:line="240" w:lineRule="atLeast"/>
                    <w:ind w:left="-120" w:leftChars="-50" w:right="-120" w:rightChars="-50"/>
                    <w:jc w:val="center"/>
                    <w:rPr>
                      <w:rFonts w:hint="eastAsia" w:eastAsia="宋体"/>
                      <w:color w:val="auto"/>
                      <w:sz w:val="21"/>
                      <w:highlight w:val="none"/>
                      <w:u w:val="wave"/>
                      <w:lang w:val="en-US" w:eastAsia="zh-CN"/>
                    </w:rPr>
                  </w:pPr>
                  <w:r>
                    <w:rPr>
                      <w:rFonts w:hint="eastAsia"/>
                      <w:color w:val="auto"/>
                      <w:sz w:val="21"/>
                      <w:highlight w:val="none"/>
                      <w:u w:val="wave"/>
                      <w:lang w:val="en-US" w:eastAsia="zh-CN"/>
                    </w:rPr>
                    <w:t>1.34</w:t>
                  </w:r>
                </w:p>
              </w:tc>
              <w:tc>
                <w:tcPr>
                  <w:tcW w:w="732"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0.16</w:t>
                  </w:r>
                </w:p>
              </w:tc>
              <w:tc>
                <w:tcPr>
                  <w:tcW w:w="733"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1.35</w:t>
                  </w:r>
                </w:p>
              </w:tc>
              <w:tc>
                <w:tcPr>
                  <w:tcW w:w="732" w:type="dxa"/>
                  <w:tcBorders>
                    <w:tl2br w:val="nil"/>
                    <w:tr2bl w:val="nil"/>
                  </w:tcBorders>
                  <w:vAlign w:val="center"/>
                </w:tcPr>
                <w:p>
                  <w:pPr>
                    <w:spacing w:line="400" w:lineRule="exact"/>
                    <w:jc w:val="center"/>
                    <w:rPr>
                      <w:color w:val="auto"/>
                      <w:sz w:val="21"/>
                      <w:highlight w:val="none"/>
                      <w:u w:val="wave"/>
                    </w:rPr>
                  </w:pPr>
                  <w:r>
                    <w:rPr>
                      <w:rFonts w:hint="eastAsia"/>
                      <w:color w:val="auto"/>
                      <w:sz w:val="21"/>
                      <w:szCs w:val="21"/>
                      <w:highlight w:val="none"/>
                      <w:u w:val="wave"/>
                      <w:lang w:val="en-US" w:eastAsia="zh-CN"/>
                    </w:rPr>
                    <w:t>5.37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466" w:type="dxa"/>
                  <w:tcBorders>
                    <w:tl2br w:val="nil"/>
                    <w:tr2bl w:val="nil"/>
                  </w:tcBorders>
                  <w:vAlign w:val="center"/>
                </w:tcPr>
                <w:p>
                  <w:pPr>
                    <w:spacing w:line="240" w:lineRule="auto"/>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3</w:t>
                  </w:r>
                </w:p>
              </w:tc>
              <w:tc>
                <w:tcPr>
                  <w:tcW w:w="1594"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孔家溶社区居民点</w:t>
                  </w:r>
                </w:p>
              </w:tc>
              <w:tc>
                <w:tcPr>
                  <w:tcW w:w="559"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西南</w:t>
                  </w:r>
                </w:p>
              </w:tc>
              <w:tc>
                <w:tcPr>
                  <w:tcW w:w="936" w:type="dxa"/>
                  <w:tcBorders>
                    <w:tl2br w:val="nil"/>
                    <w:tr2bl w:val="nil"/>
                  </w:tcBorders>
                  <w:vAlign w:val="center"/>
                </w:tcPr>
                <w:p>
                  <w:pPr>
                    <w:spacing w:line="240" w:lineRule="auto"/>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约95</w:t>
                  </w:r>
                </w:p>
              </w:tc>
              <w:tc>
                <w:tcPr>
                  <w:tcW w:w="936"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约258</w:t>
                  </w:r>
                </w:p>
              </w:tc>
              <w:tc>
                <w:tcPr>
                  <w:tcW w:w="981"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-0.5</w:t>
                  </w:r>
                </w:p>
              </w:tc>
              <w:tc>
                <w:tcPr>
                  <w:tcW w:w="866" w:type="dxa"/>
                  <w:tcBorders>
                    <w:tl2br w:val="nil"/>
                    <w:tr2bl w:val="nil"/>
                  </w:tcBorders>
                  <w:vAlign w:val="center"/>
                </w:tcPr>
                <w:p>
                  <w:pPr>
                    <w:spacing w:line="240" w:lineRule="auto"/>
                    <w:jc w:val="center"/>
                    <w:rPr>
                      <w:rFonts w:hint="eastAsia" w:eastAsia="宋体"/>
                      <w:color w:val="auto"/>
                      <w:sz w:val="20"/>
                      <w:highlight w:val="none"/>
                      <w:u w:val="wave"/>
                      <w:lang w:val="en-US" w:eastAsia="zh-CN"/>
                    </w:rPr>
                  </w:pPr>
                  <w:r>
                    <w:rPr>
                      <w:rFonts w:hint="eastAsia"/>
                      <w:color w:val="auto"/>
                      <w:sz w:val="20"/>
                      <w:highlight w:val="none"/>
                      <w:u w:val="wave"/>
                      <w:lang w:val="en-US" w:eastAsia="zh-CN"/>
                    </w:rPr>
                    <w:t>2.01</w:t>
                  </w:r>
                </w:p>
              </w:tc>
              <w:tc>
                <w:tcPr>
                  <w:tcW w:w="732" w:type="dxa"/>
                  <w:tcBorders>
                    <w:tl2br w:val="nil"/>
                    <w:tr2bl w:val="nil"/>
                  </w:tcBorders>
                  <w:vAlign w:val="center"/>
                </w:tcPr>
                <w:p>
                  <w:pPr>
                    <w:spacing w:line="240" w:lineRule="auto"/>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0.16</w:t>
                  </w:r>
                </w:p>
              </w:tc>
              <w:tc>
                <w:tcPr>
                  <w:tcW w:w="733" w:type="dxa"/>
                  <w:tcBorders>
                    <w:tl2br w:val="nil"/>
                    <w:tr2bl w:val="nil"/>
                  </w:tcBorders>
                  <w:vAlign w:val="center"/>
                </w:tcPr>
                <w:p>
                  <w:pPr>
                    <w:spacing w:line="240" w:lineRule="auto"/>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2.02</w:t>
                  </w:r>
                </w:p>
              </w:tc>
              <w:tc>
                <w:tcPr>
                  <w:tcW w:w="732"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val="en-US" w:eastAsia="zh-CN"/>
                    </w:rPr>
                    <w:t>5.37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466" w:type="dxa"/>
                  <w:tcBorders>
                    <w:tl2br w:val="nil"/>
                    <w:tr2bl w:val="nil"/>
                  </w:tcBorders>
                  <w:vAlign w:val="center"/>
                </w:tcPr>
                <w:p>
                  <w:pPr>
                    <w:spacing w:line="240" w:lineRule="auto"/>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4</w:t>
                  </w:r>
                </w:p>
              </w:tc>
              <w:tc>
                <w:tcPr>
                  <w:tcW w:w="1594"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孔家溶社区居民点</w:t>
                  </w:r>
                </w:p>
              </w:tc>
              <w:tc>
                <w:tcPr>
                  <w:tcW w:w="559" w:type="dxa"/>
                  <w:tcBorders>
                    <w:tl2br w:val="nil"/>
                    <w:tr2bl w:val="nil"/>
                  </w:tcBorders>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西</w:t>
                  </w:r>
                </w:p>
              </w:tc>
              <w:tc>
                <w:tcPr>
                  <w:tcW w:w="936" w:type="dxa"/>
                  <w:tcBorders>
                    <w:tl2br w:val="nil"/>
                    <w:tr2bl w:val="nil"/>
                  </w:tcBorders>
                  <w:vAlign w:val="center"/>
                </w:tcPr>
                <w:p>
                  <w:pPr>
                    <w:spacing w:line="240" w:lineRule="auto"/>
                    <w:jc w:val="center"/>
                    <w:rPr>
                      <w:color w:val="auto"/>
                      <w:sz w:val="21"/>
                      <w:szCs w:val="21"/>
                      <w:highlight w:val="none"/>
                      <w:u w:val="wave"/>
                    </w:rPr>
                  </w:pPr>
                  <w:r>
                    <w:rPr>
                      <w:rFonts w:hint="eastAsia"/>
                      <w:color w:val="auto"/>
                      <w:sz w:val="21"/>
                      <w:szCs w:val="21"/>
                      <w:highlight w:val="none"/>
                      <w:u w:val="wave"/>
                      <w:lang w:eastAsia="zh-CN"/>
                    </w:rPr>
                    <w:t>约</w:t>
                  </w:r>
                  <w:r>
                    <w:rPr>
                      <w:rFonts w:hint="eastAsia"/>
                      <w:color w:val="auto"/>
                      <w:sz w:val="21"/>
                      <w:szCs w:val="21"/>
                      <w:highlight w:val="none"/>
                      <w:u w:val="wave"/>
                      <w:lang w:val="en-US" w:eastAsia="zh-CN"/>
                    </w:rPr>
                    <w:t>62</w:t>
                  </w:r>
                </w:p>
              </w:tc>
              <w:tc>
                <w:tcPr>
                  <w:tcW w:w="936"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192</w:t>
                  </w:r>
                </w:p>
              </w:tc>
              <w:tc>
                <w:tcPr>
                  <w:tcW w:w="981" w:type="dxa"/>
                  <w:tcBorders>
                    <w:tl2br w:val="nil"/>
                    <w:tr2bl w:val="nil"/>
                  </w:tcBorders>
                  <w:vAlign w:val="center"/>
                </w:tcPr>
                <w:p>
                  <w:pPr>
                    <w:spacing w:line="240" w:lineRule="auto"/>
                    <w:jc w:val="center"/>
                    <w:rPr>
                      <w:color w:val="auto"/>
                      <w:sz w:val="21"/>
                      <w:szCs w:val="21"/>
                      <w:highlight w:val="none"/>
                      <w:u w:val="wave"/>
                    </w:rPr>
                  </w:pPr>
                  <w:r>
                    <w:rPr>
                      <w:color w:val="auto"/>
                      <w:sz w:val="21"/>
                      <w:szCs w:val="21"/>
                      <w:highlight w:val="none"/>
                      <w:u w:val="wave"/>
                    </w:rPr>
                    <w:t>约</w:t>
                  </w:r>
                  <w:r>
                    <w:rPr>
                      <w:rFonts w:hint="eastAsia"/>
                      <w:color w:val="auto"/>
                      <w:sz w:val="21"/>
                      <w:szCs w:val="21"/>
                      <w:highlight w:val="none"/>
                      <w:u w:val="wave"/>
                      <w:lang w:val="en-US" w:eastAsia="zh-CN"/>
                    </w:rPr>
                    <w:t>-2</w:t>
                  </w:r>
                </w:p>
              </w:tc>
              <w:tc>
                <w:tcPr>
                  <w:tcW w:w="866" w:type="dxa"/>
                  <w:tcBorders>
                    <w:tl2br w:val="nil"/>
                    <w:tr2bl w:val="nil"/>
                  </w:tcBorders>
                  <w:vAlign w:val="center"/>
                </w:tcPr>
                <w:p>
                  <w:pPr>
                    <w:spacing w:line="240" w:lineRule="auto"/>
                    <w:jc w:val="center"/>
                    <w:rPr>
                      <w:rFonts w:hint="eastAsia" w:eastAsia="宋体"/>
                      <w:color w:val="auto"/>
                      <w:sz w:val="20"/>
                      <w:highlight w:val="none"/>
                      <w:u w:val="wave"/>
                      <w:lang w:val="en-US" w:eastAsia="zh-CN"/>
                    </w:rPr>
                  </w:pPr>
                  <w:r>
                    <w:rPr>
                      <w:rFonts w:hint="eastAsia"/>
                      <w:color w:val="auto"/>
                      <w:sz w:val="20"/>
                      <w:highlight w:val="none"/>
                      <w:u w:val="wave"/>
                      <w:lang w:val="en-US" w:eastAsia="zh-CN"/>
                    </w:rPr>
                    <w:t>1.57</w:t>
                  </w:r>
                </w:p>
              </w:tc>
              <w:tc>
                <w:tcPr>
                  <w:tcW w:w="732"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0.11</w:t>
                  </w:r>
                </w:p>
              </w:tc>
              <w:tc>
                <w:tcPr>
                  <w:tcW w:w="733" w:type="dxa"/>
                  <w:tcBorders>
                    <w:tl2br w:val="nil"/>
                    <w:tr2bl w:val="nil"/>
                  </w:tcBorders>
                  <w:vAlign w:val="center"/>
                </w:tcPr>
                <w:p>
                  <w:pPr>
                    <w:spacing w:line="400" w:lineRule="exact"/>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1.57</w:t>
                  </w:r>
                </w:p>
              </w:tc>
              <w:tc>
                <w:tcPr>
                  <w:tcW w:w="732" w:type="dxa"/>
                  <w:tcBorders>
                    <w:tl2br w:val="nil"/>
                    <w:tr2bl w:val="nil"/>
                  </w:tcBorders>
                  <w:vAlign w:val="center"/>
                </w:tcPr>
                <w:p>
                  <w:pPr>
                    <w:spacing w:line="400" w:lineRule="exact"/>
                    <w:jc w:val="center"/>
                    <w:rPr>
                      <w:color w:val="auto"/>
                      <w:sz w:val="21"/>
                      <w:szCs w:val="21"/>
                      <w:highlight w:val="none"/>
                      <w:u w:val="wave"/>
                    </w:rPr>
                  </w:pPr>
                  <w:r>
                    <w:rPr>
                      <w:rFonts w:hint="eastAsia"/>
                      <w:color w:val="auto"/>
                      <w:sz w:val="21"/>
                      <w:szCs w:val="21"/>
                      <w:highlight w:val="none"/>
                      <w:u w:val="wave"/>
                      <w:lang w:val="en-US" w:eastAsia="zh-CN"/>
                    </w:rPr>
                    <w:t>5.37</w:t>
                  </w:r>
                </w:p>
              </w:tc>
            </w:tr>
          </w:tbl>
          <w:p>
            <w:pPr>
              <w:spacing w:line="400" w:lineRule="exact"/>
              <w:ind w:left="422" w:hanging="422" w:hangingChars="200"/>
              <w:rPr>
                <w:b/>
                <w:color w:val="auto"/>
                <w:sz w:val="21"/>
                <w:szCs w:val="21"/>
                <w:highlight w:val="none"/>
                <w:u w:val="wave"/>
              </w:rPr>
            </w:pPr>
            <w:r>
              <w:rPr>
                <w:b/>
                <w:color w:val="auto"/>
                <w:sz w:val="21"/>
                <w:szCs w:val="21"/>
                <w:highlight w:val="none"/>
                <w:u w:val="wave"/>
              </w:rPr>
              <w:t>注：</w:t>
            </w:r>
            <w:r>
              <w:rPr>
                <w:rFonts w:hint="eastAsia" w:ascii="宋体" w:hAnsi="宋体" w:cs="宋体"/>
                <w:b/>
                <w:color w:val="auto"/>
                <w:sz w:val="21"/>
                <w:szCs w:val="21"/>
                <w:highlight w:val="none"/>
                <w:u w:val="wave"/>
              </w:rPr>
              <w:t>①</w:t>
            </w:r>
            <w:r>
              <w:rPr>
                <w:b/>
                <w:color w:val="auto"/>
                <w:sz w:val="21"/>
                <w:szCs w:val="21"/>
                <w:highlight w:val="none"/>
                <w:u w:val="wave"/>
              </w:rPr>
              <w:t>垂直距离中的“-”表示比本项目</w:t>
            </w:r>
            <w:r>
              <w:rPr>
                <w:rFonts w:hint="eastAsia"/>
                <w:b/>
                <w:color w:val="auto"/>
                <w:sz w:val="21"/>
                <w:szCs w:val="21"/>
                <w:highlight w:val="none"/>
                <w:u w:val="wave"/>
                <w:lang w:eastAsia="zh-CN"/>
              </w:rPr>
              <w:t>塔基所在平面地势低</w:t>
            </w:r>
            <w:r>
              <w:rPr>
                <w:b/>
                <w:color w:val="auto"/>
                <w:sz w:val="21"/>
                <w:szCs w:val="21"/>
                <w:highlight w:val="none"/>
                <w:u w:val="wave"/>
              </w:rPr>
              <w:t>，本项目天线挂高</w:t>
            </w:r>
            <w:r>
              <w:rPr>
                <w:rFonts w:hint="eastAsia"/>
                <w:b/>
                <w:color w:val="auto"/>
                <w:sz w:val="21"/>
                <w:szCs w:val="21"/>
                <w:highlight w:val="none"/>
                <w:u w:val="wave"/>
                <w:lang w:val="en-US" w:eastAsia="zh-CN"/>
              </w:rPr>
              <w:t>150</w:t>
            </w:r>
            <w:r>
              <w:rPr>
                <w:b/>
                <w:color w:val="auto"/>
                <w:sz w:val="21"/>
                <w:szCs w:val="21"/>
                <w:highlight w:val="none"/>
                <w:u w:val="wave"/>
              </w:rPr>
              <w:t>m；</w:t>
            </w:r>
          </w:p>
          <w:p>
            <w:pPr>
              <w:spacing w:line="400" w:lineRule="exact"/>
              <w:ind w:firstLine="422" w:firstLineChars="200"/>
              <w:rPr>
                <w:rFonts w:hint="eastAsia"/>
                <w:b/>
                <w:color w:val="auto"/>
                <w:sz w:val="21"/>
                <w:szCs w:val="21"/>
                <w:highlight w:val="none"/>
                <w:u w:val="wave"/>
                <w:lang w:eastAsia="zh-CN"/>
              </w:rPr>
            </w:pPr>
            <w:r>
              <w:rPr>
                <w:rFonts w:hint="eastAsia" w:ascii="宋体" w:hAnsi="宋体" w:cs="宋体"/>
                <w:b/>
                <w:color w:val="auto"/>
                <w:sz w:val="21"/>
                <w:szCs w:val="21"/>
                <w:highlight w:val="none"/>
                <w:u w:val="wave"/>
              </w:rPr>
              <w:t>②</w:t>
            </w:r>
            <w:r>
              <w:rPr>
                <w:b/>
                <w:color w:val="auto"/>
                <w:sz w:val="21"/>
                <w:szCs w:val="21"/>
                <w:highlight w:val="none"/>
                <w:u w:val="wave"/>
              </w:rPr>
              <w:t>水平距离为敏感点距</w:t>
            </w:r>
            <w:r>
              <w:rPr>
                <w:rFonts w:hint="eastAsia"/>
                <w:b/>
                <w:color w:val="auto"/>
                <w:sz w:val="21"/>
                <w:szCs w:val="21"/>
                <w:highlight w:val="none"/>
                <w:u w:val="wave"/>
                <w:lang w:eastAsia="zh-CN"/>
              </w:rPr>
              <w:t>塔基中心</w:t>
            </w:r>
            <w:r>
              <w:rPr>
                <w:b/>
                <w:color w:val="auto"/>
                <w:sz w:val="21"/>
                <w:szCs w:val="21"/>
                <w:highlight w:val="none"/>
                <w:u w:val="wave"/>
              </w:rPr>
              <w:t>的距离，垂直距离为敏感点距</w:t>
            </w:r>
            <w:r>
              <w:rPr>
                <w:rFonts w:hint="eastAsia"/>
                <w:b/>
                <w:color w:val="auto"/>
                <w:sz w:val="21"/>
                <w:szCs w:val="21"/>
                <w:highlight w:val="none"/>
                <w:u w:val="wave"/>
                <w:lang w:eastAsia="zh-CN"/>
              </w:rPr>
              <w:t>塔基所在平面</w:t>
            </w:r>
            <w:r>
              <w:rPr>
                <w:b/>
                <w:color w:val="auto"/>
                <w:sz w:val="21"/>
                <w:szCs w:val="21"/>
                <w:highlight w:val="none"/>
                <w:u w:val="wave"/>
              </w:rPr>
              <w:t>的距离</w:t>
            </w:r>
            <w:r>
              <w:rPr>
                <w:rFonts w:hint="eastAsia"/>
                <w:b/>
                <w:color w:val="auto"/>
                <w:sz w:val="21"/>
                <w:szCs w:val="21"/>
                <w:highlight w:val="none"/>
                <w:u w:val="wave"/>
                <w:lang w:eastAsia="zh-CN"/>
              </w:rPr>
              <w:t>；</w:t>
            </w:r>
          </w:p>
          <w:p>
            <w:pPr>
              <w:spacing w:line="400" w:lineRule="exact"/>
              <w:ind w:firstLine="422" w:firstLineChars="200"/>
              <w:rPr>
                <w:rFonts w:hint="eastAsia"/>
                <w:b/>
                <w:color w:val="auto"/>
                <w:sz w:val="21"/>
                <w:szCs w:val="21"/>
                <w:highlight w:val="none"/>
                <w:u w:val="wave"/>
                <w:lang w:eastAsia="zh-CN"/>
              </w:rPr>
            </w:pPr>
            <w:r>
              <w:rPr>
                <w:rFonts w:hint="eastAsia"/>
                <w:b/>
                <w:bCs/>
                <w:color w:val="auto"/>
                <w:sz w:val="21"/>
                <w:szCs w:val="21"/>
                <w:highlight w:val="none"/>
                <w:u w:val="wave"/>
                <w:lang w:eastAsia="zh-CN"/>
              </w:rPr>
              <w:fldChar w:fldCharType="begin"/>
            </w:r>
            <w:r>
              <w:rPr>
                <w:rFonts w:hint="eastAsia"/>
                <w:b/>
                <w:bCs/>
                <w:color w:val="auto"/>
                <w:sz w:val="21"/>
                <w:szCs w:val="21"/>
                <w:highlight w:val="none"/>
                <w:u w:val="wave"/>
                <w:lang w:eastAsia="zh-CN"/>
              </w:rPr>
              <w:instrText xml:space="preserve"> = 3 \* GB3 \* MERGEFORMAT </w:instrText>
            </w:r>
            <w:r>
              <w:rPr>
                <w:rFonts w:hint="eastAsia"/>
                <w:b/>
                <w:bCs/>
                <w:color w:val="auto"/>
                <w:sz w:val="21"/>
                <w:szCs w:val="21"/>
                <w:highlight w:val="none"/>
                <w:u w:val="wave"/>
                <w:lang w:eastAsia="zh-CN"/>
              </w:rPr>
              <w:fldChar w:fldCharType="separate"/>
            </w:r>
            <w:r>
              <w:rPr>
                <w:b/>
                <w:bCs/>
                <w:u w:val="wave"/>
              </w:rPr>
              <w:t>③</w:t>
            </w:r>
            <w:r>
              <w:rPr>
                <w:rFonts w:hint="eastAsia"/>
                <w:b/>
                <w:bCs/>
                <w:color w:val="auto"/>
                <w:sz w:val="21"/>
                <w:szCs w:val="21"/>
                <w:highlight w:val="none"/>
                <w:u w:val="wave"/>
                <w:lang w:eastAsia="zh-CN"/>
              </w:rPr>
              <w:fldChar w:fldCharType="end"/>
            </w:r>
            <w:r>
              <w:rPr>
                <w:rFonts w:hint="eastAsia"/>
                <w:b/>
                <w:bCs/>
                <w:color w:val="auto"/>
                <w:sz w:val="21"/>
                <w:szCs w:val="21"/>
                <w:highlight w:val="none"/>
                <w:u w:val="wave"/>
                <w:lang w:eastAsia="zh-CN"/>
              </w:rPr>
              <w:t>西南侧</w:t>
            </w:r>
            <w:r>
              <w:rPr>
                <w:rFonts w:hint="eastAsia"/>
                <w:b/>
                <w:color w:val="auto"/>
                <w:sz w:val="21"/>
                <w:szCs w:val="21"/>
                <w:highlight w:val="none"/>
                <w:u w:val="wave"/>
                <w:lang w:val="en-US" w:eastAsia="zh-CN"/>
              </w:rPr>
              <w:t>258m处的居民点电场强度本底值应用敏感点中较大值。</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Cs w:val="24"/>
                <w:highlight w:val="none"/>
                <w:u w:val="none"/>
              </w:rPr>
            </w:pPr>
            <w:r>
              <w:rPr>
                <w:color w:val="auto"/>
                <w:szCs w:val="24"/>
                <w:highlight w:val="none"/>
                <w:u w:val="wave"/>
              </w:rPr>
              <w:t>从表</w:t>
            </w:r>
            <w:r>
              <w:rPr>
                <w:rFonts w:hint="eastAsia"/>
                <w:color w:val="auto"/>
                <w:szCs w:val="24"/>
                <w:highlight w:val="none"/>
                <w:u w:val="wave"/>
                <w:lang w:eastAsia="zh-CN"/>
              </w:rPr>
              <w:t>7</w:t>
            </w:r>
            <w:r>
              <w:rPr>
                <w:color w:val="auto"/>
                <w:szCs w:val="24"/>
                <w:highlight w:val="none"/>
                <w:u w:val="wave"/>
              </w:rPr>
              <w:t>-4可以得出</w:t>
            </w:r>
            <w:r>
              <w:rPr>
                <w:rFonts w:hint="eastAsia"/>
                <w:color w:val="auto"/>
                <w:szCs w:val="24"/>
                <w:highlight w:val="none"/>
                <w:u w:val="wave"/>
                <w:lang w:eastAsia="zh-CN"/>
              </w:rPr>
              <w:t>各个敏感点叠加值</w:t>
            </w:r>
            <w:r>
              <w:rPr>
                <w:color w:val="auto"/>
                <w:szCs w:val="24"/>
                <w:highlight w:val="none"/>
                <w:u w:val="wave"/>
              </w:rPr>
              <w:t>在</w:t>
            </w:r>
            <w:r>
              <w:rPr>
                <w:rFonts w:hint="eastAsia"/>
                <w:color w:val="auto"/>
                <w:szCs w:val="24"/>
                <w:highlight w:val="none"/>
                <w:u w:val="wave"/>
                <w:lang w:val="en-US" w:eastAsia="zh-CN"/>
              </w:rPr>
              <w:t>0.17</w:t>
            </w:r>
            <w:r>
              <w:rPr>
                <w:color w:val="auto"/>
                <w:szCs w:val="24"/>
                <w:highlight w:val="none"/>
                <w:u w:val="wave"/>
              </w:rPr>
              <w:t>～</w:t>
            </w:r>
            <w:r>
              <w:rPr>
                <w:rFonts w:hint="eastAsia"/>
                <w:color w:val="auto"/>
                <w:szCs w:val="24"/>
                <w:highlight w:val="none"/>
                <w:u w:val="wave"/>
                <w:lang w:val="en-US" w:eastAsia="zh-CN"/>
              </w:rPr>
              <w:t>2.02</w:t>
            </w:r>
            <w:r>
              <w:rPr>
                <w:color w:val="auto"/>
                <w:szCs w:val="24"/>
                <w:highlight w:val="none"/>
                <w:u w:val="wave"/>
              </w:rPr>
              <w:t>V/m，均能满足《电磁环境控制限值》（GB8702-2014）的评价标准（</w:t>
            </w:r>
            <w:r>
              <w:rPr>
                <w:rFonts w:hint="eastAsia"/>
                <w:color w:val="auto"/>
                <w:szCs w:val="24"/>
                <w:highlight w:val="none"/>
                <w:u w:val="wave"/>
                <w:lang w:eastAsia="zh-CN"/>
              </w:rPr>
              <w:t>单个项目</w:t>
            </w:r>
            <w:r>
              <w:rPr>
                <w:color w:val="auto"/>
                <w:highlight w:val="none"/>
                <w:u w:val="wave"/>
              </w:rPr>
              <w:t>公众暴露控制限值</w:t>
            </w:r>
            <w:r>
              <w:rPr>
                <w:color w:val="auto"/>
                <w:szCs w:val="24"/>
                <w:highlight w:val="none"/>
                <w:u w:val="wave"/>
              </w:rPr>
              <w:t>：电场强度小于</w:t>
            </w:r>
            <w:r>
              <w:rPr>
                <w:rFonts w:hint="eastAsia"/>
                <w:color w:val="auto"/>
                <w:szCs w:val="24"/>
                <w:highlight w:val="none"/>
                <w:u w:val="wave"/>
                <w:lang w:val="en-US" w:eastAsia="zh-CN"/>
              </w:rPr>
              <w:t>5.37</w:t>
            </w:r>
            <w:r>
              <w:rPr>
                <w:color w:val="auto"/>
                <w:szCs w:val="24"/>
                <w:highlight w:val="none"/>
                <w:u w:val="wave"/>
              </w:rPr>
              <w:t>V/m），因此，本项目天线产生的电磁场强对周边环境影响较小。</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color w:val="auto"/>
                <w:szCs w:val="24"/>
                <w:highlight w:val="none"/>
                <w:u w:val="wave"/>
                <w:lang w:val="en-US" w:eastAsia="zh-CN"/>
              </w:rPr>
            </w:pPr>
            <w:r>
              <w:rPr>
                <w:rFonts w:hint="eastAsia"/>
                <w:color w:val="auto"/>
                <w:szCs w:val="24"/>
                <w:highlight w:val="none"/>
                <w:u w:val="wave"/>
                <w:lang w:val="en-US" w:eastAsia="zh-CN"/>
              </w:rPr>
              <w:t>同时，通过类比鼎城区广播电视台位于鼎城区华邦国际楼顶的广播发射塔情况，预测本项目对周围环境的影响。华邦国际楼顶广播发射塔发射功率为3kW，为全向天线，发射频率为106.8MHz，塔基所在楼顶高为78m，塔高20m，天线安装高度为15m（即安装天线所在点离地高度为93m）。类比华邦国际楼顶广播发射塔检测结果见下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r>
              <w:rPr>
                <w:color w:val="000000"/>
                <w:sz w:val="24"/>
              </w:rPr>
              <w:pict>
                <v:shape id="_x0000_s1026" o:spid="_x0000_s1026" o:spt="75" alt="" type="#_x0000_t75" style="position:absolute;left:0pt;margin-left:61.5pt;margin-top:1.6pt;height:217.7pt;width:293.7pt;z-index:251658240;mso-width-relative:page;mso-height-relative:page;" o:ole="t" filled="f" o:preferrelative="t" stroked="f" coordsize="21600,21600">
                  <v:path/>
                  <v:fill on="f" focussize="0,0"/>
                  <v:stroke on="f"/>
                  <v:imagedata r:id="rId30" o:title=""/>
                  <o:lock v:ext="edit" aspectratio="f"/>
                </v:shape>
                <o:OLEObject Type="Embed" ProgID="Visio.Drawing.11" ShapeID="_x0000_s1026" DrawAspect="Content" ObjectID="_1468075731" r:id="rId29">
                  <o:LockedField>false</o:LockedField>
                </o:OLEObject>
              </w:pic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000000"/>
                <w:sz w:val="24"/>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both"/>
              <w:textAlignment w:val="auto"/>
              <w:outlineLvl w:val="9"/>
              <w:rPr>
                <w:color w:val="000000"/>
                <w:sz w:val="24"/>
              </w:rPr>
            </w:pPr>
          </w:p>
          <w:p>
            <w:pPr>
              <w:jc w:val="center"/>
              <w:rPr>
                <w:rFonts w:hint="eastAsia"/>
                <w:b/>
                <w:bCs/>
                <w:color w:val="auto"/>
                <w:highlight w:val="none"/>
                <w:u w:val="wave"/>
                <w:lang w:eastAsia="zh-CN"/>
              </w:rPr>
            </w:pPr>
            <w:r>
              <w:rPr>
                <w:b/>
                <w:bCs/>
                <w:color w:val="auto"/>
                <w:highlight w:val="none"/>
                <w:u w:val="wave"/>
              </w:rPr>
              <w:t>图</w:t>
            </w:r>
            <w:r>
              <w:rPr>
                <w:rFonts w:hint="eastAsia"/>
                <w:b/>
                <w:bCs/>
                <w:color w:val="auto"/>
                <w:highlight w:val="none"/>
                <w:u w:val="wave"/>
                <w:lang w:eastAsia="zh-CN"/>
              </w:rPr>
              <w:t>7</w:t>
            </w:r>
            <w:r>
              <w:rPr>
                <w:b/>
                <w:bCs/>
                <w:color w:val="auto"/>
                <w:highlight w:val="none"/>
                <w:u w:val="wave"/>
              </w:rPr>
              <w:t>-</w:t>
            </w:r>
            <w:r>
              <w:rPr>
                <w:rFonts w:hint="eastAsia"/>
                <w:b/>
                <w:bCs/>
                <w:color w:val="auto"/>
                <w:highlight w:val="none"/>
                <w:u w:val="wave"/>
                <w:lang w:val="en-US" w:eastAsia="zh-CN"/>
              </w:rPr>
              <w:t>4</w:t>
            </w:r>
            <w:r>
              <w:rPr>
                <w:b/>
                <w:bCs/>
                <w:color w:val="auto"/>
                <w:highlight w:val="none"/>
                <w:u w:val="wave"/>
              </w:rPr>
              <w:t xml:space="preserve"> </w:t>
            </w:r>
            <w:r>
              <w:rPr>
                <w:rFonts w:hint="eastAsia"/>
                <w:b/>
                <w:bCs/>
                <w:color w:val="auto"/>
                <w:highlight w:val="none"/>
                <w:u w:val="wave"/>
                <w:lang w:eastAsia="zh-CN"/>
              </w:rPr>
              <w:t>类比华邦国际楼顶天线检测布点图</w:t>
            </w:r>
          </w:p>
          <w:p>
            <w:pPr>
              <w:spacing w:line="440" w:lineRule="exact"/>
              <w:ind w:firstLine="480"/>
              <w:jc w:val="center"/>
              <w:rPr>
                <w:b/>
                <w:bCs/>
                <w:color w:val="auto"/>
                <w:sz w:val="21"/>
                <w:szCs w:val="21"/>
                <w:highlight w:val="none"/>
                <w:u w:val="wave"/>
              </w:rPr>
            </w:pPr>
            <w:r>
              <w:rPr>
                <w:b/>
                <w:bCs/>
                <w:color w:val="auto"/>
                <w:highlight w:val="none"/>
                <w:u w:val="wave"/>
              </w:rPr>
              <w:t>表</w:t>
            </w:r>
            <w:r>
              <w:rPr>
                <w:rFonts w:hint="eastAsia"/>
                <w:b/>
                <w:bCs/>
                <w:color w:val="auto"/>
                <w:highlight w:val="none"/>
                <w:u w:val="wave"/>
                <w:lang w:eastAsia="zh-CN"/>
              </w:rPr>
              <w:t>7</w:t>
            </w:r>
            <w:r>
              <w:rPr>
                <w:b/>
                <w:bCs/>
                <w:color w:val="auto"/>
                <w:highlight w:val="none"/>
                <w:u w:val="wave"/>
              </w:rPr>
              <w:t>-</w:t>
            </w:r>
            <w:r>
              <w:rPr>
                <w:rFonts w:hint="eastAsia"/>
                <w:b/>
                <w:bCs/>
                <w:color w:val="auto"/>
                <w:highlight w:val="none"/>
                <w:u w:val="wave"/>
                <w:lang w:val="en-US" w:eastAsia="zh-CN"/>
              </w:rPr>
              <w:t>5</w:t>
            </w:r>
            <w:r>
              <w:rPr>
                <w:b/>
                <w:bCs/>
                <w:color w:val="auto"/>
                <w:highlight w:val="none"/>
                <w:u w:val="wave"/>
              </w:rPr>
              <w:t xml:space="preserve">   </w:t>
            </w:r>
            <w:r>
              <w:rPr>
                <w:rFonts w:hint="eastAsia"/>
                <w:b/>
                <w:bCs/>
                <w:color w:val="auto"/>
                <w:highlight w:val="none"/>
                <w:u w:val="wave"/>
                <w:lang w:eastAsia="zh-CN"/>
              </w:rPr>
              <w:t>类比项目现状监测值</w:t>
            </w:r>
          </w:p>
          <w:tbl>
            <w:tblPr>
              <w:tblStyle w:val="35"/>
              <w:tblW w:w="872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764"/>
              <w:gridCol w:w="490"/>
              <w:gridCol w:w="764"/>
              <w:gridCol w:w="923"/>
              <w:gridCol w:w="865"/>
              <w:gridCol w:w="894"/>
              <w:gridCol w:w="865"/>
              <w:gridCol w:w="866"/>
              <w:gridCol w:w="1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eastAsia="zh-CN"/>
                    </w:rPr>
                  </w:pPr>
                  <w:r>
                    <w:rPr>
                      <w:rFonts w:hAnsi="宋体"/>
                      <w:spacing w:val="-20"/>
                      <w:sz w:val="21"/>
                      <w:szCs w:val="21"/>
                      <w:u w:val="wave"/>
                    </w:rPr>
                    <w:t>点位</w:t>
                  </w:r>
                </w:p>
              </w:tc>
              <w:tc>
                <w:tcPr>
                  <w:tcW w:w="764"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hAnsi="宋体"/>
                      <w:sz w:val="21"/>
                      <w:szCs w:val="21"/>
                      <w:u w:val="wave"/>
                      <w:lang w:eastAsia="zh-CN"/>
                    </w:rPr>
                    <w:t>检</w:t>
                  </w:r>
                  <w:r>
                    <w:rPr>
                      <w:rFonts w:hAnsi="宋体"/>
                      <w:sz w:val="21"/>
                      <w:szCs w:val="21"/>
                      <w:u w:val="wave"/>
                    </w:rPr>
                    <w:t>测高度（</w:t>
                  </w:r>
                  <w:r>
                    <w:rPr>
                      <w:sz w:val="21"/>
                      <w:szCs w:val="21"/>
                      <w:u w:val="wave"/>
                      <w:lang w:val="en-GB"/>
                    </w:rPr>
                    <w:t>m</w:t>
                  </w:r>
                  <w:r>
                    <w:rPr>
                      <w:rFonts w:hAnsi="宋体"/>
                      <w:sz w:val="21"/>
                      <w:szCs w:val="21"/>
                      <w:u w:val="wave"/>
                    </w:rPr>
                    <w:t>）</w:t>
                  </w:r>
                </w:p>
              </w:tc>
              <w:tc>
                <w:tcPr>
                  <w:tcW w:w="490"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Ansi="宋体"/>
                      <w:spacing w:val="-20"/>
                      <w:sz w:val="21"/>
                      <w:szCs w:val="21"/>
                      <w:u w:val="wave"/>
                    </w:rPr>
                    <w:t>项目</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Ansi="宋体"/>
                      <w:spacing w:val="-20"/>
                      <w:sz w:val="21"/>
                      <w:szCs w:val="21"/>
                      <w:u w:val="wave"/>
                    </w:rPr>
                    <w:t>单位</w:t>
                  </w:r>
                </w:p>
              </w:tc>
              <w:tc>
                <w:tcPr>
                  <w:tcW w:w="4413" w:type="dxa"/>
                  <w:gridSpan w:val="5"/>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Ansi="宋体"/>
                      <w:spacing w:val="-20"/>
                      <w:sz w:val="21"/>
                      <w:szCs w:val="21"/>
                      <w:u w:val="wave"/>
                    </w:rPr>
                    <w:t>测量值</w:t>
                  </w:r>
                </w:p>
              </w:tc>
              <w:tc>
                <w:tcPr>
                  <w:tcW w:w="185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color w:val="auto"/>
                      <w:spacing w:val="-20"/>
                      <w:sz w:val="21"/>
                      <w:szCs w:val="21"/>
                      <w:u w:val="wave"/>
                    </w:rPr>
                  </w:pPr>
                  <w:r>
                    <w:rPr>
                      <w:rFonts w:hAnsi="宋体"/>
                      <w:color w:val="auto"/>
                      <w:spacing w:val="-20"/>
                      <w:sz w:val="21"/>
                      <w:szCs w:val="21"/>
                      <w:u w:val="wave"/>
                    </w:rPr>
                    <w:t>计算值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lang w:val="en-US"/>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923"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1</w:t>
                  </w:r>
                </w:p>
              </w:tc>
              <w:tc>
                <w:tcPr>
                  <w:tcW w:w="865"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2</w:t>
                  </w:r>
                </w:p>
              </w:tc>
              <w:tc>
                <w:tcPr>
                  <w:tcW w:w="89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3</w:t>
                  </w:r>
                </w:p>
              </w:tc>
              <w:tc>
                <w:tcPr>
                  <w:tcW w:w="865"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4</w:t>
                  </w:r>
                </w:p>
              </w:tc>
              <w:tc>
                <w:tcPr>
                  <w:tcW w:w="866"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5</w:t>
                  </w:r>
                </w:p>
              </w:tc>
              <w:tc>
                <w:tcPr>
                  <w:tcW w:w="185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color w:val="auto"/>
                      <w:spacing w:val="-20"/>
                      <w:sz w:val="21"/>
                      <w:szCs w:val="21"/>
                      <w:u w:val="wav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bCs/>
                      <w:sz w:val="21"/>
                      <w:szCs w:val="21"/>
                      <w:u w:val="wave"/>
                    </w:rPr>
                    <w:t>1</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1.</w:t>
                  </w:r>
                  <w:r>
                    <w:rPr>
                      <w:rFonts w:hint="eastAsia"/>
                      <w:spacing w:val="-20"/>
                      <w:sz w:val="21"/>
                      <w:szCs w:val="21"/>
                      <w:u w:val="wave"/>
                      <w:lang w:val="en-US" w:eastAsia="zh-CN"/>
                    </w:rPr>
                    <w:t>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0.36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0.3</w:t>
                  </w:r>
                  <w:r>
                    <w:rPr>
                      <w:rFonts w:hint="eastAsia" w:ascii="Times New Roman" w:hAnsi="Times New Roman" w:cs="Times New Roman"/>
                      <w:color w:val="000000"/>
                      <w:sz w:val="21"/>
                      <w:szCs w:val="21"/>
                      <w:u w:val="wave"/>
                      <w:lang w:val="en-US" w:eastAsia="zh-CN"/>
                    </w:rPr>
                    <w:t>4</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0.3</w:t>
                  </w:r>
                  <w:r>
                    <w:rPr>
                      <w:rFonts w:hint="eastAsia" w:ascii="Times New Roman" w:hAnsi="Times New Roman" w:cs="Times New Roman"/>
                      <w:color w:val="000000"/>
                      <w:sz w:val="21"/>
                      <w:szCs w:val="21"/>
                      <w:u w:val="wave"/>
                      <w:lang w:val="en-US" w:eastAsia="zh-CN"/>
                    </w:rPr>
                    <w:t>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3</w:t>
                  </w:r>
                  <w:r>
                    <w:rPr>
                      <w:rFonts w:hint="eastAsia" w:ascii="Times New Roman" w:hAnsi="Times New Roman" w:cs="Times New Roman"/>
                      <w:color w:val="000000"/>
                      <w:sz w:val="21"/>
                      <w:szCs w:val="21"/>
                      <w:u w:val="wave"/>
                      <w:lang w:val="en-US" w:eastAsia="zh-CN"/>
                    </w:rPr>
                    <w:t>5</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3</w:t>
                  </w:r>
                  <w:r>
                    <w:rPr>
                      <w:rFonts w:hint="eastAsia" w:ascii="Times New Roman" w:hAnsi="Times New Roman" w:cs="Times New Roman"/>
                      <w:color w:val="000000"/>
                      <w:sz w:val="21"/>
                      <w:szCs w:val="21"/>
                      <w:u w:val="wave"/>
                      <w:lang w:val="en-US" w:eastAsia="zh-CN"/>
                    </w:rPr>
                    <w:t>4</w:t>
                  </w:r>
                </w:p>
              </w:tc>
              <w:tc>
                <w:tcPr>
                  <w:tcW w:w="185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color w:val="auto"/>
                      <w:sz w:val="21"/>
                      <w:szCs w:val="21"/>
                      <w:u w:val="wave"/>
                      <w:lang w:val="en-GB"/>
                    </w:rPr>
                  </w:pPr>
                  <w:r>
                    <w:rPr>
                      <w:rFonts w:hint="eastAsia"/>
                      <w:color w:val="auto"/>
                      <w:sz w:val="21"/>
                      <w:szCs w:val="21"/>
                      <w:u w:val="wave"/>
                      <w:lang w:val="en-US" w:eastAsia="zh-CN"/>
                    </w:rPr>
                    <w:t>0.34</w:t>
                  </w:r>
                  <w:r>
                    <w:rPr>
                      <w:color w:val="auto"/>
                      <w:sz w:val="21"/>
                      <w:szCs w:val="21"/>
                      <w:u w:val="wave"/>
                      <w:lang w:val="en-GB"/>
                    </w:rPr>
                    <w:t>±</w:t>
                  </w:r>
                  <w:r>
                    <w:rPr>
                      <w:rFonts w:hint="eastAsia"/>
                      <w:color w:val="auto"/>
                      <w:sz w:val="21"/>
                      <w:szCs w:val="21"/>
                      <w:u w:val="wav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vertAlign w:val="superscript"/>
                      <w:lang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0.0014</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0.0012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0.0012</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0.0011</w:t>
                  </w:r>
                </w:p>
              </w:tc>
              <w:tc>
                <w:tcPr>
                  <w:tcW w:w="185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color w:val="auto"/>
                      <w:sz w:val="21"/>
                      <w:szCs w:val="21"/>
                      <w:u w:val="wave"/>
                      <w:lang w:val="en-GB"/>
                    </w:rPr>
                  </w:pPr>
                  <w:r>
                    <w:rPr>
                      <w:rFonts w:hint="eastAsia"/>
                      <w:color w:val="auto"/>
                      <w:sz w:val="21"/>
                      <w:szCs w:val="21"/>
                      <w:u w:val="wave"/>
                      <w:lang w:val="en-US" w:eastAsia="zh-CN"/>
                    </w:rPr>
                    <w:t>0.0012</w:t>
                  </w:r>
                  <w:r>
                    <w:rPr>
                      <w:color w:val="auto"/>
                      <w:sz w:val="21"/>
                      <w:szCs w:val="21"/>
                      <w:u w:val="wave"/>
                      <w:lang w:val="en-GB"/>
                    </w:rPr>
                    <w:t>±</w:t>
                  </w:r>
                  <w:r>
                    <w:rPr>
                      <w:rFonts w:hint="eastAsia"/>
                      <w:color w:val="auto"/>
                      <w:sz w:val="21"/>
                      <w:szCs w:val="21"/>
                      <w:u w:val="wav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olor w:val="000000"/>
                      <w:spacing w:val="-20"/>
                      <w:sz w:val="21"/>
                      <w:szCs w:val="21"/>
                      <w:u w:val="wave"/>
                      <w:lang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0.0012</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0.0015</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0.0014</w:t>
                  </w:r>
                </w:p>
              </w:tc>
              <w:tc>
                <w:tcPr>
                  <w:tcW w:w="8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185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olor w:val="auto"/>
                      <w:sz w:val="21"/>
                      <w:szCs w:val="21"/>
                      <w:u w:val="wave"/>
                      <w:lang w:val="en-US" w:eastAsia="zh-CN"/>
                    </w:rPr>
                  </w:pPr>
                  <w:r>
                    <w:rPr>
                      <w:rFonts w:hint="eastAsia"/>
                      <w:color w:val="auto"/>
                      <w:sz w:val="21"/>
                      <w:szCs w:val="21"/>
                      <w:u w:val="wave"/>
                      <w:lang w:val="en-US" w:eastAsia="zh-CN"/>
                    </w:rPr>
                    <w:t>0.0013</w:t>
                  </w:r>
                  <w:r>
                    <w:rPr>
                      <w:color w:val="auto"/>
                      <w:sz w:val="21"/>
                      <w:szCs w:val="21"/>
                      <w:u w:val="wave"/>
                      <w:lang w:val="en-GB"/>
                    </w:rPr>
                    <w:t>±</w:t>
                  </w:r>
                  <w:r>
                    <w:rPr>
                      <w:rFonts w:hint="eastAsia"/>
                      <w:color w:val="auto"/>
                      <w:sz w:val="21"/>
                      <w:szCs w:val="21"/>
                      <w:u w:val="wav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2</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1.</w:t>
                  </w:r>
                  <w:r>
                    <w:rPr>
                      <w:rFonts w:hint="eastAsia"/>
                      <w:spacing w:val="-20"/>
                      <w:sz w:val="21"/>
                      <w:szCs w:val="21"/>
                      <w:u w:val="wave"/>
                      <w:lang w:val="en-US" w:eastAsia="zh-CN"/>
                    </w:rPr>
                    <w:t>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0.42</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0.4</w:t>
                  </w:r>
                  <w:r>
                    <w:rPr>
                      <w:rFonts w:hint="eastAsia" w:ascii="Times New Roman" w:hAnsi="Times New Roman" w:eastAsia="宋体" w:cs="Times New Roman"/>
                      <w:color w:val="000000"/>
                      <w:sz w:val="21"/>
                      <w:szCs w:val="21"/>
                      <w:u w:val="wave"/>
                      <w:lang w:val="en-US" w:eastAsia="zh-CN"/>
                    </w:rPr>
                    <w:t>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.45</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6</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9</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lang w:val="en-GB"/>
                    </w:rPr>
                  </w:pPr>
                  <w:r>
                    <w:rPr>
                      <w:rFonts w:hint="eastAsia"/>
                      <w:color w:val="auto"/>
                      <w:sz w:val="21"/>
                      <w:szCs w:val="21"/>
                      <w:u w:val="wave"/>
                      <w:lang w:val="en-US" w:eastAsia="zh-CN"/>
                    </w:rPr>
                    <w:t>0.46</w:t>
                  </w:r>
                  <w:r>
                    <w:rPr>
                      <w:color w:val="auto"/>
                      <w:sz w:val="21"/>
                      <w:szCs w:val="21"/>
                      <w:u w:val="wave"/>
                      <w:lang w:val="en-GB"/>
                    </w:rPr>
                    <w:t>±</w:t>
                  </w:r>
                  <w:r>
                    <w:rPr>
                      <w:rFonts w:hint="eastAsia"/>
                      <w:color w:val="auto"/>
                      <w:sz w:val="21"/>
                      <w:szCs w:val="21"/>
                      <w:u w:val="wav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vertAlign w:val="superscript"/>
                      <w:lang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7</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7</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5</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3</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rPr>
                  </w:pPr>
                  <w:r>
                    <w:rPr>
                      <w:rFonts w:hint="eastAsia"/>
                      <w:color w:val="auto"/>
                      <w:sz w:val="21"/>
                      <w:szCs w:val="21"/>
                      <w:u w:val="wave"/>
                      <w:lang w:val="en-US" w:eastAsia="zh-CN"/>
                    </w:rPr>
                    <w:t>0.0006</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olor w:val="000000"/>
                      <w:spacing w:val="-20"/>
                      <w:sz w:val="21"/>
                      <w:szCs w:val="21"/>
                      <w:u w:val="wave"/>
                      <w:lang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0.0014</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0.0015</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0.0014</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0.0014</w:t>
                  </w:r>
                  <w:r>
                    <w:rPr>
                      <w:color w:val="auto"/>
                      <w:sz w:val="21"/>
                      <w:szCs w:val="21"/>
                      <w:u w:val="wave"/>
                      <w:lang w:val="en-GB"/>
                    </w:rPr>
                    <w:t>±</w:t>
                  </w:r>
                  <w:r>
                    <w:rPr>
                      <w:rFonts w:hint="eastAsia"/>
                      <w:color w:val="auto"/>
                      <w:sz w:val="21"/>
                      <w:szCs w:val="21"/>
                      <w:u w:val="wav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3</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1.</w:t>
                  </w:r>
                  <w:r>
                    <w:rPr>
                      <w:rFonts w:hint="eastAsia"/>
                      <w:spacing w:val="-20"/>
                      <w:sz w:val="21"/>
                      <w:szCs w:val="21"/>
                      <w:u w:val="wave"/>
                      <w:lang w:val="en-US" w:eastAsia="zh-CN"/>
                    </w:rPr>
                    <w:t>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0.40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1</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6</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4</w:t>
                  </w:r>
                  <w:r>
                    <w:rPr>
                      <w:rFonts w:hint="eastAsia" w:ascii="Times New Roman" w:hAnsi="Times New Roman" w:cs="Times New Roman"/>
                      <w:color w:val="000000"/>
                      <w:sz w:val="21"/>
                      <w:szCs w:val="21"/>
                      <w:u w:val="wave"/>
                      <w:lang w:val="en-US" w:eastAsia="zh-CN"/>
                    </w:rPr>
                    <w:t>4</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rPr>
                  </w:pPr>
                  <w:r>
                    <w:rPr>
                      <w:rFonts w:hint="eastAsia"/>
                      <w:color w:val="auto"/>
                      <w:sz w:val="21"/>
                      <w:szCs w:val="21"/>
                      <w:u w:val="wave"/>
                      <w:lang w:val="en-US" w:eastAsia="zh-CN"/>
                    </w:rPr>
                    <w:t>0.43</w:t>
                  </w:r>
                  <w:r>
                    <w:rPr>
                      <w:color w:val="auto"/>
                      <w:sz w:val="21"/>
                      <w:szCs w:val="21"/>
                      <w:u w:val="wave"/>
                      <w:lang w:val="en-GB"/>
                    </w:rPr>
                    <w:t>±</w:t>
                  </w:r>
                  <w:r>
                    <w:rPr>
                      <w:rFonts w:hint="eastAsia"/>
                      <w:color w:val="auto"/>
                      <w:sz w:val="21"/>
                      <w:szCs w:val="21"/>
                      <w:u w:val="wav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vertAlign w:val="superscript"/>
                      <w:lang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0.000</w:t>
                  </w:r>
                  <w:r>
                    <w:rPr>
                      <w:rFonts w:hint="eastAsia" w:ascii="Times New Roman" w:hAnsi="Times New Roman" w:cs="Times New Roman"/>
                      <w:color w:val="000000"/>
                      <w:sz w:val="21"/>
                      <w:szCs w:val="21"/>
                      <w:u w:val="wave"/>
                      <w:lang w:val="en-US" w:eastAsia="zh-CN"/>
                    </w:rPr>
                    <w:t>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000</w:t>
                  </w:r>
                  <w:r>
                    <w:rPr>
                      <w:rFonts w:hint="eastAsia" w:ascii="Times New Roman" w:hAnsi="Times New Roman" w:cs="Times New Roman"/>
                      <w:color w:val="000000"/>
                      <w:sz w:val="21"/>
                      <w:szCs w:val="21"/>
                      <w:u w:val="wave"/>
                      <w:lang w:val="en-US" w:eastAsia="zh-CN"/>
                    </w:rPr>
                    <w:t>4</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000</w:t>
                  </w:r>
                  <w:r>
                    <w:rPr>
                      <w:rFonts w:hint="eastAsia" w:ascii="Times New Roman" w:hAnsi="Times New Roman" w:cs="Times New Roman"/>
                      <w:color w:val="000000"/>
                      <w:sz w:val="21"/>
                      <w:szCs w:val="21"/>
                      <w:u w:val="wave"/>
                      <w:lang w:val="en-US" w:eastAsia="zh-CN"/>
                    </w:rPr>
                    <w:t>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000</w:t>
                  </w:r>
                  <w:r>
                    <w:rPr>
                      <w:rFonts w:hint="eastAsia" w:ascii="Times New Roman" w:hAnsi="Times New Roman" w:cs="Times New Roman"/>
                      <w:color w:val="000000"/>
                      <w:sz w:val="21"/>
                      <w:szCs w:val="21"/>
                      <w:u w:val="wave"/>
                      <w:lang w:val="en-US" w:eastAsia="zh-CN"/>
                    </w:rPr>
                    <w:t>5</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0010</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rPr>
                  </w:pPr>
                  <w:r>
                    <w:rPr>
                      <w:rFonts w:hint="eastAsia"/>
                      <w:color w:val="auto"/>
                      <w:sz w:val="21"/>
                      <w:szCs w:val="21"/>
                      <w:u w:val="wave"/>
                      <w:lang w:val="en-US" w:eastAsia="zh-CN"/>
                    </w:rPr>
                    <w:t>0.0007</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olor w:val="000000"/>
                      <w:spacing w:val="-20"/>
                      <w:sz w:val="21"/>
                      <w:szCs w:val="21"/>
                      <w:u w:val="wave"/>
                      <w:lang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0.0013</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0.0012</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0.0011</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0.0012</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0.0012</w:t>
                  </w:r>
                  <w:r>
                    <w:rPr>
                      <w:color w:val="auto"/>
                      <w:sz w:val="21"/>
                      <w:szCs w:val="21"/>
                      <w:u w:val="wave"/>
                      <w:lang w:val="en-GB"/>
                    </w:rPr>
                    <w:t>±</w:t>
                  </w:r>
                  <w:r>
                    <w:rPr>
                      <w:rFonts w:hint="eastAsia"/>
                      <w:color w:val="auto"/>
                      <w:sz w:val="21"/>
                      <w:szCs w:val="21"/>
                      <w:u w:val="wave"/>
                      <w:lang w:val="en-US" w:eastAsia="zh-CN"/>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4</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67</w:t>
                  </w:r>
                  <w:r>
                    <w:rPr>
                      <w:spacing w:val="-20"/>
                      <w:sz w:val="21"/>
                      <w:szCs w:val="21"/>
                      <w:u w:val="wave"/>
                    </w:rPr>
                    <w:t>.</w:t>
                  </w:r>
                  <w:r>
                    <w:rPr>
                      <w:rFonts w:hint="eastAsia"/>
                      <w:spacing w:val="-20"/>
                      <w:sz w:val="21"/>
                      <w:szCs w:val="21"/>
                      <w:u w:val="wave"/>
                      <w:lang w:val="en-US" w:eastAsia="zh-CN"/>
                    </w:rPr>
                    <w:t>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1</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9</w:t>
                  </w:r>
                  <w:r>
                    <w:rPr>
                      <w:rFonts w:hint="eastAsia" w:ascii="Times New Roman" w:hAnsi="Times New Roman" w:cs="Times New Roman"/>
                      <w:color w:val="000000"/>
                      <w:sz w:val="21"/>
                      <w:szCs w:val="21"/>
                      <w:u w:val="wave"/>
                      <w:lang w:val="en-US" w:eastAsia="zh-CN"/>
                    </w:rPr>
                    <w:t>1</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1</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96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1</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9</w:t>
                  </w:r>
                  <w:r>
                    <w:rPr>
                      <w:rFonts w:hint="eastAsia" w:ascii="Times New Roman" w:hAnsi="Times New Roman" w:cs="Times New Roman"/>
                      <w:color w:val="000000"/>
                      <w:sz w:val="21"/>
                      <w:szCs w:val="21"/>
                      <w:u w:val="wave"/>
                      <w:lang w:val="en-US" w:eastAsia="zh-CN"/>
                    </w:rPr>
                    <w:t>5</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1.9</w:t>
                  </w:r>
                  <w:r>
                    <w:rPr>
                      <w:rFonts w:hint="eastAsia" w:ascii="Times New Roman" w:hAnsi="Times New Roman" w:cs="Times New Roman"/>
                      <w:color w:val="000000"/>
                      <w:sz w:val="21"/>
                      <w:szCs w:val="21"/>
                      <w:u w:val="wave"/>
                      <w:lang w:val="en-US" w:eastAsia="zh-CN"/>
                    </w:rPr>
                    <w:t>2</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1</w:t>
                  </w:r>
                  <w:r>
                    <w:rPr>
                      <w:rFonts w:hint="eastAsia" w:ascii="Times New Roman" w:hAnsi="Times New Roman" w:cs="Times New Roman"/>
                      <w:color w:val="000000"/>
                      <w:sz w:val="21"/>
                      <w:szCs w:val="21"/>
                      <w:u w:val="wave"/>
                      <w:lang w:val="en-US" w:eastAsia="zh-CN"/>
                    </w:rPr>
                    <w:t>.</w:t>
                  </w:r>
                  <w:r>
                    <w:rPr>
                      <w:rFonts w:hint="eastAsia" w:cs="Times New Roman"/>
                      <w:color w:val="000000"/>
                      <w:sz w:val="21"/>
                      <w:szCs w:val="21"/>
                      <w:u w:val="wave"/>
                      <w:lang w:val="en-US" w:eastAsia="zh-CN"/>
                    </w:rPr>
                    <w:t>9</w:t>
                  </w:r>
                  <w:r>
                    <w:rPr>
                      <w:rFonts w:hint="eastAsia" w:ascii="Times New Roman" w:hAnsi="Times New Roman" w:cs="Times New Roman"/>
                      <w:color w:val="000000"/>
                      <w:sz w:val="21"/>
                      <w:szCs w:val="21"/>
                      <w:u w:val="wave"/>
                      <w:lang w:val="en-US" w:eastAsia="zh-CN"/>
                    </w:rPr>
                    <w:t>6</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rPr>
                  </w:pPr>
                  <w:r>
                    <w:rPr>
                      <w:rFonts w:hint="eastAsia"/>
                      <w:color w:val="auto"/>
                      <w:sz w:val="21"/>
                      <w:szCs w:val="21"/>
                      <w:u w:val="wave"/>
                      <w:lang w:val="en-US" w:eastAsia="zh-CN"/>
                    </w:rPr>
                    <w:t>1.94</w:t>
                  </w:r>
                  <w:r>
                    <w:rPr>
                      <w:color w:val="auto"/>
                      <w:sz w:val="21"/>
                      <w:szCs w:val="21"/>
                      <w:u w:val="wave"/>
                      <w:lang w:val="en-GB"/>
                    </w:rPr>
                    <w:t>±</w:t>
                  </w:r>
                  <w:r>
                    <w:rPr>
                      <w:rFonts w:hint="eastAsia"/>
                      <w:color w:val="auto"/>
                      <w:sz w:val="21"/>
                      <w:szCs w:val="21"/>
                      <w:u w:val="wav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vertAlign w:val="superscript"/>
                      <w:lang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0.0078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0.0072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0.0076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0.0075</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0.0077</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color w:val="auto"/>
                      <w:sz w:val="21"/>
                      <w:szCs w:val="21"/>
                      <w:u w:val="wave"/>
                    </w:rPr>
                  </w:pPr>
                  <w:r>
                    <w:rPr>
                      <w:rFonts w:hint="eastAsia"/>
                      <w:color w:val="auto"/>
                      <w:sz w:val="21"/>
                      <w:szCs w:val="21"/>
                      <w:u w:val="wave"/>
                      <w:lang w:val="en-US" w:eastAsia="zh-CN"/>
                    </w:rPr>
                    <w:t>0.0076</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olor w:val="000000"/>
                      <w:spacing w:val="-20"/>
                      <w:sz w:val="21"/>
                      <w:szCs w:val="21"/>
                      <w:u w:val="wave"/>
                      <w:lang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0.0041</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0.0040</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0.0048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0.0046</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Times New Roman" w:hAnsi="Times New Roman" w:cs="Times New Roman"/>
                      <w:color w:val="000000"/>
                      <w:sz w:val="21"/>
                      <w:szCs w:val="21"/>
                      <w:u w:val="wave"/>
                      <w:lang w:val="en-US" w:eastAsia="zh-CN"/>
                    </w:rPr>
                  </w:pPr>
                  <w:r>
                    <w:rPr>
                      <w:rFonts w:hint="eastAsia" w:cs="Times New Roman"/>
                      <w:color w:val="000000"/>
                      <w:sz w:val="21"/>
                      <w:szCs w:val="21"/>
                      <w:u w:val="wave"/>
                      <w:lang w:val="en-US" w:eastAsia="zh-CN"/>
                    </w:rPr>
                    <w:t>0.0047</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0.0044</w:t>
                  </w:r>
                  <w:r>
                    <w:rPr>
                      <w:color w:val="auto"/>
                      <w:sz w:val="21"/>
                      <w:szCs w:val="21"/>
                      <w:u w:val="wave"/>
                      <w:lang w:val="en-GB"/>
                    </w:rPr>
                    <w:t>±</w:t>
                  </w:r>
                  <w:r>
                    <w:rPr>
                      <w:rFonts w:hint="eastAsia"/>
                      <w:color w:val="auto"/>
                      <w:sz w:val="21"/>
                      <w:szCs w:val="21"/>
                      <w:u w:val="wav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5</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88</w:t>
                  </w:r>
                  <w:r>
                    <w:rPr>
                      <w:spacing w:val="-20"/>
                      <w:sz w:val="21"/>
                      <w:szCs w:val="21"/>
                      <w:u w:val="wave"/>
                    </w:rPr>
                    <w:t>.</w:t>
                  </w:r>
                  <w:r>
                    <w:rPr>
                      <w:rFonts w:hint="eastAsia"/>
                      <w:spacing w:val="-20"/>
                      <w:sz w:val="21"/>
                      <w:szCs w:val="21"/>
                      <w:u w:val="wave"/>
                      <w:lang w:val="en-US" w:eastAsia="zh-CN"/>
                    </w:rPr>
                    <w:t>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5.14</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5.16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5.20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5.18</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5.12</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5.16</w:t>
                  </w:r>
                  <w:r>
                    <w:rPr>
                      <w:color w:val="auto"/>
                      <w:sz w:val="21"/>
                      <w:szCs w:val="21"/>
                      <w:u w:val="wave"/>
                      <w:lang w:val="en-GB"/>
                    </w:rPr>
                    <w:t>±</w:t>
                  </w:r>
                  <w:r>
                    <w:rPr>
                      <w:rFonts w:hint="eastAsia"/>
                      <w:color w:val="auto"/>
                      <w:sz w:val="21"/>
                      <w:szCs w:val="21"/>
                      <w:u w:val="wav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0.0914</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0.0906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0.0912</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0.0910</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0.0911</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0.0911</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0.0158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0.0146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0.0160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0.0152</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0.0159</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0.0155</w:t>
                  </w:r>
                  <w:r>
                    <w:rPr>
                      <w:color w:val="auto"/>
                      <w:sz w:val="21"/>
                      <w:szCs w:val="21"/>
                      <w:u w:val="wave"/>
                      <w:lang w:val="en-GB"/>
                    </w:rPr>
                    <w:t>±</w:t>
                  </w:r>
                  <w:r>
                    <w:rPr>
                      <w:rFonts w:hint="eastAsia"/>
                      <w:color w:val="auto"/>
                      <w:sz w:val="21"/>
                      <w:szCs w:val="21"/>
                      <w:u w:val="wave"/>
                      <w:lang w:val="en-US" w:eastAsia="zh-CN"/>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6</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79.7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6.58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6.62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6.57</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6.60</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6.55</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6.58</w:t>
                  </w:r>
                  <w:r>
                    <w:rPr>
                      <w:color w:val="auto"/>
                      <w:sz w:val="21"/>
                      <w:szCs w:val="21"/>
                      <w:u w:val="wave"/>
                      <w:lang w:val="en-GB"/>
                    </w:rPr>
                    <w:t>±</w:t>
                  </w:r>
                  <w:r>
                    <w:rPr>
                      <w:rFonts w:hint="eastAsia"/>
                      <w:color w:val="auto"/>
                      <w:sz w:val="21"/>
                      <w:szCs w:val="21"/>
                      <w:u w:val="wav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0.1306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0.1302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0.1310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0.1308</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0.1305</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0.1306</w:t>
                  </w:r>
                  <w:r>
                    <w:rPr>
                      <w:color w:val="auto"/>
                      <w:sz w:val="21"/>
                      <w:szCs w:val="21"/>
                      <w:u w:val="wave"/>
                      <w:lang w:val="en-GB"/>
                    </w:rPr>
                    <w:t>±</w:t>
                  </w:r>
                  <w:r>
                    <w:rPr>
                      <w:rFonts w:hint="eastAsia"/>
                      <w:color w:val="auto"/>
                      <w:sz w:val="21"/>
                      <w:szCs w:val="21"/>
                      <w:u w:val="wave"/>
                      <w:lang w:val="en-US" w:eastAsia="zh-CN"/>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0.0177</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0.0172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0.0175</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0.0174</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0.0173</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0.0174</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7</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79.7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15.71</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15.60</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15.77</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15.68</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15.70</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15.69</w:t>
                  </w:r>
                  <w:r>
                    <w:rPr>
                      <w:color w:val="auto"/>
                      <w:sz w:val="21"/>
                      <w:szCs w:val="21"/>
                      <w:u w:val="wave"/>
                      <w:lang w:val="en-GB"/>
                    </w:rPr>
                    <w:t>±</w:t>
                  </w:r>
                  <w:r>
                    <w:rPr>
                      <w:rFonts w:hint="eastAsia"/>
                      <w:color w:val="auto"/>
                      <w:sz w:val="21"/>
                      <w:szCs w:val="21"/>
                      <w:u w:val="wav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0.7619</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0.7612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0.7618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0.7614</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0.7615</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0.7616</w:t>
                  </w:r>
                  <w:r>
                    <w:rPr>
                      <w:color w:val="auto"/>
                      <w:sz w:val="21"/>
                      <w:szCs w:val="21"/>
                      <w:u w:val="wave"/>
                      <w:lang w:val="en-GB"/>
                    </w:rPr>
                    <w:t>±</w:t>
                  </w:r>
                  <w:r>
                    <w:rPr>
                      <w:rFonts w:hint="eastAsia"/>
                      <w:color w:val="auto"/>
                      <w:sz w:val="21"/>
                      <w:szCs w:val="21"/>
                      <w:u w:val="wav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0.0436</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0.0426</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0.0430</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0.0428</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0.0433</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0.0431</w:t>
                  </w:r>
                  <w:r>
                    <w:rPr>
                      <w:color w:val="auto"/>
                      <w:sz w:val="21"/>
                      <w:szCs w:val="21"/>
                      <w:u w:val="wave"/>
                      <w:lang w:val="en-GB"/>
                    </w:rPr>
                    <w:t>±</w:t>
                  </w:r>
                  <w:r>
                    <w:rPr>
                      <w:rFonts w:hint="eastAsia"/>
                      <w:color w:val="auto"/>
                      <w:sz w:val="21"/>
                      <w:szCs w:val="21"/>
                      <w:u w:val="wav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eastAsia="宋体"/>
                      <w:spacing w:val="-20"/>
                      <w:sz w:val="21"/>
                      <w:szCs w:val="21"/>
                      <w:u w:val="wave"/>
                      <w:lang w:val="en-US" w:eastAsia="zh-CN"/>
                    </w:rPr>
                  </w:pPr>
                  <w:r>
                    <w:rPr>
                      <w:rFonts w:hint="eastAsia"/>
                      <w:spacing w:val="-20"/>
                      <w:sz w:val="21"/>
                      <w:szCs w:val="21"/>
                      <w:u w:val="wave"/>
                      <w:lang w:val="en-US" w:eastAsia="zh-CN"/>
                    </w:rPr>
                    <w:t>8</w:t>
                  </w:r>
                </w:p>
              </w:tc>
              <w:tc>
                <w:tcPr>
                  <w:tcW w:w="764" w:type="dxa"/>
                  <w:vMerge w:val="restart"/>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r>
                    <w:rPr>
                      <w:rFonts w:hint="eastAsia"/>
                      <w:spacing w:val="-20"/>
                      <w:sz w:val="21"/>
                      <w:szCs w:val="21"/>
                      <w:u w:val="wave"/>
                      <w:lang w:val="en-US" w:eastAsia="zh-CN"/>
                    </w:rPr>
                    <w:t>79.7</w:t>
                  </w: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E</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spacing w:val="-20"/>
                      <w:sz w:val="21"/>
                      <w:szCs w:val="21"/>
                      <w:u w:val="wave"/>
                    </w:rPr>
                    <w:t>V/m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6.03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6.10</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6.05</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6.02</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6.08</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6.06</w:t>
                  </w:r>
                  <w:r>
                    <w:rPr>
                      <w:color w:val="auto"/>
                      <w:sz w:val="21"/>
                      <w:szCs w:val="21"/>
                      <w:u w:val="wave"/>
                      <w:lang w:val="en-GB"/>
                    </w:rPr>
                    <w:t>±</w:t>
                  </w:r>
                  <w:r>
                    <w:rPr>
                      <w:rFonts w:hint="eastAsia"/>
                      <w:color w:val="auto"/>
                      <w:sz w:val="21"/>
                      <w:szCs w:val="21"/>
                      <w:u w:val="wav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S</w:t>
                  </w:r>
                  <w:r>
                    <w:rPr>
                      <w:rFonts w:hint="eastAsia"/>
                      <w:spacing w:val="-23"/>
                      <w:sz w:val="21"/>
                      <w:szCs w:val="21"/>
                      <w:u w:val="wave"/>
                      <w:vertAlign w:val="subscript"/>
                      <w:lang w:val="en-US" w:eastAsia="zh-CN"/>
                    </w:rPr>
                    <w:t>eq</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W</w:t>
                  </w:r>
                  <w:r>
                    <w:rPr>
                      <w:spacing w:val="-20"/>
                      <w:sz w:val="21"/>
                      <w:szCs w:val="21"/>
                      <w:u w:val="wave"/>
                    </w:rPr>
                    <w:t>/m</w:t>
                  </w:r>
                  <w:r>
                    <w:rPr>
                      <w:rFonts w:hint="eastAsia"/>
                      <w:spacing w:val="-20"/>
                      <w:sz w:val="21"/>
                      <w:szCs w:val="21"/>
                      <w:u w:val="wave"/>
                      <w:vertAlign w:val="superscript"/>
                      <w:lang w:val="en-US" w:eastAsia="zh-CN"/>
                    </w:rPr>
                    <w:t>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0.0723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0.0720</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0.0718</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0.0725</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0.0719</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0.0721</w:t>
                  </w:r>
                  <w:r>
                    <w:rPr>
                      <w:color w:val="auto"/>
                      <w:sz w:val="21"/>
                      <w:szCs w:val="21"/>
                      <w:u w:val="wave"/>
                      <w:lang w:val="en-GB"/>
                    </w:rPr>
                    <w:t>±</w:t>
                  </w:r>
                  <w:r>
                    <w:rPr>
                      <w:rFonts w:hint="eastAsia"/>
                      <w:color w:val="auto"/>
                      <w:sz w:val="21"/>
                      <w:szCs w:val="21"/>
                      <w:u w:val="wave"/>
                      <w:lang w:val="en-US" w:eastAsia="zh-CN"/>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jc w:val="center"/>
              </w:trPr>
              <w:tc>
                <w:tcPr>
                  <w:tcW w:w="435"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764" w:type="dxa"/>
                  <w:vMerge w:val="continue"/>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spacing w:val="-20"/>
                      <w:sz w:val="21"/>
                      <w:szCs w:val="21"/>
                      <w:u w:val="wave"/>
                    </w:rPr>
                  </w:pPr>
                </w:p>
              </w:tc>
              <w:tc>
                <w:tcPr>
                  <w:tcW w:w="490"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H</w:t>
                  </w:r>
                </w:p>
              </w:tc>
              <w:tc>
                <w:tcPr>
                  <w:tcW w:w="764" w:type="dxa"/>
                  <w:tcBorders>
                    <w:tl2br w:val="nil"/>
                    <w:tr2bl w:val="nil"/>
                  </w:tcBorders>
                  <w:vAlign w:val="center"/>
                </w:tcPr>
                <w:p>
                  <w:pPr>
                    <w:keepNext w:val="0"/>
                    <w:keepLines w:val="0"/>
                    <w:pageBreakBefore w:val="0"/>
                    <w:tabs>
                      <w:tab w:val="left" w:pos="1845"/>
                      <w:tab w:val="left" w:pos="4080"/>
                    </w:tabs>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spacing w:val="-20"/>
                      <w:sz w:val="21"/>
                      <w:szCs w:val="21"/>
                      <w:u w:val="wave"/>
                      <w:lang w:val="en-US" w:eastAsia="zh-CN"/>
                    </w:rPr>
                  </w:pPr>
                  <w:r>
                    <w:rPr>
                      <w:rFonts w:hint="eastAsia"/>
                      <w:spacing w:val="-20"/>
                      <w:sz w:val="21"/>
                      <w:szCs w:val="21"/>
                      <w:u w:val="wave"/>
                      <w:lang w:val="en-US" w:eastAsia="zh-CN"/>
                    </w:rPr>
                    <w:t>A</w:t>
                  </w:r>
                  <w:r>
                    <w:rPr>
                      <w:spacing w:val="-20"/>
                      <w:sz w:val="21"/>
                      <w:szCs w:val="21"/>
                      <w:u w:val="wave"/>
                    </w:rPr>
                    <w:t>/m</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0.0144</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0.0142</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0.0143</w:t>
                  </w:r>
                </w:p>
              </w:tc>
              <w:tc>
                <w:tcPr>
                  <w:tcW w:w="8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0.0138</w:t>
                  </w:r>
                </w:p>
              </w:tc>
              <w:tc>
                <w:tcPr>
                  <w:tcW w:w="86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cs="Times New Roman"/>
                      <w:color w:val="000000"/>
                      <w:sz w:val="21"/>
                      <w:szCs w:val="21"/>
                      <w:u w:val="wave"/>
                      <w:lang w:val="en-US" w:eastAsia="zh-CN"/>
                    </w:rPr>
                  </w:pPr>
                  <w:r>
                    <w:rPr>
                      <w:rFonts w:hint="eastAsia" w:cs="Times New Roman"/>
                      <w:color w:val="000000"/>
                      <w:sz w:val="21"/>
                      <w:szCs w:val="21"/>
                      <w:u w:val="wave"/>
                      <w:lang w:val="en-US" w:eastAsia="zh-CN"/>
                    </w:rPr>
                    <w:t>0.0149</w:t>
                  </w:r>
                </w:p>
              </w:tc>
              <w:tc>
                <w:tcPr>
                  <w:tcW w:w="18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color w:val="auto"/>
                      <w:sz w:val="21"/>
                      <w:szCs w:val="21"/>
                      <w:u w:val="wave"/>
                      <w:lang w:val="en-US" w:eastAsia="zh-CN"/>
                    </w:rPr>
                  </w:pPr>
                  <w:r>
                    <w:rPr>
                      <w:rFonts w:hint="eastAsia"/>
                      <w:color w:val="auto"/>
                      <w:sz w:val="21"/>
                      <w:szCs w:val="21"/>
                      <w:u w:val="wave"/>
                      <w:lang w:val="en-US" w:eastAsia="zh-CN"/>
                    </w:rPr>
                    <w:t>0.0143</w:t>
                  </w:r>
                  <w:r>
                    <w:rPr>
                      <w:color w:val="auto"/>
                      <w:sz w:val="21"/>
                      <w:szCs w:val="21"/>
                      <w:u w:val="wave"/>
                      <w:lang w:val="en-GB"/>
                    </w:rPr>
                    <w:t>±</w:t>
                  </w:r>
                  <w:r>
                    <w:rPr>
                      <w:rFonts w:hint="eastAsia"/>
                      <w:color w:val="auto"/>
                      <w:sz w:val="21"/>
                      <w:szCs w:val="21"/>
                      <w:u w:val="wave"/>
                      <w:lang w:val="en-US" w:eastAsia="zh-CN"/>
                    </w:rPr>
                    <w:t>0.0004</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color w:val="000000"/>
                <w:sz w:val="24"/>
                <w:lang w:val="en-US" w:eastAsia="zh-CN"/>
              </w:rPr>
            </w:pPr>
            <w:r>
              <w:rPr>
                <w:rFonts w:hint="eastAsia"/>
                <w:color w:val="000000"/>
                <w:sz w:val="24"/>
                <w:u w:val="wave"/>
                <w:lang w:eastAsia="zh-CN"/>
              </w:rPr>
              <w:t>由上表的结果可知，在华邦国际楼顶的测点值（测点离地高度均为</w:t>
            </w:r>
            <w:r>
              <w:rPr>
                <w:rFonts w:hint="eastAsia"/>
                <w:color w:val="000000"/>
                <w:sz w:val="24"/>
                <w:u w:val="wave"/>
                <w:lang w:val="en-US" w:eastAsia="zh-CN"/>
              </w:rPr>
              <w:t>79.7m，与天线垂直距离相差13.3m，水平距离相差5~15m</w:t>
            </w:r>
            <w:r>
              <w:rPr>
                <w:rFonts w:hint="eastAsia"/>
                <w:color w:val="000000"/>
                <w:sz w:val="24"/>
                <w:u w:val="wave"/>
                <w:lang w:eastAsia="zh-CN"/>
              </w:rPr>
              <w:t>）均超过了</w:t>
            </w:r>
            <w:r>
              <w:rPr>
                <w:rFonts w:hint="eastAsia"/>
                <w:color w:val="auto"/>
                <w:szCs w:val="24"/>
                <w:highlight w:val="none"/>
                <w:u w:val="wave"/>
                <w:lang w:eastAsia="zh-CN"/>
              </w:rPr>
              <w:t>单个项目</w:t>
            </w:r>
            <w:r>
              <w:rPr>
                <w:color w:val="auto"/>
                <w:highlight w:val="none"/>
                <w:u w:val="wave"/>
              </w:rPr>
              <w:t>公众暴露控制限值</w:t>
            </w:r>
            <w:r>
              <w:rPr>
                <w:rFonts w:hint="eastAsia"/>
                <w:color w:val="auto"/>
                <w:szCs w:val="24"/>
                <w:highlight w:val="none"/>
                <w:u w:val="wave"/>
                <w:lang w:eastAsia="zh-CN"/>
              </w:rPr>
              <w:t>（</w:t>
            </w:r>
            <w:r>
              <w:rPr>
                <w:color w:val="auto"/>
                <w:szCs w:val="24"/>
                <w:highlight w:val="none"/>
                <w:u w:val="wave"/>
              </w:rPr>
              <w:t>电场强度小于</w:t>
            </w:r>
            <w:r>
              <w:rPr>
                <w:rFonts w:hint="eastAsia"/>
                <w:color w:val="auto"/>
                <w:szCs w:val="24"/>
                <w:highlight w:val="none"/>
                <w:u w:val="wave"/>
                <w:lang w:val="en-US" w:eastAsia="zh-CN"/>
              </w:rPr>
              <w:t>5.37</w:t>
            </w:r>
            <w:r>
              <w:rPr>
                <w:color w:val="auto"/>
                <w:szCs w:val="24"/>
                <w:highlight w:val="none"/>
                <w:u w:val="wave"/>
              </w:rPr>
              <w:t>V/m</w:t>
            </w:r>
            <w:r>
              <w:rPr>
                <w:rFonts w:hint="eastAsia"/>
                <w:color w:val="auto"/>
                <w:szCs w:val="24"/>
                <w:highlight w:val="none"/>
                <w:u w:val="wave"/>
                <w:lang w:eastAsia="zh-CN"/>
              </w:rPr>
              <w:t>），其他测点均在正常值范围以内；而本项目敏感点垂直距离与天线所在点相差约</w:t>
            </w:r>
            <w:r>
              <w:rPr>
                <w:rFonts w:hint="eastAsia"/>
                <w:color w:val="auto"/>
                <w:szCs w:val="24"/>
                <w:highlight w:val="none"/>
                <w:u w:val="wave"/>
                <w:lang w:val="en-US" w:eastAsia="zh-CN"/>
              </w:rPr>
              <w:t>79m以上，水平距离相差71m以上，因此本项目敏感点电磁环境能满足要求</w:t>
            </w:r>
            <w:r>
              <w:rPr>
                <w:rFonts w:hint="eastAsia"/>
                <w:color w:val="auto"/>
                <w:szCs w:val="24"/>
                <w:highlight w:val="none"/>
                <w:u w:val="wave"/>
                <w:lang w:eastAsia="zh-CN"/>
              </w:rPr>
              <w:t>。同时通过类比该检测数据与预测数据可知，实际测量值较预测值偏小，主要是因为预测过程中，参数选取较为保守，且未考虑空气的衰减作用。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3）达标距离的计算</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本项目广播发射设备额定功率为</w:t>
            </w:r>
            <w:r>
              <w:rPr>
                <w:rFonts w:hint="eastAsia"/>
                <w:color w:val="auto"/>
                <w:szCs w:val="24"/>
                <w:highlight w:val="none"/>
                <w:u w:val="wave"/>
                <w:lang w:val="en-US" w:eastAsia="zh-CN"/>
              </w:rPr>
              <w:t>3k</w:t>
            </w:r>
            <w:r>
              <w:rPr>
                <w:color w:val="auto"/>
                <w:szCs w:val="24"/>
                <w:highlight w:val="none"/>
                <w:u w:val="wave"/>
              </w:rPr>
              <w:t>W，天线增益为</w:t>
            </w:r>
            <w:r>
              <w:rPr>
                <w:rFonts w:hint="eastAsia"/>
                <w:color w:val="auto"/>
                <w:szCs w:val="24"/>
                <w:highlight w:val="none"/>
                <w:u w:val="wave"/>
                <w:lang w:val="en-US" w:eastAsia="zh-CN"/>
              </w:rPr>
              <w:t>10dBi</w:t>
            </w:r>
            <w:r>
              <w:rPr>
                <w:color w:val="auto"/>
                <w:szCs w:val="24"/>
                <w:highlight w:val="none"/>
                <w:u w:val="wave"/>
              </w:rPr>
              <w:t>，根据公式</w:t>
            </w:r>
            <w:r>
              <w:rPr>
                <w:rFonts w:hint="eastAsia"/>
                <w:color w:val="auto"/>
                <w:szCs w:val="24"/>
                <w:highlight w:val="none"/>
                <w:u w:val="wave"/>
                <w:lang w:eastAsia="zh-CN"/>
              </w:rPr>
              <w:t>7</w:t>
            </w:r>
            <w:r>
              <w:rPr>
                <w:color w:val="auto"/>
                <w:szCs w:val="24"/>
                <w:highlight w:val="none"/>
                <w:u w:val="wave"/>
              </w:rPr>
              <w:t>-1</w:t>
            </w:r>
            <w:r>
              <w:rPr>
                <w:rFonts w:hint="eastAsia"/>
                <w:color w:val="auto"/>
                <w:szCs w:val="24"/>
                <w:highlight w:val="none"/>
                <w:u w:val="wave"/>
                <w:lang w:eastAsia="zh-CN"/>
              </w:rPr>
              <w:t>计算机类比监测</w:t>
            </w:r>
            <w:r>
              <w:rPr>
                <w:color w:val="auto"/>
                <w:szCs w:val="24"/>
                <w:highlight w:val="none"/>
                <w:u w:val="wave"/>
              </w:rPr>
              <w:t>，对于</w:t>
            </w:r>
            <w:r>
              <w:rPr>
                <w:rFonts w:hint="eastAsia"/>
                <w:color w:val="auto"/>
                <w:szCs w:val="24"/>
                <w:highlight w:val="none"/>
                <w:u w:val="wave"/>
                <w:lang w:eastAsia="zh-CN"/>
              </w:rPr>
              <w:t>单个项目</w:t>
            </w:r>
            <w:r>
              <w:rPr>
                <w:color w:val="auto"/>
                <w:highlight w:val="none"/>
                <w:u w:val="wave"/>
              </w:rPr>
              <w:t>公众暴露控制限值</w:t>
            </w:r>
            <w:r>
              <w:rPr>
                <w:rFonts w:hint="eastAsia"/>
                <w:color w:val="auto"/>
                <w:szCs w:val="24"/>
                <w:highlight w:val="none"/>
                <w:u w:val="wave"/>
                <w:lang w:eastAsia="zh-CN"/>
              </w:rPr>
              <w:t>（</w:t>
            </w:r>
            <w:r>
              <w:rPr>
                <w:color w:val="auto"/>
                <w:szCs w:val="24"/>
                <w:highlight w:val="none"/>
                <w:u w:val="wave"/>
              </w:rPr>
              <w:t>电场强度小于</w:t>
            </w:r>
            <w:r>
              <w:rPr>
                <w:rFonts w:hint="eastAsia"/>
                <w:color w:val="auto"/>
                <w:szCs w:val="24"/>
                <w:highlight w:val="none"/>
                <w:u w:val="wave"/>
                <w:lang w:val="en-US" w:eastAsia="zh-CN"/>
              </w:rPr>
              <w:t>5.37</w:t>
            </w:r>
            <w:r>
              <w:rPr>
                <w:color w:val="auto"/>
                <w:szCs w:val="24"/>
                <w:highlight w:val="none"/>
                <w:u w:val="wave"/>
              </w:rPr>
              <w:t>V/m</w:t>
            </w:r>
            <w:r>
              <w:rPr>
                <w:rFonts w:hint="eastAsia"/>
                <w:color w:val="auto"/>
                <w:szCs w:val="24"/>
                <w:highlight w:val="none"/>
                <w:u w:val="wave"/>
                <w:lang w:eastAsia="zh-CN"/>
              </w:rPr>
              <w:t>）</w:t>
            </w:r>
            <w:r>
              <w:rPr>
                <w:color w:val="auto"/>
                <w:szCs w:val="24"/>
                <w:highlight w:val="none"/>
                <w:u w:val="wave"/>
              </w:rPr>
              <w:t>的水平达标距离为</w:t>
            </w:r>
            <w:r>
              <w:rPr>
                <w:rFonts w:hint="eastAsia"/>
                <w:color w:val="auto"/>
                <w:szCs w:val="24"/>
                <w:highlight w:val="none"/>
                <w:u w:val="wave"/>
                <w:lang w:val="en-US" w:eastAsia="zh-CN"/>
              </w:rPr>
              <w:t>227</w:t>
            </w:r>
            <w:r>
              <w:rPr>
                <w:color w:val="auto"/>
                <w:szCs w:val="24"/>
                <w:highlight w:val="none"/>
                <w:u w:val="wave"/>
              </w:rPr>
              <w:t>m，垂直达标距离为</w:t>
            </w:r>
            <w:r>
              <w:rPr>
                <w:rFonts w:hint="eastAsia"/>
                <w:color w:val="auto"/>
                <w:szCs w:val="24"/>
                <w:highlight w:val="none"/>
                <w:u w:val="wave"/>
                <w:lang w:val="en-US" w:eastAsia="zh-CN"/>
              </w:rPr>
              <w:t>91</w:t>
            </w:r>
            <w:r>
              <w:rPr>
                <w:color w:val="auto"/>
                <w:szCs w:val="24"/>
                <w:highlight w:val="none"/>
                <w:u w:val="wave"/>
              </w:rPr>
              <w:t>m</w:t>
            </w:r>
            <w:r>
              <w:rPr>
                <w:rFonts w:hint="eastAsia"/>
                <w:color w:val="auto"/>
                <w:szCs w:val="24"/>
                <w:highlight w:val="none"/>
                <w:u w:val="wave"/>
                <w:lang w:eastAsia="zh-CN"/>
              </w:rPr>
              <w:t>。本项目</w:t>
            </w:r>
            <w:r>
              <w:rPr>
                <w:color w:val="auto"/>
                <w:szCs w:val="24"/>
                <w:highlight w:val="none"/>
                <w:u w:val="wave"/>
              </w:rPr>
              <w:t>水平</w:t>
            </w:r>
            <w:r>
              <w:rPr>
                <w:rFonts w:hint="eastAsia"/>
                <w:color w:val="auto"/>
                <w:szCs w:val="24"/>
                <w:highlight w:val="none"/>
                <w:u w:val="wave"/>
                <w:lang w:eastAsia="zh-CN"/>
              </w:rPr>
              <w:t>距离</w:t>
            </w:r>
            <w:r>
              <w:rPr>
                <w:rFonts w:hint="eastAsia"/>
                <w:color w:val="auto"/>
                <w:szCs w:val="24"/>
                <w:highlight w:val="none"/>
                <w:u w:val="wave"/>
                <w:lang w:val="en-US" w:eastAsia="zh-CN"/>
              </w:rPr>
              <w:t>227</w:t>
            </w:r>
            <w:r>
              <w:rPr>
                <w:color w:val="auto"/>
                <w:szCs w:val="24"/>
                <w:highlight w:val="none"/>
                <w:u w:val="wave"/>
              </w:rPr>
              <w:t>m范围内无高山或建筑物高于本项目天线，通过以上计算得出，环境敏感点垂直距离均满足达标距离要求。</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Cs w:val="24"/>
                <w:highlight w:val="none"/>
              </w:rPr>
            </w:pPr>
            <w:r>
              <w:rPr>
                <w:color w:val="auto"/>
                <w:szCs w:val="24"/>
                <w:highlight w:val="none"/>
              </w:rPr>
              <w:t>（3）广播电视设施的外环境要求</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color w:val="auto"/>
                <w:szCs w:val="24"/>
                <w:highlight w:val="none"/>
              </w:rPr>
            </w:pPr>
            <w:r>
              <w:rPr>
                <w:color w:val="auto"/>
                <w:szCs w:val="24"/>
                <w:highlight w:val="none"/>
              </w:rPr>
              <w:t>本项目为广播电视台项目，以电视塔发射天线为中心，半径500 m的范围内，没有油库、加油站、液化气站、煤气站等易燃易爆设施；半径1500 m的范围内，无有严重粉尘污染、严重腐蚀性化学气体溢出或者产生放射性物质的设施。满足《广播电视设施保护条例》要求。</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color w:val="auto"/>
                <w:szCs w:val="24"/>
                <w:highlight w:val="none"/>
                <w:u w:val="none"/>
              </w:rPr>
            </w:pPr>
            <w:r>
              <w:rPr>
                <w:b/>
                <w:color w:val="auto"/>
                <w:szCs w:val="24"/>
                <w:highlight w:val="none"/>
                <w:u w:val="none"/>
              </w:rPr>
              <w:t>反馈意见：</w:t>
            </w:r>
            <w:r>
              <w:rPr>
                <w:color w:val="auto"/>
                <w:szCs w:val="24"/>
                <w:highlight w:val="none"/>
                <w:u w:val="none"/>
              </w:rPr>
              <w:t>根据《广播电视设施保护条例》要求：</w:t>
            </w:r>
            <w:r>
              <w:rPr>
                <w:rFonts w:hint="eastAsia" w:ascii="宋体" w:hAnsi="宋体" w:cs="宋体"/>
                <w:color w:val="auto"/>
                <w:szCs w:val="24"/>
                <w:highlight w:val="none"/>
                <w:u w:val="none"/>
              </w:rPr>
              <w:t>①</w:t>
            </w:r>
            <w:r>
              <w:rPr>
                <w:color w:val="auto"/>
                <w:szCs w:val="24"/>
                <w:highlight w:val="none"/>
                <w:u w:val="none"/>
              </w:rPr>
              <w:t>禁止在本项目设施周围500m范围内进行爆破作业；</w:t>
            </w:r>
            <w:r>
              <w:rPr>
                <w:rFonts w:hint="eastAsia" w:ascii="宋体" w:hAnsi="宋体" w:cs="宋体"/>
                <w:color w:val="auto"/>
                <w:szCs w:val="24"/>
                <w:highlight w:val="none"/>
                <w:u w:val="none"/>
              </w:rPr>
              <w:t>②</w:t>
            </w:r>
            <w:r>
              <w:rPr>
                <w:color w:val="auto"/>
                <w:szCs w:val="24"/>
                <w:highlight w:val="none"/>
                <w:u w:val="none"/>
              </w:rPr>
              <w:t>禁止在天线、馈线、传输线路周围500m范围内进行烧荒；</w:t>
            </w:r>
            <w:r>
              <w:rPr>
                <w:rFonts w:hint="eastAsia" w:ascii="宋体" w:hAnsi="宋体" w:cs="宋体"/>
                <w:color w:val="auto"/>
                <w:szCs w:val="24"/>
                <w:highlight w:val="none"/>
                <w:u w:val="none"/>
              </w:rPr>
              <w:t>③</w:t>
            </w:r>
            <w:r>
              <w:rPr>
                <w:color w:val="auto"/>
                <w:szCs w:val="24"/>
                <w:highlight w:val="none"/>
                <w:u w:val="none"/>
              </w:rPr>
              <w:t>禁止在天线前方50m为计算点修建高度超过仰角5°的建筑物、构筑物或者堆放超高的物品；</w:t>
            </w:r>
            <w:r>
              <w:rPr>
                <w:rFonts w:hint="eastAsia" w:ascii="宋体" w:hAnsi="宋体" w:cs="宋体"/>
                <w:color w:val="auto"/>
                <w:szCs w:val="24"/>
                <w:highlight w:val="none"/>
                <w:u w:val="none"/>
              </w:rPr>
              <w:t>④</w:t>
            </w:r>
            <w:r>
              <w:rPr>
                <w:color w:val="auto"/>
                <w:szCs w:val="24"/>
                <w:highlight w:val="none"/>
                <w:u w:val="none"/>
              </w:rPr>
              <w:t>禁止在本项目周围1500 m的范围内，兴建有严重粉尘污染、严重腐蚀性化学气体溢出或者产生放射性物质的设施；</w:t>
            </w:r>
            <w:r>
              <w:rPr>
                <w:rFonts w:hint="eastAsia" w:ascii="宋体" w:hAnsi="宋体" w:cs="宋体"/>
                <w:color w:val="auto"/>
                <w:szCs w:val="24"/>
                <w:highlight w:val="none"/>
                <w:u w:val="none"/>
              </w:rPr>
              <w:t>⑤</w:t>
            </w:r>
            <w:r>
              <w:rPr>
                <w:color w:val="auto"/>
                <w:szCs w:val="24"/>
                <w:highlight w:val="none"/>
                <w:u w:val="none"/>
              </w:rPr>
              <w:t>禁止在本项目周围500 m的范围内，兴建油库、加油站、液化气站、煤气站等易燃易爆设施。</w:t>
            </w:r>
          </w:p>
          <w:p>
            <w:pPr>
              <w:keepNext w:val="0"/>
              <w:keepLines w:val="0"/>
              <w:pageBreakBefore w:val="0"/>
              <w:widowControl w:val="0"/>
              <w:kinsoku/>
              <w:wordWrap/>
              <w:overflowPunct/>
              <w:topLinePunct w:val="0"/>
              <w:autoSpaceDE/>
              <w:autoSpaceDN/>
              <w:bidi w:val="0"/>
              <w:spacing w:line="360" w:lineRule="auto"/>
              <w:ind w:right="0" w:rightChars="0"/>
              <w:jc w:val="both"/>
              <w:textAlignment w:val="auto"/>
              <w:outlineLvl w:val="9"/>
              <w:rPr>
                <w:rFonts w:hint="eastAsia" w:ascii="宋体" w:hAnsi="宋体"/>
                <w:sz w:val="24"/>
                <w:highlight w:val="none"/>
                <w:u w:val="wave"/>
              </w:rPr>
            </w:pPr>
            <w:r>
              <w:rPr>
                <w:rFonts w:hint="eastAsia"/>
                <w:b/>
                <w:color w:val="auto"/>
                <w:szCs w:val="24"/>
                <w:highlight w:val="none"/>
                <w:u w:val="wave"/>
                <w:lang w:eastAsia="zh-CN"/>
              </w:rPr>
              <w:t>7</w:t>
            </w:r>
            <w:r>
              <w:rPr>
                <w:b/>
                <w:color w:val="auto"/>
                <w:szCs w:val="24"/>
                <w:highlight w:val="none"/>
                <w:u w:val="wave"/>
              </w:rPr>
              <w:t>.2.2 声环境</w:t>
            </w:r>
          </w:p>
          <w:p>
            <w:pPr>
              <w:spacing w:line="360" w:lineRule="auto"/>
              <w:ind w:firstLine="480"/>
              <w:rPr>
                <w:sz w:val="24"/>
                <w:highlight w:val="none"/>
                <w:u w:val="wave"/>
              </w:rPr>
            </w:pPr>
            <w:r>
              <w:rPr>
                <w:rFonts w:hint="eastAsia" w:ascii="宋体" w:hAnsi="宋体"/>
                <w:sz w:val="24"/>
                <w:highlight w:val="none"/>
                <w:u w:val="wave"/>
              </w:rPr>
              <w:t>本项目</w:t>
            </w:r>
            <w:r>
              <w:rPr>
                <w:rFonts w:hAnsi="宋体"/>
                <w:sz w:val="24"/>
                <w:highlight w:val="none"/>
                <w:u w:val="wave"/>
              </w:rPr>
              <w:t>主要噪声源是</w:t>
            </w:r>
            <w:r>
              <w:rPr>
                <w:rFonts w:hint="eastAsia" w:hAnsi="宋体"/>
                <w:sz w:val="24"/>
                <w:highlight w:val="none"/>
                <w:u w:val="wave"/>
                <w:lang w:eastAsia="zh-CN"/>
              </w:rPr>
              <w:t>机房内</w:t>
            </w:r>
            <w:r>
              <w:rPr>
                <w:rFonts w:hAnsi="宋体"/>
                <w:sz w:val="24"/>
                <w:highlight w:val="none"/>
                <w:u w:val="wave"/>
              </w:rPr>
              <w:t>设备运行时产生的连续电磁性和机械性噪声。</w:t>
            </w:r>
            <w:r>
              <w:rPr>
                <w:rFonts w:hint="eastAsia" w:hAnsi="宋体"/>
                <w:sz w:val="24"/>
                <w:highlight w:val="none"/>
                <w:u w:val="wave"/>
                <w:lang w:eastAsia="zh-CN"/>
              </w:rPr>
              <w:t>本项目</w:t>
            </w:r>
            <w:r>
              <w:rPr>
                <w:rFonts w:hAnsi="宋体"/>
                <w:sz w:val="24"/>
                <w:highlight w:val="none"/>
                <w:u w:val="wave"/>
              </w:rPr>
              <w:t>运行期声环境影响采用模式预测的方法进行预测及评价。</w:t>
            </w:r>
          </w:p>
          <w:p>
            <w:pPr>
              <w:spacing w:line="360" w:lineRule="auto"/>
              <w:ind w:firstLine="480"/>
              <w:rPr>
                <w:sz w:val="24"/>
                <w:highlight w:val="none"/>
                <w:u w:val="wave"/>
              </w:rPr>
            </w:pPr>
            <w:r>
              <w:rPr>
                <w:rFonts w:hAnsi="宋体"/>
                <w:sz w:val="24"/>
                <w:highlight w:val="none"/>
                <w:u w:val="wave"/>
              </w:rPr>
              <w:t>（</w:t>
            </w:r>
            <w:r>
              <w:rPr>
                <w:sz w:val="24"/>
                <w:highlight w:val="none"/>
                <w:u w:val="wave"/>
              </w:rPr>
              <w:t>1</w:t>
            </w:r>
            <w:r>
              <w:rPr>
                <w:rFonts w:hAnsi="宋体"/>
                <w:sz w:val="24"/>
                <w:highlight w:val="none"/>
                <w:u w:val="wave"/>
              </w:rPr>
              <w:t>）噪声源强</w:t>
            </w:r>
          </w:p>
          <w:p>
            <w:pPr>
              <w:spacing w:line="360" w:lineRule="auto"/>
              <w:ind w:firstLine="480"/>
              <w:rPr>
                <w:sz w:val="24"/>
                <w:highlight w:val="none"/>
                <w:u w:val="wave"/>
              </w:rPr>
            </w:pPr>
            <w:r>
              <w:rPr>
                <w:rFonts w:hint="eastAsia"/>
                <w:sz w:val="24"/>
                <w:highlight w:val="none"/>
                <w:u w:val="wave"/>
                <w:lang w:eastAsia="zh-CN"/>
              </w:rPr>
              <w:t>根据类比同类型项目的设备噪声源强，本项目噪声源强取设备</w:t>
            </w:r>
            <w:r>
              <w:rPr>
                <w:sz w:val="24"/>
                <w:highlight w:val="none"/>
                <w:u w:val="wave"/>
              </w:rPr>
              <w:t>1m</w:t>
            </w:r>
            <w:r>
              <w:rPr>
                <w:rFonts w:hAnsi="宋体"/>
                <w:sz w:val="24"/>
                <w:highlight w:val="none"/>
                <w:u w:val="wave"/>
              </w:rPr>
              <w:t>处声压级</w:t>
            </w:r>
            <w:r>
              <w:rPr>
                <w:rFonts w:hint="eastAsia" w:hAnsi="宋体"/>
                <w:sz w:val="24"/>
                <w:highlight w:val="none"/>
                <w:u w:val="wave"/>
                <w:lang w:eastAsia="zh-CN"/>
              </w:rPr>
              <w:t>为</w:t>
            </w:r>
            <w:r>
              <w:rPr>
                <w:rFonts w:hint="eastAsia"/>
                <w:sz w:val="24"/>
                <w:highlight w:val="none"/>
                <w:u w:val="wave"/>
                <w:lang w:val="en-US" w:eastAsia="zh-CN"/>
              </w:rPr>
              <w:t>60</w:t>
            </w:r>
            <w:r>
              <w:rPr>
                <w:sz w:val="24"/>
                <w:highlight w:val="none"/>
                <w:u w:val="wave"/>
              </w:rPr>
              <w:t>dB</w:t>
            </w:r>
            <w:r>
              <w:rPr>
                <w:rFonts w:hAnsi="宋体"/>
                <w:sz w:val="24"/>
                <w:highlight w:val="none"/>
                <w:u w:val="wave"/>
              </w:rPr>
              <w:t>（</w:t>
            </w:r>
            <w:r>
              <w:rPr>
                <w:sz w:val="24"/>
                <w:highlight w:val="none"/>
                <w:u w:val="wave"/>
              </w:rPr>
              <w:t>A</w:t>
            </w:r>
            <w:r>
              <w:rPr>
                <w:rFonts w:hAnsi="宋体"/>
                <w:sz w:val="24"/>
                <w:highlight w:val="none"/>
                <w:u w:val="wave"/>
              </w:rPr>
              <w:t>）计算。</w:t>
            </w:r>
          </w:p>
          <w:p>
            <w:pPr>
              <w:adjustRightInd w:val="0"/>
              <w:snapToGrid w:val="0"/>
              <w:spacing w:line="460" w:lineRule="exact"/>
              <w:ind w:firstLine="480" w:firstLineChars="200"/>
              <w:rPr>
                <w:spacing w:val="4"/>
                <w:sz w:val="24"/>
                <w:highlight w:val="none"/>
                <w:u w:val="wave"/>
              </w:rPr>
            </w:pPr>
            <w:r>
              <w:rPr>
                <w:sz w:val="24"/>
                <w:highlight w:val="none"/>
                <w:u w:val="wave"/>
              </w:rPr>
              <w:t>（</w:t>
            </w:r>
            <w:r>
              <w:rPr>
                <w:rFonts w:hint="eastAsia"/>
                <w:sz w:val="24"/>
                <w:highlight w:val="none"/>
                <w:u w:val="wave"/>
                <w:lang w:val="en-US" w:eastAsia="zh-CN"/>
              </w:rPr>
              <w:t>2</w:t>
            </w:r>
            <w:r>
              <w:rPr>
                <w:sz w:val="24"/>
                <w:highlight w:val="none"/>
                <w:u w:val="wave"/>
              </w:rPr>
              <w:t>）</w:t>
            </w:r>
            <w:r>
              <w:rPr>
                <w:rFonts w:hint="eastAsia"/>
                <w:sz w:val="24"/>
                <w:highlight w:val="none"/>
                <w:u w:val="wave"/>
                <w:lang w:eastAsia="zh-CN"/>
              </w:rPr>
              <w:t>预测</w:t>
            </w:r>
            <w:r>
              <w:rPr>
                <w:spacing w:val="4"/>
                <w:sz w:val="24"/>
                <w:highlight w:val="none"/>
                <w:u w:val="wave"/>
              </w:rPr>
              <w:t>结果</w:t>
            </w:r>
          </w:p>
          <w:p>
            <w:pPr>
              <w:adjustRightInd w:val="0"/>
              <w:snapToGrid w:val="0"/>
              <w:spacing w:line="460" w:lineRule="exact"/>
              <w:ind w:firstLine="480" w:firstLineChars="200"/>
              <w:rPr>
                <w:sz w:val="24"/>
                <w:highlight w:val="none"/>
                <w:u w:val="wave"/>
              </w:rPr>
            </w:pPr>
            <w:r>
              <w:rPr>
                <w:sz w:val="24"/>
                <w:highlight w:val="none"/>
                <w:u w:val="wave"/>
              </w:rPr>
              <w:t>根据</w:t>
            </w:r>
            <w:r>
              <w:rPr>
                <w:rFonts w:hint="eastAsia"/>
                <w:sz w:val="24"/>
                <w:highlight w:val="none"/>
                <w:u w:val="wave"/>
                <w:lang w:eastAsia="zh-CN"/>
              </w:rPr>
              <w:t>上述参数及导则要求</w:t>
            </w:r>
            <w:r>
              <w:rPr>
                <w:sz w:val="24"/>
                <w:highlight w:val="none"/>
                <w:u w:val="wave"/>
              </w:rPr>
              <w:t>，计算得到各预测点昼夜间的噪声贡献值见表</w:t>
            </w:r>
            <w:r>
              <w:rPr>
                <w:rFonts w:hint="eastAsia"/>
                <w:sz w:val="24"/>
                <w:highlight w:val="none"/>
                <w:u w:val="wave"/>
                <w:lang w:val="en-US" w:eastAsia="zh-CN"/>
              </w:rPr>
              <w:t>7-5</w:t>
            </w:r>
            <w:r>
              <w:rPr>
                <w:sz w:val="24"/>
                <w:highlight w:val="none"/>
                <w:u w:val="wave"/>
              </w:rPr>
              <w:t>。</w:t>
            </w:r>
          </w:p>
          <w:p>
            <w:pPr>
              <w:spacing w:line="360" w:lineRule="auto"/>
              <w:ind w:firstLine="480"/>
              <w:jc w:val="center"/>
              <w:rPr>
                <w:b/>
                <w:color w:val="auto"/>
                <w:sz w:val="24"/>
                <w:highlight w:val="none"/>
                <w:u w:val="wave"/>
              </w:rPr>
            </w:pPr>
            <w:r>
              <w:rPr>
                <w:rFonts w:hAnsi="宋体"/>
                <w:b/>
                <w:color w:val="auto"/>
                <w:sz w:val="24"/>
                <w:highlight w:val="none"/>
                <w:u w:val="wave"/>
              </w:rPr>
              <w:t>表</w:t>
            </w:r>
            <w:r>
              <w:rPr>
                <w:rFonts w:hint="eastAsia"/>
                <w:b/>
                <w:color w:val="auto"/>
                <w:sz w:val="24"/>
                <w:highlight w:val="none"/>
                <w:u w:val="wave"/>
                <w:lang w:val="en-US" w:eastAsia="zh-CN"/>
              </w:rPr>
              <w:t>7-5</w:t>
            </w:r>
            <w:r>
              <w:rPr>
                <w:b/>
                <w:color w:val="auto"/>
                <w:sz w:val="24"/>
                <w:highlight w:val="none"/>
                <w:u w:val="wave"/>
              </w:rPr>
              <w:t xml:space="preserve"> </w:t>
            </w:r>
            <w:r>
              <w:rPr>
                <w:rFonts w:hint="eastAsia"/>
                <w:b/>
                <w:color w:val="auto"/>
                <w:sz w:val="24"/>
                <w:highlight w:val="none"/>
                <w:u w:val="wave"/>
              </w:rPr>
              <w:t xml:space="preserve"> </w:t>
            </w:r>
            <w:r>
              <w:rPr>
                <w:rFonts w:hint="eastAsia" w:hAnsi="宋体"/>
                <w:b/>
                <w:color w:val="auto"/>
                <w:sz w:val="24"/>
                <w:highlight w:val="none"/>
                <w:u w:val="wave"/>
                <w:lang w:eastAsia="zh-CN"/>
              </w:rPr>
              <w:t>本项目</w:t>
            </w:r>
            <w:r>
              <w:rPr>
                <w:rFonts w:hAnsi="宋体"/>
                <w:b/>
                <w:color w:val="auto"/>
                <w:sz w:val="24"/>
                <w:highlight w:val="none"/>
                <w:u w:val="wave"/>
              </w:rPr>
              <w:t>噪声影响预测及评价结果</w:t>
            </w:r>
          </w:p>
          <w:tbl>
            <w:tblPr>
              <w:tblStyle w:val="35"/>
              <w:tblW w:w="8534" w:type="dxa"/>
              <w:jc w:val="center"/>
              <w:tblInd w:w="482" w:type="dxa"/>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679"/>
              <w:gridCol w:w="1091"/>
              <w:gridCol w:w="835"/>
              <w:gridCol w:w="955"/>
              <w:gridCol w:w="840"/>
              <w:gridCol w:w="900"/>
              <w:gridCol w:w="765"/>
              <w:gridCol w:w="825"/>
              <w:gridCol w:w="870"/>
              <w:gridCol w:w="763"/>
              <w:gridCol w:w="11"/>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gridAfter w:val="1"/>
                <w:wAfter w:w="11" w:type="dxa"/>
                <w:trHeight w:val="285" w:hRule="atLeast"/>
                <w:jc w:val="center"/>
              </w:trPr>
              <w:tc>
                <w:tcPr>
                  <w:tcW w:w="1770" w:type="dxa"/>
                  <w:gridSpan w:val="2"/>
                  <w:vMerge w:val="restart"/>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位置</w:t>
                  </w:r>
                </w:p>
              </w:tc>
              <w:tc>
                <w:tcPr>
                  <w:tcW w:w="835" w:type="dxa"/>
                  <w:vMerge w:val="restart"/>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距离（</w:t>
                  </w:r>
                  <w:r>
                    <w:rPr>
                      <w:color w:val="auto"/>
                      <w:sz w:val="21"/>
                      <w:szCs w:val="21"/>
                      <w:highlight w:val="none"/>
                      <w:u w:val="wave"/>
                    </w:rPr>
                    <w:t>m</w:t>
                  </w:r>
                  <w:r>
                    <w:rPr>
                      <w:rFonts w:hAnsi="宋体"/>
                      <w:color w:val="auto"/>
                      <w:sz w:val="21"/>
                      <w:szCs w:val="21"/>
                      <w:highlight w:val="none"/>
                      <w:u w:val="wave"/>
                    </w:rPr>
                    <w:t>）</w:t>
                  </w:r>
                </w:p>
              </w:tc>
              <w:tc>
                <w:tcPr>
                  <w:tcW w:w="955" w:type="dxa"/>
                  <w:vMerge w:val="restart"/>
                  <w:tcBorders>
                    <w:tl2br w:val="nil"/>
                    <w:tr2bl w:val="nil"/>
                  </w:tcBorders>
                  <w:tcMar>
                    <w:left w:w="28" w:type="dxa"/>
                    <w:right w:w="28" w:type="dxa"/>
                  </w:tcMar>
                  <w:vAlign w:val="center"/>
                </w:tcPr>
                <w:p>
                  <w:pPr>
                    <w:jc w:val="center"/>
                    <w:rPr>
                      <w:u w:val="wave"/>
                    </w:rPr>
                  </w:pPr>
                  <w:r>
                    <w:rPr>
                      <w:rFonts w:hAnsi="宋体"/>
                      <w:color w:val="auto"/>
                      <w:sz w:val="21"/>
                      <w:szCs w:val="21"/>
                      <w:highlight w:val="none"/>
                      <w:u w:val="wave"/>
                    </w:rPr>
                    <w:t>最大贡献值</w:t>
                  </w:r>
                  <w:r>
                    <w:rPr>
                      <w:color w:val="auto"/>
                      <w:sz w:val="21"/>
                      <w:szCs w:val="21"/>
                      <w:highlight w:val="none"/>
                      <w:u w:val="wave"/>
                    </w:rPr>
                    <w:t>[dB</w:t>
                  </w:r>
                  <w:r>
                    <w:rPr>
                      <w:rFonts w:hAnsi="宋体"/>
                      <w:color w:val="auto"/>
                      <w:sz w:val="21"/>
                      <w:szCs w:val="21"/>
                      <w:highlight w:val="none"/>
                      <w:u w:val="wave"/>
                    </w:rPr>
                    <w:t>（</w:t>
                  </w:r>
                  <w:r>
                    <w:rPr>
                      <w:color w:val="auto"/>
                      <w:sz w:val="21"/>
                      <w:szCs w:val="21"/>
                      <w:highlight w:val="none"/>
                      <w:u w:val="wave"/>
                    </w:rPr>
                    <w:t>A</w:t>
                  </w:r>
                  <w:r>
                    <w:rPr>
                      <w:rFonts w:hAnsi="宋体"/>
                      <w:color w:val="auto"/>
                      <w:sz w:val="21"/>
                      <w:szCs w:val="21"/>
                      <w:highlight w:val="none"/>
                      <w:u w:val="wave"/>
                    </w:rPr>
                    <w:t>）</w:t>
                  </w:r>
                  <w:r>
                    <w:rPr>
                      <w:color w:val="auto"/>
                      <w:sz w:val="21"/>
                      <w:szCs w:val="21"/>
                      <w:highlight w:val="none"/>
                      <w:u w:val="wave"/>
                    </w:rPr>
                    <w:t>]</w:t>
                  </w:r>
                </w:p>
              </w:tc>
              <w:tc>
                <w:tcPr>
                  <w:tcW w:w="840" w:type="dxa"/>
                  <w:vMerge w:val="restart"/>
                  <w:tcBorders>
                    <w:tl2br w:val="nil"/>
                    <w:tr2bl w:val="nil"/>
                  </w:tcBorders>
                  <w:tcMar>
                    <w:left w:w="28" w:type="dxa"/>
                    <w:right w:w="28" w:type="dxa"/>
                  </w:tcMar>
                  <w:vAlign w:val="center"/>
                </w:tcPr>
                <w:p>
                  <w:pPr>
                    <w:jc w:val="center"/>
                    <w:rPr>
                      <w:rFonts w:hint="eastAsia" w:hAnsi="宋体"/>
                      <w:color w:val="auto"/>
                      <w:sz w:val="21"/>
                      <w:szCs w:val="21"/>
                      <w:highlight w:val="none"/>
                      <w:u w:val="wave"/>
                      <w:lang w:eastAsia="zh-CN"/>
                    </w:rPr>
                  </w:pPr>
                  <w:r>
                    <w:rPr>
                      <w:rFonts w:hint="eastAsia" w:hAnsi="宋体"/>
                      <w:color w:val="auto"/>
                      <w:sz w:val="21"/>
                      <w:szCs w:val="21"/>
                      <w:highlight w:val="none"/>
                      <w:u w:val="wave"/>
                      <w:lang w:eastAsia="zh-CN"/>
                    </w:rPr>
                    <w:t>昼间叠加值</w:t>
                  </w:r>
                  <w:r>
                    <w:rPr>
                      <w:color w:val="auto"/>
                      <w:sz w:val="21"/>
                      <w:szCs w:val="21"/>
                      <w:highlight w:val="none"/>
                      <w:u w:val="wave"/>
                    </w:rPr>
                    <w:t>[dB</w:t>
                  </w:r>
                  <w:r>
                    <w:rPr>
                      <w:rFonts w:hAnsi="宋体"/>
                      <w:color w:val="auto"/>
                      <w:sz w:val="21"/>
                      <w:szCs w:val="21"/>
                      <w:highlight w:val="none"/>
                      <w:u w:val="wave"/>
                    </w:rPr>
                    <w:t>（</w:t>
                  </w:r>
                  <w:r>
                    <w:rPr>
                      <w:color w:val="auto"/>
                      <w:sz w:val="21"/>
                      <w:szCs w:val="21"/>
                      <w:highlight w:val="none"/>
                      <w:u w:val="wave"/>
                    </w:rPr>
                    <w:t>A</w:t>
                  </w:r>
                  <w:r>
                    <w:rPr>
                      <w:rFonts w:hAnsi="宋体"/>
                      <w:color w:val="auto"/>
                      <w:sz w:val="21"/>
                      <w:szCs w:val="21"/>
                      <w:highlight w:val="none"/>
                      <w:u w:val="wave"/>
                    </w:rPr>
                    <w:t>）</w:t>
                  </w:r>
                  <w:r>
                    <w:rPr>
                      <w:color w:val="auto"/>
                      <w:sz w:val="21"/>
                      <w:szCs w:val="21"/>
                      <w:highlight w:val="none"/>
                      <w:u w:val="wave"/>
                    </w:rPr>
                    <w:t>]</w:t>
                  </w:r>
                </w:p>
              </w:tc>
              <w:tc>
                <w:tcPr>
                  <w:tcW w:w="900" w:type="dxa"/>
                  <w:vMerge w:val="restart"/>
                  <w:tcBorders>
                    <w:tl2br w:val="nil"/>
                    <w:tr2bl w:val="nil"/>
                  </w:tcBorders>
                  <w:tcMar>
                    <w:left w:w="28" w:type="dxa"/>
                    <w:right w:w="28" w:type="dxa"/>
                  </w:tcMar>
                  <w:vAlign w:val="center"/>
                </w:tcPr>
                <w:p>
                  <w:pPr>
                    <w:jc w:val="center"/>
                    <w:rPr>
                      <w:rFonts w:hint="eastAsia" w:hAnsi="宋体" w:eastAsia="宋体"/>
                      <w:color w:val="auto"/>
                      <w:sz w:val="21"/>
                      <w:szCs w:val="21"/>
                      <w:highlight w:val="none"/>
                      <w:u w:val="wave"/>
                      <w:lang w:eastAsia="zh-CN"/>
                    </w:rPr>
                  </w:pPr>
                  <w:r>
                    <w:rPr>
                      <w:rFonts w:hint="eastAsia" w:hAnsi="宋体"/>
                      <w:color w:val="auto"/>
                      <w:sz w:val="21"/>
                      <w:szCs w:val="21"/>
                      <w:highlight w:val="none"/>
                      <w:u w:val="wave"/>
                      <w:lang w:eastAsia="zh-CN"/>
                    </w:rPr>
                    <w:t>夜间叠加值</w:t>
                  </w:r>
                  <w:r>
                    <w:rPr>
                      <w:color w:val="auto"/>
                      <w:sz w:val="21"/>
                      <w:szCs w:val="21"/>
                      <w:highlight w:val="none"/>
                      <w:u w:val="wave"/>
                    </w:rPr>
                    <w:t>[dB</w:t>
                  </w:r>
                  <w:r>
                    <w:rPr>
                      <w:rFonts w:hAnsi="宋体"/>
                      <w:color w:val="auto"/>
                      <w:sz w:val="21"/>
                      <w:szCs w:val="21"/>
                      <w:highlight w:val="none"/>
                      <w:u w:val="wave"/>
                    </w:rPr>
                    <w:t>（</w:t>
                  </w:r>
                  <w:r>
                    <w:rPr>
                      <w:color w:val="auto"/>
                      <w:sz w:val="21"/>
                      <w:szCs w:val="21"/>
                      <w:highlight w:val="none"/>
                      <w:u w:val="wave"/>
                    </w:rPr>
                    <w:t>A</w:t>
                  </w:r>
                  <w:r>
                    <w:rPr>
                      <w:rFonts w:hAnsi="宋体"/>
                      <w:color w:val="auto"/>
                      <w:sz w:val="21"/>
                      <w:szCs w:val="21"/>
                      <w:highlight w:val="none"/>
                      <w:u w:val="wave"/>
                    </w:rPr>
                    <w:t>）</w:t>
                  </w:r>
                  <w:r>
                    <w:rPr>
                      <w:color w:val="auto"/>
                      <w:sz w:val="21"/>
                      <w:szCs w:val="21"/>
                      <w:highlight w:val="none"/>
                      <w:u w:val="wave"/>
                    </w:rPr>
                    <w:t>]</w:t>
                  </w:r>
                </w:p>
              </w:tc>
              <w:tc>
                <w:tcPr>
                  <w:tcW w:w="1590" w:type="dxa"/>
                  <w:gridSpan w:val="2"/>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昼间</w:t>
                  </w:r>
                  <w:r>
                    <w:rPr>
                      <w:color w:val="auto"/>
                      <w:sz w:val="21"/>
                      <w:szCs w:val="21"/>
                      <w:highlight w:val="none"/>
                      <w:u w:val="wave"/>
                    </w:rPr>
                    <w:t xml:space="preserve"> [dB</w:t>
                  </w:r>
                  <w:r>
                    <w:rPr>
                      <w:rFonts w:hAnsi="宋体"/>
                      <w:color w:val="auto"/>
                      <w:sz w:val="21"/>
                      <w:szCs w:val="21"/>
                      <w:highlight w:val="none"/>
                      <w:u w:val="wave"/>
                    </w:rPr>
                    <w:t>（</w:t>
                  </w:r>
                  <w:r>
                    <w:rPr>
                      <w:color w:val="auto"/>
                      <w:sz w:val="21"/>
                      <w:szCs w:val="21"/>
                      <w:highlight w:val="none"/>
                      <w:u w:val="wave"/>
                    </w:rPr>
                    <w:t>A</w:t>
                  </w:r>
                  <w:r>
                    <w:rPr>
                      <w:rFonts w:hAnsi="宋体"/>
                      <w:color w:val="auto"/>
                      <w:sz w:val="21"/>
                      <w:szCs w:val="21"/>
                      <w:highlight w:val="none"/>
                      <w:u w:val="wave"/>
                    </w:rPr>
                    <w:t>）</w:t>
                  </w:r>
                  <w:r>
                    <w:rPr>
                      <w:color w:val="auto"/>
                      <w:sz w:val="21"/>
                      <w:szCs w:val="21"/>
                      <w:highlight w:val="none"/>
                      <w:u w:val="wave"/>
                    </w:rPr>
                    <w:t>]</w:t>
                  </w:r>
                </w:p>
              </w:tc>
              <w:tc>
                <w:tcPr>
                  <w:tcW w:w="1633" w:type="dxa"/>
                  <w:gridSpan w:val="2"/>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夜间</w:t>
                  </w:r>
                  <w:r>
                    <w:rPr>
                      <w:color w:val="auto"/>
                      <w:sz w:val="21"/>
                      <w:szCs w:val="21"/>
                      <w:highlight w:val="none"/>
                      <w:u w:val="wave"/>
                    </w:rPr>
                    <w:t>[dB</w:t>
                  </w:r>
                  <w:r>
                    <w:rPr>
                      <w:rFonts w:hAnsi="宋体"/>
                      <w:color w:val="auto"/>
                      <w:sz w:val="21"/>
                      <w:szCs w:val="21"/>
                      <w:highlight w:val="none"/>
                      <w:u w:val="wave"/>
                    </w:rPr>
                    <w:t>（</w:t>
                  </w:r>
                  <w:r>
                    <w:rPr>
                      <w:color w:val="auto"/>
                      <w:sz w:val="21"/>
                      <w:szCs w:val="21"/>
                      <w:highlight w:val="none"/>
                      <w:u w:val="wave"/>
                    </w:rPr>
                    <w:t>A</w:t>
                  </w:r>
                  <w:r>
                    <w:rPr>
                      <w:rFonts w:hAnsi="宋体"/>
                      <w:color w:val="auto"/>
                      <w:sz w:val="21"/>
                      <w:szCs w:val="21"/>
                      <w:highlight w:val="none"/>
                      <w:u w:val="wave"/>
                    </w:rPr>
                    <w:t>）</w:t>
                  </w:r>
                  <w:r>
                    <w:rPr>
                      <w:color w:val="auto"/>
                      <w:sz w:val="21"/>
                      <w:szCs w:val="21"/>
                      <w:highlight w:val="none"/>
                      <w:u w:val="wav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285" w:hRule="atLeast"/>
                <w:jc w:val="center"/>
              </w:trPr>
              <w:tc>
                <w:tcPr>
                  <w:tcW w:w="1770" w:type="dxa"/>
                  <w:gridSpan w:val="2"/>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835"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955" w:type="dxa"/>
                  <w:vMerge w:val="continue"/>
                  <w:tcBorders>
                    <w:tl2br w:val="nil"/>
                    <w:tr2bl w:val="nil"/>
                  </w:tcBorders>
                  <w:tcMar>
                    <w:left w:w="28" w:type="dxa"/>
                    <w:right w:w="28" w:type="dxa"/>
                  </w:tcMar>
                  <w:vAlign w:val="center"/>
                </w:tcPr>
                <w:p>
                  <w:pPr>
                    <w:jc w:val="center"/>
                    <w:rPr>
                      <w:u w:val="wave"/>
                    </w:rPr>
                  </w:pPr>
                </w:p>
              </w:tc>
              <w:tc>
                <w:tcPr>
                  <w:tcW w:w="840"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900"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765" w:type="dxa"/>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评价</w:t>
                  </w:r>
                </w:p>
                <w:p>
                  <w:pPr>
                    <w:jc w:val="center"/>
                    <w:rPr>
                      <w:color w:val="auto"/>
                      <w:sz w:val="21"/>
                      <w:szCs w:val="21"/>
                      <w:highlight w:val="none"/>
                      <w:u w:val="wave"/>
                    </w:rPr>
                  </w:pPr>
                  <w:r>
                    <w:rPr>
                      <w:rFonts w:hAnsi="宋体"/>
                      <w:color w:val="auto"/>
                      <w:sz w:val="21"/>
                      <w:szCs w:val="21"/>
                      <w:highlight w:val="none"/>
                      <w:u w:val="wave"/>
                    </w:rPr>
                    <w:t>标准</w:t>
                  </w:r>
                </w:p>
              </w:tc>
              <w:tc>
                <w:tcPr>
                  <w:tcW w:w="825" w:type="dxa"/>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达标</w:t>
                  </w:r>
                </w:p>
                <w:p>
                  <w:pPr>
                    <w:jc w:val="center"/>
                    <w:rPr>
                      <w:color w:val="auto"/>
                      <w:sz w:val="21"/>
                      <w:szCs w:val="21"/>
                      <w:highlight w:val="none"/>
                      <w:u w:val="wave"/>
                    </w:rPr>
                  </w:pPr>
                  <w:r>
                    <w:rPr>
                      <w:rFonts w:hAnsi="宋体"/>
                      <w:color w:val="auto"/>
                      <w:sz w:val="21"/>
                      <w:szCs w:val="21"/>
                      <w:highlight w:val="none"/>
                      <w:u w:val="wave"/>
                    </w:rPr>
                    <w:t>情况</w:t>
                  </w:r>
                </w:p>
              </w:tc>
              <w:tc>
                <w:tcPr>
                  <w:tcW w:w="870" w:type="dxa"/>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评价</w:t>
                  </w:r>
                </w:p>
                <w:p>
                  <w:pPr>
                    <w:jc w:val="center"/>
                    <w:rPr>
                      <w:color w:val="auto"/>
                      <w:sz w:val="21"/>
                      <w:szCs w:val="21"/>
                      <w:highlight w:val="none"/>
                      <w:u w:val="wave"/>
                    </w:rPr>
                  </w:pPr>
                  <w:r>
                    <w:rPr>
                      <w:rFonts w:hAnsi="宋体"/>
                      <w:color w:val="auto"/>
                      <w:sz w:val="21"/>
                      <w:szCs w:val="21"/>
                      <w:highlight w:val="none"/>
                      <w:u w:val="wave"/>
                    </w:rPr>
                    <w:t>标准</w:t>
                  </w:r>
                </w:p>
              </w:tc>
              <w:tc>
                <w:tcPr>
                  <w:tcW w:w="774" w:type="dxa"/>
                  <w:gridSpan w:val="2"/>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达标</w:t>
                  </w:r>
                </w:p>
                <w:p>
                  <w:pPr>
                    <w:jc w:val="center"/>
                    <w:rPr>
                      <w:color w:val="auto"/>
                      <w:sz w:val="21"/>
                      <w:szCs w:val="21"/>
                      <w:highlight w:val="none"/>
                      <w:u w:val="wave"/>
                    </w:rPr>
                  </w:pPr>
                  <w:r>
                    <w:rPr>
                      <w:rFonts w:hAnsi="宋体"/>
                      <w:color w:val="auto"/>
                      <w:sz w:val="21"/>
                      <w:szCs w:val="21"/>
                      <w:highlight w:val="none"/>
                      <w:u w:val="wave"/>
                    </w:rPr>
                    <w:t>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180" w:hRule="atLeast"/>
                <w:jc w:val="center"/>
              </w:trPr>
              <w:tc>
                <w:tcPr>
                  <w:tcW w:w="679" w:type="dxa"/>
                  <w:vMerge w:val="restart"/>
                  <w:tcBorders>
                    <w:tl2br w:val="nil"/>
                    <w:tr2bl w:val="nil"/>
                  </w:tcBorders>
                  <w:tcMar>
                    <w:left w:w="28" w:type="dxa"/>
                    <w:right w:w="28" w:type="dxa"/>
                  </w:tcMar>
                  <w:vAlign w:val="center"/>
                </w:tcPr>
                <w:p>
                  <w:pPr>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发射机机房</w:t>
                  </w:r>
                </w:p>
              </w:tc>
              <w:tc>
                <w:tcPr>
                  <w:tcW w:w="1091" w:type="dxa"/>
                  <w:tcBorders>
                    <w:tl2br w:val="nil"/>
                    <w:tr2bl w:val="nil"/>
                  </w:tcBorders>
                  <w:tcMar>
                    <w:left w:w="28" w:type="dxa"/>
                    <w:right w:w="28" w:type="dxa"/>
                  </w:tcMar>
                  <w:vAlign w:val="center"/>
                </w:tcPr>
                <w:p>
                  <w:pPr>
                    <w:jc w:val="center"/>
                    <w:rPr>
                      <w:color w:val="auto"/>
                      <w:sz w:val="21"/>
                      <w:szCs w:val="21"/>
                      <w:highlight w:val="none"/>
                      <w:u w:val="wave"/>
                    </w:rPr>
                  </w:pPr>
                  <w:r>
                    <w:rPr>
                      <w:rFonts w:hint="eastAsia" w:hAnsi="宋体"/>
                      <w:color w:val="auto"/>
                      <w:sz w:val="21"/>
                      <w:szCs w:val="21"/>
                      <w:highlight w:val="none"/>
                      <w:u w:val="wave"/>
                      <w:lang w:eastAsia="zh-CN"/>
                    </w:rPr>
                    <w:t>厂界</w:t>
                  </w:r>
                  <w:r>
                    <w:rPr>
                      <w:rFonts w:hAnsi="宋体"/>
                      <w:color w:val="auto"/>
                      <w:sz w:val="21"/>
                      <w:szCs w:val="21"/>
                      <w:highlight w:val="none"/>
                      <w:u w:val="wave"/>
                    </w:rPr>
                    <w:t>西面</w:t>
                  </w:r>
                </w:p>
              </w:tc>
              <w:tc>
                <w:tcPr>
                  <w:tcW w:w="835" w:type="dxa"/>
                  <w:tcBorders>
                    <w:tl2br w:val="nil"/>
                    <w:tr2bl w:val="nil"/>
                  </w:tcBorders>
                  <w:tcMar>
                    <w:left w:w="28" w:type="dxa"/>
                    <w:right w:w="28" w:type="dxa"/>
                  </w:tcMar>
                  <w:vAlign w:val="center"/>
                </w:tcPr>
                <w:p>
                  <w:pPr>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140</w:t>
                  </w:r>
                </w:p>
              </w:tc>
              <w:tc>
                <w:tcPr>
                  <w:tcW w:w="955" w:type="dxa"/>
                  <w:tcBorders>
                    <w:tl2br w:val="nil"/>
                    <w:tr2bl w:val="nil"/>
                  </w:tcBorders>
                  <w:tcMar>
                    <w:left w:w="28" w:type="dxa"/>
                    <w:right w:w="28" w:type="dxa"/>
                  </w:tcMar>
                  <w:vAlign w:val="center"/>
                </w:tcPr>
                <w:p>
                  <w:pPr>
                    <w:jc w:val="center"/>
                    <w:rPr>
                      <w:u w:val="wave"/>
                    </w:rPr>
                  </w:pPr>
                  <w:r>
                    <w:rPr>
                      <w:rFonts w:hint="eastAsia"/>
                      <w:color w:val="auto"/>
                      <w:sz w:val="21"/>
                      <w:szCs w:val="21"/>
                      <w:highlight w:val="none"/>
                      <w:u w:val="wave"/>
                      <w:lang w:val="en-US" w:eastAsia="zh-CN"/>
                    </w:rPr>
                    <w:t>7.5</w:t>
                  </w:r>
                </w:p>
              </w:tc>
              <w:tc>
                <w:tcPr>
                  <w:tcW w:w="84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90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765" w:type="dxa"/>
                  <w:tcBorders>
                    <w:tl2br w:val="nil"/>
                    <w:tr2bl w:val="nil"/>
                  </w:tcBorders>
                  <w:tcMar>
                    <w:left w:w="28" w:type="dxa"/>
                    <w:right w:w="28" w:type="dxa"/>
                  </w:tcMar>
                  <w:vAlign w:val="center"/>
                </w:tcPr>
                <w:p>
                  <w:pPr>
                    <w:jc w:val="center"/>
                    <w:rPr>
                      <w:rFonts w:hint="eastAsia" w:eastAsia="宋体"/>
                      <w:bCs/>
                      <w:color w:val="auto"/>
                      <w:sz w:val="21"/>
                      <w:szCs w:val="21"/>
                      <w:highlight w:val="none"/>
                      <w:u w:val="wave"/>
                      <w:lang w:val="en-US" w:eastAsia="zh-CN"/>
                    </w:rPr>
                  </w:pPr>
                  <w:r>
                    <w:rPr>
                      <w:rFonts w:hint="eastAsia"/>
                      <w:bCs/>
                      <w:color w:val="auto"/>
                      <w:sz w:val="21"/>
                      <w:szCs w:val="21"/>
                      <w:highlight w:val="none"/>
                      <w:u w:val="wave"/>
                      <w:lang w:val="en-US" w:eastAsia="zh-CN"/>
                    </w:rPr>
                    <w:t>70</w:t>
                  </w:r>
                </w:p>
              </w:tc>
              <w:tc>
                <w:tcPr>
                  <w:tcW w:w="825" w:type="dxa"/>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达标</w:t>
                  </w:r>
                </w:p>
              </w:tc>
              <w:tc>
                <w:tcPr>
                  <w:tcW w:w="870" w:type="dxa"/>
                  <w:tcBorders>
                    <w:tl2br w:val="nil"/>
                    <w:tr2bl w:val="nil"/>
                  </w:tcBorders>
                  <w:tcMar>
                    <w:left w:w="28" w:type="dxa"/>
                    <w:right w:w="28" w:type="dxa"/>
                  </w:tcMar>
                  <w:vAlign w:val="center"/>
                </w:tcPr>
                <w:p>
                  <w:pPr>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55</w:t>
                  </w:r>
                </w:p>
              </w:tc>
              <w:tc>
                <w:tcPr>
                  <w:tcW w:w="774" w:type="dxa"/>
                  <w:gridSpan w:val="2"/>
                  <w:tcBorders>
                    <w:tl2br w:val="nil"/>
                    <w:tr2bl w:val="nil"/>
                  </w:tcBorders>
                  <w:tcMar>
                    <w:left w:w="28" w:type="dxa"/>
                    <w:right w:w="28" w:type="dxa"/>
                  </w:tcMar>
                  <w:vAlign w:val="center"/>
                </w:tcPr>
                <w:p>
                  <w:pPr>
                    <w:jc w:val="center"/>
                    <w:rPr>
                      <w:color w:val="auto"/>
                      <w:sz w:val="21"/>
                      <w:szCs w:val="21"/>
                      <w:highlight w:val="none"/>
                      <w:u w:val="wave"/>
                    </w:rPr>
                  </w:pPr>
                  <w:r>
                    <w:rPr>
                      <w:rFonts w:hAnsi="宋体"/>
                      <w:color w:val="auto"/>
                      <w:sz w:val="21"/>
                      <w:szCs w:val="21"/>
                      <w:highlight w:val="none"/>
                      <w:u w:val="wav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180" w:hRule="atLeast"/>
                <w:jc w:val="center"/>
              </w:trPr>
              <w:tc>
                <w:tcPr>
                  <w:tcW w:w="679" w:type="dxa"/>
                  <w:vMerge w:val="continue"/>
                  <w:tcBorders>
                    <w:tl2br w:val="nil"/>
                    <w:tr2bl w:val="nil"/>
                  </w:tcBorders>
                  <w:tcMar>
                    <w:left w:w="28" w:type="dxa"/>
                    <w:right w:w="28" w:type="dxa"/>
                  </w:tcMar>
                  <w:vAlign w:val="center"/>
                </w:tcPr>
                <w:p>
                  <w:pPr>
                    <w:jc w:val="center"/>
                    <w:rPr>
                      <w:rFonts w:hint="eastAsia"/>
                      <w:color w:val="auto"/>
                      <w:sz w:val="21"/>
                      <w:szCs w:val="21"/>
                      <w:highlight w:val="none"/>
                      <w:u w:val="wave"/>
                      <w:lang w:eastAsia="zh-CN"/>
                    </w:rPr>
                  </w:pPr>
                </w:p>
              </w:tc>
              <w:tc>
                <w:tcPr>
                  <w:tcW w:w="1091" w:type="dxa"/>
                  <w:tcBorders>
                    <w:tl2br w:val="nil"/>
                    <w:tr2bl w:val="nil"/>
                  </w:tcBorders>
                  <w:tcMar>
                    <w:left w:w="28" w:type="dxa"/>
                    <w:right w:w="28" w:type="dxa"/>
                  </w:tcMar>
                  <w:vAlign w:val="center"/>
                </w:tcPr>
                <w:p>
                  <w:pPr>
                    <w:jc w:val="center"/>
                    <w:rPr>
                      <w:rFonts w:hint="eastAsia" w:hAnsi="宋体"/>
                      <w:color w:val="auto"/>
                      <w:sz w:val="21"/>
                      <w:szCs w:val="21"/>
                      <w:highlight w:val="none"/>
                      <w:u w:val="wave"/>
                      <w:lang w:eastAsia="zh-CN"/>
                    </w:rPr>
                  </w:pPr>
                  <w:r>
                    <w:rPr>
                      <w:rFonts w:hint="eastAsia" w:hAnsi="宋体"/>
                      <w:color w:val="auto"/>
                      <w:sz w:val="21"/>
                      <w:szCs w:val="21"/>
                      <w:highlight w:val="none"/>
                      <w:u w:val="wave"/>
                      <w:lang w:eastAsia="zh-CN"/>
                    </w:rPr>
                    <w:t>厂界</w:t>
                  </w:r>
                  <w:r>
                    <w:rPr>
                      <w:rFonts w:hAnsi="宋体"/>
                      <w:color w:val="auto"/>
                      <w:sz w:val="21"/>
                      <w:szCs w:val="21"/>
                      <w:highlight w:val="none"/>
                      <w:u w:val="wave"/>
                    </w:rPr>
                    <w:t>东面</w:t>
                  </w:r>
                </w:p>
              </w:tc>
              <w:tc>
                <w:tcPr>
                  <w:tcW w:w="835"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5</w:t>
                  </w:r>
                </w:p>
              </w:tc>
              <w:tc>
                <w:tcPr>
                  <w:tcW w:w="955" w:type="dxa"/>
                  <w:tcBorders>
                    <w:tl2br w:val="nil"/>
                    <w:tr2bl w:val="nil"/>
                  </w:tcBorders>
                  <w:tcMar>
                    <w:left w:w="28" w:type="dxa"/>
                    <w:right w:w="28" w:type="dxa"/>
                  </w:tcMar>
                  <w:vAlign w:val="center"/>
                </w:tcPr>
                <w:p>
                  <w:pPr>
                    <w:jc w:val="center"/>
                    <w:rPr>
                      <w:u w:val="wave"/>
                    </w:rPr>
                  </w:pPr>
                  <w:r>
                    <w:rPr>
                      <w:rFonts w:hint="eastAsia"/>
                      <w:color w:val="auto"/>
                      <w:sz w:val="21"/>
                      <w:szCs w:val="21"/>
                      <w:highlight w:val="none"/>
                      <w:u w:val="wave"/>
                      <w:lang w:val="en-US" w:eastAsia="zh-CN"/>
                    </w:rPr>
                    <w:t>36.4</w:t>
                  </w:r>
                </w:p>
              </w:tc>
              <w:tc>
                <w:tcPr>
                  <w:tcW w:w="84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90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765" w:type="dxa"/>
                  <w:vMerge w:val="restart"/>
                  <w:tcBorders>
                    <w:tl2br w:val="nil"/>
                    <w:tr2bl w:val="nil"/>
                  </w:tcBorders>
                  <w:tcMar>
                    <w:left w:w="28" w:type="dxa"/>
                    <w:right w:w="28" w:type="dxa"/>
                  </w:tcMar>
                  <w:vAlign w:val="center"/>
                </w:tcPr>
                <w:p>
                  <w:pPr>
                    <w:jc w:val="center"/>
                    <w:rPr>
                      <w:rFonts w:hint="eastAsia" w:eastAsia="宋体"/>
                      <w:bCs/>
                      <w:color w:val="auto"/>
                      <w:sz w:val="21"/>
                      <w:szCs w:val="21"/>
                      <w:highlight w:val="none"/>
                      <w:u w:val="wave"/>
                      <w:lang w:val="en-US" w:eastAsia="zh-CN"/>
                    </w:rPr>
                  </w:pPr>
                  <w:r>
                    <w:rPr>
                      <w:rFonts w:hint="eastAsia"/>
                      <w:bCs/>
                      <w:color w:val="auto"/>
                      <w:sz w:val="21"/>
                      <w:szCs w:val="21"/>
                      <w:highlight w:val="none"/>
                      <w:u w:val="wave"/>
                      <w:lang w:val="en-US" w:eastAsia="zh-CN"/>
                    </w:rPr>
                    <w:t>60</w:t>
                  </w:r>
                </w:p>
              </w:tc>
              <w:tc>
                <w:tcPr>
                  <w:tcW w:w="825" w:type="dxa"/>
                  <w:vMerge w:val="restart"/>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达标</w:t>
                  </w:r>
                </w:p>
              </w:tc>
              <w:tc>
                <w:tcPr>
                  <w:tcW w:w="870" w:type="dxa"/>
                  <w:vMerge w:val="restart"/>
                  <w:tcBorders>
                    <w:tl2br w:val="nil"/>
                    <w:tr2bl w:val="nil"/>
                  </w:tcBorders>
                  <w:tcMar>
                    <w:left w:w="28" w:type="dxa"/>
                    <w:right w:w="28" w:type="dxa"/>
                  </w:tcMar>
                  <w:vAlign w:val="center"/>
                </w:tcPr>
                <w:p>
                  <w:pPr>
                    <w:jc w:val="center"/>
                    <w:rPr>
                      <w:rFonts w:hint="eastAsia" w:eastAsia="宋体"/>
                      <w:color w:val="auto"/>
                      <w:sz w:val="21"/>
                      <w:szCs w:val="21"/>
                      <w:highlight w:val="none"/>
                      <w:u w:val="wave"/>
                      <w:lang w:val="en-US" w:eastAsia="zh-CN"/>
                    </w:rPr>
                  </w:pPr>
                  <w:r>
                    <w:rPr>
                      <w:rFonts w:hint="eastAsia"/>
                      <w:color w:val="auto"/>
                      <w:sz w:val="21"/>
                      <w:szCs w:val="21"/>
                      <w:highlight w:val="none"/>
                      <w:u w:val="wave"/>
                      <w:lang w:val="en-US" w:eastAsia="zh-CN"/>
                    </w:rPr>
                    <w:t>50</w:t>
                  </w:r>
                </w:p>
              </w:tc>
              <w:tc>
                <w:tcPr>
                  <w:tcW w:w="774" w:type="dxa"/>
                  <w:gridSpan w:val="2"/>
                  <w:vMerge w:val="restart"/>
                  <w:tcBorders>
                    <w:tl2br w:val="nil"/>
                    <w:tr2bl w:val="nil"/>
                  </w:tcBorders>
                  <w:tcMar>
                    <w:left w:w="28" w:type="dxa"/>
                    <w:right w:w="28" w:type="dxa"/>
                  </w:tcMar>
                  <w:vAlign w:val="center"/>
                </w:tcPr>
                <w:p>
                  <w:pPr>
                    <w:jc w:val="center"/>
                    <w:rPr>
                      <w:rFonts w:hAnsi="宋体"/>
                      <w:color w:val="auto"/>
                      <w:sz w:val="21"/>
                      <w:szCs w:val="21"/>
                      <w:highlight w:val="none"/>
                      <w:u w:val="wave"/>
                    </w:rPr>
                  </w:pPr>
                  <w:r>
                    <w:rPr>
                      <w:rFonts w:hAnsi="宋体"/>
                      <w:color w:val="auto"/>
                      <w:sz w:val="21"/>
                      <w:szCs w:val="21"/>
                      <w:highlight w:val="none"/>
                      <w:u w:val="wav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180" w:hRule="atLeast"/>
                <w:jc w:val="center"/>
              </w:trPr>
              <w:tc>
                <w:tcPr>
                  <w:tcW w:w="679"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1091" w:type="dxa"/>
                  <w:tcBorders>
                    <w:tl2br w:val="nil"/>
                    <w:tr2bl w:val="nil"/>
                  </w:tcBorders>
                  <w:tcMar>
                    <w:left w:w="28" w:type="dxa"/>
                    <w:right w:w="28" w:type="dxa"/>
                  </w:tcMar>
                  <w:vAlign w:val="center"/>
                </w:tcPr>
                <w:p>
                  <w:pPr>
                    <w:jc w:val="center"/>
                    <w:rPr>
                      <w:color w:val="auto"/>
                      <w:sz w:val="21"/>
                      <w:szCs w:val="21"/>
                      <w:highlight w:val="none"/>
                      <w:u w:val="wave"/>
                    </w:rPr>
                  </w:pPr>
                  <w:r>
                    <w:rPr>
                      <w:rFonts w:hint="eastAsia" w:hAnsi="宋体"/>
                      <w:color w:val="auto"/>
                      <w:sz w:val="21"/>
                      <w:szCs w:val="21"/>
                      <w:highlight w:val="none"/>
                      <w:u w:val="wave"/>
                      <w:lang w:eastAsia="zh-CN"/>
                    </w:rPr>
                    <w:t>厂界</w:t>
                  </w:r>
                  <w:r>
                    <w:rPr>
                      <w:rFonts w:hAnsi="宋体"/>
                      <w:color w:val="auto"/>
                      <w:sz w:val="21"/>
                      <w:szCs w:val="21"/>
                      <w:highlight w:val="none"/>
                      <w:u w:val="wave"/>
                    </w:rPr>
                    <w:t>南面</w:t>
                  </w:r>
                </w:p>
              </w:tc>
              <w:tc>
                <w:tcPr>
                  <w:tcW w:w="835" w:type="dxa"/>
                  <w:tcBorders>
                    <w:tl2br w:val="nil"/>
                    <w:tr2bl w:val="nil"/>
                  </w:tcBorders>
                  <w:tcMar>
                    <w:left w:w="28" w:type="dxa"/>
                    <w:right w:w="28" w:type="dxa"/>
                  </w:tcMar>
                  <w:vAlign w:val="center"/>
                </w:tcPr>
                <w:p>
                  <w:pPr>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50</w:t>
                  </w:r>
                </w:p>
              </w:tc>
              <w:tc>
                <w:tcPr>
                  <w:tcW w:w="955" w:type="dxa"/>
                  <w:tcBorders>
                    <w:tl2br w:val="nil"/>
                    <w:tr2bl w:val="nil"/>
                  </w:tcBorders>
                  <w:tcMar>
                    <w:left w:w="28" w:type="dxa"/>
                    <w:right w:w="28" w:type="dxa"/>
                  </w:tcMar>
                  <w:vAlign w:val="center"/>
                </w:tcPr>
                <w:p>
                  <w:pPr>
                    <w:jc w:val="center"/>
                    <w:rPr>
                      <w:u w:val="wave"/>
                    </w:rPr>
                  </w:pPr>
                  <w:r>
                    <w:rPr>
                      <w:rFonts w:hint="eastAsia"/>
                      <w:color w:val="auto"/>
                      <w:sz w:val="21"/>
                      <w:szCs w:val="21"/>
                      <w:highlight w:val="none"/>
                      <w:u w:val="wave"/>
                      <w:lang w:val="en-US" w:eastAsia="zh-CN"/>
                    </w:rPr>
                    <w:t>16.4</w:t>
                  </w:r>
                </w:p>
              </w:tc>
              <w:tc>
                <w:tcPr>
                  <w:tcW w:w="84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90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765" w:type="dxa"/>
                  <w:vMerge w:val="continue"/>
                  <w:tcBorders>
                    <w:tl2br w:val="nil"/>
                    <w:tr2bl w:val="nil"/>
                  </w:tcBorders>
                  <w:tcMar>
                    <w:left w:w="28" w:type="dxa"/>
                    <w:right w:w="28" w:type="dxa"/>
                  </w:tcMar>
                  <w:vAlign w:val="center"/>
                </w:tcPr>
                <w:p>
                  <w:pPr>
                    <w:jc w:val="center"/>
                    <w:rPr>
                      <w:rFonts w:hint="eastAsia" w:eastAsia="宋体"/>
                      <w:bCs/>
                      <w:color w:val="auto"/>
                      <w:sz w:val="21"/>
                      <w:szCs w:val="21"/>
                      <w:highlight w:val="none"/>
                      <w:u w:val="wave"/>
                      <w:lang w:val="en-US" w:eastAsia="zh-CN"/>
                    </w:rPr>
                  </w:pPr>
                </w:p>
              </w:tc>
              <w:tc>
                <w:tcPr>
                  <w:tcW w:w="825"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870" w:type="dxa"/>
                  <w:vMerge w:val="continue"/>
                  <w:tcBorders>
                    <w:tl2br w:val="nil"/>
                    <w:tr2bl w:val="nil"/>
                  </w:tcBorders>
                  <w:tcMar>
                    <w:left w:w="28" w:type="dxa"/>
                    <w:right w:w="28" w:type="dxa"/>
                  </w:tcMar>
                  <w:vAlign w:val="center"/>
                </w:tcPr>
                <w:p>
                  <w:pPr>
                    <w:jc w:val="center"/>
                    <w:rPr>
                      <w:rFonts w:hint="eastAsia" w:eastAsia="宋体"/>
                      <w:color w:val="auto"/>
                      <w:sz w:val="21"/>
                      <w:szCs w:val="21"/>
                      <w:highlight w:val="none"/>
                      <w:u w:val="wave"/>
                      <w:lang w:val="en-US" w:eastAsia="zh-CN"/>
                    </w:rPr>
                  </w:pPr>
                </w:p>
              </w:tc>
              <w:tc>
                <w:tcPr>
                  <w:tcW w:w="774" w:type="dxa"/>
                  <w:gridSpan w:val="2"/>
                  <w:vMerge w:val="continue"/>
                  <w:tcBorders>
                    <w:tl2br w:val="nil"/>
                    <w:tr2bl w:val="nil"/>
                  </w:tcBorders>
                  <w:tcMar>
                    <w:left w:w="28" w:type="dxa"/>
                    <w:right w:w="28" w:type="dxa"/>
                  </w:tcMar>
                  <w:vAlign w:val="center"/>
                </w:tcPr>
                <w:p>
                  <w:pPr>
                    <w:jc w:val="center"/>
                    <w:rPr>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180" w:hRule="atLeast"/>
                <w:jc w:val="center"/>
              </w:trPr>
              <w:tc>
                <w:tcPr>
                  <w:tcW w:w="679"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1091" w:type="dxa"/>
                  <w:tcBorders>
                    <w:tl2br w:val="nil"/>
                    <w:tr2bl w:val="nil"/>
                  </w:tcBorders>
                  <w:tcMar>
                    <w:left w:w="28" w:type="dxa"/>
                    <w:right w:w="28" w:type="dxa"/>
                  </w:tcMar>
                  <w:vAlign w:val="center"/>
                </w:tcPr>
                <w:p>
                  <w:pPr>
                    <w:jc w:val="center"/>
                    <w:rPr>
                      <w:color w:val="auto"/>
                      <w:sz w:val="21"/>
                      <w:szCs w:val="21"/>
                      <w:highlight w:val="none"/>
                      <w:u w:val="wave"/>
                    </w:rPr>
                  </w:pPr>
                  <w:r>
                    <w:rPr>
                      <w:rFonts w:hint="eastAsia" w:hAnsi="宋体"/>
                      <w:color w:val="auto"/>
                      <w:sz w:val="21"/>
                      <w:szCs w:val="21"/>
                      <w:highlight w:val="none"/>
                      <w:u w:val="wave"/>
                      <w:lang w:eastAsia="zh-CN"/>
                    </w:rPr>
                    <w:t>厂界</w:t>
                  </w:r>
                  <w:r>
                    <w:rPr>
                      <w:rFonts w:hAnsi="宋体"/>
                      <w:color w:val="auto"/>
                      <w:sz w:val="21"/>
                      <w:szCs w:val="21"/>
                      <w:highlight w:val="none"/>
                      <w:u w:val="wave"/>
                    </w:rPr>
                    <w:t>北面</w:t>
                  </w:r>
                </w:p>
              </w:tc>
              <w:tc>
                <w:tcPr>
                  <w:tcW w:w="835" w:type="dxa"/>
                  <w:tcBorders>
                    <w:tl2br w:val="nil"/>
                    <w:tr2bl w:val="nil"/>
                  </w:tcBorders>
                  <w:tcMar>
                    <w:left w:w="28" w:type="dxa"/>
                    <w:right w:w="28" w:type="dxa"/>
                  </w:tcMar>
                  <w:vAlign w:val="center"/>
                </w:tcPr>
                <w:p>
                  <w:pPr>
                    <w:jc w:val="center"/>
                    <w:rPr>
                      <w:rFonts w:hint="eastAsia" w:eastAsia="宋体"/>
                      <w:color w:val="auto"/>
                      <w:sz w:val="21"/>
                      <w:szCs w:val="21"/>
                      <w:highlight w:val="none"/>
                      <w:u w:val="wave"/>
                      <w:lang w:eastAsia="zh-CN"/>
                    </w:rPr>
                  </w:pPr>
                  <w:r>
                    <w:rPr>
                      <w:rFonts w:hint="eastAsia"/>
                      <w:color w:val="auto"/>
                      <w:sz w:val="21"/>
                      <w:szCs w:val="21"/>
                      <w:highlight w:val="none"/>
                      <w:u w:val="wave"/>
                      <w:lang w:val="en-US" w:eastAsia="zh-CN"/>
                    </w:rPr>
                    <w:t>45</w:t>
                  </w:r>
                </w:p>
              </w:tc>
              <w:tc>
                <w:tcPr>
                  <w:tcW w:w="955" w:type="dxa"/>
                  <w:tcBorders>
                    <w:tl2br w:val="nil"/>
                    <w:tr2bl w:val="nil"/>
                  </w:tcBorders>
                  <w:tcMar>
                    <w:left w:w="28" w:type="dxa"/>
                    <w:right w:w="28" w:type="dxa"/>
                  </w:tcMar>
                  <w:vAlign w:val="center"/>
                </w:tcPr>
                <w:p>
                  <w:pPr>
                    <w:jc w:val="center"/>
                    <w:rPr>
                      <w:u w:val="wave"/>
                    </w:rPr>
                  </w:pPr>
                  <w:r>
                    <w:rPr>
                      <w:rFonts w:hint="eastAsia"/>
                      <w:color w:val="auto"/>
                      <w:sz w:val="21"/>
                      <w:szCs w:val="21"/>
                      <w:highlight w:val="none"/>
                      <w:u w:val="wave"/>
                      <w:lang w:val="en-US" w:eastAsia="zh-CN"/>
                    </w:rPr>
                    <w:t>17.3</w:t>
                  </w:r>
                </w:p>
              </w:tc>
              <w:tc>
                <w:tcPr>
                  <w:tcW w:w="84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90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w:t>
                  </w:r>
                </w:p>
              </w:tc>
              <w:tc>
                <w:tcPr>
                  <w:tcW w:w="765" w:type="dxa"/>
                  <w:vMerge w:val="continue"/>
                  <w:tcBorders>
                    <w:tl2br w:val="nil"/>
                    <w:tr2bl w:val="nil"/>
                  </w:tcBorders>
                  <w:tcMar>
                    <w:left w:w="28" w:type="dxa"/>
                    <w:right w:w="28" w:type="dxa"/>
                  </w:tcMar>
                  <w:vAlign w:val="center"/>
                </w:tcPr>
                <w:p>
                  <w:pPr>
                    <w:jc w:val="center"/>
                    <w:rPr>
                      <w:rFonts w:hint="eastAsia" w:eastAsia="宋体"/>
                      <w:bCs/>
                      <w:color w:val="auto"/>
                      <w:sz w:val="21"/>
                      <w:szCs w:val="21"/>
                      <w:highlight w:val="none"/>
                      <w:u w:val="wave"/>
                      <w:lang w:val="en-US" w:eastAsia="zh-CN"/>
                    </w:rPr>
                  </w:pPr>
                </w:p>
              </w:tc>
              <w:tc>
                <w:tcPr>
                  <w:tcW w:w="825" w:type="dxa"/>
                  <w:vMerge w:val="continue"/>
                  <w:tcBorders>
                    <w:tl2br w:val="nil"/>
                    <w:tr2bl w:val="nil"/>
                  </w:tcBorders>
                  <w:tcMar>
                    <w:left w:w="28" w:type="dxa"/>
                    <w:right w:w="28" w:type="dxa"/>
                  </w:tcMar>
                  <w:vAlign w:val="center"/>
                </w:tcPr>
                <w:p>
                  <w:pPr>
                    <w:jc w:val="center"/>
                    <w:rPr>
                      <w:color w:val="auto"/>
                      <w:sz w:val="21"/>
                      <w:szCs w:val="21"/>
                      <w:highlight w:val="none"/>
                      <w:u w:val="wave"/>
                    </w:rPr>
                  </w:pPr>
                </w:p>
              </w:tc>
              <w:tc>
                <w:tcPr>
                  <w:tcW w:w="870" w:type="dxa"/>
                  <w:vMerge w:val="continue"/>
                  <w:tcBorders>
                    <w:tl2br w:val="nil"/>
                    <w:tr2bl w:val="nil"/>
                  </w:tcBorders>
                  <w:tcMar>
                    <w:left w:w="28" w:type="dxa"/>
                    <w:right w:w="28" w:type="dxa"/>
                  </w:tcMar>
                  <w:vAlign w:val="center"/>
                </w:tcPr>
                <w:p>
                  <w:pPr>
                    <w:jc w:val="center"/>
                    <w:rPr>
                      <w:rFonts w:hint="eastAsia" w:eastAsia="宋体"/>
                      <w:color w:val="auto"/>
                      <w:sz w:val="21"/>
                      <w:szCs w:val="21"/>
                      <w:highlight w:val="none"/>
                      <w:u w:val="wave"/>
                      <w:lang w:val="en-US" w:eastAsia="zh-CN"/>
                    </w:rPr>
                  </w:pPr>
                </w:p>
              </w:tc>
              <w:tc>
                <w:tcPr>
                  <w:tcW w:w="774" w:type="dxa"/>
                  <w:gridSpan w:val="2"/>
                  <w:vMerge w:val="continue"/>
                  <w:tcBorders>
                    <w:tl2br w:val="nil"/>
                    <w:tr2bl w:val="nil"/>
                  </w:tcBorders>
                  <w:tcMar>
                    <w:left w:w="28" w:type="dxa"/>
                    <w:right w:w="28" w:type="dxa"/>
                  </w:tcMar>
                  <w:vAlign w:val="center"/>
                </w:tcPr>
                <w:p>
                  <w:pPr>
                    <w:jc w:val="center"/>
                    <w:rPr>
                      <w:color w:val="auto"/>
                      <w:sz w:val="21"/>
                      <w:szCs w:val="21"/>
                      <w:highlight w:val="none"/>
                      <w:u w:val="wav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Ex>
              <w:trPr>
                <w:trHeight w:val="180" w:hRule="atLeast"/>
                <w:jc w:val="center"/>
              </w:trPr>
              <w:tc>
                <w:tcPr>
                  <w:tcW w:w="679" w:type="dxa"/>
                  <w:tcBorders>
                    <w:tl2br w:val="nil"/>
                    <w:tr2bl w:val="nil"/>
                  </w:tcBorders>
                  <w:tcMar>
                    <w:left w:w="28" w:type="dxa"/>
                    <w:right w:w="28" w:type="dxa"/>
                  </w:tcMar>
                  <w:vAlign w:val="center"/>
                </w:tcPr>
                <w:p>
                  <w:pPr>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敏感点</w:t>
                  </w:r>
                </w:p>
              </w:tc>
              <w:tc>
                <w:tcPr>
                  <w:tcW w:w="1091" w:type="dxa"/>
                  <w:tcBorders>
                    <w:tl2br w:val="nil"/>
                    <w:tr2bl w:val="nil"/>
                  </w:tcBorders>
                  <w:tcMar>
                    <w:left w:w="28" w:type="dxa"/>
                    <w:right w:w="28" w:type="dxa"/>
                  </w:tcMar>
                  <w:vAlign w:val="center"/>
                </w:tcPr>
                <w:p>
                  <w:pPr>
                    <w:jc w:val="center"/>
                    <w:rPr>
                      <w:rFonts w:hint="eastAsia" w:hAnsi="宋体"/>
                      <w:color w:val="auto"/>
                      <w:sz w:val="21"/>
                      <w:szCs w:val="21"/>
                      <w:highlight w:val="none"/>
                      <w:u w:val="wave"/>
                      <w:lang w:eastAsia="zh-CN"/>
                    </w:rPr>
                  </w:pPr>
                  <w:r>
                    <w:rPr>
                      <w:rFonts w:hint="eastAsia"/>
                      <w:color w:val="auto"/>
                      <w:sz w:val="21"/>
                      <w:szCs w:val="21"/>
                      <w:highlight w:val="none"/>
                      <w:u w:val="wave"/>
                      <w:lang w:eastAsia="zh-CN"/>
                    </w:rPr>
                    <w:t>孔家溶社区居民点</w:t>
                  </w:r>
                </w:p>
              </w:tc>
              <w:tc>
                <w:tcPr>
                  <w:tcW w:w="835"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45</w:t>
                  </w:r>
                </w:p>
              </w:tc>
              <w:tc>
                <w:tcPr>
                  <w:tcW w:w="955" w:type="dxa"/>
                  <w:tcBorders>
                    <w:tl2br w:val="nil"/>
                    <w:tr2bl w:val="nil"/>
                  </w:tcBorders>
                  <w:tcMar>
                    <w:left w:w="28" w:type="dxa"/>
                    <w:right w:w="28" w:type="dxa"/>
                  </w:tcMar>
                  <w:vAlign w:val="center"/>
                </w:tcPr>
                <w:p>
                  <w:pPr>
                    <w:jc w:val="center"/>
                    <w:rPr>
                      <w:highlight w:val="none"/>
                      <w:u w:val="wave"/>
                    </w:rPr>
                  </w:pPr>
                  <w:r>
                    <w:rPr>
                      <w:rFonts w:hint="eastAsia"/>
                      <w:color w:val="auto"/>
                      <w:sz w:val="21"/>
                      <w:szCs w:val="21"/>
                      <w:highlight w:val="none"/>
                      <w:u w:val="wave"/>
                      <w:lang w:val="en-US" w:eastAsia="zh-CN"/>
                    </w:rPr>
                    <w:t>17.3</w:t>
                  </w:r>
                </w:p>
              </w:tc>
              <w:tc>
                <w:tcPr>
                  <w:tcW w:w="84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46.2</w:t>
                  </w:r>
                </w:p>
              </w:tc>
              <w:tc>
                <w:tcPr>
                  <w:tcW w:w="900" w:type="dxa"/>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r>
                    <w:rPr>
                      <w:rFonts w:hint="eastAsia"/>
                      <w:color w:val="auto"/>
                      <w:sz w:val="21"/>
                      <w:szCs w:val="21"/>
                      <w:highlight w:val="none"/>
                      <w:u w:val="wave"/>
                      <w:lang w:val="en-US" w:eastAsia="zh-CN"/>
                    </w:rPr>
                    <w:t>42.8</w:t>
                  </w:r>
                </w:p>
              </w:tc>
              <w:tc>
                <w:tcPr>
                  <w:tcW w:w="765" w:type="dxa"/>
                  <w:vMerge w:val="continue"/>
                  <w:tcBorders>
                    <w:tl2br w:val="nil"/>
                    <w:tr2bl w:val="nil"/>
                  </w:tcBorders>
                  <w:tcMar>
                    <w:left w:w="28" w:type="dxa"/>
                    <w:right w:w="28" w:type="dxa"/>
                  </w:tcMar>
                  <w:vAlign w:val="center"/>
                </w:tcPr>
                <w:p>
                  <w:pPr>
                    <w:jc w:val="center"/>
                    <w:rPr>
                      <w:rFonts w:hint="eastAsia" w:eastAsia="宋体"/>
                      <w:bCs/>
                      <w:color w:val="auto"/>
                      <w:sz w:val="21"/>
                      <w:szCs w:val="21"/>
                      <w:highlight w:val="none"/>
                      <w:u w:val="wave"/>
                      <w:lang w:val="en-US" w:eastAsia="zh-CN"/>
                    </w:rPr>
                  </w:pPr>
                </w:p>
              </w:tc>
              <w:tc>
                <w:tcPr>
                  <w:tcW w:w="825" w:type="dxa"/>
                  <w:vMerge w:val="continue"/>
                  <w:tcBorders>
                    <w:tl2br w:val="nil"/>
                    <w:tr2bl w:val="nil"/>
                  </w:tcBorders>
                  <w:tcMar>
                    <w:left w:w="28" w:type="dxa"/>
                    <w:right w:w="28" w:type="dxa"/>
                  </w:tcMar>
                  <w:vAlign w:val="center"/>
                </w:tcPr>
                <w:p>
                  <w:pPr>
                    <w:jc w:val="center"/>
                    <w:rPr>
                      <w:rFonts w:hAnsi="宋体"/>
                      <w:color w:val="auto"/>
                      <w:sz w:val="21"/>
                      <w:szCs w:val="21"/>
                      <w:highlight w:val="none"/>
                      <w:u w:val="wave"/>
                    </w:rPr>
                  </w:pPr>
                </w:p>
              </w:tc>
              <w:tc>
                <w:tcPr>
                  <w:tcW w:w="870" w:type="dxa"/>
                  <w:vMerge w:val="continue"/>
                  <w:tcBorders>
                    <w:tl2br w:val="nil"/>
                    <w:tr2bl w:val="nil"/>
                  </w:tcBorders>
                  <w:tcMar>
                    <w:left w:w="28" w:type="dxa"/>
                    <w:right w:w="28" w:type="dxa"/>
                  </w:tcMar>
                  <w:vAlign w:val="center"/>
                </w:tcPr>
                <w:p>
                  <w:pPr>
                    <w:jc w:val="center"/>
                    <w:rPr>
                      <w:rFonts w:hint="eastAsia"/>
                      <w:color w:val="auto"/>
                      <w:sz w:val="21"/>
                      <w:szCs w:val="21"/>
                      <w:highlight w:val="none"/>
                      <w:u w:val="wave"/>
                      <w:lang w:val="en-US" w:eastAsia="zh-CN"/>
                    </w:rPr>
                  </w:pPr>
                </w:p>
              </w:tc>
              <w:tc>
                <w:tcPr>
                  <w:tcW w:w="774" w:type="dxa"/>
                  <w:gridSpan w:val="2"/>
                  <w:vMerge w:val="continue"/>
                  <w:tcBorders>
                    <w:tl2br w:val="nil"/>
                    <w:tr2bl w:val="nil"/>
                  </w:tcBorders>
                  <w:tcMar>
                    <w:left w:w="28" w:type="dxa"/>
                    <w:right w:w="28" w:type="dxa"/>
                  </w:tcMar>
                  <w:vAlign w:val="center"/>
                </w:tcPr>
                <w:p>
                  <w:pPr>
                    <w:jc w:val="center"/>
                    <w:rPr>
                      <w:rFonts w:hAnsi="宋体"/>
                      <w:color w:val="auto"/>
                      <w:sz w:val="21"/>
                      <w:szCs w:val="21"/>
                      <w:highlight w:val="none"/>
                      <w:u w:val="wav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eastAsia="宋体"/>
                <w:color w:val="auto"/>
                <w:kern w:val="0"/>
                <w:szCs w:val="24"/>
                <w:highlight w:val="none"/>
                <w:u w:val="wave"/>
                <w:lang w:eastAsia="zh-CN"/>
              </w:rPr>
            </w:pPr>
            <w:r>
              <w:rPr>
                <w:rFonts w:hAnsi="宋体"/>
                <w:sz w:val="24"/>
                <w:highlight w:val="none"/>
                <w:u w:val="wave"/>
              </w:rPr>
              <w:t>表</w:t>
            </w:r>
            <w:r>
              <w:rPr>
                <w:rFonts w:hint="eastAsia"/>
                <w:sz w:val="24"/>
                <w:highlight w:val="none"/>
                <w:u w:val="wave"/>
                <w:lang w:val="en-US" w:eastAsia="zh-CN"/>
              </w:rPr>
              <w:t>7-5</w:t>
            </w:r>
            <w:r>
              <w:rPr>
                <w:rFonts w:hAnsi="宋体"/>
                <w:sz w:val="24"/>
                <w:highlight w:val="none"/>
                <w:u w:val="wave"/>
              </w:rPr>
              <w:t>计算结果表明</w:t>
            </w:r>
            <w:r>
              <w:rPr>
                <w:rFonts w:hint="eastAsia" w:hAnsi="宋体"/>
                <w:sz w:val="24"/>
                <w:highlight w:val="none"/>
                <w:u w:val="wave"/>
                <w:lang w:eastAsia="zh-CN"/>
              </w:rPr>
              <w:t>本项目运行后噪声非临路侧能满足</w:t>
            </w:r>
            <w:r>
              <w:rPr>
                <w:rFonts w:hAnsi="宋体"/>
                <w:sz w:val="24"/>
                <w:highlight w:val="none"/>
                <w:u w:val="wave"/>
              </w:rPr>
              <w:t>《工业企业厂界环境噪声排放标准》（</w:t>
            </w:r>
            <w:r>
              <w:rPr>
                <w:sz w:val="24"/>
                <w:highlight w:val="none"/>
                <w:u w:val="wave"/>
              </w:rPr>
              <w:t>GB1234-2008</w:t>
            </w:r>
            <w:r>
              <w:rPr>
                <w:rFonts w:hAnsi="宋体"/>
                <w:sz w:val="24"/>
                <w:highlight w:val="none"/>
                <w:u w:val="wave"/>
              </w:rPr>
              <w:t>）</w:t>
            </w:r>
            <w:r>
              <w:rPr>
                <w:rFonts w:hint="eastAsia" w:hAnsi="宋体"/>
                <w:sz w:val="24"/>
                <w:highlight w:val="none"/>
                <w:u w:val="wave"/>
                <w:lang w:val="en-US" w:eastAsia="zh-CN"/>
              </w:rPr>
              <w:t>2</w:t>
            </w:r>
            <w:r>
              <w:rPr>
                <w:rFonts w:hAnsi="宋体"/>
                <w:sz w:val="24"/>
                <w:highlight w:val="none"/>
                <w:u w:val="wave"/>
              </w:rPr>
              <w:t>类标准要求</w:t>
            </w:r>
            <w:r>
              <w:rPr>
                <w:rFonts w:hint="eastAsia" w:hAnsi="宋体"/>
                <w:sz w:val="24"/>
                <w:highlight w:val="none"/>
                <w:u w:val="wave"/>
                <w:lang w:eastAsia="zh-CN"/>
              </w:rPr>
              <w:t>，临路侧能满足</w:t>
            </w:r>
            <w:r>
              <w:rPr>
                <w:rFonts w:hAnsi="宋体"/>
                <w:sz w:val="24"/>
                <w:highlight w:val="none"/>
                <w:u w:val="wave"/>
              </w:rPr>
              <w:t>《工业企业厂界环境噪声排放标准》（</w:t>
            </w:r>
            <w:r>
              <w:rPr>
                <w:sz w:val="24"/>
                <w:highlight w:val="none"/>
                <w:u w:val="wave"/>
              </w:rPr>
              <w:t>GB1234-2008</w:t>
            </w:r>
            <w:r>
              <w:rPr>
                <w:rFonts w:hAnsi="宋体"/>
                <w:sz w:val="24"/>
                <w:highlight w:val="none"/>
                <w:u w:val="wave"/>
              </w:rPr>
              <w:t>）</w:t>
            </w:r>
            <w:r>
              <w:rPr>
                <w:rFonts w:hint="eastAsia" w:hAnsi="宋体"/>
                <w:sz w:val="24"/>
                <w:highlight w:val="none"/>
                <w:u w:val="wave"/>
                <w:lang w:val="en-US" w:eastAsia="zh-CN"/>
              </w:rPr>
              <w:t>4</w:t>
            </w:r>
            <w:r>
              <w:rPr>
                <w:rFonts w:hAnsi="宋体"/>
                <w:sz w:val="24"/>
                <w:highlight w:val="none"/>
                <w:u w:val="wave"/>
              </w:rPr>
              <w:t>类标准要求</w:t>
            </w:r>
            <w:r>
              <w:rPr>
                <w:rFonts w:hint="eastAsia" w:hAnsi="宋体"/>
                <w:sz w:val="24"/>
                <w:highlight w:val="none"/>
                <w:u w:val="wave"/>
                <w:lang w:eastAsia="zh-CN"/>
              </w:rPr>
              <w:t>，根据现场踏勘实际情况及预测情况，距离本项目最近的敏感点为项目</w:t>
            </w:r>
            <w:r>
              <w:rPr>
                <w:rFonts w:hint="eastAsia"/>
                <w:color w:val="auto"/>
                <w:kern w:val="0"/>
                <w:szCs w:val="24"/>
                <w:highlight w:val="none"/>
                <w:u w:val="wave"/>
                <w:lang w:eastAsia="zh-CN"/>
              </w:rPr>
              <w:t>东侧的孔家溶社区居民点，距离约为</w:t>
            </w:r>
            <w:r>
              <w:rPr>
                <w:rFonts w:hint="eastAsia"/>
                <w:color w:val="auto"/>
                <w:kern w:val="0"/>
                <w:szCs w:val="24"/>
                <w:highlight w:val="none"/>
                <w:u w:val="wave"/>
                <w:lang w:val="en-US" w:eastAsia="zh-CN"/>
              </w:rPr>
              <w:t>45m，昼间噪声叠加值为46.2dB（A），夜间噪声叠加值为42.8dB（A）</w:t>
            </w:r>
            <w:r>
              <w:rPr>
                <w:rFonts w:hint="eastAsia" w:hAnsi="宋体"/>
                <w:sz w:val="24"/>
                <w:highlight w:val="none"/>
                <w:u w:val="wave"/>
                <w:lang w:eastAsia="zh-CN"/>
              </w:rPr>
              <w:t>。</w:t>
            </w:r>
            <w:r>
              <w:rPr>
                <w:rFonts w:hAnsi="宋体"/>
                <w:sz w:val="24"/>
                <w:highlight w:val="none"/>
                <w:u w:val="wave"/>
              </w:rPr>
              <w:t>上述噪声计算结果仅考虑了噪声随距离的衰减，没有考虑反射、障碍物阻挡、大气吸声等的衰减，故</w:t>
            </w:r>
            <w:r>
              <w:rPr>
                <w:rFonts w:hint="eastAsia" w:hAnsi="宋体"/>
                <w:sz w:val="24"/>
                <w:highlight w:val="none"/>
                <w:u w:val="wave"/>
                <w:lang w:eastAsia="zh-CN"/>
              </w:rPr>
              <w:t>项目</w:t>
            </w:r>
            <w:r>
              <w:rPr>
                <w:rFonts w:hAnsi="宋体"/>
                <w:sz w:val="24"/>
                <w:highlight w:val="none"/>
                <w:u w:val="wave"/>
              </w:rPr>
              <w:t>投运后实际值应小于预测值</w:t>
            </w:r>
            <w:r>
              <w:rPr>
                <w:rFonts w:hint="eastAsia" w:hAnsi="宋体"/>
                <w:sz w:val="24"/>
                <w:highlight w:val="none"/>
                <w:u w:val="wave"/>
                <w:lang w:eastAsia="zh-CN"/>
              </w:rPr>
              <w:t>，故本项目运行后</w:t>
            </w:r>
            <w:r>
              <w:rPr>
                <w:rFonts w:hint="eastAsia"/>
                <w:color w:val="auto"/>
                <w:kern w:val="0"/>
                <w:szCs w:val="24"/>
                <w:highlight w:val="none"/>
                <w:u w:val="wave"/>
                <w:lang w:val="en-US" w:eastAsia="zh-CN"/>
              </w:rPr>
              <w:t>对敏感点的影响很小。</w:t>
            </w:r>
          </w:p>
          <w:p>
            <w:pPr>
              <w:keepNext w:val="0"/>
              <w:keepLines w:val="0"/>
              <w:pageBreakBefore w:val="0"/>
              <w:widowControl w:val="0"/>
              <w:kinsoku/>
              <w:wordWrap/>
              <w:overflowPunct/>
              <w:topLinePunct w:val="0"/>
              <w:autoSpaceDE/>
              <w:autoSpaceDN/>
              <w:bidi w:val="0"/>
              <w:spacing w:line="360" w:lineRule="auto"/>
              <w:ind w:left="0" w:leftChars="0" w:right="0" w:rightChars="0"/>
              <w:jc w:val="both"/>
              <w:textAlignment w:val="auto"/>
              <w:outlineLvl w:val="9"/>
              <w:rPr>
                <w:b/>
                <w:color w:val="auto"/>
                <w:szCs w:val="24"/>
                <w:highlight w:val="none"/>
                <w:u w:val="none"/>
              </w:rPr>
            </w:pPr>
            <w:r>
              <w:rPr>
                <w:rFonts w:hint="eastAsia"/>
                <w:b/>
                <w:color w:val="auto"/>
                <w:szCs w:val="24"/>
                <w:highlight w:val="none"/>
                <w:u w:val="none"/>
                <w:lang w:eastAsia="zh-CN"/>
              </w:rPr>
              <w:t>7</w:t>
            </w:r>
            <w:r>
              <w:rPr>
                <w:b/>
                <w:color w:val="auto"/>
                <w:szCs w:val="24"/>
                <w:highlight w:val="none"/>
                <w:u w:val="none"/>
              </w:rPr>
              <w:t>.2.3景观影响分析</w:t>
            </w:r>
          </w:p>
          <w:p>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 w:val="24"/>
                <w:szCs w:val="24"/>
                <w:highlight w:val="none"/>
                <w:u w:val="none"/>
              </w:rPr>
            </w:pPr>
            <w:r>
              <w:rPr>
                <w:color w:val="auto"/>
                <w:sz w:val="24"/>
                <w:szCs w:val="24"/>
                <w:highlight w:val="none"/>
                <w:u w:val="none"/>
              </w:rPr>
              <w:t>本项目位于</w:t>
            </w:r>
            <w:r>
              <w:rPr>
                <w:rFonts w:hint="eastAsia"/>
                <w:color w:val="auto"/>
                <w:sz w:val="24"/>
                <w:szCs w:val="24"/>
                <w:highlight w:val="none"/>
                <w:u w:val="none"/>
                <w:lang w:eastAsia="zh-CN"/>
              </w:rPr>
              <w:t>常德市鼎城区阳明湖板块阳明大道与兴业街交叉口处</w:t>
            </w:r>
            <w:r>
              <w:rPr>
                <w:color w:val="auto"/>
                <w:sz w:val="24"/>
                <w:szCs w:val="24"/>
                <w:highlight w:val="none"/>
                <w:u w:val="none"/>
              </w:rPr>
              <w:t>，</w:t>
            </w:r>
            <w:r>
              <w:rPr>
                <w:rFonts w:hint="eastAsia"/>
                <w:color w:val="auto"/>
                <w:sz w:val="24"/>
                <w:szCs w:val="24"/>
                <w:highlight w:val="none"/>
                <w:u w:val="none"/>
                <w:lang w:eastAsia="zh-CN"/>
              </w:rPr>
              <w:t>项目占地均为荒地，</w:t>
            </w:r>
            <w:r>
              <w:rPr>
                <w:color w:val="auto"/>
                <w:sz w:val="24"/>
                <w:szCs w:val="24"/>
                <w:highlight w:val="none"/>
                <w:u w:val="none"/>
              </w:rPr>
              <w:t>周边</w:t>
            </w:r>
            <w:r>
              <w:rPr>
                <w:rFonts w:hint="eastAsia"/>
                <w:color w:val="auto"/>
                <w:sz w:val="24"/>
                <w:szCs w:val="24"/>
                <w:highlight w:val="none"/>
                <w:u w:val="none"/>
                <w:lang w:val="en-US" w:eastAsia="zh-CN"/>
              </w:rPr>
              <w:t>100m范围内</w:t>
            </w:r>
            <w:r>
              <w:rPr>
                <w:color w:val="auto"/>
                <w:sz w:val="24"/>
                <w:szCs w:val="24"/>
                <w:highlight w:val="none"/>
                <w:u w:val="none"/>
              </w:rPr>
              <w:t>居民</w:t>
            </w:r>
            <w:r>
              <w:rPr>
                <w:rFonts w:hint="eastAsia"/>
                <w:color w:val="auto"/>
                <w:sz w:val="24"/>
                <w:szCs w:val="24"/>
                <w:highlight w:val="none"/>
                <w:u w:val="none"/>
                <w:lang w:eastAsia="zh-CN"/>
              </w:rPr>
              <w:t>分布较少</w:t>
            </w:r>
            <w:r>
              <w:rPr>
                <w:color w:val="auto"/>
                <w:sz w:val="24"/>
                <w:szCs w:val="24"/>
                <w:highlight w:val="none"/>
                <w:u w:val="none"/>
              </w:rPr>
              <w:t>，</w:t>
            </w:r>
            <w:r>
              <w:rPr>
                <w:rFonts w:hint="eastAsia"/>
                <w:color w:val="auto"/>
                <w:sz w:val="24"/>
                <w:szCs w:val="24"/>
                <w:highlight w:val="none"/>
                <w:u w:val="none"/>
                <w:lang w:val="en-US" w:eastAsia="zh-CN"/>
              </w:rPr>
              <w:t>500m范围内敏感点主要为孔家溶社区居民点。</w:t>
            </w:r>
            <w:r>
              <w:rPr>
                <w:color w:val="auto"/>
                <w:sz w:val="24"/>
                <w:szCs w:val="24"/>
                <w:highlight w:val="none"/>
                <w:u w:val="none"/>
              </w:rPr>
              <w:t>发射塔为钢筋结构，发射塔构架单一，可能造成</w:t>
            </w:r>
            <w:r>
              <w:rPr>
                <w:rFonts w:hint="eastAsia"/>
                <w:color w:val="auto"/>
                <w:sz w:val="24"/>
                <w:szCs w:val="24"/>
                <w:highlight w:val="none"/>
                <w:u w:val="none"/>
                <w:lang w:eastAsia="zh-CN"/>
              </w:rPr>
              <w:t>一定的</w:t>
            </w:r>
            <w:r>
              <w:rPr>
                <w:color w:val="auto"/>
                <w:sz w:val="24"/>
                <w:szCs w:val="24"/>
                <w:highlight w:val="none"/>
                <w:u w:val="none"/>
              </w:rPr>
              <w:t>视觉影响。</w:t>
            </w:r>
          </w:p>
          <w:p>
            <w:pPr>
              <w:pStyle w:val="2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b/>
                <w:bCs/>
                <w:color w:val="auto"/>
                <w:sz w:val="24"/>
                <w:szCs w:val="24"/>
                <w:highlight w:val="none"/>
                <w:u w:val="none"/>
                <w:lang w:val="en-US" w:eastAsia="zh-CN"/>
              </w:rPr>
            </w:pPr>
            <w:r>
              <w:rPr>
                <w:rFonts w:hint="eastAsia"/>
                <w:b/>
                <w:bCs/>
                <w:color w:val="auto"/>
                <w:sz w:val="24"/>
                <w:szCs w:val="24"/>
                <w:highlight w:val="none"/>
                <w:u w:val="none"/>
                <w:lang w:val="en-US" w:eastAsia="zh-CN"/>
              </w:rPr>
              <w:t>7.2.4 生态影响分析</w:t>
            </w:r>
          </w:p>
          <w:p>
            <w:pPr>
              <w:pStyle w:val="24"/>
              <w:keepNext w:val="0"/>
              <w:keepLines w:val="0"/>
              <w:pageBreakBefore w:val="0"/>
              <w:widowControl w:val="0"/>
              <w:kinsoku/>
              <w:wordWrap/>
              <w:overflowPunct/>
              <w:topLinePunct w:val="0"/>
              <w:autoSpaceDE/>
              <w:autoSpaceDN/>
              <w:bidi w:val="0"/>
              <w:adjustRightInd w:val="0"/>
              <w:snapToGrid w:val="0"/>
              <w:spacing w:line="360" w:lineRule="auto"/>
              <w:ind w:left="-6" w:right="0" w:rightChars="0" w:firstLine="480" w:firstLineChars="200"/>
              <w:jc w:val="both"/>
              <w:textAlignment w:val="auto"/>
              <w:outlineLvl w:val="9"/>
              <w:rPr>
                <w:color w:val="auto"/>
                <w:sz w:val="24"/>
                <w:szCs w:val="24"/>
                <w:highlight w:val="none"/>
                <w:u w:val="none"/>
              </w:rPr>
            </w:pPr>
            <w:r>
              <w:rPr>
                <w:rFonts w:hint="eastAsia"/>
                <w:color w:val="auto"/>
                <w:sz w:val="24"/>
                <w:szCs w:val="24"/>
                <w:highlight w:val="none"/>
                <w:u w:val="none"/>
                <w:lang w:val="en-US" w:eastAsia="zh-CN"/>
              </w:rPr>
              <w:t>本项目占地较少，不砍伐林木，项目建设后，部分占地均进行绿化处理，因此，本项目对周边生态环境影响较小。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b/>
                <w:bCs/>
                <w:color w:val="auto"/>
                <w:szCs w:val="24"/>
                <w:highlight w:val="none"/>
              </w:rPr>
            </w:pPr>
            <w:r>
              <w:rPr>
                <w:rFonts w:hint="eastAsia"/>
                <w:b/>
                <w:bCs/>
                <w:color w:val="auto"/>
                <w:szCs w:val="24"/>
                <w:highlight w:val="none"/>
                <w:lang w:eastAsia="zh-CN"/>
              </w:rPr>
              <w:t>7</w:t>
            </w:r>
            <w:r>
              <w:rPr>
                <w:b/>
                <w:bCs/>
                <w:color w:val="auto"/>
                <w:szCs w:val="24"/>
                <w:highlight w:val="none"/>
              </w:rPr>
              <w:t>.2.4 社会环境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color w:val="auto"/>
                <w:szCs w:val="24"/>
                <w:highlight w:val="none"/>
                <w:u w:val="none"/>
              </w:rPr>
            </w:pPr>
            <w:r>
              <w:rPr>
                <w:color w:val="auto"/>
                <w:szCs w:val="24"/>
                <w:highlight w:val="none"/>
              </w:rPr>
              <w:t>随着经济社会的不断发展，电视广播对人类活动影响的领域越来越广，电视服务对于社会经济发展乃至人民生活的关系日渐密切，电视广播事业事关国计民生。其建设和发展，将带动和</w:t>
            </w:r>
            <w:r>
              <w:rPr>
                <w:color w:val="auto"/>
                <w:szCs w:val="24"/>
                <w:highlight w:val="none"/>
                <w:u w:val="none"/>
              </w:rPr>
              <w:t>促进</w:t>
            </w:r>
            <w:r>
              <w:rPr>
                <w:rFonts w:hint="eastAsia"/>
                <w:color w:val="auto"/>
                <w:szCs w:val="24"/>
                <w:highlight w:val="none"/>
                <w:u w:val="none"/>
                <w:lang w:eastAsia="zh-CN"/>
              </w:rPr>
              <w:t>常德市</w:t>
            </w:r>
            <w:r>
              <w:rPr>
                <w:color w:val="auto"/>
                <w:szCs w:val="24"/>
                <w:highlight w:val="none"/>
                <w:u w:val="none"/>
              </w:rPr>
              <w:t>数字化、现代化进程，大幅度提高服务质量，为经济建设和社会发展贡献力量。</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b/>
                <w:bCs/>
                <w:color w:val="auto"/>
                <w:szCs w:val="24"/>
                <w:highlight w:val="none"/>
                <w:u w:val="none"/>
              </w:rPr>
            </w:pPr>
            <w:r>
              <w:rPr>
                <w:rFonts w:hint="eastAsia"/>
                <w:b/>
                <w:bCs/>
                <w:color w:val="auto"/>
                <w:szCs w:val="24"/>
                <w:highlight w:val="none"/>
                <w:u w:val="none"/>
                <w:lang w:eastAsia="zh-CN"/>
              </w:rPr>
              <w:t>7</w:t>
            </w:r>
            <w:r>
              <w:rPr>
                <w:b/>
                <w:bCs/>
                <w:color w:val="auto"/>
                <w:szCs w:val="24"/>
                <w:highlight w:val="none"/>
                <w:u w:val="none"/>
              </w:rPr>
              <w:t>.2.</w:t>
            </w:r>
            <w:r>
              <w:rPr>
                <w:rFonts w:hint="eastAsia"/>
                <w:b/>
                <w:bCs/>
                <w:color w:val="auto"/>
                <w:szCs w:val="24"/>
                <w:highlight w:val="none"/>
                <w:u w:val="none"/>
                <w:lang w:val="en-US" w:eastAsia="zh-CN"/>
              </w:rPr>
              <w:t>5</w:t>
            </w:r>
            <w:r>
              <w:rPr>
                <w:b/>
                <w:bCs/>
                <w:color w:val="auto"/>
                <w:szCs w:val="24"/>
                <w:highlight w:val="none"/>
                <w:u w:val="none"/>
              </w:rPr>
              <w:t>社会效益</w:t>
            </w:r>
          </w:p>
          <w:p>
            <w:pPr>
              <w:keepNext w:val="0"/>
              <w:keepLines w:val="0"/>
              <w:pageBreakBefore w:val="0"/>
              <w:widowControl w:val="0"/>
              <w:kinsoku/>
              <w:wordWrap/>
              <w:overflowPunct/>
              <w:topLinePunct w:val="0"/>
              <w:autoSpaceDE/>
              <w:autoSpaceDN/>
              <w:bidi w:val="0"/>
              <w:spacing w:line="360" w:lineRule="auto"/>
              <w:ind w:right="0" w:rightChars="0" w:firstLine="480" w:firstLineChars="200"/>
              <w:jc w:val="both"/>
              <w:textAlignment w:val="auto"/>
              <w:outlineLvl w:val="9"/>
              <w:rPr>
                <w:color w:val="auto"/>
                <w:szCs w:val="24"/>
                <w:highlight w:val="none"/>
                <w:u w:val="none"/>
              </w:rPr>
            </w:pPr>
            <w:r>
              <w:rPr>
                <w:color w:val="auto"/>
                <w:szCs w:val="24"/>
                <w:highlight w:val="none"/>
                <w:u w:val="none"/>
              </w:rPr>
              <w:t>本项目建成后，可充分利用其先进的设备性能，使之成为当地电视广播服务系统和宣传教育系统的重要组成部分。通过本项目的实施，可以增加无收费节目的收看，缓解部分社会群体对电视频道选择的供需矛盾、提高生活质量，产生明显的社会效益。</w:t>
            </w:r>
          </w:p>
          <w:p>
            <w:pPr>
              <w:adjustRightInd w:val="0"/>
              <w:snapToGrid w:val="0"/>
              <w:rPr>
                <w:b/>
                <w:bCs/>
                <w:color w:val="auto"/>
                <w:szCs w:val="24"/>
                <w:highlight w:val="none"/>
              </w:rPr>
            </w:pPr>
            <w:r>
              <w:rPr>
                <w:rFonts w:hint="eastAsia"/>
                <w:b/>
                <w:bCs/>
                <w:color w:val="auto"/>
                <w:szCs w:val="24"/>
                <w:highlight w:val="none"/>
                <w:lang w:eastAsia="zh-CN"/>
              </w:rPr>
              <w:t>7</w:t>
            </w:r>
            <w:r>
              <w:rPr>
                <w:b/>
                <w:bCs/>
                <w:color w:val="auto"/>
                <w:szCs w:val="24"/>
                <w:highlight w:val="none"/>
              </w:rPr>
              <w:t>.2.</w:t>
            </w:r>
            <w:r>
              <w:rPr>
                <w:rFonts w:hint="eastAsia"/>
                <w:b/>
                <w:bCs/>
                <w:color w:val="auto"/>
                <w:szCs w:val="24"/>
                <w:highlight w:val="none"/>
                <w:lang w:val="en-US" w:eastAsia="zh-CN"/>
              </w:rPr>
              <w:t>6</w:t>
            </w:r>
            <w:r>
              <w:rPr>
                <w:b/>
                <w:bCs/>
                <w:color w:val="auto"/>
                <w:szCs w:val="24"/>
                <w:highlight w:val="none"/>
              </w:rPr>
              <w:t xml:space="preserve"> 风险分析</w:t>
            </w:r>
          </w:p>
          <w:p>
            <w:pPr>
              <w:ind w:firstLine="480" w:firstLineChars="200"/>
              <w:rPr>
                <w:color w:val="auto"/>
                <w:szCs w:val="24"/>
                <w:highlight w:val="none"/>
                <w:u w:val="wave"/>
              </w:rPr>
            </w:pPr>
            <w:r>
              <w:rPr>
                <w:color w:val="auto"/>
                <w:szCs w:val="24"/>
                <w:highlight w:val="none"/>
                <w:u w:val="wave"/>
              </w:rPr>
              <w:t>本项目整个广播电视系统是一个串联的工作流程，加之设备单套运行，因此在这个串联路由上的每一个环节都显得十分重要。从整个路由来看，所有的单路由或单通道、单机设备的风险更大一些，这些设备有天线、天线供电及传输部分、光缆、显示设备、UPS设备等，这些设施其中任何一个设备一旦出现故障都将造成整个系统中断，对社会产生较为严重的影响，因此以上设备是在日常工作中应该是时刻重点关注的对象。一般来说，天线、传输部分设施相对来说运行比较稳定、可靠，显示设备、UPS系统均出现故障的可能性较大，造成的影响也较大，是整个系统中安全运行风险大的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控制或降低风险的措施：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第一、设置应急预案，站内布设报警系统，故障报警系统在报警时迫使天线停止工作，天线停止运行，电磁影响就消失，因此，在非正常工况下，天线会立即停止工作，不会对环境造成影响。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第二、严格执行各项制度规程，有强烈的责任心，有好的业务技术水平，有好的心理素质和应急处置能力，弥补所面临的运行风险。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第三、定期检查设备和线路，如有老化现象及时更换，控制火灾发生的可能。建立消防应急设施，即使在火灾发生时亦能保证在较短时间内扑灭并组织人员安全疏散，降低损失。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Cs w:val="24"/>
                <w:highlight w:val="none"/>
                <w:u w:val="wave"/>
              </w:rPr>
            </w:pPr>
            <w:r>
              <w:rPr>
                <w:color w:val="auto"/>
                <w:szCs w:val="24"/>
                <w:highlight w:val="none"/>
                <w:u w:val="wave"/>
              </w:rPr>
              <w:t>通过采取这些措施，将使本项目产生的风险降到最低，保障预测的准确性，使其产生的影响降至最低程度。</w:t>
            </w:r>
          </w:p>
          <w:p>
            <w:pPr>
              <w:adjustRightInd w:val="0"/>
              <w:snapToGrid w:val="0"/>
              <w:spacing w:before="156" w:beforeLines="50"/>
              <w:rPr>
                <w:b/>
                <w:bCs/>
                <w:color w:val="auto"/>
                <w:szCs w:val="24"/>
                <w:highlight w:val="none"/>
                <w:u w:val="wave"/>
              </w:rPr>
            </w:pPr>
            <w:r>
              <w:rPr>
                <w:rFonts w:hint="eastAsia"/>
                <w:b/>
                <w:bCs/>
                <w:color w:val="auto"/>
                <w:szCs w:val="24"/>
                <w:highlight w:val="none"/>
                <w:u w:val="wave"/>
                <w:lang w:eastAsia="zh-CN"/>
              </w:rPr>
              <w:t>7</w:t>
            </w:r>
            <w:r>
              <w:rPr>
                <w:b/>
                <w:bCs/>
                <w:color w:val="auto"/>
                <w:szCs w:val="24"/>
                <w:highlight w:val="none"/>
                <w:u w:val="wave"/>
              </w:rPr>
              <w:t>.2.8 项目运行期环境影响防治措施</w:t>
            </w:r>
          </w:p>
          <w:p>
            <w:pPr>
              <w:ind w:firstLine="480" w:firstLineChars="200"/>
              <w:rPr>
                <w:color w:val="auto"/>
                <w:szCs w:val="24"/>
                <w:highlight w:val="none"/>
                <w:u w:val="wave"/>
              </w:rPr>
            </w:pPr>
            <w:r>
              <w:rPr>
                <w:color w:val="auto"/>
                <w:szCs w:val="24"/>
                <w:highlight w:val="none"/>
                <w:u w:val="wave"/>
              </w:rPr>
              <w:t>为了减小项目运行期对环境的影响，应采取以下防护措施有：</w:t>
            </w:r>
          </w:p>
          <w:p>
            <w:pPr>
              <w:ind w:firstLine="480" w:firstLineChars="200"/>
              <w:rPr>
                <w:color w:val="auto"/>
                <w:szCs w:val="24"/>
                <w:highlight w:val="none"/>
                <w:u w:val="wave"/>
              </w:rPr>
            </w:pPr>
            <w:r>
              <w:rPr>
                <w:color w:val="auto"/>
                <w:szCs w:val="24"/>
                <w:highlight w:val="none"/>
                <w:u w:val="wave"/>
              </w:rPr>
              <w:t>（1）发射天线防护措施</w:t>
            </w:r>
          </w:p>
          <w:p>
            <w:pPr>
              <w:pStyle w:val="103"/>
              <w:numPr>
                <w:ilvl w:val="0"/>
                <w:numId w:val="3"/>
              </w:numPr>
              <w:ind w:firstLineChars="0"/>
              <w:rPr>
                <w:color w:val="auto"/>
                <w:szCs w:val="24"/>
                <w:highlight w:val="none"/>
                <w:u w:val="wave"/>
              </w:rPr>
            </w:pPr>
            <w:r>
              <w:rPr>
                <w:color w:val="auto"/>
                <w:szCs w:val="24"/>
                <w:highlight w:val="none"/>
                <w:u w:val="wave"/>
              </w:rPr>
              <w:t>应选择技术先进，可靠性高，设备成熟，</w:t>
            </w:r>
            <w:bookmarkStart w:id="13" w:name="_GoBack"/>
            <w:bookmarkEnd w:id="13"/>
            <w:r>
              <w:rPr>
                <w:color w:val="auto"/>
                <w:szCs w:val="24"/>
                <w:highlight w:val="none"/>
                <w:u w:val="wave"/>
              </w:rPr>
              <w:t>功能强，适应性强的设备。</w:t>
            </w:r>
          </w:p>
          <w:p>
            <w:pPr>
              <w:pStyle w:val="103"/>
              <w:numPr>
                <w:ilvl w:val="0"/>
                <w:numId w:val="3"/>
              </w:numPr>
              <w:ind w:left="0" w:firstLine="480"/>
              <w:rPr>
                <w:color w:val="auto"/>
                <w:szCs w:val="24"/>
                <w:highlight w:val="none"/>
                <w:u w:val="wave"/>
              </w:rPr>
            </w:pPr>
            <w:r>
              <w:rPr>
                <w:color w:val="auto"/>
                <w:szCs w:val="24"/>
                <w:highlight w:val="none"/>
                <w:u w:val="wave"/>
              </w:rPr>
              <w:t>保障天线架设高度：本项目发射天线架设在铁塔上，</w:t>
            </w:r>
            <w:r>
              <w:rPr>
                <w:rFonts w:hint="eastAsia"/>
                <w:color w:val="auto"/>
                <w:szCs w:val="24"/>
                <w:highlight w:val="none"/>
                <w:u w:val="wave"/>
                <w:lang w:eastAsia="zh-CN"/>
              </w:rPr>
              <w:t>铁塔所在地海拔高度为</w:t>
            </w:r>
            <w:r>
              <w:rPr>
                <w:rFonts w:hint="eastAsia"/>
                <w:color w:val="auto"/>
                <w:szCs w:val="24"/>
                <w:highlight w:val="none"/>
                <w:u w:val="wave"/>
                <w:lang w:val="en-US" w:eastAsia="zh-CN"/>
              </w:rPr>
              <w:t>32m</w:t>
            </w:r>
            <w:r>
              <w:rPr>
                <w:color w:val="auto"/>
                <w:szCs w:val="24"/>
                <w:highlight w:val="none"/>
                <w:u w:val="wave"/>
              </w:rPr>
              <w:t>，</w:t>
            </w:r>
            <w:r>
              <w:rPr>
                <w:rFonts w:hint="eastAsia"/>
                <w:color w:val="auto"/>
                <w:szCs w:val="24"/>
                <w:highlight w:val="none"/>
                <w:u w:val="wave"/>
                <w:lang w:eastAsia="zh-CN"/>
              </w:rPr>
              <w:t>铁塔高度为</w:t>
            </w:r>
            <w:r>
              <w:rPr>
                <w:rFonts w:hint="eastAsia"/>
                <w:color w:val="auto"/>
                <w:szCs w:val="24"/>
                <w:highlight w:val="none"/>
                <w:u w:val="wave"/>
                <w:lang w:val="en-US" w:eastAsia="zh-CN"/>
              </w:rPr>
              <w:t>158m，</w:t>
            </w:r>
            <w:r>
              <w:rPr>
                <w:color w:val="auto"/>
                <w:szCs w:val="24"/>
                <w:highlight w:val="none"/>
                <w:u w:val="wave"/>
              </w:rPr>
              <w:t>天线架设高度较高（约</w:t>
            </w:r>
            <w:r>
              <w:rPr>
                <w:rFonts w:hint="eastAsia"/>
                <w:color w:val="auto"/>
                <w:szCs w:val="24"/>
                <w:highlight w:val="none"/>
                <w:u w:val="wave"/>
                <w:lang w:val="en-US" w:eastAsia="zh-CN"/>
              </w:rPr>
              <w:t>150</w:t>
            </w:r>
            <w:r>
              <w:rPr>
                <w:color w:val="auto"/>
                <w:szCs w:val="24"/>
                <w:highlight w:val="none"/>
                <w:u w:val="wave"/>
              </w:rPr>
              <w:t>m），敏感点应满足水平</w:t>
            </w:r>
            <w:r>
              <w:rPr>
                <w:rFonts w:hint="eastAsia"/>
                <w:color w:val="auto"/>
                <w:szCs w:val="24"/>
                <w:highlight w:val="none"/>
                <w:u w:val="wave"/>
                <w:lang w:val="en-US" w:eastAsia="zh-CN"/>
              </w:rPr>
              <w:t>227</w:t>
            </w:r>
            <w:r>
              <w:rPr>
                <w:color w:val="auto"/>
                <w:szCs w:val="24"/>
                <w:highlight w:val="none"/>
                <w:u w:val="wave"/>
              </w:rPr>
              <w:t>m和垂直</w:t>
            </w:r>
            <w:r>
              <w:rPr>
                <w:rFonts w:hint="eastAsia"/>
                <w:color w:val="auto"/>
                <w:szCs w:val="24"/>
                <w:highlight w:val="none"/>
                <w:u w:val="wave"/>
                <w:lang w:val="en-US" w:eastAsia="zh-CN"/>
              </w:rPr>
              <w:t>91</w:t>
            </w:r>
            <w:r>
              <w:rPr>
                <w:color w:val="auto"/>
                <w:szCs w:val="24"/>
                <w:highlight w:val="none"/>
                <w:u w:val="wave"/>
              </w:rPr>
              <w:t>m的达标距离。</w:t>
            </w:r>
          </w:p>
          <w:p>
            <w:pPr>
              <w:pStyle w:val="103"/>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right="0" w:rightChars="0" w:firstLine="480"/>
              <w:jc w:val="both"/>
              <w:textAlignment w:val="auto"/>
              <w:outlineLvl w:val="9"/>
              <w:rPr>
                <w:color w:val="auto"/>
                <w:szCs w:val="24"/>
                <w:highlight w:val="none"/>
                <w:u w:val="wave"/>
              </w:rPr>
            </w:pPr>
            <w:r>
              <w:rPr>
                <w:color w:val="auto"/>
                <w:szCs w:val="24"/>
                <w:highlight w:val="none"/>
                <w:u w:val="wave"/>
              </w:rPr>
              <w:t>对项目所在地区的居民进行有关广播电视工程环境保护知识的宣传教育，消除误解和畏惧心理；</w:t>
            </w:r>
          </w:p>
          <w:p>
            <w:pPr>
              <w:pStyle w:val="103"/>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right="0" w:rightChars="0" w:firstLine="480"/>
              <w:jc w:val="both"/>
              <w:textAlignment w:val="auto"/>
              <w:outlineLvl w:val="9"/>
              <w:rPr>
                <w:color w:val="auto"/>
                <w:szCs w:val="24"/>
                <w:highlight w:val="none"/>
                <w:u w:val="wave"/>
              </w:rPr>
            </w:pPr>
            <w:r>
              <w:rPr>
                <w:color w:val="auto"/>
                <w:szCs w:val="24"/>
                <w:highlight w:val="none"/>
                <w:u w:val="wave"/>
              </w:rPr>
              <w:t>对近场区的电磁环境影响水平要严格管理。</w:t>
            </w:r>
          </w:p>
          <w:p>
            <w:pPr>
              <w:pStyle w:val="103"/>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right="0" w:rightChars="0" w:firstLine="480"/>
              <w:jc w:val="both"/>
              <w:textAlignment w:val="auto"/>
              <w:outlineLvl w:val="9"/>
              <w:rPr>
                <w:color w:val="auto"/>
                <w:szCs w:val="24"/>
                <w:highlight w:val="none"/>
                <w:u w:val="wave"/>
              </w:rPr>
            </w:pPr>
            <w:r>
              <w:rPr>
                <w:color w:val="auto"/>
                <w:szCs w:val="24"/>
                <w:highlight w:val="none"/>
                <w:u w:val="wave"/>
              </w:rPr>
              <w:t>禁止在</w:t>
            </w:r>
            <w:r>
              <w:rPr>
                <w:rFonts w:hint="eastAsia"/>
                <w:color w:val="auto"/>
                <w:szCs w:val="24"/>
                <w:highlight w:val="none"/>
                <w:u w:val="wave"/>
                <w:lang w:eastAsia="zh-CN"/>
              </w:rPr>
              <w:t>广播发射塔</w:t>
            </w:r>
            <w:r>
              <w:rPr>
                <w:color w:val="auto"/>
                <w:szCs w:val="24"/>
                <w:highlight w:val="none"/>
                <w:u w:val="wave"/>
              </w:rPr>
              <w:t>附近区域修建超过极限海拔的建筑。</w:t>
            </w:r>
          </w:p>
          <w:p>
            <w:pPr>
              <w:pStyle w:val="103"/>
              <w:keepNext w:val="0"/>
              <w:keepLines w:val="0"/>
              <w:pageBreakBefore w:val="0"/>
              <w:widowControl w:val="0"/>
              <w:kinsoku/>
              <w:wordWrap/>
              <w:overflowPunct/>
              <w:topLinePunct w:val="0"/>
              <w:autoSpaceDE/>
              <w:autoSpaceDN/>
              <w:bidi w:val="0"/>
              <w:adjustRightInd/>
              <w:snapToGrid/>
              <w:spacing w:line="360" w:lineRule="auto"/>
              <w:ind w:left="480" w:right="0" w:rightChars="0" w:firstLine="0" w:firstLineChars="0"/>
              <w:jc w:val="both"/>
              <w:textAlignment w:val="auto"/>
              <w:outlineLvl w:val="9"/>
              <w:rPr>
                <w:color w:val="auto"/>
                <w:szCs w:val="24"/>
                <w:highlight w:val="none"/>
                <w:u w:val="wave"/>
              </w:rPr>
            </w:pPr>
            <w:r>
              <w:rPr>
                <w:color w:val="auto"/>
                <w:szCs w:val="24"/>
                <w:highlight w:val="none"/>
                <w:u w:val="wave"/>
              </w:rPr>
              <w:t>（2）发射机房防护措施</w:t>
            </w:r>
          </w:p>
          <w:p>
            <w:pPr>
              <w:keepNext w:val="0"/>
              <w:keepLines w:val="0"/>
              <w:pageBreakBefore w:val="0"/>
              <w:widowControl w:val="0"/>
              <w:kinsoku/>
              <w:wordWrap/>
              <w:overflowPunct/>
              <w:topLinePunct w:val="0"/>
              <w:autoSpaceDE/>
              <w:autoSpaceDN/>
              <w:bidi w:val="0"/>
              <w:adjustRightInd/>
              <w:snapToGrid/>
              <w:spacing w:line="360" w:lineRule="auto"/>
              <w:ind w:left="480" w:right="0" w:rightChars="0"/>
              <w:jc w:val="both"/>
              <w:textAlignment w:val="auto"/>
              <w:outlineLvl w:val="9"/>
              <w:rPr>
                <w:color w:val="auto"/>
                <w:szCs w:val="24"/>
                <w:highlight w:val="none"/>
                <w:u w:val="wave"/>
              </w:rPr>
            </w:pPr>
            <w:r>
              <w:rPr>
                <w:rFonts w:hint="eastAsia" w:ascii="宋体" w:hAnsi="宋体" w:cs="宋体"/>
                <w:color w:val="auto"/>
                <w:szCs w:val="24"/>
                <w:highlight w:val="none"/>
                <w:u w:val="wave"/>
              </w:rPr>
              <w:t>①</w:t>
            </w:r>
            <w:r>
              <w:rPr>
                <w:color w:val="auto"/>
                <w:szCs w:val="24"/>
                <w:highlight w:val="none"/>
                <w:u w:val="wave"/>
              </w:rPr>
              <w:t>机房进行电源、接地及外部防雷工作，避免广播电视设备遭受雷击损害。</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color w:val="auto"/>
                <w:szCs w:val="24"/>
                <w:highlight w:val="none"/>
                <w:u w:val="wave"/>
              </w:rPr>
            </w:pPr>
            <w:r>
              <w:rPr>
                <w:rFonts w:hint="eastAsia" w:ascii="宋体" w:hAnsi="宋体" w:cs="宋体"/>
                <w:color w:val="auto"/>
                <w:szCs w:val="24"/>
                <w:highlight w:val="none"/>
                <w:u w:val="wave"/>
              </w:rPr>
              <w:t>②</w:t>
            </w:r>
            <w:r>
              <w:rPr>
                <w:color w:val="auto"/>
                <w:szCs w:val="24"/>
                <w:highlight w:val="none"/>
                <w:u w:val="wave"/>
              </w:rPr>
              <w:t>控制发射机功率，加强设备近区屏蔽，机房内地面、墙面等设置电磁屏蔽壳体，机房周围全部采用屏蔽网，并且接地处理，以防电磁辐射影响。</w:t>
            </w: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spacing w:line="440" w:lineRule="exact"/>
              <w:ind w:firstLine="480" w:firstLineChars="200"/>
              <w:rPr>
                <w:color w:val="auto"/>
                <w:szCs w:val="24"/>
                <w:highlight w:val="yellow"/>
              </w:rPr>
            </w:pPr>
          </w:p>
          <w:p>
            <w:pPr>
              <w:pStyle w:val="24"/>
              <w:spacing w:line="360" w:lineRule="auto"/>
              <w:ind w:left="0" w:leftChars="0" w:firstLine="0" w:firstLineChars="0"/>
              <w:rPr>
                <w:bCs/>
                <w:color w:val="auto"/>
                <w:sz w:val="24"/>
                <w:szCs w:val="24"/>
                <w:highlight w:val="yellow"/>
              </w:rPr>
            </w:pPr>
          </w:p>
        </w:tc>
      </w:tr>
    </w:tbl>
    <w:p>
      <w:pPr>
        <w:rPr>
          <w:color w:val="auto"/>
        </w:rPr>
      </w:pPr>
    </w:p>
    <w:p>
      <w:pPr>
        <w:rPr>
          <w:b/>
          <w:color w:val="auto"/>
          <w:szCs w:val="24"/>
        </w:rPr>
      </w:pPr>
      <w:r>
        <w:rPr>
          <w:rFonts w:hint="eastAsia"/>
          <w:b/>
          <w:color w:val="auto"/>
          <w:szCs w:val="24"/>
          <w:lang w:eastAsia="zh-CN"/>
        </w:rPr>
        <w:t>项目主要污染物产生、拟采取的环境保护措施汇总表</w:t>
      </w:r>
      <w:r>
        <w:rPr>
          <w:b/>
          <w:color w:val="auto"/>
          <w:szCs w:val="24"/>
        </w:rPr>
        <w:t xml:space="preserve">     </w:t>
      </w:r>
      <w:r>
        <w:rPr>
          <w:rFonts w:hint="eastAsia"/>
          <w:b/>
          <w:color w:val="auto"/>
          <w:szCs w:val="24"/>
          <w:lang w:val="en-US" w:eastAsia="zh-CN"/>
        </w:rPr>
        <w:t xml:space="preserve">       </w:t>
      </w:r>
      <w:r>
        <w:rPr>
          <w:b/>
          <w:color w:val="auto"/>
          <w:szCs w:val="24"/>
        </w:rPr>
        <w:t xml:space="preserve">    表</w:t>
      </w:r>
      <w:r>
        <w:rPr>
          <w:rFonts w:hint="eastAsia"/>
          <w:b/>
          <w:color w:val="auto"/>
          <w:szCs w:val="24"/>
          <w:lang w:val="en-US" w:eastAsia="zh-CN"/>
        </w:rPr>
        <w:t>8</w:t>
      </w:r>
    </w:p>
    <w:tbl>
      <w:tblPr>
        <w:tblStyle w:val="35"/>
        <w:tblW w:w="9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951"/>
        <w:gridCol w:w="1779"/>
        <w:gridCol w:w="1696"/>
        <w:gridCol w:w="992"/>
        <w:gridCol w:w="2224"/>
        <w:gridCol w:w="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1357" w:type="dxa"/>
            <w:tcBorders>
              <w:tl2br w:val="single" w:color="auto" w:sz="4" w:space="0"/>
            </w:tcBorders>
            <w:vAlign w:val="center"/>
          </w:tcPr>
          <w:p>
            <w:pPr>
              <w:spacing w:line="360" w:lineRule="exact"/>
              <w:jc w:val="center"/>
              <w:rPr>
                <w:color w:val="auto"/>
                <w:sz w:val="21"/>
                <w:szCs w:val="21"/>
                <w:highlight w:val="none"/>
              </w:rPr>
            </w:pPr>
            <w:r>
              <w:rPr>
                <w:color w:val="auto"/>
                <w:sz w:val="21"/>
                <w:szCs w:val="21"/>
                <w:highlight w:val="none"/>
              </w:rPr>
              <w:t xml:space="preserve">    内容</w:t>
            </w:r>
          </w:p>
          <w:p>
            <w:pPr>
              <w:spacing w:line="360" w:lineRule="exact"/>
              <w:rPr>
                <w:color w:val="auto"/>
                <w:sz w:val="21"/>
                <w:szCs w:val="21"/>
                <w:highlight w:val="none"/>
              </w:rPr>
            </w:pPr>
            <w:r>
              <w:rPr>
                <w:color w:val="auto"/>
                <w:sz w:val="21"/>
                <w:szCs w:val="21"/>
                <w:highlight w:val="none"/>
              </w:rPr>
              <w:t>类型</w:t>
            </w:r>
          </w:p>
        </w:tc>
        <w:tc>
          <w:tcPr>
            <w:tcW w:w="951" w:type="dxa"/>
            <w:vAlign w:val="center"/>
          </w:tcPr>
          <w:p>
            <w:pPr>
              <w:spacing w:line="360" w:lineRule="exact"/>
              <w:jc w:val="center"/>
              <w:rPr>
                <w:color w:val="auto"/>
                <w:sz w:val="21"/>
                <w:szCs w:val="21"/>
                <w:highlight w:val="none"/>
              </w:rPr>
            </w:pPr>
            <w:r>
              <w:rPr>
                <w:color w:val="auto"/>
                <w:sz w:val="21"/>
                <w:szCs w:val="21"/>
                <w:highlight w:val="none"/>
              </w:rPr>
              <w:t>排放源</w:t>
            </w:r>
          </w:p>
          <w:p>
            <w:pPr>
              <w:spacing w:line="360" w:lineRule="exact"/>
              <w:jc w:val="center"/>
              <w:rPr>
                <w:color w:val="auto"/>
                <w:sz w:val="21"/>
                <w:szCs w:val="21"/>
                <w:highlight w:val="none"/>
              </w:rPr>
            </w:pPr>
            <w:r>
              <w:rPr>
                <w:color w:val="auto"/>
                <w:sz w:val="21"/>
                <w:szCs w:val="21"/>
                <w:highlight w:val="none"/>
              </w:rPr>
              <w:t>（编号）</w:t>
            </w:r>
          </w:p>
        </w:tc>
        <w:tc>
          <w:tcPr>
            <w:tcW w:w="1779" w:type="dxa"/>
            <w:vAlign w:val="center"/>
          </w:tcPr>
          <w:p>
            <w:pPr>
              <w:spacing w:line="360" w:lineRule="exact"/>
              <w:jc w:val="center"/>
              <w:rPr>
                <w:color w:val="auto"/>
                <w:sz w:val="21"/>
                <w:szCs w:val="21"/>
                <w:highlight w:val="none"/>
              </w:rPr>
            </w:pPr>
            <w:r>
              <w:rPr>
                <w:color w:val="auto"/>
                <w:sz w:val="21"/>
                <w:szCs w:val="21"/>
                <w:highlight w:val="none"/>
              </w:rPr>
              <w:t>污染物</w:t>
            </w:r>
          </w:p>
          <w:p>
            <w:pPr>
              <w:spacing w:line="360" w:lineRule="exact"/>
              <w:jc w:val="center"/>
              <w:rPr>
                <w:color w:val="auto"/>
                <w:sz w:val="21"/>
                <w:szCs w:val="21"/>
                <w:highlight w:val="none"/>
              </w:rPr>
            </w:pPr>
            <w:r>
              <w:rPr>
                <w:color w:val="auto"/>
                <w:sz w:val="21"/>
                <w:szCs w:val="21"/>
                <w:highlight w:val="none"/>
              </w:rPr>
              <w:t>名  称</w:t>
            </w:r>
          </w:p>
        </w:tc>
        <w:tc>
          <w:tcPr>
            <w:tcW w:w="1696" w:type="dxa"/>
            <w:vAlign w:val="center"/>
          </w:tcPr>
          <w:p>
            <w:pPr>
              <w:spacing w:line="360" w:lineRule="exact"/>
              <w:jc w:val="center"/>
              <w:rPr>
                <w:color w:val="auto"/>
                <w:sz w:val="21"/>
                <w:szCs w:val="21"/>
                <w:highlight w:val="none"/>
              </w:rPr>
            </w:pPr>
            <w:r>
              <w:rPr>
                <w:color w:val="auto"/>
                <w:sz w:val="21"/>
                <w:szCs w:val="21"/>
                <w:highlight w:val="none"/>
              </w:rPr>
              <w:t>防治措施</w:t>
            </w:r>
          </w:p>
        </w:tc>
        <w:tc>
          <w:tcPr>
            <w:tcW w:w="992" w:type="dxa"/>
            <w:vAlign w:val="center"/>
          </w:tcPr>
          <w:p>
            <w:pPr>
              <w:spacing w:line="360" w:lineRule="exact"/>
              <w:ind w:left="-120" w:leftChars="-50" w:right="-120" w:rightChars="-50"/>
              <w:jc w:val="center"/>
              <w:rPr>
                <w:color w:val="auto"/>
                <w:sz w:val="21"/>
                <w:szCs w:val="21"/>
                <w:highlight w:val="none"/>
              </w:rPr>
            </w:pPr>
            <w:r>
              <w:rPr>
                <w:color w:val="auto"/>
                <w:sz w:val="21"/>
                <w:szCs w:val="21"/>
                <w:highlight w:val="none"/>
              </w:rPr>
              <w:t>治理投资（万元）</w:t>
            </w:r>
          </w:p>
        </w:tc>
        <w:tc>
          <w:tcPr>
            <w:tcW w:w="2322" w:type="dxa"/>
            <w:gridSpan w:val="2"/>
            <w:vAlign w:val="center"/>
          </w:tcPr>
          <w:p>
            <w:pPr>
              <w:spacing w:line="360" w:lineRule="exact"/>
              <w:jc w:val="center"/>
              <w:rPr>
                <w:color w:val="auto"/>
                <w:sz w:val="21"/>
                <w:szCs w:val="21"/>
                <w:highlight w:val="none"/>
              </w:rPr>
            </w:pPr>
            <w:r>
              <w:rPr>
                <w:color w:val="auto"/>
                <w:sz w:val="21"/>
                <w:szCs w:val="21"/>
                <w:highlight w:val="none"/>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357" w:type="dxa"/>
            <w:tcBorders>
              <w:bottom w:val="single" w:color="auto" w:sz="4" w:space="0"/>
            </w:tcBorders>
            <w:vAlign w:val="center"/>
          </w:tcPr>
          <w:p>
            <w:pPr>
              <w:spacing w:line="240" w:lineRule="auto"/>
              <w:jc w:val="center"/>
              <w:rPr>
                <w:color w:val="auto"/>
                <w:sz w:val="21"/>
                <w:szCs w:val="21"/>
                <w:highlight w:val="none"/>
                <w:u w:val="wave"/>
              </w:rPr>
            </w:pPr>
            <w:r>
              <w:rPr>
                <w:color w:val="auto"/>
                <w:sz w:val="21"/>
                <w:szCs w:val="21"/>
                <w:highlight w:val="none"/>
                <w:u w:val="wave"/>
              </w:rPr>
              <w:t>大气</w:t>
            </w:r>
          </w:p>
          <w:p>
            <w:pPr>
              <w:spacing w:line="240" w:lineRule="auto"/>
              <w:jc w:val="center"/>
              <w:rPr>
                <w:color w:val="auto"/>
                <w:sz w:val="21"/>
                <w:szCs w:val="21"/>
                <w:highlight w:val="none"/>
                <w:u w:val="wave"/>
              </w:rPr>
            </w:pPr>
            <w:r>
              <w:rPr>
                <w:color w:val="auto"/>
                <w:sz w:val="21"/>
                <w:szCs w:val="21"/>
                <w:highlight w:val="none"/>
                <w:u w:val="wave"/>
              </w:rPr>
              <w:t>污染物</w:t>
            </w:r>
          </w:p>
        </w:tc>
        <w:tc>
          <w:tcPr>
            <w:tcW w:w="7740" w:type="dxa"/>
            <w:gridSpan w:val="6"/>
            <w:vMerge w:val="restart"/>
            <w:vAlign w:val="center"/>
          </w:tcPr>
          <w:p>
            <w:pPr>
              <w:spacing w:line="360" w:lineRule="exact"/>
              <w:jc w:val="center"/>
              <w:rPr>
                <w:rFonts w:hint="eastAsia" w:eastAsia="宋体"/>
                <w:color w:val="auto"/>
                <w:spacing w:val="-12"/>
                <w:sz w:val="21"/>
                <w:szCs w:val="21"/>
                <w:highlight w:val="none"/>
                <w:lang w:eastAsia="zh-CN"/>
              </w:rPr>
            </w:pPr>
            <w:r>
              <w:rPr>
                <w:rFonts w:hint="eastAsia"/>
                <w:color w:val="auto"/>
                <w:spacing w:val="-12"/>
                <w:sz w:val="21"/>
                <w:szCs w:val="21"/>
                <w:highlight w:val="none"/>
                <w:u w:val="wave"/>
                <w:lang w:eastAsia="zh-CN"/>
              </w:rPr>
              <w:t>按照主体工程环评要求执行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jc w:val="center"/>
        </w:trPr>
        <w:tc>
          <w:tcPr>
            <w:tcW w:w="1357" w:type="dxa"/>
            <w:tcBorders>
              <w:bottom w:val="single" w:color="auto" w:sz="4" w:space="0"/>
            </w:tcBorders>
            <w:vAlign w:val="center"/>
          </w:tcPr>
          <w:p>
            <w:pPr>
              <w:spacing w:line="240" w:lineRule="auto"/>
              <w:jc w:val="center"/>
              <w:rPr>
                <w:color w:val="auto"/>
                <w:sz w:val="21"/>
                <w:szCs w:val="21"/>
                <w:highlight w:val="none"/>
                <w:u w:val="wave"/>
              </w:rPr>
            </w:pPr>
            <w:r>
              <w:rPr>
                <w:color w:val="auto"/>
                <w:sz w:val="21"/>
                <w:szCs w:val="21"/>
                <w:highlight w:val="none"/>
                <w:u w:val="wave"/>
              </w:rPr>
              <w:t>生态环境</w:t>
            </w:r>
          </w:p>
        </w:tc>
        <w:tc>
          <w:tcPr>
            <w:tcW w:w="7740" w:type="dxa"/>
            <w:gridSpan w:val="6"/>
            <w:vMerge w:val="continue"/>
            <w:vAlign w:val="center"/>
          </w:tcPr>
          <w:p>
            <w:pPr>
              <w:jc w:val="center"/>
              <w:rPr>
                <w:color w:val="auto"/>
                <w:spacing w:val="-6"/>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357" w:type="dxa"/>
            <w:vAlign w:val="center"/>
          </w:tcPr>
          <w:p>
            <w:pPr>
              <w:spacing w:line="240" w:lineRule="auto"/>
              <w:jc w:val="center"/>
              <w:rPr>
                <w:color w:val="auto"/>
                <w:sz w:val="21"/>
                <w:szCs w:val="21"/>
                <w:highlight w:val="none"/>
                <w:u w:val="wave"/>
              </w:rPr>
            </w:pPr>
            <w:r>
              <w:rPr>
                <w:color w:val="auto"/>
                <w:sz w:val="21"/>
                <w:szCs w:val="21"/>
                <w:highlight w:val="none"/>
                <w:u w:val="wave"/>
              </w:rPr>
              <w:t>固  体</w:t>
            </w:r>
          </w:p>
          <w:p>
            <w:pPr>
              <w:spacing w:line="240" w:lineRule="auto"/>
              <w:jc w:val="center"/>
              <w:rPr>
                <w:color w:val="auto"/>
                <w:sz w:val="21"/>
                <w:szCs w:val="21"/>
                <w:highlight w:val="none"/>
                <w:u w:val="wave"/>
              </w:rPr>
            </w:pPr>
            <w:r>
              <w:rPr>
                <w:color w:val="auto"/>
                <w:sz w:val="21"/>
                <w:szCs w:val="21"/>
                <w:highlight w:val="none"/>
                <w:u w:val="wave"/>
              </w:rPr>
              <w:t>废弃物</w:t>
            </w:r>
          </w:p>
        </w:tc>
        <w:tc>
          <w:tcPr>
            <w:tcW w:w="7740" w:type="dxa"/>
            <w:gridSpan w:val="6"/>
            <w:vMerge w:val="continue"/>
            <w:vAlign w:val="center"/>
          </w:tcPr>
          <w:p>
            <w:pPr>
              <w:pStyle w:val="44"/>
              <w:adjustRightInd/>
              <w:rPr>
                <w:rFonts w:ascii="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1357" w:type="dxa"/>
            <w:vAlign w:val="center"/>
          </w:tcPr>
          <w:p>
            <w:pPr>
              <w:spacing w:line="240" w:lineRule="auto"/>
              <w:jc w:val="center"/>
              <w:rPr>
                <w:rFonts w:hint="eastAsia" w:eastAsia="宋体"/>
                <w:color w:val="auto"/>
                <w:sz w:val="21"/>
                <w:szCs w:val="21"/>
                <w:highlight w:val="none"/>
                <w:u w:val="wave"/>
                <w:lang w:eastAsia="zh-CN"/>
              </w:rPr>
            </w:pPr>
            <w:r>
              <w:rPr>
                <w:rFonts w:hint="eastAsia"/>
                <w:color w:val="auto"/>
                <w:sz w:val="21"/>
                <w:szCs w:val="21"/>
                <w:highlight w:val="none"/>
                <w:u w:val="wave"/>
                <w:lang w:eastAsia="zh-CN"/>
              </w:rPr>
              <w:t>废水污染物</w:t>
            </w:r>
          </w:p>
        </w:tc>
        <w:tc>
          <w:tcPr>
            <w:tcW w:w="7740" w:type="dxa"/>
            <w:gridSpan w:val="6"/>
            <w:vMerge w:val="continue"/>
            <w:vAlign w:val="center"/>
          </w:tcPr>
          <w:p>
            <w:pPr>
              <w:spacing w:line="360" w:lineRule="exact"/>
              <w:jc w:val="center"/>
              <w:rPr>
                <w:color w:val="auto"/>
                <w:spacing w:val="-1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6" w:hRule="atLeast"/>
          <w:jc w:val="center"/>
        </w:trPr>
        <w:tc>
          <w:tcPr>
            <w:tcW w:w="1357" w:type="dxa"/>
            <w:vAlign w:val="center"/>
          </w:tcPr>
          <w:p>
            <w:pPr>
              <w:spacing w:line="240" w:lineRule="auto"/>
              <w:jc w:val="center"/>
              <w:rPr>
                <w:color w:val="auto"/>
                <w:sz w:val="21"/>
                <w:szCs w:val="21"/>
                <w:highlight w:val="none"/>
              </w:rPr>
            </w:pPr>
            <w:r>
              <w:rPr>
                <w:color w:val="auto"/>
                <w:sz w:val="21"/>
                <w:szCs w:val="21"/>
                <w:highlight w:val="none"/>
              </w:rPr>
              <w:t>噪 声</w:t>
            </w:r>
          </w:p>
        </w:tc>
        <w:tc>
          <w:tcPr>
            <w:tcW w:w="951" w:type="dxa"/>
            <w:vAlign w:val="center"/>
          </w:tcPr>
          <w:p>
            <w:pPr>
              <w:spacing w:line="240" w:lineRule="auto"/>
              <w:jc w:val="center"/>
              <w:rPr>
                <w:color w:val="auto"/>
                <w:sz w:val="21"/>
                <w:szCs w:val="21"/>
                <w:highlight w:val="none"/>
              </w:rPr>
            </w:pPr>
            <w:r>
              <w:rPr>
                <w:color w:val="auto"/>
                <w:sz w:val="21"/>
                <w:szCs w:val="21"/>
                <w:highlight w:val="none"/>
              </w:rPr>
              <w:t>配电装置</w:t>
            </w:r>
          </w:p>
          <w:p>
            <w:pPr>
              <w:spacing w:line="240" w:lineRule="auto"/>
              <w:jc w:val="center"/>
              <w:rPr>
                <w:color w:val="auto"/>
                <w:sz w:val="21"/>
                <w:szCs w:val="21"/>
                <w:highlight w:val="none"/>
              </w:rPr>
            </w:pPr>
            <w:r>
              <w:rPr>
                <w:color w:val="auto"/>
                <w:sz w:val="21"/>
                <w:szCs w:val="21"/>
                <w:highlight w:val="none"/>
              </w:rPr>
              <w:t>线路</w:t>
            </w:r>
          </w:p>
        </w:tc>
        <w:tc>
          <w:tcPr>
            <w:tcW w:w="1779" w:type="dxa"/>
            <w:vAlign w:val="center"/>
          </w:tcPr>
          <w:p>
            <w:pPr>
              <w:spacing w:before="60" w:after="60" w:line="240" w:lineRule="auto"/>
              <w:jc w:val="center"/>
              <w:rPr>
                <w:color w:val="auto"/>
                <w:sz w:val="21"/>
                <w:szCs w:val="21"/>
                <w:highlight w:val="none"/>
              </w:rPr>
            </w:pPr>
            <w:r>
              <w:rPr>
                <w:color w:val="auto"/>
                <w:sz w:val="21"/>
                <w:szCs w:val="21"/>
                <w:highlight w:val="none"/>
              </w:rPr>
              <w:t>噪声</w:t>
            </w:r>
          </w:p>
        </w:tc>
        <w:tc>
          <w:tcPr>
            <w:tcW w:w="1696" w:type="dxa"/>
            <w:vAlign w:val="center"/>
          </w:tcPr>
          <w:p>
            <w:pPr>
              <w:spacing w:line="240" w:lineRule="auto"/>
              <w:jc w:val="center"/>
              <w:rPr>
                <w:color w:val="auto"/>
                <w:sz w:val="21"/>
                <w:szCs w:val="21"/>
                <w:highlight w:val="none"/>
              </w:rPr>
            </w:pPr>
            <w:r>
              <w:rPr>
                <w:color w:val="auto"/>
                <w:sz w:val="21"/>
                <w:szCs w:val="21"/>
                <w:highlight w:val="none"/>
              </w:rPr>
              <w:t>采用低噪音设备，并且采取</w:t>
            </w:r>
            <w:r>
              <w:rPr>
                <w:rFonts w:hint="eastAsia"/>
                <w:color w:val="auto"/>
                <w:sz w:val="21"/>
                <w:szCs w:val="21"/>
                <w:highlight w:val="none"/>
                <w:lang w:eastAsia="zh-CN"/>
              </w:rPr>
              <w:t>墙体</w:t>
            </w:r>
            <w:r>
              <w:rPr>
                <w:color w:val="auto"/>
                <w:sz w:val="21"/>
                <w:szCs w:val="21"/>
                <w:highlight w:val="none"/>
              </w:rPr>
              <w:t>隔声措施</w:t>
            </w:r>
          </w:p>
        </w:tc>
        <w:tc>
          <w:tcPr>
            <w:tcW w:w="992" w:type="dxa"/>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5</w:t>
            </w:r>
          </w:p>
        </w:tc>
        <w:tc>
          <w:tcPr>
            <w:tcW w:w="2322" w:type="dxa"/>
            <w:gridSpan w:val="2"/>
            <w:vAlign w:val="center"/>
          </w:tcPr>
          <w:p>
            <w:pPr>
              <w:spacing w:line="360" w:lineRule="exact"/>
              <w:jc w:val="center"/>
              <w:rPr>
                <w:color w:val="auto"/>
                <w:sz w:val="21"/>
                <w:szCs w:val="21"/>
                <w:highlight w:val="none"/>
              </w:rPr>
            </w:pPr>
            <w:r>
              <w:rPr>
                <w:color w:val="auto"/>
                <w:sz w:val="21"/>
                <w:szCs w:val="21"/>
                <w:highlight w:val="none"/>
              </w:rPr>
              <w:t>厂界满足GB12348—2008中的</w:t>
            </w:r>
            <w:r>
              <w:rPr>
                <w:rFonts w:hint="eastAsia"/>
                <w:color w:val="auto"/>
                <w:sz w:val="21"/>
                <w:szCs w:val="21"/>
                <w:highlight w:val="none"/>
                <w:lang w:val="en-US" w:eastAsia="zh-CN"/>
              </w:rPr>
              <w:t>2类、4</w:t>
            </w:r>
            <w:r>
              <w:rPr>
                <w:color w:val="auto"/>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atLeast"/>
          <w:jc w:val="center"/>
        </w:trPr>
        <w:tc>
          <w:tcPr>
            <w:tcW w:w="1357" w:type="dxa"/>
            <w:vAlign w:val="center"/>
          </w:tcPr>
          <w:p>
            <w:pPr>
              <w:spacing w:line="240" w:lineRule="auto"/>
              <w:jc w:val="center"/>
              <w:rPr>
                <w:color w:val="auto"/>
                <w:sz w:val="21"/>
                <w:szCs w:val="21"/>
                <w:highlight w:val="none"/>
              </w:rPr>
            </w:pPr>
            <w:r>
              <w:rPr>
                <w:color w:val="auto"/>
                <w:sz w:val="21"/>
                <w:szCs w:val="21"/>
                <w:highlight w:val="none"/>
              </w:rPr>
              <w:t>社会环境</w:t>
            </w:r>
          </w:p>
        </w:tc>
        <w:tc>
          <w:tcPr>
            <w:tcW w:w="951" w:type="dxa"/>
            <w:vAlign w:val="center"/>
          </w:tcPr>
          <w:p>
            <w:pPr>
              <w:spacing w:before="60" w:after="60" w:line="240" w:lineRule="auto"/>
              <w:jc w:val="center"/>
              <w:rPr>
                <w:color w:val="auto"/>
                <w:sz w:val="21"/>
                <w:szCs w:val="21"/>
                <w:highlight w:val="none"/>
              </w:rPr>
            </w:pPr>
            <w:r>
              <w:rPr>
                <w:color w:val="auto"/>
                <w:sz w:val="21"/>
                <w:szCs w:val="21"/>
                <w:highlight w:val="none"/>
              </w:rPr>
              <w:t>/</w:t>
            </w:r>
          </w:p>
        </w:tc>
        <w:tc>
          <w:tcPr>
            <w:tcW w:w="1779" w:type="dxa"/>
            <w:vAlign w:val="center"/>
          </w:tcPr>
          <w:p>
            <w:pPr>
              <w:spacing w:before="60" w:after="60" w:line="240" w:lineRule="auto"/>
              <w:jc w:val="center"/>
              <w:rPr>
                <w:color w:val="auto"/>
                <w:sz w:val="21"/>
                <w:szCs w:val="21"/>
                <w:highlight w:val="none"/>
              </w:rPr>
            </w:pPr>
            <w:r>
              <w:rPr>
                <w:color w:val="auto"/>
                <w:sz w:val="21"/>
                <w:szCs w:val="21"/>
                <w:highlight w:val="none"/>
              </w:rPr>
              <w:t>公众心理</w:t>
            </w:r>
          </w:p>
        </w:tc>
        <w:tc>
          <w:tcPr>
            <w:tcW w:w="1696" w:type="dxa"/>
            <w:vAlign w:val="center"/>
          </w:tcPr>
          <w:p>
            <w:pPr>
              <w:spacing w:before="60" w:after="60" w:line="240" w:lineRule="auto"/>
              <w:jc w:val="center"/>
              <w:rPr>
                <w:color w:val="auto"/>
                <w:sz w:val="21"/>
                <w:szCs w:val="21"/>
                <w:highlight w:val="none"/>
              </w:rPr>
            </w:pPr>
            <w:r>
              <w:rPr>
                <w:color w:val="auto"/>
                <w:sz w:val="21"/>
                <w:szCs w:val="21"/>
                <w:highlight w:val="none"/>
              </w:rPr>
              <w:t>悬挂、张贴宣传画</w:t>
            </w:r>
          </w:p>
        </w:tc>
        <w:tc>
          <w:tcPr>
            <w:tcW w:w="992" w:type="dxa"/>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2322" w:type="dxa"/>
            <w:gridSpan w:val="2"/>
            <w:vAlign w:val="center"/>
          </w:tcPr>
          <w:p>
            <w:pPr>
              <w:spacing w:line="360" w:lineRule="exact"/>
              <w:jc w:val="center"/>
              <w:rPr>
                <w:color w:val="auto"/>
                <w:sz w:val="21"/>
                <w:szCs w:val="21"/>
                <w:highlight w:val="none"/>
              </w:rPr>
            </w:pPr>
            <w:r>
              <w:rPr>
                <w:color w:val="auto"/>
                <w:sz w:val="21"/>
                <w:szCs w:val="21"/>
                <w:highlight w:val="none"/>
              </w:rPr>
              <w:t>消除公众恐慌心理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5" w:hRule="atLeast"/>
          <w:jc w:val="center"/>
        </w:trPr>
        <w:tc>
          <w:tcPr>
            <w:tcW w:w="1357" w:type="dxa"/>
            <w:vAlign w:val="center"/>
          </w:tcPr>
          <w:p>
            <w:pPr>
              <w:spacing w:line="240" w:lineRule="auto"/>
              <w:jc w:val="center"/>
              <w:rPr>
                <w:color w:val="auto"/>
                <w:sz w:val="21"/>
                <w:szCs w:val="21"/>
                <w:highlight w:val="none"/>
              </w:rPr>
            </w:pPr>
            <w:r>
              <w:rPr>
                <w:color w:val="auto"/>
                <w:sz w:val="21"/>
                <w:szCs w:val="21"/>
                <w:highlight w:val="none"/>
              </w:rPr>
              <w:t>电磁环境</w:t>
            </w:r>
          </w:p>
        </w:tc>
        <w:tc>
          <w:tcPr>
            <w:tcW w:w="951" w:type="dxa"/>
            <w:vAlign w:val="center"/>
          </w:tcPr>
          <w:p>
            <w:pPr>
              <w:spacing w:line="240" w:lineRule="auto"/>
              <w:jc w:val="center"/>
              <w:rPr>
                <w:color w:val="auto"/>
                <w:sz w:val="21"/>
                <w:szCs w:val="21"/>
                <w:highlight w:val="none"/>
              </w:rPr>
            </w:pPr>
            <w:r>
              <w:rPr>
                <w:color w:val="auto"/>
                <w:sz w:val="21"/>
                <w:szCs w:val="21"/>
                <w:highlight w:val="none"/>
              </w:rPr>
              <w:t>发射设备</w:t>
            </w:r>
          </w:p>
        </w:tc>
        <w:tc>
          <w:tcPr>
            <w:tcW w:w="1779" w:type="dxa"/>
            <w:vAlign w:val="center"/>
          </w:tcPr>
          <w:p>
            <w:pPr>
              <w:spacing w:line="240" w:lineRule="auto"/>
              <w:jc w:val="center"/>
              <w:rPr>
                <w:color w:val="auto"/>
                <w:spacing w:val="-4"/>
                <w:sz w:val="21"/>
                <w:szCs w:val="21"/>
                <w:highlight w:val="none"/>
              </w:rPr>
            </w:pPr>
            <w:r>
              <w:rPr>
                <w:color w:val="auto"/>
                <w:spacing w:val="-4"/>
                <w:sz w:val="21"/>
                <w:szCs w:val="21"/>
                <w:highlight w:val="none"/>
              </w:rPr>
              <w:t>电场强度、</w:t>
            </w:r>
          </w:p>
          <w:p>
            <w:pPr>
              <w:spacing w:line="240" w:lineRule="auto"/>
              <w:jc w:val="center"/>
              <w:rPr>
                <w:color w:val="auto"/>
                <w:spacing w:val="-10"/>
                <w:sz w:val="21"/>
                <w:szCs w:val="21"/>
                <w:highlight w:val="none"/>
              </w:rPr>
            </w:pPr>
            <w:r>
              <w:rPr>
                <w:color w:val="auto"/>
                <w:spacing w:val="-10"/>
                <w:sz w:val="21"/>
                <w:szCs w:val="21"/>
                <w:highlight w:val="none"/>
              </w:rPr>
              <w:t>磁场强度、</w:t>
            </w:r>
          </w:p>
          <w:p>
            <w:pPr>
              <w:spacing w:line="240" w:lineRule="auto"/>
              <w:jc w:val="center"/>
              <w:rPr>
                <w:color w:val="auto"/>
                <w:sz w:val="21"/>
                <w:szCs w:val="21"/>
                <w:highlight w:val="none"/>
              </w:rPr>
            </w:pPr>
            <w:r>
              <w:rPr>
                <w:color w:val="auto"/>
                <w:sz w:val="21"/>
                <w:szCs w:val="21"/>
                <w:highlight w:val="none"/>
              </w:rPr>
              <w:t>等效平面波功率密度</w:t>
            </w:r>
          </w:p>
        </w:tc>
        <w:tc>
          <w:tcPr>
            <w:tcW w:w="1696" w:type="dxa"/>
            <w:vAlign w:val="center"/>
          </w:tcPr>
          <w:p>
            <w:pPr>
              <w:pStyle w:val="47"/>
              <w:jc w:val="center"/>
              <w:rPr>
                <w:color w:val="auto"/>
                <w:szCs w:val="21"/>
                <w:highlight w:val="none"/>
              </w:rPr>
            </w:pPr>
            <w:r>
              <w:rPr>
                <w:color w:val="auto"/>
                <w:szCs w:val="21"/>
                <w:highlight w:val="none"/>
              </w:rPr>
              <w:t>满足水平和垂直达标距离</w:t>
            </w:r>
          </w:p>
        </w:tc>
        <w:tc>
          <w:tcPr>
            <w:tcW w:w="992" w:type="dxa"/>
            <w:vAlign w:val="center"/>
          </w:tcPr>
          <w:p>
            <w:pPr>
              <w:spacing w:line="240" w:lineRule="auto"/>
              <w:jc w:val="center"/>
              <w:rPr>
                <w:rFonts w:hint="eastAsia" w:eastAsia="宋体"/>
                <w:color w:val="auto"/>
                <w:sz w:val="21"/>
                <w:szCs w:val="21"/>
                <w:highlight w:val="none"/>
                <w:lang w:eastAsia="zh-CN"/>
              </w:rPr>
            </w:pPr>
            <w:r>
              <w:rPr>
                <w:rFonts w:hint="eastAsia"/>
                <w:color w:val="auto"/>
                <w:sz w:val="21"/>
                <w:szCs w:val="21"/>
                <w:highlight w:val="none"/>
                <w:lang w:val="en-US" w:eastAsia="zh-CN"/>
              </w:rPr>
              <w:t>10.8</w:t>
            </w:r>
          </w:p>
        </w:tc>
        <w:tc>
          <w:tcPr>
            <w:tcW w:w="2322" w:type="dxa"/>
            <w:gridSpan w:val="2"/>
            <w:vAlign w:val="center"/>
          </w:tcPr>
          <w:p>
            <w:pPr>
              <w:spacing w:line="360" w:lineRule="exact"/>
              <w:jc w:val="center"/>
              <w:rPr>
                <w:color w:val="auto"/>
                <w:sz w:val="21"/>
                <w:szCs w:val="21"/>
                <w:highlight w:val="none"/>
              </w:rPr>
            </w:pPr>
            <w:r>
              <w:rPr>
                <w:color w:val="auto"/>
                <w:sz w:val="21"/>
                <w:szCs w:val="21"/>
                <w:highlight w:val="none"/>
              </w:rPr>
              <w:t>满足《电磁环境控制限值》（GB8702-2014）标准要求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8" w:hRule="atLeast"/>
          <w:jc w:val="center"/>
        </w:trPr>
        <w:tc>
          <w:tcPr>
            <w:tcW w:w="9097" w:type="dxa"/>
            <w:gridSpan w:val="7"/>
            <w:tcBorders>
              <w:bottom w:val="single" w:color="auto" w:sz="4" w:space="0"/>
            </w:tcBorders>
            <w:vAlign w:val="center"/>
          </w:tcPr>
          <w:p>
            <w:pPr>
              <w:rPr>
                <w:b/>
                <w:bCs/>
                <w:color w:val="auto"/>
                <w:szCs w:val="24"/>
                <w:highlight w:val="none"/>
              </w:rPr>
            </w:pPr>
            <w:r>
              <w:rPr>
                <w:b/>
                <w:bCs/>
                <w:color w:val="auto"/>
                <w:szCs w:val="24"/>
                <w:highlight w:val="none"/>
              </w:rPr>
              <w:t>治理工艺</w:t>
            </w:r>
          </w:p>
          <w:p>
            <w:pPr>
              <w:pStyle w:val="38"/>
              <w:numPr>
                <w:ilvl w:val="0"/>
                <w:numId w:val="4"/>
              </w:numPr>
              <w:adjustRightInd/>
              <w:spacing w:line="360" w:lineRule="auto"/>
              <w:rPr>
                <w:rFonts w:ascii="Times New Roman"/>
                <w:color w:val="auto"/>
                <w:sz w:val="24"/>
                <w:szCs w:val="24"/>
                <w:highlight w:val="none"/>
              </w:rPr>
            </w:pPr>
            <w:r>
              <w:rPr>
                <w:rFonts w:ascii="Times New Roman"/>
                <w:b/>
                <w:bCs/>
                <w:color w:val="auto"/>
                <w:sz w:val="24"/>
                <w:szCs w:val="24"/>
                <w:highlight w:val="none"/>
              </w:rPr>
              <w:t>电磁环境</w:t>
            </w:r>
          </w:p>
          <w:p>
            <w:pPr>
              <w:ind w:firstLine="480" w:firstLineChars="200"/>
              <w:rPr>
                <w:snapToGrid w:val="0"/>
                <w:color w:val="auto"/>
                <w:kern w:val="0"/>
                <w:szCs w:val="24"/>
                <w:highlight w:val="none"/>
              </w:rPr>
            </w:pPr>
            <w:r>
              <w:rPr>
                <w:snapToGrid w:val="0"/>
                <w:color w:val="auto"/>
                <w:kern w:val="0"/>
                <w:szCs w:val="24"/>
                <w:highlight w:val="none"/>
              </w:rPr>
              <w:t>根据对项目所产生的电场强度预测，要求本项目发射天线水平方向应保持</w:t>
            </w:r>
            <w:r>
              <w:rPr>
                <w:rFonts w:hint="eastAsia"/>
                <w:snapToGrid w:val="0"/>
                <w:color w:val="auto"/>
                <w:kern w:val="0"/>
                <w:szCs w:val="24"/>
                <w:highlight w:val="none"/>
                <w:lang w:val="en-US" w:eastAsia="zh-CN"/>
              </w:rPr>
              <w:t>227</w:t>
            </w:r>
            <w:r>
              <w:rPr>
                <w:snapToGrid w:val="0"/>
                <w:color w:val="auto"/>
                <w:kern w:val="0"/>
                <w:szCs w:val="24"/>
                <w:highlight w:val="none"/>
              </w:rPr>
              <w:t>m的距离，或者在垂直方向上与环境敏感点的高度保持</w:t>
            </w:r>
            <w:r>
              <w:rPr>
                <w:rFonts w:hint="eastAsia"/>
                <w:snapToGrid w:val="0"/>
                <w:color w:val="auto"/>
                <w:kern w:val="0"/>
                <w:szCs w:val="24"/>
                <w:highlight w:val="none"/>
                <w:lang w:val="en-US" w:eastAsia="zh-CN"/>
              </w:rPr>
              <w:t>91</w:t>
            </w:r>
            <w:r>
              <w:rPr>
                <w:snapToGrid w:val="0"/>
                <w:color w:val="auto"/>
                <w:kern w:val="0"/>
                <w:szCs w:val="24"/>
                <w:highlight w:val="none"/>
              </w:rPr>
              <w:t>m的距离，在此范围内不应新修建民用建筑、学校、机关、医院、疗养院等，及其它对电磁场敏感的设施和建筑物。</w:t>
            </w:r>
          </w:p>
          <w:p>
            <w:pPr>
              <w:pStyle w:val="38"/>
              <w:numPr>
                <w:ilvl w:val="0"/>
                <w:numId w:val="4"/>
              </w:numPr>
              <w:adjustRightInd/>
              <w:spacing w:line="360" w:lineRule="auto"/>
              <w:rPr>
                <w:rFonts w:ascii="Times New Roman"/>
                <w:b/>
                <w:bCs/>
                <w:color w:val="auto"/>
                <w:sz w:val="24"/>
                <w:szCs w:val="24"/>
                <w:highlight w:val="none"/>
              </w:rPr>
            </w:pPr>
            <w:r>
              <w:rPr>
                <w:rFonts w:ascii="Times New Roman"/>
                <w:b/>
                <w:bCs/>
                <w:color w:val="auto"/>
                <w:sz w:val="24"/>
                <w:szCs w:val="24"/>
                <w:highlight w:val="none"/>
              </w:rPr>
              <w:t>社会环境</w:t>
            </w:r>
          </w:p>
          <w:p>
            <w:pPr>
              <w:ind w:firstLine="480" w:firstLineChars="200"/>
              <w:rPr>
                <w:snapToGrid w:val="0"/>
                <w:color w:val="auto"/>
                <w:kern w:val="0"/>
                <w:szCs w:val="24"/>
                <w:highlight w:val="none"/>
              </w:rPr>
            </w:pPr>
            <w:r>
              <w:rPr>
                <w:snapToGrid w:val="0"/>
                <w:color w:val="auto"/>
                <w:kern w:val="0"/>
                <w:szCs w:val="24"/>
                <w:highlight w:val="none"/>
              </w:rPr>
              <w:t>建设、施工单位应加强科普宣传，以消除误解和恐慌，让公众了解广播电视发射台产生的电磁强度的特性和水平。</w:t>
            </w:r>
          </w:p>
          <w:p>
            <w:pPr>
              <w:ind w:firstLine="480" w:firstLineChars="200"/>
              <w:rPr>
                <w:rFonts w:hint="eastAsia" w:eastAsia="宋体"/>
                <w:snapToGrid w:val="0"/>
                <w:color w:val="auto"/>
                <w:kern w:val="0"/>
                <w:szCs w:val="24"/>
                <w:highlight w:val="none"/>
                <w:lang w:val="en-US" w:eastAsia="zh-CN"/>
              </w:rPr>
            </w:pPr>
            <w:r>
              <w:rPr>
                <w:rFonts w:hint="eastAsia"/>
                <w:snapToGrid w:val="0"/>
                <w:color w:val="auto"/>
                <w:kern w:val="0"/>
                <w:szCs w:val="24"/>
                <w:highlight w:val="none"/>
                <w:lang w:val="en-US" w:eastAsia="zh-CN"/>
              </w:rPr>
              <w:t>本项目总投资约500万元，其中环保投资约为16.8万元，占总投资额的3.36%。</w:t>
            </w:r>
          </w:p>
          <w:p>
            <w:pPr>
              <w:pStyle w:val="38"/>
              <w:adjustRightInd/>
              <w:spacing w:line="360" w:lineRule="auto"/>
              <w:ind w:firstLine="482" w:firstLineChars="200"/>
              <w:rPr>
                <w:rFonts w:ascii="Times New Roman"/>
                <w:b/>
                <w:bCs/>
                <w:color w:val="auto"/>
                <w:sz w:val="24"/>
                <w:szCs w:val="24"/>
                <w:highlight w:val="none"/>
              </w:rPr>
            </w:pPr>
          </w:p>
          <w:p>
            <w:pPr>
              <w:pStyle w:val="38"/>
              <w:adjustRightInd/>
              <w:spacing w:line="360" w:lineRule="auto"/>
              <w:ind w:firstLine="482" w:firstLineChars="200"/>
              <w:rPr>
                <w:rFonts w:ascii="Times New Roman"/>
                <w:b/>
                <w:bCs/>
                <w:color w:val="auto"/>
                <w:sz w:val="24"/>
                <w:szCs w:val="24"/>
                <w:highlight w:val="yellow"/>
              </w:rPr>
            </w:pPr>
          </w:p>
          <w:p>
            <w:pPr>
              <w:pStyle w:val="38"/>
              <w:adjustRightInd/>
              <w:spacing w:line="360" w:lineRule="auto"/>
              <w:ind w:firstLine="482" w:firstLineChars="200"/>
              <w:rPr>
                <w:rFonts w:ascii="Times New Roman"/>
                <w:b/>
                <w:bCs/>
                <w:color w:val="auto"/>
                <w:sz w:val="24"/>
                <w:szCs w:val="24"/>
                <w:highlight w:val="yellow"/>
              </w:rPr>
            </w:pPr>
          </w:p>
          <w:p>
            <w:pPr>
              <w:pStyle w:val="38"/>
              <w:adjustRightInd/>
              <w:spacing w:line="360" w:lineRule="auto"/>
              <w:rPr>
                <w:rFonts w:ascii="Times New Roman"/>
                <w:b/>
                <w:color w:val="auto"/>
                <w:sz w:val="24"/>
                <w:highlight w:val="yellow"/>
              </w:rPr>
            </w:pPr>
          </w:p>
          <w:p>
            <w:pPr>
              <w:pStyle w:val="38"/>
              <w:adjustRightInd/>
              <w:spacing w:line="360" w:lineRule="auto"/>
              <w:rPr>
                <w:rFonts w:ascii="Times New Roman"/>
                <w:b/>
                <w:color w:val="auto"/>
                <w:sz w:val="24"/>
                <w:highlight w:val="yellow"/>
              </w:rPr>
            </w:pPr>
          </w:p>
          <w:p>
            <w:pPr>
              <w:pStyle w:val="38"/>
              <w:adjustRightInd/>
              <w:spacing w:line="360" w:lineRule="auto"/>
              <w:ind w:firstLine="482" w:firstLineChars="200"/>
              <w:rPr>
                <w:rFonts w:ascii="Times New Roman"/>
                <w:color w:val="auto"/>
                <w:sz w:val="21"/>
                <w:szCs w:val="21"/>
                <w:highlight w:val="yellow"/>
              </w:rPr>
            </w:pPr>
            <w:r>
              <w:rPr>
                <w:rFonts w:ascii="Times New Roman"/>
                <w:b/>
                <w:color w:val="auto"/>
                <w:sz w:val="24"/>
                <w:highlight w:val="yellow"/>
              </w:rPr>
              <w:fldChar w:fldCharType="begin"/>
            </w:r>
            <w:r>
              <w:rPr>
                <w:rFonts w:ascii="Times New Roman"/>
                <w:b/>
                <w:color w:val="auto"/>
                <w:sz w:val="24"/>
                <w:highlight w:val="yellow"/>
              </w:rPr>
              <w:instrText xml:space="preserve"> = 5 \* GB3 </w:instrText>
            </w:r>
            <w:r>
              <w:rPr>
                <w:rFonts w:ascii="Times New Roman"/>
                <w:b/>
                <w:color w:val="auto"/>
                <w:sz w:val="24"/>
                <w:highlight w:val="yellow"/>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98" w:type="dxa"/>
          <w:jc w:val="center"/>
        </w:trPr>
        <w:tc>
          <w:tcPr>
            <w:tcW w:w="8999" w:type="dxa"/>
            <w:gridSpan w:val="6"/>
            <w:tcBorders>
              <w:top w:val="nil"/>
              <w:left w:val="nil"/>
              <w:right w:val="nil"/>
            </w:tcBorders>
          </w:tcPr>
          <w:p>
            <w:pPr>
              <w:rPr>
                <w:color w:val="auto"/>
                <w:szCs w:val="24"/>
                <w:highlight w:val="yellow"/>
              </w:rPr>
            </w:pPr>
            <w:r>
              <w:rPr>
                <w:b/>
                <w:color w:val="auto"/>
                <w:szCs w:val="24"/>
                <w:highlight w:val="none"/>
              </w:rPr>
              <w:t>环境保护管理与监测计划                                              表</w:t>
            </w:r>
            <w:r>
              <w:rPr>
                <w:rFonts w:hint="eastAsia"/>
                <w:b/>
                <w:color w:val="auto"/>
                <w:szCs w:val="24"/>
                <w:highlight w:val="none"/>
                <w:lang w:val="en-US"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98" w:type="dxa"/>
          <w:jc w:val="center"/>
        </w:trPr>
        <w:tc>
          <w:tcPr>
            <w:tcW w:w="8999" w:type="dxa"/>
            <w:gridSpan w:val="6"/>
          </w:tcPr>
          <w:p>
            <w:pPr>
              <w:adjustRightInd w:val="0"/>
              <w:snapToGrid w:val="0"/>
              <w:spacing w:before="156" w:beforeLines="50"/>
              <w:rPr>
                <w:color w:val="auto"/>
                <w:highlight w:val="none"/>
              </w:rPr>
            </w:pPr>
            <w:bookmarkStart w:id="9" w:name="_Toc120203925"/>
            <w:r>
              <w:rPr>
                <w:rFonts w:hint="eastAsia"/>
                <w:b/>
                <w:color w:val="auto"/>
                <w:highlight w:val="none"/>
                <w:lang w:val="en-US" w:eastAsia="zh-CN"/>
              </w:rPr>
              <w:t>9</w:t>
            </w:r>
            <w:r>
              <w:rPr>
                <w:b/>
                <w:color w:val="auto"/>
                <w:highlight w:val="none"/>
              </w:rPr>
              <w:t xml:space="preserve">.1 </w:t>
            </w:r>
            <w:r>
              <w:rPr>
                <w:b/>
                <w:bCs/>
                <w:color w:val="auto"/>
                <w:szCs w:val="24"/>
                <w:highlight w:val="none"/>
              </w:rPr>
              <w:t>环境保护</w:t>
            </w:r>
            <w:r>
              <w:rPr>
                <w:b/>
                <w:color w:val="auto"/>
                <w:highlight w:val="none"/>
              </w:rPr>
              <w:t>管理计划</w:t>
            </w:r>
            <w:bookmarkEnd w:id="9"/>
          </w:p>
          <w:p>
            <w:pPr>
              <w:pStyle w:val="38"/>
              <w:spacing w:line="360" w:lineRule="auto"/>
              <w:ind w:firstLine="480" w:firstLineChars="200"/>
              <w:rPr>
                <w:rFonts w:ascii="Times New Roman"/>
                <w:color w:val="auto"/>
                <w:sz w:val="24"/>
                <w:highlight w:val="none"/>
              </w:rPr>
            </w:pPr>
            <w:r>
              <w:rPr>
                <w:rFonts w:ascii="Times New Roman"/>
                <w:color w:val="auto"/>
                <w:sz w:val="24"/>
                <w:highlight w:val="none"/>
              </w:rPr>
              <w:t>本项目的管理机构是</w:t>
            </w:r>
            <w:r>
              <w:rPr>
                <w:rFonts w:hint="eastAsia"/>
                <w:color w:val="auto"/>
                <w:szCs w:val="24"/>
                <w:highlight w:val="none"/>
                <w:lang w:eastAsia="zh-CN"/>
              </w:rPr>
              <w:t>常德市鼎城区广播电视台</w:t>
            </w:r>
            <w:r>
              <w:rPr>
                <w:rFonts w:ascii="Times New Roman"/>
                <w:color w:val="auto"/>
                <w:sz w:val="24"/>
                <w:highlight w:val="none"/>
              </w:rPr>
              <w:t>，主要职责是：</w:t>
            </w:r>
          </w:p>
          <w:p>
            <w:pPr>
              <w:pStyle w:val="38"/>
              <w:spacing w:line="360" w:lineRule="auto"/>
              <w:ind w:firstLine="480" w:firstLineChars="200"/>
              <w:rPr>
                <w:rFonts w:ascii="Times New Roman"/>
                <w:color w:val="auto"/>
                <w:sz w:val="24"/>
                <w:highlight w:val="none"/>
              </w:rPr>
            </w:pPr>
            <w:r>
              <w:rPr>
                <w:rFonts w:hint="eastAsia" w:hAnsi="宋体" w:cs="宋体"/>
                <w:color w:val="auto"/>
                <w:sz w:val="24"/>
                <w:highlight w:val="none"/>
              </w:rPr>
              <w:t>①</w:t>
            </w:r>
            <w:r>
              <w:rPr>
                <w:rFonts w:ascii="Times New Roman"/>
                <w:color w:val="auto"/>
                <w:sz w:val="24"/>
                <w:highlight w:val="none"/>
              </w:rPr>
              <w:t xml:space="preserve"> 贯彻、执行国家和市内各项环境保护方针、政策和法规；</w:t>
            </w:r>
          </w:p>
          <w:p>
            <w:pPr>
              <w:pStyle w:val="38"/>
              <w:spacing w:line="360" w:lineRule="auto"/>
              <w:ind w:firstLine="480" w:firstLineChars="200"/>
              <w:rPr>
                <w:rFonts w:ascii="Times New Roman"/>
                <w:color w:val="auto"/>
                <w:sz w:val="24"/>
                <w:highlight w:val="none"/>
              </w:rPr>
            </w:pPr>
            <w:r>
              <w:rPr>
                <w:rFonts w:hint="eastAsia" w:hAnsi="宋体" w:cs="宋体"/>
                <w:color w:val="auto"/>
                <w:sz w:val="24"/>
                <w:highlight w:val="none"/>
              </w:rPr>
              <w:t>②</w:t>
            </w:r>
            <w:r>
              <w:rPr>
                <w:rFonts w:ascii="Times New Roman"/>
                <w:color w:val="auto"/>
                <w:sz w:val="24"/>
                <w:highlight w:val="none"/>
              </w:rPr>
              <w:t xml:space="preserve"> 负责监督环境实施计划的编写，负责监督环保文件中所提出的各项环保措施的落实情况；</w:t>
            </w:r>
          </w:p>
          <w:p>
            <w:pPr>
              <w:pStyle w:val="38"/>
              <w:spacing w:line="360" w:lineRule="auto"/>
              <w:ind w:firstLine="480" w:firstLineChars="200"/>
              <w:rPr>
                <w:rFonts w:ascii="Times New Roman"/>
                <w:color w:val="auto"/>
                <w:sz w:val="24"/>
                <w:highlight w:val="none"/>
              </w:rPr>
            </w:pPr>
            <w:r>
              <w:rPr>
                <w:rFonts w:hint="eastAsia" w:hAnsi="宋体" w:cs="宋体"/>
                <w:color w:val="auto"/>
                <w:sz w:val="24"/>
                <w:highlight w:val="none"/>
              </w:rPr>
              <w:t>③</w:t>
            </w:r>
            <w:r>
              <w:rPr>
                <w:rFonts w:ascii="Times New Roman"/>
                <w:color w:val="auto"/>
                <w:sz w:val="24"/>
                <w:highlight w:val="none"/>
              </w:rPr>
              <w:t xml:space="preserve"> 组织制订污染事故处置计划，并对事故进行调查处理。</w:t>
            </w:r>
          </w:p>
          <w:p>
            <w:pPr>
              <w:pStyle w:val="38"/>
              <w:spacing w:line="360" w:lineRule="auto"/>
              <w:ind w:firstLine="480" w:firstLineChars="200"/>
              <w:rPr>
                <w:rFonts w:ascii="Times New Roman"/>
                <w:color w:val="auto"/>
                <w:sz w:val="24"/>
                <w:highlight w:val="none"/>
              </w:rPr>
            </w:pPr>
            <w:r>
              <w:rPr>
                <w:rFonts w:ascii="Times New Roman"/>
                <w:color w:val="auto"/>
                <w:sz w:val="24"/>
                <w:highlight w:val="none"/>
              </w:rPr>
              <w:t>本项目环境管理计划内容应包括表</w:t>
            </w:r>
            <w:r>
              <w:rPr>
                <w:rFonts w:hint="eastAsia" w:ascii="Times New Roman"/>
                <w:color w:val="auto"/>
                <w:sz w:val="24"/>
                <w:highlight w:val="none"/>
                <w:lang w:val="en-US" w:eastAsia="zh-CN"/>
              </w:rPr>
              <w:t>9</w:t>
            </w:r>
            <w:r>
              <w:rPr>
                <w:rFonts w:ascii="Times New Roman"/>
                <w:color w:val="auto"/>
                <w:sz w:val="24"/>
                <w:highlight w:val="none"/>
              </w:rPr>
              <w:t>-1所列内容。</w:t>
            </w:r>
          </w:p>
          <w:p>
            <w:pPr>
              <w:snapToGrid w:val="0"/>
              <w:spacing w:line="324" w:lineRule="auto"/>
              <w:jc w:val="center"/>
              <w:rPr>
                <w:b/>
                <w:color w:val="auto"/>
                <w:highlight w:val="none"/>
              </w:rPr>
            </w:pPr>
            <w:r>
              <w:rPr>
                <w:b/>
                <w:color w:val="auto"/>
                <w:highlight w:val="none"/>
              </w:rPr>
              <w:t>表</w:t>
            </w:r>
            <w:r>
              <w:rPr>
                <w:rFonts w:hint="eastAsia"/>
                <w:b/>
                <w:color w:val="auto"/>
                <w:highlight w:val="none"/>
                <w:lang w:val="en-US" w:eastAsia="zh-CN"/>
              </w:rPr>
              <w:t>9</w:t>
            </w:r>
            <w:r>
              <w:rPr>
                <w:b/>
                <w:color w:val="auto"/>
                <w:highlight w:val="none"/>
              </w:rPr>
              <w:t xml:space="preserve">-1 </w:t>
            </w:r>
            <w:r>
              <w:rPr>
                <w:b/>
                <w:bCs w:val="0"/>
                <w:color w:val="auto"/>
                <w:highlight w:val="none"/>
              </w:rPr>
              <w:t xml:space="preserve"> </w:t>
            </w:r>
            <w:r>
              <w:rPr>
                <w:rFonts w:hint="eastAsia"/>
                <w:b/>
                <w:bCs w:val="0"/>
                <w:color w:val="auto"/>
                <w:highlight w:val="none"/>
              </w:rPr>
              <w:t>常德市鼎城区广播电视台</w:t>
            </w:r>
            <w:r>
              <w:rPr>
                <w:b/>
                <w:bCs w:val="0"/>
                <w:color w:val="auto"/>
                <w:highlight w:val="none"/>
              </w:rPr>
              <w:t>环境管理计划</w:t>
            </w:r>
          </w:p>
          <w:tbl>
            <w:tblPr>
              <w:tblStyle w:val="35"/>
              <w:tblW w:w="8773"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820"/>
              <w:gridCol w:w="466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7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阶段</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潜在的负影响</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减缓措施</w:t>
                  </w:r>
                </w:p>
              </w:tc>
              <w:tc>
                <w:tcPr>
                  <w:tcW w:w="15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建</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设</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期</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right="-57" w:firstLine="0" w:firstLineChars="0"/>
                    <w:jc w:val="both"/>
                    <w:textAlignment w:val="auto"/>
                    <w:outlineLvl w:val="9"/>
                    <w:rPr>
                      <w:color w:val="auto"/>
                      <w:sz w:val="21"/>
                      <w:szCs w:val="21"/>
                      <w:highlight w:val="none"/>
                    </w:rPr>
                  </w:pPr>
                  <w:r>
                    <w:rPr>
                      <w:rFonts w:hint="eastAsia" w:ascii="宋体" w:hAnsi="宋体" w:cs="宋体"/>
                      <w:color w:val="auto"/>
                      <w:sz w:val="21"/>
                      <w:szCs w:val="21"/>
                      <w:highlight w:val="none"/>
                    </w:rPr>
                    <w:t>①</w:t>
                  </w:r>
                  <w:r>
                    <w:rPr>
                      <w:color w:val="auto"/>
                      <w:sz w:val="21"/>
                      <w:szCs w:val="21"/>
                      <w:highlight w:val="none"/>
                    </w:rPr>
                    <w:t>施工废水</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outlineLvl w:val="9"/>
                    <w:rPr>
                      <w:color w:val="auto"/>
                      <w:sz w:val="21"/>
                      <w:szCs w:val="21"/>
                      <w:highlight w:val="none"/>
                    </w:rPr>
                  </w:pPr>
                  <w:r>
                    <w:rPr>
                      <w:color w:val="auto"/>
                      <w:sz w:val="21"/>
                      <w:szCs w:val="21"/>
                      <w:highlight w:val="none"/>
                    </w:rPr>
                    <w:t>依托</w:t>
                  </w:r>
                  <w:r>
                    <w:rPr>
                      <w:rFonts w:hint="eastAsia"/>
                      <w:color w:val="auto"/>
                      <w:sz w:val="21"/>
                      <w:szCs w:val="21"/>
                      <w:highlight w:val="none"/>
                      <w:lang w:eastAsia="zh-CN"/>
                    </w:rPr>
                    <w:t>业务大楼施工期临时化粪池，排入阳明大道市政管网</w:t>
                  </w:r>
                  <w:r>
                    <w:rPr>
                      <w:color w:val="auto"/>
                      <w:sz w:val="21"/>
                      <w:szCs w:val="21"/>
                      <w:highlight w:val="none"/>
                    </w:rPr>
                    <w:t>。</w:t>
                  </w:r>
                </w:p>
              </w:tc>
              <w:tc>
                <w:tcPr>
                  <w:tcW w:w="15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工程施工单位</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工程设计单位</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工程监理单位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right="-57" w:firstLine="0" w:firstLineChars="0"/>
                    <w:jc w:val="both"/>
                    <w:textAlignment w:val="auto"/>
                    <w:outlineLvl w:val="9"/>
                    <w:rPr>
                      <w:color w:val="auto"/>
                      <w:sz w:val="21"/>
                      <w:szCs w:val="21"/>
                      <w:highlight w:val="none"/>
                    </w:rPr>
                  </w:pPr>
                  <w:r>
                    <w:rPr>
                      <w:rFonts w:hint="eastAsia" w:ascii="宋体" w:hAnsi="宋体" w:cs="宋体"/>
                      <w:color w:val="auto"/>
                      <w:sz w:val="21"/>
                      <w:szCs w:val="21"/>
                      <w:highlight w:val="none"/>
                    </w:rPr>
                    <w:t>②</w:t>
                  </w:r>
                  <w:r>
                    <w:rPr>
                      <w:color w:val="auto"/>
                      <w:sz w:val="21"/>
                      <w:szCs w:val="21"/>
                      <w:highlight w:val="none"/>
                    </w:rPr>
                    <w:t>施工噪声</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outlineLvl w:val="9"/>
                    <w:rPr>
                      <w:color w:val="auto"/>
                      <w:sz w:val="21"/>
                      <w:szCs w:val="21"/>
                      <w:highlight w:val="none"/>
                    </w:rPr>
                  </w:pPr>
                  <w:r>
                    <w:rPr>
                      <w:color w:val="auto"/>
                      <w:sz w:val="21"/>
                      <w:szCs w:val="21"/>
                      <w:highlight w:val="none"/>
                    </w:rPr>
                    <w:t>合理安排施工时间，加强运输车辆管理。</w:t>
                  </w:r>
                </w:p>
              </w:tc>
              <w:tc>
                <w:tcPr>
                  <w:tcW w:w="15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jc w:val="center"/>
              </w:trPr>
              <w:tc>
                <w:tcPr>
                  <w:tcW w:w="7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营</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运</w:t>
                  </w:r>
                </w:p>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期</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right="-57" w:firstLine="0" w:firstLineChars="0"/>
                    <w:jc w:val="both"/>
                    <w:textAlignment w:val="auto"/>
                    <w:outlineLvl w:val="9"/>
                    <w:rPr>
                      <w:color w:val="auto"/>
                      <w:sz w:val="21"/>
                      <w:szCs w:val="21"/>
                      <w:highlight w:val="none"/>
                    </w:rPr>
                  </w:pPr>
                  <w:r>
                    <w:rPr>
                      <w:rFonts w:hint="eastAsia" w:ascii="宋体" w:hAnsi="宋体" w:cs="宋体"/>
                      <w:color w:val="auto"/>
                      <w:sz w:val="21"/>
                      <w:szCs w:val="21"/>
                      <w:highlight w:val="none"/>
                    </w:rPr>
                    <w:t>①</w:t>
                  </w:r>
                  <w:r>
                    <w:rPr>
                      <w:color w:val="auto"/>
                      <w:sz w:val="21"/>
                      <w:szCs w:val="21"/>
                      <w:highlight w:val="none"/>
                    </w:rPr>
                    <w:t>噪声污染</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outlineLvl w:val="9"/>
                    <w:rPr>
                      <w:color w:val="auto"/>
                      <w:sz w:val="21"/>
                      <w:szCs w:val="21"/>
                      <w:highlight w:val="none"/>
                    </w:rPr>
                  </w:pPr>
                  <w:r>
                    <w:rPr>
                      <w:color w:val="auto"/>
                      <w:kern w:val="0"/>
                      <w:sz w:val="21"/>
                      <w:szCs w:val="21"/>
                      <w:highlight w:val="none"/>
                    </w:rPr>
                    <w:t>选用低噪声发射机。</w:t>
                  </w:r>
                </w:p>
              </w:tc>
              <w:tc>
                <w:tcPr>
                  <w:tcW w:w="15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color w:val="auto"/>
                      <w:sz w:val="21"/>
                      <w:szCs w:val="21"/>
                      <w:highlight w:val="none"/>
                    </w:rPr>
                    <w:t>建设单位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1" w:hRule="atLeast"/>
                <w:jc w:val="center"/>
              </w:trPr>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rFonts w:hint="eastAsia" w:ascii="宋体" w:hAnsi="宋体" w:cs="宋体"/>
                      <w:color w:val="auto"/>
                      <w:sz w:val="21"/>
                      <w:szCs w:val="21"/>
                      <w:highlight w:val="none"/>
                    </w:rPr>
                    <w:t>②</w:t>
                  </w:r>
                  <w:r>
                    <w:rPr>
                      <w:color w:val="auto"/>
                      <w:sz w:val="21"/>
                      <w:szCs w:val="21"/>
                      <w:highlight w:val="none"/>
                    </w:rPr>
                    <w:t>电场强度</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outlineLvl w:val="9"/>
                    <w:rPr>
                      <w:color w:val="auto"/>
                      <w:sz w:val="21"/>
                      <w:szCs w:val="21"/>
                      <w:highlight w:val="none"/>
                    </w:rPr>
                  </w:pPr>
                  <w:r>
                    <w:rPr>
                      <w:color w:val="auto"/>
                      <w:sz w:val="21"/>
                      <w:szCs w:val="21"/>
                      <w:highlight w:val="none"/>
                    </w:rPr>
                    <w:t>控制敏感目标与站址的距离</w:t>
                  </w:r>
                </w:p>
              </w:tc>
              <w:tc>
                <w:tcPr>
                  <w:tcW w:w="15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r>
                    <w:rPr>
                      <w:rFonts w:hint="eastAsia" w:ascii="宋体" w:hAnsi="宋体" w:cs="宋体"/>
                      <w:color w:val="auto"/>
                      <w:sz w:val="21"/>
                      <w:szCs w:val="21"/>
                      <w:highlight w:val="none"/>
                    </w:rPr>
                    <w:t>③</w:t>
                  </w:r>
                  <w:r>
                    <w:rPr>
                      <w:color w:val="auto"/>
                      <w:sz w:val="21"/>
                      <w:szCs w:val="21"/>
                      <w:highlight w:val="none"/>
                    </w:rPr>
                    <w:t>磁场强度</w:t>
                  </w:r>
                </w:p>
              </w:tc>
              <w:tc>
                <w:tcPr>
                  <w:tcW w:w="4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outlineLvl w:val="9"/>
                    <w:rPr>
                      <w:color w:val="auto"/>
                      <w:sz w:val="21"/>
                      <w:szCs w:val="21"/>
                      <w:highlight w:val="none"/>
                    </w:rPr>
                  </w:pPr>
                  <w:r>
                    <w:rPr>
                      <w:color w:val="auto"/>
                      <w:sz w:val="21"/>
                      <w:szCs w:val="21"/>
                      <w:highlight w:val="none"/>
                    </w:rPr>
                    <w:t>控制敏感目标与站址的距离</w:t>
                  </w:r>
                </w:p>
              </w:tc>
              <w:tc>
                <w:tcPr>
                  <w:tcW w:w="15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ind w:left="-57" w:right="-57" w:firstLine="0" w:firstLineChars="0"/>
                    <w:jc w:val="both"/>
                    <w:textAlignment w:val="auto"/>
                    <w:outlineLvl w:val="9"/>
                    <w:rPr>
                      <w:color w:val="auto"/>
                      <w:sz w:val="21"/>
                      <w:szCs w:val="21"/>
                      <w:highlight w:val="none"/>
                    </w:rPr>
                  </w:pPr>
                </w:p>
              </w:tc>
            </w:tr>
          </w:tbl>
          <w:p>
            <w:pPr>
              <w:adjustRightInd w:val="0"/>
              <w:snapToGrid w:val="0"/>
              <w:spacing w:before="156" w:beforeLines="50"/>
              <w:rPr>
                <w:color w:val="auto"/>
                <w:szCs w:val="24"/>
                <w:highlight w:val="none"/>
              </w:rPr>
            </w:pPr>
            <w:bookmarkStart w:id="10" w:name="_Toc502410360"/>
            <w:bookmarkStart w:id="11" w:name="_Toc80755759"/>
            <w:bookmarkStart w:id="12" w:name="_Toc120203926"/>
            <w:r>
              <w:rPr>
                <w:rFonts w:hint="eastAsia"/>
                <w:b/>
                <w:color w:val="auto"/>
                <w:szCs w:val="24"/>
                <w:highlight w:val="none"/>
                <w:lang w:val="en-US" w:eastAsia="zh-CN"/>
              </w:rPr>
              <w:t>9</w:t>
            </w:r>
            <w:r>
              <w:rPr>
                <w:b/>
                <w:color w:val="auto"/>
                <w:szCs w:val="24"/>
                <w:highlight w:val="none"/>
              </w:rPr>
              <w:t>.2</w:t>
            </w:r>
            <w:r>
              <w:rPr>
                <w:b/>
                <w:bCs/>
                <w:color w:val="auto"/>
                <w:szCs w:val="24"/>
                <w:highlight w:val="none"/>
              </w:rPr>
              <w:t>环境监测</w:t>
            </w:r>
            <w:r>
              <w:rPr>
                <w:b/>
                <w:color w:val="auto"/>
                <w:szCs w:val="24"/>
                <w:highlight w:val="none"/>
              </w:rPr>
              <w:t>计划</w:t>
            </w:r>
            <w:bookmarkEnd w:id="10"/>
            <w:bookmarkEnd w:id="11"/>
            <w:bookmarkEnd w:id="12"/>
          </w:p>
          <w:p>
            <w:pPr>
              <w:spacing w:line="480" w:lineRule="exact"/>
              <w:ind w:firstLine="480" w:firstLineChars="200"/>
              <w:rPr>
                <w:color w:val="auto"/>
                <w:highlight w:val="none"/>
              </w:rPr>
            </w:pPr>
            <w:r>
              <w:rPr>
                <w:color w:val="auto"/>
                <w:highlight w:val="none"/>
              </w:rPr>
              <w:t>制订环境监测计划是为了监督各项环保措施的落实，为环境保护措施的实施时间、方案提供依据。制订的原则是根据预测主要环境影响及可能超标的地段及超标指标而定，重点是各环境敏感地区。由</w:t>
            </w:r>
            <w:r>
              <w:rPr>
                <w:rFonts w:hint="eastAsia"/>
                <w:color w:val="auto"/>
                <w:szCs w:val="24"/>
                <w:highlight w:val="none"/>
                <w:lang w:eastAsia="zh-CN"/>
              </w:rPr>
              <w:t>常德市鼎城区广播电视台</w:t>
            </w:r>
            <w:r>
              <w:rPr>
                <w:color w:val="auto"/>
                <w:highlight w:val="none"/>
              </w:rPr>
              <w:t>委托有相关资质的监测站进行监测。监测计划见表</w:t>
            </w:r>
            <w:r>
              <w:rPr>
                <w:rFonts w:hint="eastAsia"/>
                <w:color w:val="auto"/>
                <w:highlight w:val="none"/>
                <w:lang w:val="en-US" w:eastAsia="zh-CN"/>
              </w:rPr>
              <w:t>9</w:t>
            </w:r>
            <w:r>
              <w:rPr>
                <w:color w:val="auto"/>
                <w:highlight w:val="none"/>
              </w:rPr>
              <w:t>-2。</w:t>
            </w:r>
          </w:p>
          <w:p>
            <w:pPr>
              <w:jc w:val="center"/>
              <w:rPr>
                <w:b/>
                <w:color w:val="auto"/>
                <w:szCs w:val="21"/>
                <w:highlight w:val="none"/>
              </w:rPr>
            </w:pPr>
            <w:r>
              <w:rPr>
                <w:b/>
                <w:color w:val="auto"/>
                <w:szCs w:val="21"/>
                <w:highlight w:val="none"/>
              </w:rPr>
              <w:t>表</w:t>
            </w:r>
            <w:r>
              <w:rPr>
                <w:rFonts w:hint="eastAsia"/>
                <w:b/>
                <w:color w:val="auto"/>
                <w:szCs w:val="21"/>
                <w:highlight w:val="none"/>
                <w:lang w:val="en-US" w:eastAsia="zh-CN"/>
              </w:rPr>
              <w:t>9</w:t>
            </w:r>
            <w:r>
              <w:rPr>
                <w:b/>
                <w:color w:val="auto"/>
                <w:szCs w:val="21"/>
                <w:highlight w:val="none"/>
              </w:rPr>
              <w:t>-2    运行期环境监测计划</w:t>
            </w:r>
          </w:p>
          <w:tbl>
            <w:tblPr>
              <w:tblStyle w:val="35"/>
              <w:tblW w:w="8773"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628"/>
              <w:gridCol w:w="3057"/>
              <w:gridCol w:w="1684"/>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77" w:hRule="atLeast"/>
                <w:jc w:val="center"/>
              </w:trPr>
              <w:tc>
                <w:tcPr>
                  <w:tcW w:w="2628" w:type="dxa"/>
                  <w:tcBorders>
                    <w:tl2br w:val="nil"/>
                    <w:tr2bl w:val="nil"/>
                  </w:tcBorders>
                  <w:vAlign w:val="center"/>
                </w:tcPr>
                <w:p>
                  <w:pPr>
                    <w:spacing w:line="240" w:lineRule="auto"/>
                    <w:jc w:val="center"/>
                    <w:rPr>
                      <w:color w:val="auto"/>
                      <w:sz w:val="21"/>
                      <w:highlight w:val="none"/>
                    </w:rPr>
                  </w:pPr>
                  <w:r>
                    <w:rPr>
                      <w:color w:val="auto"/>
                      <w:sz w:val="21"/>
                      <w:highlight w:val="none"/>
                    </w:rPr>
                    <w:t>监测项目</w:t>
                  </w:r>
                </w:p>
              </w:tc>
              <w:tc>
                <w:tcPr>
                  <w:tcW w:w="3057" w:type="dxa"/>
                  <w:tcBorders>
                    <w:tl2br w:val="nil"/>
                    <w:tr2bl w:val="nil"/>
                  </w:tcBorders>
                  <w:vAlign w:val="center"/>
                </w:tcPr>
                <w:p>
                  <w:pPr>
                    <w:spacing w:line="380" w:lineRule="exact"/>
                    <w:jc w:val="center"/>
                    <w:rPr>
                      <w:color w:val="auto"/>
                      <w:sz w:val="21"/>
                      <w:highlight w:val="none"/>
                    </w:rPr>
                  </w:pPr>
                  <w:r>
                    <w:rPr>
                      <w:color w:val="auto"/>
                      <w:sz w:val="21"/>
                      <w:highlight w:val="none"/>
                    </w:rPr>
                    <w:t>监测点位</w:t>
                  </w:r>
                </w:p>
              </w:tc>
              <w:tc>
                <w:tcPr>
                  <w:tcW w:w="1684" w:type="dxa"/>
                  <w:tcBorders>
                    <w:tl2br w:val="nil"/>
                    <w:tr2bl w:val="nil"/>
                  </w:tcBorders>
                  <w:vAlign w:val="center"/>
                </w:tcPr>
                <w:p>
                  <w:pPr>
                    <w:spacing w:line="380" w:lineRule="exact"/>
                    <w:jc w:val="center"/>
                    <w:rPr>
                      <w:color w:val="auto"/>
                      <w:sz w:val="21"/>
                      <w:highlight w:val="none"/>
                    </w:rPr>
                  </w:pPr>
                  <w:r>
                    <w:rPr>
                      <w:color w:val="auto"/>
                      <w:sz w:val="21"/>
                      <w:highlight w:val="none"/>
                    </w:rPr>
                    <w:t>实施机构</w:t>
                  </w:r>
                </w:p>
              </w:tc>
              <w:tc>
                <w:tcPr>
                  <w:tcW w:w="1404" w:type="dxa"/>
                  <w:tcBorders>
                    <w:tl2br w:val="nil"/>
                    <w:tr2bl w:val="nil"/>
                  </w:tcBorders>
                  <w:vAlign w:val="center"/>
                </w:tcPr>
                <w:p>
                  <w:pPr>
                    <w:spacing w:line="380" w:lineRule="exact"/>
                    <w:ind w:left="-120" w:leftChars="-50" w:right="-120" w:rightChars="-50"/>
                    <w:jc w:val="center"/>
                    <w:rPr>
                      <w:color w:val="auto"/>
                      <w:sz w:val="21"/>
                      <w:highlight w:val="none"/>
                    </w:rPr>
                  </w:pPr>
                  <w:r>
                    <w:rPr>
                      <w:color w:val="auto"/>
                      <w:sz w:val="21"/>
                      <w:highlight w:val="none"/>
                    </w:rPr>
                    <w:t>监督机构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69" w:hRule="atLeast"/>
                <w:jc w:val="center"/>
              </w:trPr>
              <w:tc>
                <w:tcPr>
                  <w:tcW w:w="2628" w:type="dxa"/>
                  <w:tcBorders>
                    <w:tl2br w:val="nil"/>
                    <w:tr2bl w:val="nil"/>
                  </w:tcBorders>
                  <w:vAlign w:val="center"/>
                </w:tcPr>
                <w:p>
                  <w:pPr>
                    <w:spacing w:line="240" w:lineRule="auto"/>
                    <w:jc w:val="center"/>
                    <w:rPr>
                      <w:color w:val="auto"/>
                      <w:sz w:val="21"/>
                      <w:highlight w:val="none"/>
                    </w:rPr>
                  </w:pPr>
                  <w:r>
                    <w:rPr>
                      <w:color w:val="auto"/>
                      <w:sz w:val="21"/>
                      <w:highlight w:val="none"/>
                    </w:rPr>
                    <w:t>噪声</w:t>
                  </w:r>
                </w:p>
              </w:tc>
              <w:tc>
                <w:tcPr>
                  <w:tcW w:w="3057" w:type="dxa"/>
                  <w:vMerge w:val="restart"/>
                  <w:tcBorders>
                    <w:tl2br w:val="nil"/>
                    <w:tr2bl w:val="nil"/>
                  </w:tcBorders>
                  <w:vAlign w:val="center"/>
                </w:tcPr>
                <w:p>
                  <w:pPr>
                    <w:spacing w:line="320" w:lineRule="exact"/>
                    <w:jc w:val="center"/>
                    <w:rPr>
                      <w:color w:val="auto"/>
                      <w:spacing w:val="-4"/>
                      <w:sz w:val="21"/>
                      <w:szCs w:val="21"/>
                      <w:highlight w:val="none"/>
                    </w:rPr>
                  </w:pPr>
                  <w:r>
                    <w:rPr>
                      <w:color w:val="auto"/>
                      <w:spacing w:val="-4"/>
                      <w:sz w:val="21"/>
                      <w:szCs w:val="21"/>
                      <w:highlight w:val="none"/>
                    </w:rPr>
                    <w:t>包含但不限于</w:t>
                  </w:r>
                </w:p>
                <w:p>
                  <w:pPr>
                    <w:spacing w:line="320" w:lineRule="exact"/>
                    <w:jc w:val="center"/>
                    <w:rPr>
                      <w:color w:val="auto"/>
                      <w:sz w:val="21"/>
                      <w:highlight w:val="none"/>
                    </w:rPr>
                  </w:pPr>
                  <w:r>
                    <w:rPr>
                      <w:color w:val="auto"/>
                      <w:spacing w:val="-4"/>
                      <w:sz w:val="21"/>
                      <w:szCs w:val="21"/>
                      <w:highlight w:val="none"/>
                    </w:rPr>
                    <w:t>现状监测点</w:t>
                  </w:r>
                </w:p>
              </w:tc>
              <w:tc>
                <w:tcPr>
                  <w:tcW w:w="1684" w:type="dxa"/>
                  <w:vMerge w:val="restart"/>
                  <w:tcBorders>
                    <w:tl2br w:val="nil"/>
                    <w:tr2bl w:val="nil"/>
                  </w:tcBorders>
                  <w:vAlign w:val="center"/>
                </w:tcPr>
                <w:p>
                  <w:pPr>
                    <w:pStyle w:val="47"/>
                    <w:spacing w:line="320" w:lineRule="exact"/>
                    <w:jc w:val="center"/>
                    <w:rPr>
                      <w:color w:val="auto"/>
                      <w:highlight w:val="none"/>
                    </w:rPr>
                  </w:pPr>
                  <w:r>
                    <w:rPr>
                      <w:color w:val="auto"/>
                      <w:highlight w:val="none"/>
                    </w:rPr>
                    <w:t>受委托的环境监测站进行监测</w:t>
                  </w:r>
                </w:p>
              </w:tc>
              <w:tc>
                <w:tcPr>
                  <w:tcW w:w="1404" w:type="dxa"/>
                  <w:vMerge w:val="restart"/>
                  <w:tcBorders>
                    <w:tl2br w:val="nil"/>
                    <w:tr2bl w:val="nil"/>
                  </w:tcBorders>
                  <w:vAlign w:val="center"/>
                </w:tcPr>
                <w:p>
                  <w:pPr>
                    <w:overflowPunct w:val="0"/>
                    <w:autoSpaceDE w:val="0"/>
                    <w:autoSpaceDN w:val="0"/>
                    <w:adjustRightInd w:val="0"/>
                    <w:spacing w:line="320" w:lineRule="exact"/>
                    <w:jc w:val="center"/>
                    <w:rPr>
                      <w:color w:val="auto"/>
                      <w:sz w:val="21"/>
                      <w:highlight w:val="none"/>
                    </w:rPr>
                  </w:pPr>
                  <w:r>
                    <w:rPr>
                      <w:rFonts w:hint="eastAsia"/>
                      <w:color w:val="auto"/>
                      <w:sz w:val="21"/>
                      <w:highlight w:val="none"/>
                      <w:lang w:eastAsia="zh-CN"/>
                    </w:rPr>
                    <w:t>鼎城区</w:t>
                  </w:r>
                  <w:r>
                    <w:rPr>
                      <w:color w:val="auto"/>
                      <w:sz w:val="21"/>
                      <w:highlight w:val="none"/>
                    </w:rPr>
                    <w:t>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61" w:hRule="atLeast"/>
                <w:jc w:val="center"/>
              </w:trPr>
              <w:tc>
                <w:tcPr>
                  <w:tcW w:w="2628" w:type="dxa"/>
                  <w:tcBorders>
                    <w:tl2br w:val="nil"/>
                    <w:tr2bl w:val="nil"/>
                  </w:tcBorders>
                  <w:vAlign w:val="center"/>
                </w:tcPr>
                <w:p>
                  <w:pPr>
                    <w:spacing w:line="240" w:lineRule="auto"/>
                    <w:jc w:val="center"/>
                    <w:rPr>
                      <w:color w:val="auto"/>
                      <w:sz w:val="21"/>
                      <w:highlight w:val="none"/>
                    </w:rPr>
                  </w:pPr>
                  <w:r>
                    <w:rPr>
                      <w:color w:val="auto"/>
                      <w:sz w:val="21"/>
                      <w:highlight w:val="none"/>
                    </w:rPr>
                    <w:t>电场强度（V/m）</w:t>
                  </w:r>
                </w:p>
              </w:tc>
              <w:tc>
                <w:tcPr>
                  <w:tcW w:w="3057" w:type="dxa"/>
                  <w:vMerge w:val="continue"/>
                  <w:tcBorders>
                    <w:tl2br w:val="nil"/>
                    <w:tr2bl w:val="nil"/>
                  </w:tcBorders>
                  <w:vAlign w:val="center"/>
                </w:tcPr>
                <w:p>
                  <w:pPr>
                    <w:spacing w:line="320" w:lineRule="exact"/>
                    <w:jc w:val="center"/>
                    <w:rPr>
                      <w:color w:val="auto"/>
                      <w:sz w:val="21"/>
                      <w:highlight w:val="none"/>
                    </w:rPr>
                  </w:pPr>
                </w:p>
              </w:tc>
              <w:tc>
                <w:tcPr>
                  <w:tcW w:w="1684" w:type="dxa"/>
                  <w:vMerge w:val="continue"/>
                  <w:tcBorders>
                    <w:tl2br w:val="nil"/>
                    <w:tr2bl w:val="nil"/>
                  </w:tcBorders>
                  <w:vAlign w:val="center"/>
                </w:tcPr>
                <w:p>
                  <w:pPr>
                    <w:pStyle w:val="47"/>
                    <w:spacing w:line="320" w:lineRule="exact"/>
                    <w:jc w:val="center"/>
                    <w:rPr>
                      <w:color w:val="auto"/>
                      <w:highlight w:val="none"/>
                    </w:rPr>
                  </w:pPr>
                </w:p>
              </w:tc>
              <w:tc>
                <w:tcPr>
                  <w:tcW w:w="1404" w:type="dxa"/>
                  <w:vMerge w:val="continue"/>
                  <w:tcBorders>
                    <w:tl2br w:val="nil"/>
                    <w:tr2bl w:val="nil"/>
                  </w:tcBorders>
                  <w:vAlign w:val="center"/>
                </w:tcPr>
                <w:p>
                  <w:pPr>
                    <w:overflowPunct w:val="0"/>
                    <w:autoSpaceDE w:val="0"/>
                    <w:autoSpaceDN w:val="0"/>
                    <w:adjustRightInd w:val="0"/>
                    <w:spacing w:line="320" w:lineRule="exact"/>
                    <w:jc w:val="center"/>
                    <w:rPr>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37" w:hRule="atLeast"/>
                <w:jc w:val="center"/>
              </w:trPr>
              <w:tc>
                <w:tcPr>
                  <w:tcW w:w="2628" w:type="dxa"/>
                  <w:tcBorders>
                    <w:tl2br w:val="nil"/>
                    <w:tr2bl w:val="nil"/>
                  </w:tcBorders>
                  <w:vAlign w:val="center"/>
                </w:tcPr>
                <w:p>
                  <w:pPr>
                    <w:spacing w:line="240" w:lineRule="auto"/>
                    <w:jc w:val="center"/>
                    <w:rPr>
                      <w:color w:val="auto"/>
                      <w:sz w:val="21"/>
                      <w:highlight w:val="none"/>
                    </w:rPr>
                  </w:pPr>
                  <w:r>
                    <w:rPr>
                      <w:color w:val="auto"/>
                      <w:sz w:val="21"/>
                      <w:highlight w:val="none"/>
                    </w:rPr>
                    <w:t>磁场强度（A/m）</w:t>
                  </w:r>
                </w:p>
              </w:tc>
              <w:tc>
                <w:tcPr>
                  <w:tcW w:w="3057" w:type="dxa"/>
                  <w:vMerge w:val="continue"/>
                  <w:tcBorders>
                    <w:tl2br w:val="nil"/>
                    <w:tr2bl w:val="nil"/>
                  </w:tcBorders>
                  <w:vAlign w:val="center"/>
                </w:tcPr>
                <w:p>
                  <w:pPr>
                    <w:spacing w:line="320" w:lineRule="exact"/>
                    <w:jc w:val="center"/>
                    <w:rPr>
                      <w:color w:val="auto"/>
                      <w:sz w:val="21"/>
                      <w:highlight w:val="none"/>
                    </w:rPr>
                  </w:pPr>
                </w:p>
              </w:tc>
              <w:tc>
                <w:tcPr>
                  <w:tcW w:w="1684" w:type="dxa"/>
                  <w:vMerge w:val="continue"/>
                  <w:tcBorders>
                    <w:tl2br w:val="nil"/>
                    <w:tr2bl w:val="nil"/>
                  </w:tcBorders>
                  <w:vAlign w:val="center"/>
                </w:tcPr>
                <w:p>
                  <w:pPr>
                    <w:pStyle w:val="47"/>
                    <w:spacing w:line="320" w:lineRule="exact"/>
                    <w:jc w:val="center"/>
                    <w:rPr>
                      <w:color w:val="auto"/>
                      <w:highlight w:val="none"/>
                    </w:rPr>
                  </w:pPr>
                </w:p>
              </w:tc>
              <w:tc>
                <w:tcPr>
                  <w:tcW w:w="1404" w:type="dxa"/>
                  <w:vMerge w:val="continue"/>
                  <w:tcBorders>
                    <w:tl2br w:val="nil"/>
                    <w:tr2bl w:val="nil"/>
                  </w:tcBorders>
                  <w:vAlign w:val="center"/>
                </w:tcPr>
                <w:p>
                  <w:pPr>
                    <w:overflowPunct w:val="0"/>
                    <w:autoSpaceDE w:val="0"/>
                    <w:autoSpaceDN w:val="0"/>
                    <w:adjustRightInd w:val="0"/>
                    <w:spacing w:line="320" w:lineRule="exact"/>
                    <w:jc w:val="center"/>
                    <w:rPr>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55" w:hRule="atLeast"/>
                <w:jc w:val="center"/>
              </w:trPr>
              <w:tc>
                <w:tcPr>
                  <w:tcW w:w="2628" w:type="dxa"/>
                  <w:tcBorders>
                    <w:tl2br w:val="nil"/>
                    <w:tr2bl w:val="nil"/>
                  </w:tcBorders>
                  <w:vAlign w:val="center"/>
                </w:tcPr>
                <w:p>
                  <w:pPr>
                    <w:spacing w:line="240" w:lineRule="auto"/>
                    <w:jc w:val="center"/>
                    <w:rPr>
                      <w:color w:val="auto"/>
                      <w:sz w:val="21"/>
                      <w:highlight w:val="none"/>
                    </w:rPr>
                  </w:pPr>
                  <w:r>
                    <w:rPr>
                      <w:color w:val="auto"/>
                      <w:sz w:val="21"/>
                      <w:highlight w:val="none"/>
                    </w:rPr>
                    <w:t>等</w:t>
                  </w:r>
                  <w:r>
                    <w:rPr>
                      <w:color w:val="auto"/>
                      <w:sz w:val="21"/>
                      <w:szCs w:val="21"/>
                      <w:highlight w:val="none"/>
                    </w:rPr>
                    <w:t>效平面波功率密度(</w:t>
                  </w:r>
                  <w:r>
                    <w:rPr>
                      <w:rFonts w:hint="default" w:ascii="Times New Roman" w:hAnsi="Times New Roman" w:eastAsia="宋体" w:cs="Times New Roman"/>
                      <w:sz w:val="21"/>
                      <w:szCs w:val="21"/>
                      <w:highlight w:val="none"/>
                      <w:lang w:eastAsia="zh-CN"/>
                    </w:rPr>
                    <w:t>μ</w:t>
                  </w:r>
                  <w:r>
                    <w:rPr>
                      <w:rFonts w:hint="default" w:ascii="Times New Roman" w:hAnsi="Times New Roman" w:eastAsia="宋体" w:cs="Times New Roman"/>
                      <w:sz w:val="21"/>
                      <w:szCs w:val="21"/>
                      <w:highlight w:val="none"/>
                      <w:lang w:val="en-US" w:eastAsia="zh-CN"/>
                    </w:rPr>
                    <w:t>W</w:t>
                  </w:r>
                  <w:r>
                    <w:rPr>
                      <w:rFonts w:hint="eastAsia" w:ascii="Times New Roman" w:hAnsi="宋体" w:eastAsia="宋体"/>
                      <w:sz w:val="21"/>
                      <w:szCs w:val="21"/>
                      <w:highlight w:val="none"/>
                      <w:lang w:val="en-US" w:eastAsia="zh-CN"/>
                    </w:rPr>
                    <w:t>/cm</w:t>
                  </w:r>
                  <w:r>
                    <w:rPr>
                      <w:rFonts w:hint="eastAsia" w:ascii="Times New Roman" w:hAnsi="宋体" w:eastAsia="宋体"/>
                      <w:sz w:val="21"/>
                      <w:szCs w:val="21"/>
                      <w:highlight w:val="none"/>
                      <w:vertAlign w:val="superscript"/>
                      <w:lang w:val="en-US" w:eastAsia="zh-CN"/>
                    </w:rPr>
                    <w:t>2</w:t>
                  </w:r>
                  <w:r>
                    <w:rPr>
                      <w:color w:val="auto"/>
                      <w:sz w:val="21"/>
                      <w:szCs w:val="21"/>
                      <w:highlight w:val="none"/>
                    </w:rPr>
                    <w:t>)</w:t>
                  </w:r>
                </w:p>
              </w:tc>
              <w:tc>
                <w:tcPr>
                  <w:tcW w:w="3057" w:type="dxa"/>
                  <w:vMerge w:val="continue"/>
                  <w:tcBorders>
                    <w:tl2br w:val="nil"/>
                    <w:tr2bl w:val="nil"/>
                  </w:tcBorders>
                  <w:vAlign w:val="center"/>
                </w:tcPr>
                <w:p>
                  <w:pPr>
                    <w:spacing w:line="320" w:lineRule="exact"/>
                    <w:jc w:val="center"/>
                    <w:rPr>
                      <w:color w:val="auto"/>
                      <w:sz w:val="21"/>
                      <w:highlight w:val="none"/>
                    </w:rPr>
                  </w:pPr>
                </w:p>
              </w:tc>
              <w:tc>
                <w:tcPr>
                  <w:tcW w:w="1684" w:type="dxa"/>
                  <w:vMerge w:val="continue"/>
                  <w:tcBorders>
                    <w:tl2br w:val="nil"/>
                    <w:tr2bl w:val="nil"/>
                  </w:tcBorders>
                  <w:vAlign w:val="center"/>
                </w:tcPr>
                <w:p>
                  <w:pPr>
                    <w:pStyle w:val="47"/>
                    <w:spacing w:line="320" w:lineRule="exact"/>
                    <w:jc w:val="center"/>
                    <w:rPr>
                      <w:color w:val="auto"/>
                      <w:highlight w:val="none"/>
                    </w:rPr>
                  </w:pPr>
                </w:p>
              </w:tc>
              <w:tc>
                <w:tcPr>
                  <w:tcW w:w="1404" w:type="dxa"/>
                  <w:vMerge w:val="continue"/>
                  <w:tcBorders>
                    <w:tl2br w:val="nil"/>
                    <w:tr2bl w:val="nil"/>
                  </w:tcBorders>
                  <w:vAlign w:val="center"/>
                </w:tcPr>
                <w:p>
                  <w:pPr>
                    <w:overflowPunct w:val="0"/>
                    <w:autoSpaceDE w:val="0"/>
                    <w:autoSpaceDN w:val="0"/>
                    <w:adjustRightInd w:val="0"/>
                    <w:spacing w:line="320" w:lineRule="exact"/>
                    <w:jc w:val="center"/>
                    <w:rPr>
                      <w:color w:val="auto"/>
                      <w:sz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b/>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color w:val="auto"/>
                <w:highlight w:val="none"/>
              </w:rPr>
            </w:pPr>
            <w:r>
              <w:rPr>
                <w:rFonts w:hint="eastAsia"/>
                <w:b/>
                <w:color w:val="auto"/>
                <w:highlight w:val="none"/>
                <w:lang w:val="en-US" w:eastAsia="zh-CN"/>
              </w:rPr>
              <w:t>9</w:t>
            </w:r>
            <w:r>
              <w:rPr>
                <w:b/>
                <w:color w:val="auto"/>
                <w:highlight w:val="none"/>
              </w:rPr>
              <w:t>.3</w:t>
            </w:r>
            <w:r>
              <w:rPr>
                <w:b/>
                <w:bCs/>
                <w:color w:val="auto"/>
                <w:szCs w:val="24"/>
                <w:highlight w:val="none"/>
              </w:rPr>
              <w:t>竣工</w:t>
            </w:r>
            <w:r>
              <w:rPr>
                <w:b/>
                <w:color w:val="auto"/>
                <w:highlight w:val="none"/>
              </w:rPr>
              <w:t>环境保护验收计划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b/>
                <w:color w:val="auto"/>
                <w:szCs w:val="24"/>
                <w:highlight w:val="none"/>
              </w:rPr>
            </w:pPr>
            <w:r>
              <w:rPr>
                <w:color w:val="auto"/>
                <w:kern w:val="0"/>
                <w:sz w:val="24"/>
                <w:szCs w:val="24"/>
                <w:highlight w:val="none"/>
              </w:rPr>
              <w:t>竣工环境保护验收是为了查清本项目环境保护措施落实情况，分析已采取环保措施的有效性，确定项目对环境造成的实际影响及可能存在的潜在影响，全面做好生态恢复与污染防治工作。</w:t>
            </w:r>
            <w:r>
              <w:rPr>
                <w:color w:val="auto"/>
                <w:sz w:val="24"/>
                <w:szCs w:val="24"/>
                <w:highlight w:val="none"/>
              </w:rPr>
              <w:t>竣工验收主要内容如表</w:t>
            </w:r>
            <w:r>
              <w:rPr>
                <w:rFonts w:hint="eastAsia"/>
                <w:color w:val="auto"/>
                <w:sz w:val="24"/>
                <w:szCs w:val="24"/>
                <w:highlight w:val="none"/>
                <w:lang w:val="en-US" w:eastAsia="zh-CN"/>
              </w:rPr>
              <w:t>9</w:t>
            </w:r>
            <w:r>
              <w:rPr>
                <w:color w:val="auto"/>
                <w:sz w:val="24"/>
                <w:szCs w:val="24"/>
                <w:highlight w:val="none"/>
              </w:rPr>
              <w:t>-3。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b/>
                <w:color w:val="auto"/>
                <w:szCs w:val="24"/>
                <w:highlight w:val="none"/>
              </w:rPr>
            </w:pPr>
            <w:r>
              <w:rPr>
                <w:b/>
                <w:color w:val="auto"/>
                <w:szCs w:val="24"/>
                <w:highlight w:val="none"/>
              </w:rPr>
              <w:t>表</w:t>
            </w:r>
            <w:r>
              <w:rPr>
                <w:rFonts w:hint="eastAsia"/>
                <w:b/>
                <w:color w:val="auto"/>
                <w:szCs w:val="24"/>
                <w:highlight w:val="none"/>
                <w:lang w:val="en-US" w:eastAsia="zh-CN"/>
              </w:rPr>
              <w:t>9</w:t>
            </w:r>
            <w:r>
              <w:rPr>
                <w:b/>
                <w:color w:val="auto"/>
                <w:szCs w:val="24"/>
                <w:highlight w:val="none"/>
              </w:rPr>
              <w:t>-3竣工环境保护验收调查内容一览表</w:t>
            </w:r>
          </w:p>
          <w:tbl>
            <w:tblPr>
              <w:tblStyle w:val="35"/>
              <w:tblW w:w="8754"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1"/>
              <w:gridCol w:w="1831"/>
              <w:gridCol w:w="3555"/>
              <w:gridCol w:w="2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471" w:hRule="atLeast"/>
                <w:jc w:val="center"/>
              </w:trPr>
              <w:tc>
                <w:tcPr>
                  <w:tcW w:w="52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序号</w:t>
                  </w:r>
                </w:p>
              </w:tc>
              <w:tc>
                <w:tcPr>
                  <w:tcW w:w="183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要 素</w:t>
                  </w:r>
                </w:p>
              </w:tc>
              <w:tc>
                <w:tcPr>
                  <w:tcW w:w="3555"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验收要求</w:t>
                  </w:r>
                </w:p>
              </w:tc>
              <w:tc>
                <w:tcPr>
                  <w:tcW w:w="2847"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77" w:hRule="atLeast"/>
                <w:jc w:val="center"/>
              </w:trPr>
              <w:tc>
                <w:tcPr>
                  <w:tcW w:w="52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1</w:t>
                  </w:r>
                </w:p>
              </w:tc>
              <w:tc>
                <w:tcPr>
                  <w:tcW w:w="1831" w:type="dxa"/>
                  <w:tcBorders>
                    <w:tl2br w:val="nil"/>
                    <w:tr2bl w:val="nil"/>
                  </w:tcBorders>
                  <w:vAlign w:val="center"/>
                </w:tcPr>
                <w:p>
                  <w:pPr>
                    <w:adjustRightInd w:val="0"/>
                    <w:snapToGrid w:val="0"/>
                    <w:spacing w:line="240" w:lineRule="auto"/>
                    <w:jc w:val="center"/>
                    <w:rPr>
                      <w:color w:val="auto"/>
                      <w:spacing w:val="-8"/>
                      <w:sz w:val="21"/>
                      <w:szCs w:val="21"/>
                      <w:highlight w:val="none"/>
                    </w:rPr>
                  </w:pPr>
                  <w:r>
                    <w:rPr>
                      <w:color w:val="auto"/>
                      <w:kern w:val="0"/>
                      <w:sz w:val="21"/>
                      <w:szCs w:val="21"/>
                      <w:highlight w:val="none"/>
                    </w:rPr>
                    <w:t>管  理</w:t>
                  </w:r>
                </w:p>
              </w:tc>
              <w:tc>
                <w:tcPr>
                  <w:tcW w:w="3555" w:type="dxa"/>
                  <w:tcBorders>
                    <w:tl2br w:val="nil"/>
                    <w:tr2bl w:val="nil"/>
                  </w:tcBorders>
                  <w:vAlign w:val="center"/>
                </w:tcPr>
                <w:p>
                  <w:pPr>
                    <w:adjustRightInd w:val="0"/>
                    <w:snapToGrid w:val="0"/>
                    <w:spacing w:line="240" w:lineRule="auto"/>
                    <w:rPr>
                      <w:color w:val="auto"/>
                      <w:sz w:val="21"/>
                      <w:szCs w:val="21"/>
                      <w:highlight w:val="none"/>
                    </w:rPr>
                  </w:pPr>
                  <w:r>
                    <w:rPr>
                      <w:color w:val="auto"/>
                      <w:sz w:val="21"/>
                      <w:szCs w:val="21"/>
                      <w:highlight w:val="none"/>
                    </w:rPr>
                    <w:t xml:space="preserve">环保手续、环保资料档案、环保制度等的完善。 </w:t>
                  </w:r>
                </w:p>
              </w:tc>
              <w:tc>
                <w:tcPr>
                  <w:tcW w:w="2847"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齐全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2" w:hRule="atLeast"/>
                <w:jc w:val="center"/>
              </w:trPr>
              <w:tc>
                <w:tcPr>
                  <w:tcW w:w="52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2</w:t>
                  </w:r>
                </w:p>
              </w:tc>
              <w:tc>
                <w:tcPr>
                  <w:tcW w:w="1831" w:type="dxa"/>
                  <w:tcBorders>
                    <w:tl2br w:val="nil"/>
                    <w:tr2bl w:val="nil"/>
                  </w:tcBorders>
                  <w:vAlign w:val="center"/>
                </w:tcPr>
                <w:p>
                  <w:pPr>
                    <w:adjustRightInd w:val="0"/>
                    <w:snapToGrid w:val="0"/>
                    <w:spacing w:line="240" w:lineRule="auto"/>
                    <w:jc w:val="center"/>
                    <w:rPr>
                      <w:color w:val="auto"/>
                      <w:spacing w:val="-4"/>
                      <w:sz w:val="21"/>
                      <w:szCs w:val="21"/>
                      <w:highlight w:val="none"/>
                    </w:rPr>
                  </w:pPr>
                  <w:r>
                    <w:rPr>
                      <w:color w:val="auto"/>
                      <w:kern w:val="0"/>
                      <w:sz w:val="21"/>
                      <w:szCs w:val="21"/>
                      <w:highlight w:val="none"/>
                    </w:rPr>
                    <w:t>声环境</w:t>
                  </w:r>
                </w:p>
              </w:tc>
              <w:tc>
                <w:tcPr>
                  <w:tcW w:w="3555" w:type="dxa"/>
                  <w:tcBorders>
                    <w:tl2br w:val="nil"/>
                    <w:tr2bl w:val="nil"/>
                  </w:tcBorders>
                  <w:vAlign w:val="center"/>
                </w:tcPr>
                <w:p>
                  <w:pPr>
                    <w:adjustRightInd w:val="0"/>
                    <w:snapToGrid w:val="0"/>
                    <w:spacing w:line="240" w:lineRule="auto"/>
                    <w:rPr>
                      <w:color w:val="auto"/>
                      <w:kern w:val="0"/>
                      <w:sz w:val="21"/>
                      <w:szCs w:val="21"/>
                      <w:highlight w:val="none"/>
                    </w:rPr>
                  </w:pPr>
                  <w:r>
                    <w:rPr>
                      <w:color w:val="auto"/>
                      <w:kern w:val="0"/>
                      <w:sz w:val="21"/>
                      <w:szCs w:val="21"/>
                      <w:highlight w:val="none"/>
                    </w:rPr>
                    <w:t>厂界噪声监测：</w:t>
                  </w:r>
                </w:p>
                <w:p>
                  <w:pPr>
                    <w:adjustRightInd w:val="0"/>
                    <w:snapToGrid w:val="0"/>
                    <w:spacing w:line="240" w:lineRule="auto"/>
                    <w:rPr>
                      <w:color w:val="auto"/>
                      <w:sz w:val="21"/>
                      <w:szCs w:val="21"/>
                      <w:highlight w:val="none"/>
                    </w:rPr>
                  </w:pPr>
                  <w:r>
                    <w:rPr>
                      <w:rFonts w:hint="eastAsia"/>
                      <w:color w:val="auto"/>
                      <w:sz w:val="21"/>
                      <w:szCs w:val="21"/>
                      <w:highlight w:val="none"/>
                      <w:lang w:eastAsia="zh-CN"/>
                    </w:rPr>
                    <w:t>非临路侧：</w:t>
                  </w:r>
                  <w:r>
                    <w:rPr>
                      <w:color w:val="auto"/>
                      <w:sz w:val="21"/>
                      <w:szCs w:val="21"/>
                      <w:highlight w:val="none"/>
                    </w:rPr>
                    <w:t>昼间≤</w:t>
                  </w:r>
                  <w:r>
                    <w:rPr>
                      <w:rFonts w:hint="eastAsia"/>
                      <w:color w:val="auto"/>
                      <w:sz w:val="21"/>
                      <w:szCs w:val="21"/>
                      <w:highlight w:val="none"/>
                      <w:lang w:val="en-US" w:eastAsia="zh-CN"/>
                    </w:rPr>
                    <w:t>60</w:t>
                  </w:r>
                  <w:r>
                    <w:rPr>
                      <w:color w:val="auto"/>
                      <w:sz w:val="21"/>
                      <w:szCs w:val="21"/>
                      <w:highlight w:val="none"/>
                    </w:rPr>
                    <w:t>dB  夜间≤</w:t>
                  </w:r>
                  <w:r>
                    <w:rPr>
                      <w:rFonts w:hint="eastAsia"/>
                      <w:color w:val="auto"/>
                      <w:sz w:val="21"/>
                      <w:szCs w:val="21"/>
                      <w:highlight w:val="none"/>
                      <w:lang w:val="en-US" w:eastAsia="zh-CN"/>
                    </w:rPr>
                    <w:t>50</w:t>
                  </w:r>
                  <w:r>
                    <w:rPr>
                      <w:color w:val="auto"/>
                      <w:sz w:val="21"/>
                      <w:szCs w:val="21"/>
                      <w:highlight w:val="none"/>
                    </w:rPr>
                    <w:t>dB</w:t>
                  </w:r>
                  <w:r>
                    <w:rPr>
                      <w:rFonts w:hint="eastAsia"/>
                      <w:color w:val="auto"/>
                      <w:sz w:val="21"/>
                      <w:szCs w:val="21"/>
                      <w:highlight w:val="none"/>
                      <w:lang w:eastAsia="zh-CN"/>
                    </w:rPr>
                    <w:t>；临路侧：</w:t>
                  </w:r>
                  <w:r>
                    <w:rPr>
                      <w:color w:val="auto"/>
                      <w:sz w:val="21"/>
                      <w:szCs w:val="21"/>
                      <w:highlight w:val="none"/>
                    </w:rPr>
                    <w:t>昼间≤</w:t>
                  </w:r>
                  <w:r>
                    <w:rPr>
                      <w:rFonts w:hint="eastAsia"/>
                      <w:color w:val="auto"/>
                      <w:sz w:val="21"/>
                      <w:szCs w:val="21"/>
                      <w:highlight w:val="none"/>
                      <w:lang w:val="en-US" w:eastAsia="zh-CN"/>
                    </w:rPr>
                    <w:t>70</w:t>
                  </w:r>
                  <w:r>
                    <w:rPr>
                      <w:color w:val="auto"/>
                      <w:sz w:val="21"/>
                      <w:szCs w:val="21"/>
                      <w:highlight w:val="none"/>
                    </w:rPr>
                    <w:t>dB  夜间≤</w:t>
                  </w:r>
                  <w:r>
                    <w:rPr>
                      <w:rFonts w:hint="eastAsia"/>
                      <w:color w:val="auto"/>
                      <w:sz w:val="21"/>
                      <w:szCs w:val="21"/>
                      <w:highlight w:val="none"/>
                      <w:lang w:val="en-US" w:eastAsia="zh-CN"/>
                    </w:rPr>
                    <w:t>55</w:t>
                  </w:r>
                  <w:r>
                    <w:rPr>
                      <w:color w:val="auto"/>
                      <w:sz w:val="21"/>
                      <w:szCs w:val="21"/>
                      <w:highlight w:val="none"/>
                    </w:rPr>
                    <w:t>dB</w:t>
                  </w:r>
                </w:p>
              </w:tc>
              <w:tc>
                <w:tcPr>
                  <w:tcW w:w="2847" w:type="dxa"/>
                  <w:tcBorders>
                    <w:tl2br w:val="nil"/>
                    <w:tr2bl w:val="nil"/>
                  </w:tcBorders>
                  <w:vAlign w:val="center"/>
                </w:tcPr>
                <w:p>
                  <w:pPr>
                    <w:adjustRightInd w:val="0"/>
                    <w:snapToGrid w:val="0"/>
                    <w:spacing w:line="240" w:lineRule="auto"/>
                    <w:rPr>
                      <w:color w:val="auto"/>
                      <w:sz w:val="21"/>
                      <w:szCs w:val="21"/>
                      <w:highlight w:val="none"/>
                    </w:rPr>
                  </w:pPr>
                  <w:r>
                    <w:rPr>
                      <w:color w:val="auto"/>
                      <w:sz w:val="21"/>
                      <w:szCs w:val="21"/>
                      <w:highlight w:val="none"/>
                    </w:rPr>
                    <w:t>执行《工业企业厂界环境噪声排放标准》（GB12348-2008）</w:t>
                  </w:r>
                  <w:r>
                    <w:rPr>
                      <w:rFonts w:hint="eastAsia"/>
                      <w:color w:val="auto"/>
                      <w:sz w:val="21"/>
                      <w:szCs w:val="21"/>
                      <w:highlight w:val="none"/>
                      <w:lang w:val="en-US" w:eastAsia="zh-CN"/>
                    </w:rPr>
                    <w:t>2</w:t>
                  </w:r>
                  <w:r>
                    <w:rPr>
                      <w:color w:val="auto"/>
                      <w:sz w:val="21"/>
                      <w:szCs w:val="21"/>
                      <w:highlight w:val="none"/>
                    </w:rPr>
                    <w:t>类</w:t>
                  </w:r>
                  <w:r>
                    <w:rPr>
                      <w:rFonts w:hint="eastAsia"/>
                      <w:color w:val="auto"/>
                      <w:sz w:val="21"/>
                      <w:szCs w:val="21"/>
                      <w:highlight w:val="none"/>
                      <w:lang w:val="en-US" w:eastAsia="zh-CN"/>
                    </w:rPr>
                    <w:t>、4类</w:t>
                  </w:r>
                  <w:r>
                    <w:rPr>
                      <w:color w:val="auto"/>
                      <w:sz w:val="21"/>
                      <w:szCs w:val="21"/>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973" w:hRule="atLeast"/>
                <w:jc w:val="center"/>
              </w:trPr>
              <w:tc>
                <w:tcPr>
                  <w:tcW w:w="521" w:type="dxa"/>
                  <w:tcBorders>
                    <w:tl2br w:val="nil"/>
                    <w:tr2bl w:val="nil"/>
                  </w:tcBorders>
                  <w:vAlign w:val="center"/>
                </w:tcPr>
                <w:p>
                  <w:pPr>
                    <w:adjustRightInd w:val="0"/>
                    <w:snapToGrid w:val="0"/>
                    <w:spacing w:line="240" w:lineRule="auto"/>
                    <w:jc w:val="center"/>
                    <w:rPr>
                      <w:color w:val="auto"/>
                      <w:sz w:val="21"/>
                      <w:szCs w:val="21"/>
                      <w:highlight w:val="none"/>
                    </w:rPr>
                  </w:pPr>
                  <w:r>
                    <w:rPr>
                      <w:color w:val="auto"/>
                      <w:sz w:val="21"/>
                      <w:szCs w:val="21"/>
                      <w:highlight w:val="none"/>
                    </w:rPr>
                    <w:t>3</w:t>
                  </w:r>
                </w:p>
              </w:tc>
              <w:tc>
                <w:tcPr>
                  <w:tcW w:w="1831" w:type="dxa"/>
                  <w:tcBorders>
                    <w:tl2br w:val="nil"/>
                    <w:tr2bl w:val="nil"/>
                  </w:tcBorders>
                  <w:vAlign w:val="center"/>
                </w:tcPr>
                <w:p>
                  <w:pPr>
                    <w:adjustRightInd w:val="0"/>
                    <w:snapToGrid w:val="0"/>
                    <w:spacing w:line="240" w:lineRule="auto"/>
                    <w:jc w:val="center"/>
                    <w:rPr>
                      <w:color w:val="auto"/>
                      <w:kern w:val="0"/>
                      <w:sz w:val="21"/>
                      <w:szCs w:val="21"/>
                      <w:highlight w:val="none"/>
                    </w:rPr>
                  </w:pPr>
                  <w:r>
                    <w:rPr>
                      <w:color w:val="auto"/>
                      <w:sz w:val="21"/>
                      <w:szCs w:val="21"/>
                      <w:highlight w:val="none"/>
                    </w:rPr>
                    <w:t>电磁环境</w:t>
                  </w:r>
                </w:p>
              </w:tc>
              <w:tc>
                <w:tcPr>
                  <w:tcW w:w="3555" w:type="dxa"/>
                  <w:tcBorders>
                    <w:tl2br w:val="nil"/>
                    <w:tr2bl w:val="nil"/>
                  </w:tcBorders>
                  <w:vAlign w:val="center"/>
                </w:tcPr>
                <w:p>
                  <w:pPr>
                    <w:adjustRightInd w:val="0"/>
                    <w:snapToGrid w:val="0"/>
                    <w:spacing w:line="240" w:lineRule="auto"/>
                    <w:rPr>
                      <w:color w:val="auto"/>
                      <w:kern w:val="0"/>
                      <w:sz w:val="21"/>
                      <w:szCs w:val="21"/>
                      <w:highlight w:val="none"/>
                    </w:rPr>
                  </w:pPr>
                  <w:r>
                    <w:rPr>
                      <w:color w:val="auto"/>
                      <w:kern w:val="0"/>
                      <w:sz w:val="21"/>
                      <w:szCs w:val="21"/>
                      <w:highlight w:val="none"/>
                    </w:rPr>
                    <w:t>周围敏感点监测：</w:t>
                  </w:r>
                </w:p>
                <w:p>
                  <w:pPr>
                    <w:adjustRightInd w:val="0"/>
                    <w:snapToGrid w:val="0"/>
                    <w:spacing w:line="240" w:lineRule="auto"/>
                    <w:rPr>
                      <w:color w:val="auto"/>
                      <w:sz w:val="21"/>
                      <w:szCs w:val="21"/>
                      <w:highlight w:val="none"/>
                    </w:rPr>
                  </w:pPr>
                  <w:r>
                    <w:rPr>
                      <w:color w:val="auto"/>
                      <w:sz w:val="21"/>
                      <w:szCs w:val="21"/>
                      <w:highlight w:val="none"/>
                    </w:rPr>
                    <w:t>电场强度＜</w:t>
                  </w:r>
                  <w:r>
                    <w:rPr>
                      <w:rFonts w:hint="eastAsia"/>
                      <w:color w:val="auto"/>
                      <w:sz w:val="21"/>
                      <w:szCs w:val="21"/>
                      <w:highlight w:val="none"/>
                      <w:lang w:val="en-US" w:eastAsia="zh-CN"/>
                    </w:rPr>
                    <w:t>5.37</w:t>
                  </w:r>
                  <w:r>
                    <w:rPr>
                      <w:color w:val="auto"/>
                      <w:sz w:val="21"/>
                      <w:szCs w:val="21"/>
                      <w:highlight w:val="none"/>
                    </w:rPr>
                    <w:t>V/m；</w:t>
                  </w:r>
                </w:p>
                <w:p>
                  <w:pPr>
                    <w:adjustRightInd w:val="0"/>
                    <w:snapToGrid w:val="0"/>
                    <w:spacing w:line="240" w:lineRule="auto"/>
                    <w:rPr>
                      <w:color w:val="auto"/>
                      <w:sz w:val="21"/>
                      <w:highlight w:val="none"/>
                    </w:rPr>
                  </w:pPr>
                  <w:r>
                    <w:rPr>
                      <w:color w:val="auto"/>
                      <w:sz w:val="21"/>
                      <w:szCs w:val="21"/>
                      <w:highlight w:val="none"/>
                    </w:rPr>
                    <w:t>磁场强度＜0.0</w:t>
                  </w:r>
                  <w:r>
                    <w:rPr>
                      <w:rFonts w:hint="eastAsia"/>
                      <w:color w:val="auto"/>
                      <w:sz w:val="21"/>
                      <w:szCs w:val="21"/>
                      <w:highlight w:val="none"/>
                      <w:lang w:val="en-US" w:eastAsia="zh-CN"/>
                    </w:rPr>
                    <w:t>14</w:t>
                  </w:r>
                  <w:r>
                    <w:rPr>
                      <w:color w:val="auto"/>
                      <w:sz w:val="21"/>
                      <w:highlight w:val="none"/>
                    </w:rPr>
                    <w:t xml:space="preserve"> A/m；</w:t>
                  </w:r>
                </w:p>
                <w:p>
                  <w:pPr>
                    <w:adjustRightInd w:val="0"/>
                    <w:snapToGrid w:val="0"/>
                    <w:spacing w:line="240" w:lineRule="auto"/>
                    <w:rPr>
                      <w:color w:val="auto"/>
                      <w:spacing w:val="2"/>
                      <w:sz w:val="21"/>
                      <w:szCs w:val="21"/>
                      <w:highlight w:val="none"/>
                    </w:rPr>
                  </w:pPr>
                  <w:r>
                    <w:rPr>
                      <w:color w:val="auto"/>
                      <w:sz w:val="21"/>
                      <w:highlight w:val="none"/>
                    </w:rPr>
                    <w:t>等效平面波功率密度</w:t>
                  </w:r>
                  <w:r>
                    <w:rPr>
                      <w:color w:val="auto"/>
                      <w:sz w:val="21"/>
                      <w:szCs w:val="21"/>
                      <w:highlight w:val="none"/>
                    </w:rPr>
                    <w:t>＜</w:t>
                  </w:r>
                  <w:r>
                    <w:rPr>
                      <w:rFonts w:hint="eastAsia"/>
                      <w:color w:val="auto"/>
                      <w:sz w:val="21"/>
                      <w:szCs w:val="21"/>
                      <w:highlight w:val="none"/>
                      <w:lang w:val="en-US" w:eastAsia="zh-CN"/>
                    </w:rPr>
                    <w:t>0.08</w:t>
                  </w:r>
                  <w:r>
                    <w:rPr>
                      <w:rFonts w:hint="default" w:ascii="Times New Roman" w:hAnsi="Times New Roman" w:eastAsia="宋体" w:cs="Times New Roman"/>
                      <w:sz w:val="21"/>
                      <w:szCs w:val="21"/>
                      <w:highlight w:val="none"/>
                      <w:lang w:val="en-US" w:eastAsia="zh-CN"/>
                    </w:rPr>
                    <w:t>W</w:t>
                  </w:r>
                  <w:r>
                    <w:rPr>
                      <w:rFonts w:hint="eastAsia" w:ascii="Times New Roman" w:hAnsi="宋体" w:eastAsia="宋体"/>
                      <w:sz w:val="21"/>
                      <w:szCs w:val="21"/>
                      <w:highlight w:val="none"/>
                      <w:lang w:val="en-US" w:eastAsia="zh-CN"/>
                    </w:rPr>
                    <w:t>/m</w:t>
                  </w:r>
                  <w:r>
                    <w:rPr>
                      <w:rFonts w:hint="eastAsia" w:ascii="Times New Roman" w:hAnsi="宋体" w:eastAsia="宋体"/>
                      <w:sz w:val="21"/>
                      <w:szCs w:val="21"/>
                      <w:highlight w:val="none"/>
                      <w:vertAlign w:val="superscript"/>
                      <w:lang w:val="en-US" w:eastAsia="zh-CN"/>
                    </w:rPr>
                    <w:t>2</w:t>
                  </w:r>
                </w:p>
              </w:tc>
              <w:tc>
                <w:tcPr>
                  <w:tcW w:w="2847" w:type="dxa"/>
                  <w:tcBorders>
                    <w:tl2br w:val="nil"/>
                    <w:tr2bl w:val="nil"/>
                  </w:tcBorders>
                  <w:vAlign w:val="center"/>
                </w:tcPr>
                <w:p>
                  <w:pPr>
                    <w:adjustRightInd w:val="0"/>
                    <w:snapToGrid w:val="0"/>
                    <w:spacing w:line="240" w:lineRule="auto"/>
                    <w:rPr>
                      <w:color w:val="auto"/>
                      <w:sz w:val="21"/>
                      <w:szCs w:val="21"/>
                      <w:highlight w:val="none"/>
                    </w:rPr>
                  </w:pPr>
                  <w:r>
                    <w:rPr>
                      <w:color w:val="auto"/>
                      <w:sz w:val="21"/>
                      <w:szCs w:val="21"/>
                      <w:highlight w:val="none"/>
                    </w:rPr>
                    <w:t>《电磁环境控制限值》（GB8702-2014）</w:t>
                  </w:r>
                </w:p>
              </w:tc>
            </w:tr>
          </w:tbl>
          <w:p>
            <w:pPr>
              <w:pStyle w:val="20"/>
              <w:autoSpaceDE w:val="0"/>
              <w:autoSpaceDN w:val="0"/>
              <w:adjustRightInd w:val="0"/>
              <w:spacing w:line="360" w:lineRule="auto"/>
              <w:ind w:left="-2" w:firstLine="448" w:firstLineChars="187"/>
              <w:rPr>
                <w:color w:val="auto"/>
                <w:sz w:val="24"/>
                <w:szCs w:val="24"/>
                <w:highlight w:val="none"/>
              </w:rPr>
            </w:pPr>
          </w:p>
          <w:p>
            <w:pPr>
              <w:pStyle w:val="20"/>
              <w:autoSpaceDE w:val="0"/>
              <w:autoSpaceDN w:val="0"/>
              <w:adjustRightInd w:val="0"/>
              <w:spacing w:line="360" w:lineRule="auto"/>
              <w:ind w:left="-2" w:firstLine="448" w:firstLineChars="187"/>
              <w:rPr>
                <w:color w:val="auto"/>
                <w:sz w:val="24"/>
                <w:szCs w:val="24"/>
                <w:highlight w:val="none"/>
              </w:rPr>
            </w:pPr>
          </w:p>
          <w:p>
            <w:pPr>
              <w:pStyle w:val="20"/>
              <w:autoSpaceDE w:val="0"/>
              <w:autoSpaceDN w:val="0"/>
              <w:adjustRightInd w:val="0"/>
              <w:spacing w:line="360" w:lineRule="auto"/>
              <w:ind w:left="-2" w:firstLine="448" w:firstLineChars="187"/>
              <w:rPr>
                <w:color w:val="auto"/>
                <w:sz w:val="24"/>
                <w:szCs w:val="24"/>
                <w:highlight w:val="none"/>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2" w:firstLine="448" w:firstLineChars="187"/>
              <w:rPr>
                <w:color w:val="auto"/>
                <w:sz w:val="24"/>
                <w:szCs w:val="24"/>
                <w:highlight w:val="yellow"/>
              </w:rPr>
            </w:pPr>
          </w:p>
          <w:p>
            <w:pPr>
              <w:pStyle w:val="20"/>
              <w:autoSpaceDE w:val="0"/>
              <w:autoSpaceDN w:val="0"/>
              <w:adjustRightInd w:val="0"/>
              <w:spacing w:line="360" w:lineRule="auto"/>
              <w:ind w:left="0" w:leftChars="0" w:firstLine="0" w:firstLineChars="0"/>
              <w:rPr>
                <w:color w:val="auto"/>
                <w:sz w:val="24"/>
                <w:szCs w:val="24"/>
                <w:highlight w:val="yellow"/>
              </w:rPr>
            </w:pPr>
          </w:p>
        </w:tc>
      </w:tr>
    </w:tbl>
    <w:p>
      <w:pPr>
        <w:rPr>
          <w:color w:val="auto"/>
        </w:rPr>
      </w:pPr>
    </w:p>
    <w:p>
      <w:pPr>
        <w:rPr>
          <w:color w:val="auto"/>
        </w:rPr>
      </w:pPr>
    </w:p>
    <w:tbl>
      <w:tblPr>
        <w:tblStyle w:val="35"/>
        <w:tblW w:w="89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Borders>
              <w:top w:val="nil"/>
              <w:left w:val="nil"/>
              <w:right w:val="nil"/>
            </w:tcBorders>
          </w:tcPr>
          <w:p>
            <w:pPr>
              <w:rPr>
                <w:color w:val="auto"/>
                <w:szCs w:val="24"/>
                <w:highlight w:val="yellow"/>
              </w:rPr>
            </w:pPr>
            <w:r>
              <w:rPr>
                <w:b/>
                <w:color w:val="auto"/>
                <w:szCs w:val="24"/>
                <w:highlight w:val="none"/>
              </w:rPr>
              <w:t>结论及建议                                                          表1</w:t>
            </w:r>
            <w:r>
              <w:rPr>
                <w:rFonts w:hint="eastAsia"/>
                <w:b/>
                <w:color w:val="auto"/>
                <w:szCs w:val="24"/>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999" w:type="dxa"/>
          </w:tcPr>
          <w:p>
            <w:pPr>
              <w:spacing w:before="156" w:beforeLines="50"/>
              <w:ind w:firstLine="480" w:firstLineChars="200"/>
              <w:jc w:val="left"/>
              <w:rPr>
                <w:color w:val="auto"/>
                <w:highlight w:val="none"/>
              </w:rPr>
            </w:pPr>
            <w:r>
              <w:rPr>
                <w:color w:val="auto"/>
                <w:highlight w:val="none"/>
              </w:rPr>
              <w:t>通过对拟建项目的分析、对周围环境质量现状的调查，以及项目主要污染物对环境的影响分析等工作，得出如下结论。</w:t>
            </w:r>
          </w:p>
          <w:p>
            <w:pPr>
              <w:adjustRightInd w:val="0"/>
              <w:snapToGrid w:val="0"/>
              <w:spacing w:before="156" w:beforeLines="50"/>
              <w:rPr>
                <w:b/>
                <w:bCs/>
                <w:color w:val="auto"/>
                <w:szCs w:val="24"/>
                <w:highlight w:val="none"/>
              </w:rPr>
            </w:pPr>
            <w:r>
              <w:rPr>
                <w:rFonts w:hint="eastAsia"/>
                <w:b/>
                <w:color w:val="auto"/>
                <w:szCs w:val="24"/>
                <w:highlight w:val="none"/>
                <w:lang w:val="en-US" w:eastAsia="zh-CN"/>
              </w:rPr>
              <w:t>10</w:t>
            </w:r>
            <w:r>
              <w:rPr>
                <w:b/>
                <w:color w:val="auto"/>
                <w:szCs w:val="24"/>
                <w:highlight w:val="none"/>
              </w:rPr>
              <w:t xml:space="preserve">.1  </w:t>
            </w:r>
            <w:r>
              <w:rPr>
                <w:b/>
                <w:bCs/>
                <w:color w:val="auto"/>
                <w:szCs w:val="24"/>
                <w:highlight w:val="none"/>
              </w:rPr>
              <w:t>结论</w:t>
            </w:r>
          </w:p>
          <w:p>
            <w:pPr>
              <w:adjustRightInd w:val="0"/>
              <w:snapToGrid w:val="0"/>
              <w:rPr>
                <w:b/>
                <w:color w:val="auto"/>
                <w:szCs w:val="24"/>
                <w:highlight w:val="none"/>
              </w:rPr>
            </w:pPr>
            <w:r>
              <w:rPr>
                <w:rFonts w:hint="eastAsia"/>
                <w:b/>
                <w:color w:val="auto"/>
                <w:szCs w:val="24"/>
                <w:highlight w:val="none"/>
                <w:lang w:val="en-US" w:eastAsia="zh-CN"/>
              </w:rPr>
              <w:t>10</w:t>
            </w:r>
            <w:r>
              <w:rPr>
                <w:b/>
                <w:color w:val="auto"/>
                <w:szCs w:val="24"/>
                <w:highlight w:val="none"/>
              </w:rPr>
              <w:t>.1.1 项目概况</w:t>
            </w:r>
          </w:p>
          <w:p>
            <w:pPr>
              <w:keepLines/>
              <w:widowControl/>
              <w:adjustRightInd w:val="0"/>
              <w:snapToGrid w:val="0"/>
              <w:ind w:firstLine="480" w:firstLineChars="200"/>
              <w:rPr>
                <w:rFonts w:hint="eastAsia"/>
                <w:color w:val="auto"/>
                <w:highlight w:val="none"/>
                <w:lang w:val="en-US" w:eastAsia="zh-CN"/>
              </w:rPr>
            </w:pPr>
            <w:r>
              <w:rPr>
                <w:rFonts w:hint="eastAsia"/>
                <w:color w:val="auto"/>
                <w:highlight w:val="none"/>
                <w:lang w:eastAsia="zh-CN"/>
              </w:rPr>
              <w:t>鼎城区广播电视台原业务大楼由于建设年代早，建设标准低，配套设施落后，已很难满足电视台的业务需求；同时电视台现业务大楼位于临江棚改一期</w:t>
            </w:r>
            <w:r>
              <w:rPr>
                <w:rFonts w:hint="eastAsia"/>
                <w:color w:val="auto"/>
                <w:highlight w:val="none"/>
                <w:lang w:val="en-US" w:eastAsia="zh-CN"/>
              </w:rPr>
              <w:t>B08拆迁地块，如不进行拆迁，将影响临江棚改的顺利推进。因此，为满足电视台正常的业务工作需求并为临江棚改的推进提供方便，常德市鼎城区广播电视台决定拆迁原业务大楼，在鼎城区阳明湖板块阳明大道与兴业街交叉处的东北角新建新的业务大楼及电视发射塔。</w:t>
            </w:r>
          </w:p>
          <w:p>
            <w:pPr>
              <w:ind w:firstLine="480" w:firstLineChars="200"/>
              <w:rPr>
                <w:rFonts w:hint="eastAsia"/>
                <w:bCs/>
                <w:color w:val="auto"/>
                <w:highlight w:val="none"/>
                <w:u w:val="none"/>
                <w:lang w:val="en-US" w:eastAsia="zh-CN"/>
              </w:rPr>
            </w:pPr>
            <w:r>
              <w:rPr>
                <w:rFonts w:hint="eastAsia"/>
                <w:bCs/>
                <w:color w:val="auto"/>
                <w:highlight w:val="none"/>
                <w:u w:val="none"/>
                <w:lang w:eastAsia="zh-CN"/>
              </w:rPr>
              <w:t>本次新建电视发射塔</w:t>
            </w:r>
            <w:r>
              <w:rPr>
                <w:rFonts w:hint="eastAsia"/>
                <w:bCs/>
                <w:color w:val="auto"/>
                <w:highlight w:val="none"/>
                <w:u w:val="none"/>
                <w:lang w:val="en-US" w:eastAsia="zh-CN"/>
              </w:rPr>
              <w:t>1座，塔高158m（不含塔基所在地势海拔高度32m），建设3kW调频广播发射机1台，为发射主机，安装在配套用房的二楼机房内。</w:t>
            </w:r>
          </w:p>
          <w:p>
            <w:pPr>
              <w:ind w:firstLine="480" w:firstLineChars="200"/>
              <w:rPr>
                <w:color w:val="auto"/>
                <w:szCs w:val="24"/>
                <w:highlight w:val="none"/>
              </w:rPr>
            </w:pPr>
            <w:r>
              <w:rPr>
                <w:color w:val="auto"/>
                <w:szCs w:val="24"/>
                <w:highlight w:val="none"/>
              </w:rPr>
              <w:t>项目</w:t>
            </w:r>
            <w:r>
              <w:rPr>
                <w:rFonts w:hint="eastAsia"/>
                <w:color w:val="auto"/>
                <w:highlight w:val="none"/>
                <w:lang w:eastAsia="zh-CN"/>
              </w:rPr>
              <w:t>总投资</w:t>
            </w:r>
            <w:r>
              <w:rPr>
                <w:rFonts w:hint="eastAsia"/>
                <w:color w:val="auto"/>
                <w:highlight w:val="none"/>
                <w:lang w:val="en-US" w:eastAsia="zh-CN"/>
              </w:rPr>
              <w:t>500万元，其中环保投资16.8万元，占总投资的3.36%</w:t>
            </w:r>
            <w:r>
              <w:rPr>
                <w:color w:val="auto"/>
                <w:szCs w:val="24"/>
                <w:highlight w:val="none"/>
              </w:rPr>
              <w:t>。</w:t>
            </w:r>
          </w:p>
          <w:p>
            <w:pPr>
              <w:adjustRightInd w:val="0"/>
              <w:snapToGrid w:val="0"/>
              <w:spacing w:before="156" w:beforeLines="50"/>
              <w:rPr>
                <w:b/>
                <w:color w:val="auto"/>
                <w:szCs w:val="24"/>
                <w:highlight w:val="none"/>
              </w:rPr>
            </w:pPr>
            <w:r>
              <w:rPr>
                <w:rFonts w:hint="eastAsia"/>
                <w:b/>
                <w:color w:val="auto"/>
                <w:szCs w:val="24"/>
                <w:highlight w:val="none"/>
                <w:lang w:val="en-US" w:eastAsia="zh-CN"/>
              </w:rPr>
              <w:t>10</w:t>
            </w:r>
            <w:r>
              <w:rPr>
                <w:b/>
                <w:color w:val="auto"/>
                <w:szCs w:val="24"/>
                <w:highlight w:val="none"/>
              </w:rPr>
              <w:t>.1.</w:t>
            </w:r>
            <w:r>
              <w:rPr>
                <w:rFonts w:hint="eastAsia"/>
                <w:b/>
                <w:color w:val="auto"/>
                <w:szCs w:val="24"/>
                <w:highlight w:val="none"/>
                <w:lang w:val="en-US" w:eastAsia="zh-CN"/>
              </w:rPr>
              <w:t>2</w:t>
            </w:r>
            <w:r>
              <w:rPr>
                <w:b/>
                <w:color w:val="auto"/>
                <w:szCs w:val="24"/>
                <w:highlight w:val="none"/>
              </w:rPr>
              <w:t xml:space="preserve"> </w:t>
            </w:r>
            <w:r>
              <w:rPr>
                <w:b/>
                <w:bCs/>
                <w:color w:val="auto"/>
                <w:szCs w:val="24"/>
                <w:highlight w:val="none"/>
              </w:rPr>
              <w:t>产业</w:t>
            </w:r>
            <w:r>
              <w:rPr>
                <w:b/>
                <w:color w:val="auto"/>
                <w:szCs w:val="24"/>
                <w:highlight w:val="none"/>
              </w:rPr>
              <w:t>政策相符性</w:t>
            </w:r>
          </w:p>
          <w:p>
            <w:pPr>
              <w:adjustRightInd w:val="0"/>
              <w:snapToGrid w:val="0"/>
              <w:ind w:firstLine="480" w:firstLineChars="200"/>
              <w:rPr>
                <w:color w:val="auto"/>
                <w:highlight w:val="none"/>
              </w:rPr>
            </w:pPr>
            <w:r>
              <w:rPr>
                <w:color w:val="auto"/>
                <w:highlight w:val="none"/>
              </w:rPr>
              <w:t>本项目为广播电视工程，属于国家发展和改革委员会《产业结构调整指导目录(2011年本)》（2013 年修正）中</w:t>
            </w:r>
            <w:r>
              <w:rPr>
                <w:color w:val="auto"/>
                <w:kern w:val="0"/>
                <w:szCs w:val="24"/>
                <w:highlight w:val="none"/>
              </w:rPr>
              <w:t xml:space="preserve"> “第一类鼓励类”中的“信息产业类”的项目，符合国家产业政策。</w:t>
            </w:r>
          </w:p>
          <w:p>
            <w:pPr>
              <w:adjustRightInd w:val="0"/>
              <w:snapToGrid w:val="0"/>
              <w:rPr>
                <w:color w:val="auto"/>
                <w:highlight w:val="none"/>
              </w:rPr>
            </w:pPr>
            <w:r>
              <w:rPr>
                <w:rFonts w:hint="eastAsia"/>
                <w:b/>
                <w:color w:val="auto"/>
                <w:szCs w:val="24"/>
                <w:highlight w:val="none"/>
                <w:lang w:val="en-US" w:eastAsia="zh-CN"/>
              </w:rPr>
              <w:t>10</w:t>
            </w:r>
            <w:r>
              <w:rPr>
                <w:b/>
                <w:color w:val="auto"/>
                <w:szCs w:val="24"/>
                <w:highlight w:val="none"/>
              </w:rPr>
              <w:t>.1.</w:t>
            </w:r>
            <w:r>
              <w:rPr>
                <w:rFonts w:hint="eastAsia"/>
                <w:b/>
                <w:color w:val="auto"/>
                <w:szCs w:val="24"/>
                <w:highlight w:val="none"/>
                <w:lang w:val="en-US" w:eastAsia="zh-CN"/>
              </w:rPr>
              <w:t>3</w:t>
            </w:r>
            <w:r>
              <w:rPr>
                <w:b/>
                <w:color w:val="auto"/>
                <w:szCs w:val="24"/>
                <w:highlight w:val="none"/>
              </w:rPr>
              <w:t xml:space="preserve"> 项目</w:t>
            </w:r>
            <w:r>
              <w:rPr>
                <w:b/>
                <w:bCs/>
                <w:color w:val="auto"/>
                <w:szCs w:val="24"/>
                <w:highlight w:val="none"/>
              </w:rPr>
              <w:t>选址</w:t>
            </w:r>
            <w:r>
              <w:rPr>
                <w:b/>
                <w:color w:val="auto"/>
                <w:szCs w:val="24"/>
                <w:highlight w:val="none"/>
              </w:rPr>
              <w:t>与区域发展规划的符合性论证</w:t>
            </w:r>
          </w:p>
          <w:p>
            <w:pPr>
              <w:adjustRightInd w:val="0"/>
              <w:snapToGrid w:val="0"/>
              <w:ind w:firstLine="480" w:firstLineChars="200"/>
              <w:rPr>
                <w:color w:val="auto"/>
                <w:highlight w:val="none"/>
              </w:rPr>
            </w:pPr>
            <w:r>
              <w:rPr>
                <w:color w:val="auto"/>
                <w:highlight w:val="none"/>
              </w:rPr>
              <w:t>本</w:t>
            </w:r>
            <w:r>
              <w:rPr>
                <w:rFonts w:hint="eastAsia"/>
                <w:color w:val="auto"/>
                <w:highlight w:val="none"/>
                <w:lang w:eastAsia="zh-CN"/>
              </w:rPr>
              <w:t>次新建电视塔项目是鼎城区电视台业务大楼建设项目</w:t>
            </w:r>
            <w:r>
              <w:rPr>
                <w:color w:val="auto"/>
                <w:szCs w:val="24"/>
                <w:highlight w:val="none"/>
              </w:rPr>
              <w:t>的一部分</w:t>
            </w:r>
            <w:r>
              <w:rPr>
                <w:color w:val="auto"/>
                <w:highlight w:val="none"/>
              </w:rPr>
              <w:t>，是为承担</w:t>
            </w:r>
            <w:r>
              <w:rPr>
                <w:rFonts w:hint="eastAsia"/>
                <w:color w:val="auto"/>
                <w:highlight w:val="none"/>
                <w:lang w:eastAsia="zh-CN"/>
              </w:rPr>
              <w:t>常德市</w:t>
            </w:r>
            <w:r>
              <w:rPr>
                <w:color w:val="auto"/>
                <w:highlight w:val="none"/>
              </w:rPr>
              <w:t>传输广播电视节目信号的枢纽设施，满足</w:t>
            </w:r>
            <w:r>
              <w:rPr>
                <w:rFonts w:hint="eastAsia"/>
                <w:color w:val="auto"/>
                <w:highlight w:val="none"/>
                <w:lang w:eastAsia="zh-CN"/>
              </w:rPr>
              <w:t>常德市</w:t>
            </w:r>
            <w:r>
              <w:rPr>
                <w:color w:val="auto"/>
                <w:highlight w:val="none"/>
              </w:rPr>
              <w:t>的发展要求，符合规划要求。本项目所在位置</w:t>
            </w:r>
            <w:r>
              <w:rPr>
                <w:rFonts w:hint="eastAsia"/>
                <w:color w:val="auto"/>
                <w:highlight w:val="none"/>
                <w:lang w:eastAsia="zh-CN"/>
              </w:rPr>
              <w:t>海拔高程</w:t>
            </w:r>
            <w:r>
              <w:rPr>
                <w:color w:val="auto"/>
                <w:highlight w:val="none"/>
              </w:rPr>
              <w:t>约</w:t>
            </w:r>
            <w:r>
              <w:rPr>
                <w:rFonts w:hint="eastAsia"/>
                <w:color w:val="auto"/>
                <w:highlight w:val="none"/>
                <w:lang w:val="en-US" w:eastAsia="zh-CN"/>
              </w:rPr>
              <w:t>32</w:t>
            </w:r>
            <w:r>
              <w:rPr>
                <w:color w:val="auto"/>
                <w:highlight w:val="none"/>
              </w:rPr>
              <w:t>m</w:t>
            </w:r>
            <w:r>
              <w:rPr>
                <w:rFonts w:hint="eastAsia"/>
                <w:color w:val="auto"/>
                <w:highlight w:val="none"/>
                <w:lang w:eastAsia="zh-CN"/>
              </w:rPr>
              <w:t>，塔高</w:t>
            </w:r>
            <w:r>
              <w:rPr>
                <w:rFonts w:hint="eastAsia"/>
                <w:color w:val="auto"/>
                <w:highlight w:val="none"/>
                <w:lang w:val="en-US" w:eastAsia="zh-CN"/>
              </w:rPr>
              <w:t>158m，</w:t>
            </w:r>
            <w:r>
              <w:rPr>
                <w:color w:val="auto"/>
                <w:highlight w:val="none"/>
              </w:rPr>
              <w:t>周围200m范围内没有比</w:t>
            </w:r>
            <w:r>
              <w:rPr>
                <w:rFonts w:hint="eastAsia"/>
                <w:color w:val="auto"/>
                <w:highlight w:val="none"/>
                <w:lang w:eastAsia="zh-CN"/>
              </w:rPr>
              <w:t>本项目</w:t>
            </w:r>
            <w:r>
              <w:rPr>
                <w:color w:val="auto"/>
                <w:highlight w:val="none"/>
              </w:rPr>
              <w:t>更高的</w:t>
            </w:r>
            <w:r>
              <w:rPr>
                <w:rFonts w:hint="eastAsia"/>
                <w:color w:val="auto"/>
                <w:highlight w:val="none"/>
                <w:lang w:eastAsia="zh-CN"/>
              </w:rPr>
              <w:t>建筑</w:t>
            </w:r>
            <w:r>
              <w:rPr>
                <w:color w:val="auto"/>
                <w:highlight w:val="none"/>
              </w:rPr>
              <w:t>，其中本项目天线最低挂高为</w:t>
            </w:r>
            <w:r>
              <w:rPr>
                <w:rFonts w:hint="eastAsia"/>
                <w:color w:val="auto"/>
                <w:highlight w:val="none"/>
                <w:lang w:val="en-US" w:eastAsia="zh-CN"/>
              </w:rPr>
              <w:t>150</w:t>
            </w:r>
            <w:r>
              <w:rPr>
                <w:color w:val="auto"/>
                <w:highlight w:val="none"/>
              </w:rPr>
              <w:t>m，因此，本项目建设相对位置较高，对在电视塔四周的居民区和办公区的影响较小，因此其既能够满足业务的条件，又能够促进</w:t>
            </w:r>
            <w:r>
              <w:rPr>
                <w:rFonts w:hint="eastAsia"/>
                <w:color w:val="auto"/>
                <w:highlight w:val="none"/>
                <w:lang w:eastAsia="zh-CN"/>
              </w:rPr>
              <w:t>常德市</w:t>
            </w:r>
            <w:r>
              <w:rPr>
                <w:color w:val="auto"/>
                <w:highlight w:val="none"/>
              </w:rPr>
              <w:t>经济发展和社会进步。因此，项目选址符合区域发展规划。</w:t>
            </w:r>
          </w:p>
          <w:p>
            <w:pPr>
              <w:adjustRightInd w:val="0"/>
              <w:snapToGrid w:val="0"/>
              <w:rPr>
                <w:b/>
                <w:color w:val="auto"/>
                <w:szCs w:val="24"/>
                <w:highlight w:val="none"/>
              </w:rPr>
            </w:pPr>
            <w:r>
              <w:rPr>
                <w:rFonts w:hint="eastAsia"/>
                <w:b/>
                <w:color w:val="auto"/>
                <w:szCs w:val="24"/>
                <w:highlight w:val="none"/>
                <w:lang w:val="en-US" w:eastAsia="zh-CN"/>
              </w:rPr>
              <w:t>10</w:t>
            </w:r>
            <w:r>
              <w:rPr>
                <w:b/>
                <w:color w:val="auto"/>
                <w:szCs w:val="24"/>
                <w:highlight w:val="none"/>
              </w:rPr>
              <w:t>.1.</w:t>
            </w:r>
            <w:r>
              <w:rPr>
                <w:rFonts w:hint="eastAsia"/>
                <w:b/>
                <w:color w:val="auto"/>
                <w:szCs w:val="24"/>
                <w:highlight w:val="none"/>
                <w:lang w:val="en-US" w:eastAsia="zh-CN"/>
              </w:rPr>
              <w:t>4</w:t>
            </w:r>
            <w:r>
              <w:rPr>
                <w:b/>
                <w:color w:val="auto"/>
                <w:szCs w:val="24"/>
                <w:highlight w:val="none"/>
              </w:rPr>
              <w:t xml:space="preserve"> </w:t>
            </w:r>
            <w:r>
              <w:rPr>
                <w:b/>
                <w:bCs/>
                <w:color w:val="auto"/>
                <w:szCs w:val="24"/>
                <w:highlight w:val="none"/>
              </w:rPr>
              <w:t>电磁环境</w:t>
            </w:r>
            <w:r>
              <w:rPr>
                <w:b/>
                <w:color w:val="auto"/>
                <w:szCs w:val="24"/>
                <w:highlight w:val="none"/>
              </w:rPr>
              <w:t>、声环境现状评价</w:t>
            </w:r>
          </w:p>
          <w:p>
            <w:pPr>
              <w:adjustRightInd w:val="0"/>
              <w:snapToGrid w:val="0"/>
              <w:ind w:firstLine="480" w:firstLineChars="200"/>
              <w:rPr>
                <w:bCs/>
                <w:color w:val="auto"/>
                <w:szCs w:val="24"/>
                <w:highlight w:val="none"/>
              </w:rPr>
            </w:pPr>
            <w:r>
              <w:rPr>
                <w:color w:val="auto"/>
                <w:szCs w:val="24"/>
                <w:highlight w:val="none"/>
              </w:rPr>
              <w:t>（1）</w:t>
            </w:r>
            <w:r>
              <w:rPr>
                <w:bCs/>
                <w:color w:val="auto"/>
                <w:szCs w:val="24"/>
                <w:highlight w:val="none"/>
              </w:rPr>
              <w:t>电磁环境</w:t>
            </w:r>
          </w:p>
          <w:p>
            <w:pPr>
              <w:adjustRightInd w:val="0"/>
              <w:snapToGrid w:val="0"/>
              <w:ind w:firstLine="480" w:firstLineChars="200"/>
              <w:rPr>
                <w:color w:val="auto"/>
                <w:szCs w:val="24"/>
                <w:highlight w:val="none"/>
                <w:u w:val="none"/>
              </w:rPr>
            </w:pPr>
            <w:r>
              <w:rPr>
                <w:rFonts w:hint="eastAsia"/>
                <w:color w:val="auto"/>
                <w:highlight w:val="none"/>
                <w:lang w:eastAsia="zh-CN"/>
              </w:rPr>
              <w:t>长沙市鹏悦环保工程有限公司</w:t>
            </w:r>
            <w:r>
              <w:rPr>
                <w:color w:val="auto"/>
                <w:szCs w:val="24"/>
                <w:highlight w:val="none"/>
              </w:rPr>
              <w:t>对项目所在区域电磁环境</w:t>
            </w:r>
            <w:r>
              <w:rPr>
                <w:rFonts w:hint="eastAsia"/>
                <w:color w:val="auto"/>
                <w:szCs w:val="24"/>
                <w:highlight w:val="none"/>
                <w:lang w:eastAsia="zh-CN"/>
              </w:rPr>
              <w:t>及周边</w:t>
            </w:r>
            <w:r>
              <w:rPr>
                <w:color w:val="auto"/>
                <w:szCs w:val="24"/>
                <w:highlight w:val="none"/>
              </w:rPr>
              <w:t>敏感点进行了监测，根据监测结果可以看出，</w:t>
            </w:r>
            <w:r>
              <w:rPr>
                <w:color w:val="auto"/>
                <w:highlight w:val="none"/>
              </w:rPr>
              <w:t>各测点电场强度监测值为</w:t>
            </w:r>
            <w:r>
              <w:rPr>
                <w:rFonts w:hint="eastAsia"/>
                <w:color w:val="auto"/>
                <w:highlight w:val="none"/>
                <w:lang w:val="en-US" w:eastAsia="zh-CN"/>
              </w:rPr>
              <w:t>0.11</w:t>
            </w:r>
            <w:r>
              <w:rPr>
                <w:color w:val="auto"/>
                <w:highlight w:val="none"/>
              </w:rPr>
              <w:t>~</w:t>
            </w:r>
            <w:r>
              <w:rPr>
                <w:rFonts w:hint="eastAsia"/>
                <w:color w:val="auto"/>
                <w:highlight w:val="none"/>
                <w:lang w:val="en-US" w:eastAsia="zh-CN"/>
              </w:rPr>
              <w:t>0.38</w:t>
            </w:r>
            <w:r>
              <w:rPr>
                <w:color w:val="auto"/>
                <w:highlight w:val="none"/>
              </w:rPr>
              <w:t>V/m，</w:t>
            </w:r>
            <w:r>
              <w:rPr>
                <w:rFonts w:hint="eastAsia"/>
                <w:color w:val="auto"/>
                <w:highlight w:val="none"/>
                <w:lang w:eastAsia="zh-CN"/>
              </w:rPr>
              <w:t>磁场强度测量值为</w:t>
            </w:r>
            <w:r>
              <w:rPr>
                <w:rFonts w:hint="eastAsia"/>
                <w:color w:val="auto"/>
                <w:highlight w:val="none"/>
                <w:lang w:val="en-US" w:eastAsia="zh-CN"/>
              </w:rPr>
              <w:t>0.0009~0.0031A/m，</w:t>
            </w:r>
            <w:r>
              <w:rPr>
                <w:bCs/>
                <w:color w:val="auto"/>
                <w:highlight w:val="none"/>
              </w:rPr>
              <w:t>等效平面波功率密度</w:t>
            </w:r>
            <w:r>
              <w:rPr>
                <w:color w:val="auto"/>
                <w:highlight w:val="none"/>
              </w:rPr>
              <w:t>测量值</w:t>
            </w:r>
            <w:r>
              <w:rPr>
                <w:color w:val="auto"/>
                <w:highlight w:val="none"/>
                <w:u w:val="none"/>
              </w:rPr>
              <w:t>在</w:t>
            </w:r>
            <w:r>
              <w:rPr>
                <w:rFonts w:hint="eastAsia"/>
                <w:color w:val="auto"/>
                <w:highlight w:val="none"/>
                <w:u w:val="none"/>
                <w:lang w:val="en-US" w:eastAsia="zh-CN"/>
              </w:rPr>
              <w:t>,0.0009~0.0027</w:t>
            </w:r>
            <w:r>
              <w:rPr>
                <w:rFonts w:hint="default" w:ascii="Times New Roman" w:hAnsi="Times New Roman" w:eastAsia="宋体" w:cs="Times New Roman"/>
                <w:sz w:val="24"/>
                <w:szCs w:val="24"/>
                <w:highlight w:val="none"/>
                <w:u w:val="none"/>
                <w:lang w:val="en-US" w:eastAsia="zh-CN"/>
              </w:rPr>
              <w:t>W</w:t>
            </w:r>
            <w:r>
              <w:rPr>
                <w:rFonts w:hint="eastAsia" w:ascii="Times New Roman" w:hAnsi="宋体" w:eastAsia="宋体"/>
                <w:sz w:val="24"/>
                <w:szCs w:val="24"/>
                <w:highlight w:val="none"/>
                <w:u w:val="none"/>
                <w:lang w:val="en-US" w:eastAsia="zh-CN"/>
              </w:rPr>
              <w:t>/m</w:t>
            </w:r>
            <w:r>
              <w:rPr>
                <w:rFonts w:hint="eastAsia" w:ascii="Times New Roman" w:hAnsi="宋体" w:eastAsia="宋体"/>
                <w:sz w:val="24"/>
                <w:szCs w:val="24"/>
                <w:highlight w:val="none"/>
                <w:u w:val="none"/>
                <w:vertAlign w:val="superscript"/>
                <w:lang w:val="en-US" w:eastAsia="zh-CN"/>
              </w:rPr>
              <w:t>2</w:t>
            </w:r>
            <w:r>
              <w:rPr>
                <w:color w:val="auto"/>
                <w:highlight w:val="none"/>
                <w:u w:val="none"/>
              </w:rPr>
              <w:t>，各个监测点位值均低于《电磁环境控制限值》（GB8702-2014）中规定的公众暴露控制限值要求</w:t>
            </w:r>
            <w:r>
              <w:rPr>
                <w:rFonts w:hint="eastAsia"/>
                <w:color w:val="auto"/>
                <w:highlight w:val="none"/>
                <w:u w:val="none"/>
                <w:lang w:eastAsia="zh-CN"/>
              </w:rPr>
              <w:t>，即电场强度为</w:t>
            </w:r>
            <w:r>
              <w:rPr>
                <w:rFonts w:hint="eastAsia"/>
                <w:color w:val="auto"/>
                <w:highlight w:val="none"/>
                <w:u w:val="none"/>
                <w:lang w:val="en-US" w:eastAsia="zh-CN"/>
              </w:rPr>
              <w:t>5.37V/m，磁场强度为0.014A/m，功率密度为0.08</w:t>
            </w:r>
            <w:r>
              <w:rPr>
                <w:rFonts w:hint="default" w:ascii="Times New Roman" w:hAnsi="Times New Roman" w:eastAsia="宋体" w:cs="Times New Roman"/>
                <w:sz w:val="24"/>
                <w:szCs w:val="24"/>
                <w:highlight w:val="none"/>
                <w:u w:val="none"/>
                <w:lang w:val="en-US" w:eastAsia="zh-CN"/>
              </w:rPr>
              <w:t>W</w:t>
            </w:r>
            <w:r>
              <w:rPr>
                <w:rFonts w:hint="eastAsia" w:ascii="Times New Roman" w:hAnsi="宋体" w:eastAsia="宋体"/>
                <w:sz w:val="24"/>
                <w:szCs w:val="24"/>
                <w:highlight w:val="none"/>
                <w:u w:val="none"/>
                <w:lang w:val="en-US" w:eastAsia="zh-CN"/>
              </w:rPr>
              <w:t>/m</w:t>
            </w:r>
            <w:r>
              <w:rPr>
                <w:rFonts w:hint="eastAsia" w:ascii="Times New Roman" w:hAnsi="宋体" w:eastAsia="宋体"/>
                <w:sz w:val="24"/>
                <w:szCs w:val="24"/>
                <w:highlight w:val="none"/>
                <w:u w:val="none"/>
                <w:vertAlign w:val="superscript"/>
                <w:lang w:val="en-US" w:eastAsia="zh-CN"/>
              </w:rPr>
              <w:t>2</w:t>
            </w:r>
            <w:r>
              <w:rPr>
                <w:color w:val="auto"/>
                <w:highlight w:val="none"/>
                <w:u w:val="none"/>
              </w:rPr>
              <w:t>。</w:t>
            </w:r>
            <w:r>
              <w:rPr>
                <w:color w:val="auto"/>
                <w:szCs w:val="24"/>
                <w:highlight w:val="none"/>
                <w:u w:val="none"/>
              </w:rPr>
              <w:t>拟建区域的电磁环境质量背景值较好。</w:t>
            </w:r>
          </w:p>
          <w:p>
            <w:pPr>
              <w:adjustRightInd w:val="0"/>
              <w:snapToGrid w:val="0"/>
              <w:ind w:firstLine="480" w:firstLineChars="200"/>
              <w:jc w:val="left"/>
              <w:rPr>
                <w:color w:val="auto"/>
                <w:szCs w:val="24"/>
                <w:highlight w:val="none"/>
                <w:u w:val="none"/>
              </w:rPr>
            </w:pPr>
            <w:r>
              <w:rPr>
                <w:color w:val="auto"/>
                <w:szCs w:val="24"/>
                <w:highlight w:val="none"/>
                <w:u w:val="none"/>
              </w:rPr>
              <w:t>（2）声环境</w:t>
            </w:r>
          </w:p>
          <w:p>
            <w:pPr>
              <w:adjustRightInd w:val="0"/>
              <w:snapToGrid w:val="0"/>
              <w:ind w:firstLine="480" w:firstLineChars="200"/>
              <w:rPr>
                <w:color w:val="auto"/>
                <w:szCs w:val="24"/>
                <w:highlight w:val="none"/>
                <w:u w:val="none"/>
              </w:rPr>
            </w:pPr>
            <w:r>
              <w:rPr>
                <w:rFonts w:hint="eastAsia"/>
                <w:color w:val="auto"/>
                <w:highlight w:val="none"/>
                <w:u w:val="none"/>
                <w:lang w:eastAsia="zh-CN"/>
              </w:rPr>
              <w:t>长沙市鹏悦环保工程有限公司</w:t>
            </w:r>
            <w:r>
              <w:rPr>
                <w:color w:val="auto"/>
                <w:szCs w:val="24"/>
                <w:highlight w:val="none"/>
                <w:u w:val="none"/>
              </w:rPr>
              <w:t>对本项目所在区域声环境进行了监测，项目周围昼夜声环境质量满足《声环境质量标准》（GB3096-2008）相关标准要求。综合评价拟建项目周围声环境质量现状良好。</w:t>
            </w:r>
          </w:p>
          <w:p>
            <w:pPr>
              <w:adjustRightInd w:val="0"/>
              <w:snapToGrid w:val="0"/>
              <w:rPr>
                <w:b/>
                <w:color w:val="auto"/>
                <w:szCs w:val="24"/>
                <w:highlight w:val="none"/>
                <w:u w:val="none"/>
              </w:rPr>
            </w:pPr>
            <w:r>
              <w:rPr>
                <w:rFonts w:hint="eastAsia"/>
                <w:b/>
                <w:color w:val="auto"/>
                <w:szCs w:val="24"/>
                <w:highlight w:val="none"/>
                <w:u w:val="none"/>
                <w:lang w:val="en-US" w:eastAsia="zh-CN"/>
              </w:rPr>
              <w:t>10</w:t>
            </w:r>
            <w:r>
              <w:rPr>
                <w:b/>
                <w:color w:val="auto"/>
                <w:szCs w:val="24"/>
                <w:highlight w:val="none"/>
                <w:u w:val="none"/>
              </w:rPr>
              <w:t>.1.</w:t>
            </w:r>
            <w:r>
              <w:rPr>
                <w:rFonts w:hint="eastAsia"/>
                <w:b/>
                <w:color w:val="auto"/>
                <w:szCs w:val="24"/>
                <w:highlight w:val="none"/>
                <w:u w:val="none"/>
                <w:lang w:val="en-US" w:eastAsia="zh-CN"/>
              </w:rPr>
              <w:t>5</w:t>
            </w:r>
            <w:r>
              <w:rPr>
                <w:b/>
                <w:color w:val="auto"/>
                <w:szCs w:val="24"/>
                <w:highlight w:val="none"/>
                <w:u w:val="none"/>
              </w:rPr>
              <w:t xml:space="preserve"> 运行期环境影响结论</w:t>
            </w:r>
          </w:p>
          <w:p>
            <w:pPr>
              <w:adjustRightInd w:val="0"/>
              <w:snapToGrid w:val="0"/>
              <w:ind w:firstLine="480" w:firstLineChars="200"/>
              <w:rPr>
                <w:color w:val="auto"/>
                <w:szCs w:val="24"/>
                <w:highlight w:val="none"/>
                <w:u w:val="none"/>
              </w:rPr>
            </w:pPr>
            <w:r>
              <w:rPr>
                <w:color w:val="auto"/>
                <w:szCs w:val="24"/>
                <w:highlight w:val="none"/>
                <w:u w:val="none"/>
              </w:rPr>
              <w:t>（1）电磁环境</w:t>
            </w:r>
          </w:p>
          <w:p>
            <w:pPr>
              <w:adjustRightInd w:val="0"/>
              <w:snapToGrid w:val="0"/>
              <w:ind w:firstLine="480" w:firstLineChars="200"/>
              <w:rPr>
                <w:color w:val="auto"/>
                <w:szCs w:val="24"/>
                <w:highlight w:val="none"/>
                <w:u w:val="none"/>
              </w:rPr>
            </w:pPr>
            <w:r>
              <w:rPr>
                <w:color w:val="auto"/>
                <w:szCs w:val="24"/>
                <w:highlight w:val="none"/>
                <w:u w:val="none"/>
              </w:rPr>
              <w:t>根据计算公式及相关的参数，对拟建广播发射塔电场强度和功率密度值进行理论预测。从预测的电场强度值可以看出，在水平距离</w:t>
            </w:r>
            <w:r>
              <w:rPr>
                <w:rFonts w:hint="eastAsia"/>
                <w:color w:val="auto"/>
                <w:szCs w:val="24"/>
                <w:highlight w:val="none"/>
                <w:u w:val="none"/>
                <w:lang w:val="en-US" w:eastAsia="zh-CN"/>
              </w:rPr>
              <w:t>227</w:t>
            </w:r>
            <w:r>
              <w:rPr>
                <w:color w:val="auto"/>
                <w:szCs w:val="24"/>
                <w:highlight w:val="none"/>
                <w:u w:val="none"/>
              </w:rPr>
              <w:t>m范围外，垂直高度控制在</w:t>
            </w:r>
            <w:r>
              <w:rPr>
                <w:rFonts w:hint="eastAsia"/>
                <w:color w:val="auto"/>
                <w:szCs w:val="24"/>
                <w:highlight w:val="none"/>
                <w:u w:val="none"/>
                <w:lang w:val="en-US" w:eastAsia="zh-CN"/>
              </w:rPr>
              <w:t>91</w:t>
            </w:r>
            <w:r>
              <w:rPr>
                <w:color w:val="auto"/>
                <w:szCs w:val="24"/>
                <w:highlight w:val="none"/>
                <w:u w:val="none"/>
              </w:rPr>
              <w:t>m，该范围的电场强度评价标准《电磁环境控制限值》（GB 8702-2014）中公众曝露控制限值，即电场强度</w:t>
            </w:r>
            <w:r>
              <w:rPr>
                <w:rFonts w:hint="eastAsia"/>
                <w:color w:val="auto"/>
                <w:szCs w:val="24"/>
                <w:highlight w:val="none"/>
                <w:u w:val="none"/>
                <w:lang w:val="en-US" w:eastAsia="zh-CN"/>
              </w:rPr>
              <w:t>5.37</w:t>
            </w:r>
            <w:r>
              <w:rPr>
                <w:color w:val="auto"/>
                <w:szCs w:val="24"/>
                <w:highlight w:val="none"/>
                <w:u w:val="none"/>
              </w:rPr>
              <w:t>V/m。</w:t>
            </w:r>
          </w:p>
          <w:p>
            <w:pPr>
              <w:keepLines/>
              <w:widowControl/>
              <w:ind w:firstLine="480" w:firstLineChars="200"/>
              <w:rPr>
                <w:color w:val="auto"/>
                <w:szCs w:val="24"/>
                <w:highlight w:val="none"/>
                <w:u w:val="none"/>
              </w:rPr>
            </w:pPr>
            <w:r>
              <w:rPr>
                <w:color w:val="auto"/>
                <w:szCs w:val="24"/>
                <w:highlight w:val="none"/>
                <w:u w:val="none"/>
              </w:rPr>
              <w:t>从预测值计算结果可得，本环评建议：</w:t>
            </w:r>
          </w:p>
          <w:p>
            <w:pPr>
              <w:keepLines/>
              <w:widowControl/>
              <w:ind w:firstLine="480" w:firstLineChars="200"/>
              <w:rPr>
                <w:color w:val="auto"/>
                <w:szCs w:val="24"/>
                <w:highlight w:val="none"/>
                <w:u w:val="none"/>
              </w:rPr>
            </w:pPr>
            <w:r>
              <w:rPr>
                <w:rFonts w:hint="eastAsia" w:ascii="宋体" w:hAnsi="宋体" w:cs="宋体"/>
                <w:color w:val="auto"/>
                <w:szCs w:val="24"/>
                <w:highlight w:val="none"/>
                <w:u w:val="none"/>
              </w:rPr>
              <w:t>①</w:t>
            </w:r>
            <w:r>
              <w:rPr>
                <w:color w:val="auto"/>
                <w:szCs w:val="24"/>
                <w:highlight w:val="none"/>
                <w:u w:val="none"/>
              </w:rPr>
              <w:t>发射塔周围约</w:t>
            </w:r>
            <w:r>
              <w:rPr>
                <w:rFonts w:hint="eastAsia"/>
                <w:color w:val="auto"/>
                <w:szCs w:val="24"/>
                <w:highlight w:val="none"/>
                <w:u w:val="none"/>
                <w:lang w:val="en-US" w:eastAsia="zh-CN"/>
              </w:rPr>
              <w:t>227</w:t>
            </w:r>
            <w:r>
              <w:rPr>
                <w:color w:val="auto"/>
                <w:szCs w:val="24"/>
                <w:highlight w:val="none"/>
                <w:u w:val="none"/>
              </w:rPr>
              <w:t>m 范围内不能再新建超过</w:t>
            </w:r>
            <w:r>
              <w:rPr>
                <w:rFonts w:hint="eastAsia"/>
                <w:color w:val="auto"/>
                <w:szCs w:val="24"/>
                <w:highlight w:val="none"/>
                <w:u w:val="none"/>
                <w:lang w:val="en-US" w:eastAsia="zh-CN"/>
              </w:rPr>
              <w:t>91</w:t>
            </w:r>
            <w:r>
              <w:rPr>
                <w:color w:val="auto"/>
                <w:szCs w:val="24"/>
                <w:highlight w:val="none"/>
                <w:u w:val="none"/>
              </w:rPr>
              <w:t>m 的建筑物</w:t>
            </w:r>
            <w:r>
              <w:rPr>
                <w:rFonts w:hint="eastAsia"/>
                <w:color w:val="auto"/>
                <w:szCs w:val="24"/>
                <w:highlight w:val="none"/>
                <w:u w:val="none"/>
                <w:lang w:eastAsia="zh-CN"/>
              </w:rPr>
              <w:t>（不得新建海拔高度超过</w:t>
            </w:r>
            <w:r>
              <w:rPr>
                <w:rFonts w:hint="eastAsia"/>
                <w:color w:val="auto"/>
                <w:szCs w:val="24"/>
                <w:highlight w:val="none"/>
                <w:u w:val="none"/>
                <w:lang w:val="en-US" w:eastAsia="zh-CN"/>
              </w:rPr>
              <w:t>91m+32m=123m的建筑</w:t>
            </w:r>
            <w:r>
              <w:rPr>
                <w:rFonts w:hint="eastAsia"/>
                <w:color w:val="auto"/>
                <w:szCs w:val="24"/>
                <w:highlight w:val="none"/>
                <w:u w:val="none"/>
                <w:lang w:eastAsia="zh-CN"/>
              </w:rPr>
              <w:t>）</w:t>
            </w:r>
            <w:r>
              <w:rPr>
                <w:color w:val="auto"/>
                <w:szCs w:val="24"/>
                <w:highlight w:val="none"/>
                <w:u w:val="none"/>
              </w:rPr>
              <w:t>；如需在近场区修建专用设施建筑，应该进行电磁环境监测；</w:t>
            </w:r>
          </w:p>
          <w:p>
            <w:pPr>
              <w:keepLines/>
              <w:widowControl/>
              <w:ind w:firstLine="480" w:firstLineChars="200"/>
              <w:rPr>
                <w:color w:val="auto"/>
                <w:szCs w:val="24"/>
                <w:highlight w:val="none"/>
                <w:u w:val="none"/>
              </w:rPr>
            </w:pPr>
            <w:r>
              <w:rPr>
                <w:rFonts w:hint="eastAsia" w:ascii="宋体" w:hAnsi="宋体" w:cs="宋体"/>
                <w:color w:val="auto"/>
                <w:szCs w:val="24"/>
                <w:highlight w:val="none"/>
                <w:u w:val="none"/>
              </w:rPr>
              <w:t>②</w:t>
            </w:r>
            <w:r>
              <w:rPr>
                <w:color w:val="auto"/>
                <w:szCs w:val="24"/>
                <w:highlight w:val="none"/>
                <w:u w:val="none"/>
              </w:rPr>
              <w:t>发射塔周围</w:t>
            </w:r>
            <w:r>
              <w:rPr>
                <w:rFonts w:hint="eastAsia"/>
                <w:color w:val="auto"/>
                <w:szCs w:val="24"/>
                <w:highlight w:val="none"/>
                <w:u w:val="none"/>
                <w:lang w:val="en-US" w:eastAsia="zh-CN"/>
              </w:rPr>
              <w:t>500</w:t>
            </w:r>
            <w:r>
              <w:rPr>
                <w:color w:val="auto"/>
                <w:szCs w:val="24"/>
                <w:highlight w:val="none"/>
                <w:u w:val="none"/>
              </w:rPr>
              <w:t>m内新建敏感项目（如含有精密仪器设备的工厂、医院、住宅等）需要监测电磁环境背景值。</w:t>
            </w:r>
          </w:p>
          <w:p>
            <w:pPr>
              <w:adjustRightInd w:val="0"/>
              <w:snapToGrid w:val="0"/>
              <w:ind w:firstLine="480" w:firstLineChars="200"/>
              <w:rPr>
                <w:color w:val="auto"/>
                <w:szCs w:val="24"/>
                <w:highlight w:val="none"/>
                <w:u w:val="none"/>
              </w:rPr>
            </w:pPr>
            <w:r>
              <w:rPr>
                <w:color w:val="auto"/>
                <w:szCs w:val="24"/>
                <w:highlight w:val="none"/>
                <w:u w:val="none"/>
              </w:rPr>
              <w:t>根据预测得出</w:t>
            </w:r>
            <w:r>
              <w:rPr>
                <w:rFonts w:hint="eastAsia"/>
                <w:color w:val="auto"/>
                <w:szCs w:val="24"/>
                <w:highlight w:val="none"/>
                <w:u w:val="none"/>
                <w:lang w:eastAsia="zh-CN"/>
              </w:rPr>
              <w:t>各个敏感点贡献值</w:t>
            </w:r>
            <w:r>
              <w:rPr>
                <w:color w:val="auto"/>
                <w:szCs w:val="24"/>
                <w:highlight w:val="none"/>
                <w:u w:val="none"/>
              </w:rPr>
              <w:t>在</w:t>
            </w:r>
            <w:r>
              <w:rPr>
                <w:rFonts w:hint="eastAsia"/>
                <w:color w:val="auto"/>
                <w:szCs w:val="24"/>
                <w:highlight w:val="none"/>
                <w:u w:val="none"/>
                <w:lang w:val="en-US" w:eastAsia="zh-CN"/>
              </w:rPr>
              <w:t>0.07</w:t>
            </w:r>
            <w:r>
              <w:rPr>
                <w:color w:val="auto"/>
                <w:szCs w:val="24"/>
                <w:highlight w:val="none"/>
                <w:u w:val="none"/>
              </w:rPr>
              <w:t>～</w:t>
            </w:r>
            <w:r>
              <w:rPr>
                <w:rFonts w:hint="eastAsia"/>
                <w:color w:val="auto"/>
                <w:szCs w:val="24"/>
                <w:highlight w:val="none"/>
                <w:u w:val="none"/>
                <w:lang w:val="en-US" w:eastAsia="zh-CN"/>
              </w:rPr>
              <w:t>0.43</w:t>
            </w:r>
            <w:r>
              <w:rPr>
                <w:color w:val="auto"/>
                <w:szCs w:val="24"/>
                <w:highlight w:val="none"/>
                <w:u w:val="none"/>
              </w:rPr>
              <w:t>V/m，均能满足《电磁环境控制限值》（GB8702-2014）的评价标准（</w:t>
            </w:r>
            <w:r>
              <w:rPr>
                <w:color w:val="auto"/>
                <w:highlight w:val="none"/>
                <w:u w:val="none"/>
              </w:rPr>
              <w:t>公众暴露控制限值</w:t>
            </w:r>
            <w:r>
              <w:rPr>
                <w:color w:val="auto"/>
                <w:szCs w:val="24"/>
                <w:highlight w:val="none"/>
                <w:u w:val="none"/>
              </w:rPr>
              <w:t>：电场强度小于12V/m）。</w:t>
            </w:r>
          </w:p>
          <w:p>
            <w:pPr>
              <w:adjustRightInd w:val="0"/>
              <w:snapToGrid w:val="0"/>
              <w:ind w:firstLine="480" w:firstLineChars="200"/>
              <w:rPr>
                <w:color w:val="auto"/>
                <w:szCs w:val="24"/>
                <w:highlight w:val="none"/>
                <w:u w:val="none"/>
              </w:rPr>
            </w:pPr>
            <w:r>
              <w:rPr>
                <w:color w:val="auto"/>
                <w:szCs w:val="24"/>
                <w:highlight w:val="none"/>
                <w:u w:val="none"/>
              </w:rPr>
              <w:t>（2）声环境</w:t>
            </w:r>
          </w:p>
          <w:p>
            <w:pPr>
              <w:adjustRightInd w:val="0"/>
              <w:snapToGrid w:val="0"/>
              <w:ind w:firstLine="480" w:firstLineChars="200"/>
              <w:rPr>
                <w:color w:val="auto"/>
                <w:szCs w:val="24"/>
                <w:highlight w:val="none"/>
                <w:u w:val="none"/>
              </w:rPr>
            </w:pPr>
            <w:r>
              <w:rPr>
                <w:color w:val="auto"/>
                <w:szCs w:val="24"/>
                <w:highlight w:val="none"/>
                <w:u w:val="none"/>
              </w:rPr>
              <w:t>机房噪声值约为60dB，</w:t>
            </w:r>
            <w:r>
              <w:rPr>
                <w:rFonts w:hint="eastAsia"/>
                <w:color w:val="auto"/>
                <w:szCs w:val="24"/>
                <w:highlight w:val="none"/>
                <w:u w:val="none"/>
                <w:lang w:eastAsia="zh-CN"/>
              </w:rPr>
              <w:t>本项目采用低噪声设备，同时采用墙壁隔声措施，</w:t>
            </w:r>
            <w:r>
              <w:rPr>
                <w:color w:val="auto"/>
                <w:szCs w:val="24"/>
                <w:highlight w:val="none"/>
                <w:u w:val="none"/>
              </w:rPr>
              <w:t>经墙壁隔声后约为45dB，满足《工业企业厂界环境噪声排放标准》（GB12348-2008）</w:t>
            </w:r>
            <w:r>
              <w:rPr>
                <w:rFonts w:hint="eastAsia"/>
                <w:color w:val="auto"/>
                <w:szCs w:val="24"/>
                <w:highlight w:val="none"/>
                <w:u w:val="none"/>
                <w:lang w:val="en-US" w:eastAsia="zh-CN"/>
              </w:rPr>
              <w:t>2</w:t>
            </w:r>
            <w:r>
              <w:rPr>
                <w:color w:val="auto"/>
                <w:szCs w:val="24"/>
                <w:highlight w:val="none"/>
                <w:u w:val="none"/>
              </w:rPr>
              <w:t>类。</w:t>
            </w:r>
          </w:p>
          <w:p>
            <w:pPr>
              <w:numPr>
                <w:ilvl w:val="0"/>
                <w:numId w:val="0"/>
              </w:numPr>
              <w:adjustRightInd w:val="0"/>
              <w:snapToGrid w:val="0"/>
              <w:ind w:firstLine="480" w:firstLineChars="200"/>
              <w:rPr>
                <w:rFonts w:hint="eastAsia"/>
                <w:color w:val="auto"/>
                <w:szCs w:val="24"/>
                <w:highlight w:val="none"/>
                <w:lang w:eastAsia="zh-CN"/>
              </w:rPr>
            </w:pPr>
            <w:r>
              <w:rPr>
                <w:rFonts w:hint="eastAsia"/>
                <w:color w:val="auto"/>
                <w:szCs w:val="24"/>
                <w:highlight w:val="none"/>
                <w:lang w:eastAsia="zh-CN"/>
              </w:rPr>
              <w:t>（</w:t>
            </w:r>
            <w:r>
              <w:rPr>
                <w:rFonts w:hint="eastAsia"/>
                <w:color w:val="auto"/>
                <w:szCs w:val="24"/>
                <w:highlight w:val="none"/>
                <w:lang w:val="en-US" w:eastAsia="zh-CN"/>
              </w:rPr>
              <w:t>3</w:t>
            </w:r>
            <w:r>
              <w:rPr>
                <w:rFonts w:hint="eastAsia"/>
                <w:color w:val="auto"/>
                <w:szCs w:val="24"/>
                <w:highlight w:val="none"/>
                <w:lang w:eastAsia="zh-CN"/>
              </w:rPr>
              <w:t>）景观环境</w:t>
            </w:r>
          </w:p>
          <w:p>
            <w:pPr>
              <w:pStyle w:val="24"/>
              <w:keepNext w:val="0"/>
              <w:keepLines w:val="0"/>
              <w:pageBreakBefore w:val="0"/>
              <w:widowControl w:val="0"/>
              <w:kinsoku/>
              <w:wordWrap/>
              <w:overflowPunct/>
              <w:topLinePunct w:val="0"/>
              <w:autoSpaceDE/>
              <w:autoSpaceDN/>
              <w:bidi w:val="0"/>
              <w:adjustRightInd w:val="0"/>
              <w:snapToGrid w:val="0"/>
              <w:spacing w:line="360" w:lineRule="auto"/>
              <w:ind w:left="-6" w:right="0" w:rightChars="0" w:firstLine="480" w:firstLineChars="200"/>
              <w:jc w:val="both"/>
              <w:textAlignment w:val="auto"/>
              <w:outlineLvl w:val="9"/>
              <w:rPr>
                <w:rFonts w:hint="eastAsia"/>
                <w:color w:val="auto"/>
                <w:szCs w:val="24"/>
                <w:highlight w:val="none"/>
                <w:lang w:eastAsia="zh-CN"/>
              </w:rPr>
            </w:pPr>
            <w:r>
              <w:rPr>
                <w:color w:val="auto"/>
                <w:sz w:val="24"/>
                <w:szCs w:val="24"/>
                <w:highlight w:val="none"/>
                <w:u w:val="none"/>
              </w:rPr>
              <w:t>本项目位于</w:t>
            </w:r>
            <w:r>
              <w:rPr>
                <w:rFonts w:hint="eastAsia"/>
                <w:color w:val="auto"/>
                <w:sz w:val="24"/>
                <w:szCs w:val="24"/>
                <w:highlight w:val="none"/>
                <w:u w:val="none"/>
                <w:lang w:eastAsia="zh-CN"/>
              </w:rPr>
              <w:t>常德市鼎城区阳明湖板块阳明大道与兴业街交叉口处</w:t>
            </w:r>
            <w:r>
              <w:rPr>
                <w:color w:val="auto"/>
                <w:sz w:val="24"/>
                <w:szCs w:val="24"/>
                <w:highlight w:val="none"/>
                <w:u w:val="none"/>
              </w:rPr>
              <w:t>，</w:t>
            </w:r>
            <w:r>
              <w:rPr>
                <w:rFonts w:hint="eastAsia"/>
                <w:color w:val="auto"/>
                <w:sz w:val="24"/>
                <w:szCs w:val="24"/>
                <w:highlight w:val="none"/>
                <w:u w:val="none"/>
                <w:lang w:eastAsia="zh-CN"/>
              </w:rPr>
              <w:t>项目占地均为荒地，</w:t>
            </w:r>
            <w:r>
              <w:rPr>
                <w:color w:val="auto"/>
                <w:sz w:val="24"/>
                <w:szCs w:val="24"/>
                <w:highlight w:val="none"/>
                <w:u w:val="none"/>
              </w:rPr>
              <w:t>周边</w:t>
            </w:r>
            <w:r>
              <w:rPr>
                <w:rFonts w:hint="eastAsia"/>
                <w:color w:val="auto"/>
                <w:sz w:val="24"/>
                <w:szCs w:val="24"/>
                <w:highlight w:val="none"/>
                <w:u w:val="none"/>
                <w:lang w:val="en-US" w:eastAsia="zh-CN"/>
              </w:rPr>
              <w:t>100m范围内</w:t>
            </w:r>
            <w:r>
              <w:rPr>
                <w:color w:val="auto"/>
                <w:sz w:val="24"/>
                <w:szCs w:val="24"/>
                <w:highlight w:val="none"/>
                <w:u w:val="none"/>
              </w:rPr>
              <w:t>居民</w:t>
            </w:r>
            <w:r>
              <w:rPr>
                <w:rFonts w:hint="eastAsia"/>
                <w:color w:val="auto"/>
                <w:sz w:val="24"/>
                <w:szCs w:val="24"/>
                <w:highlight w:val="none"/>
                <w:u w:val="none"/>
                <w:lang w:eastAsia="zh-CN"/>
              </w:rPr>
              <w:t>分布较少</w:t>
            </w:r>
            <w:r>
              <w:rPr>
                <w:color w:val="auto"/>
                <w:sz w:val="24"/>
                <w:szCs w:val="24"/>
                <w:highlight w:val="none"/>
                <w:u w:val="none"/>
              </w:rPr>
              <w:t>，</w:t>
            </w:r>
            <w:r>
              <w:rPr>
                <w:rFonts w:hint="eastAsia"/>
                <w:color w:val="auto"/>
                <w:sz w:val="24"/>
                <w:szCs w:val="24"/>
                <w:highlight w:val="none"/>
                <w:u w:val="none"/>
                <w:lang w:val="en-US" w:eastAsia="zh-CN"/>
              </w:rPr>
              <w:t>500m范围内敏感点主要为孔家溶社区居民点。</w:t>
            </w:r>
            <w:r>
              <w:rPr>
                <w:color w:val="auto"/>
                <w:sz w:val="24"/>
                <w:szCs w:val="24"/>
                <w:highlight w:val="none"/>
                <w:u w:val="none"/>
              </w:rPr>
              <w:t>发射塔为钢筋结构，发射塔构架单一，可能造成</w:t>
            </w:r>
            <w:r>
              <w:rPr>
                <w:rFonts w:hint="eastAsia"/>
                <w:color w:val="auto"/>
                <w:sz w:val="24"/>
                <w:szCs w:val="24"/>
                <w:highlight w:val="none"/>
                <w:u w:val="none"/>
                <w:lang w:eastAsia="zh-CN"/>
              </w:rPr>
              <w:t>一定的</w:t>
            </w:r>
            <w:r>
              <w:rPr>
                <w:color w:val="auto"/>
                <w:sz w:val="24"/>
                <w:szCs w:val="24"/>
                <w:highlight w:val="none"/>
                <w:u w:val="none"/>
              </w:rPr>
              <w:t>视觉影响。</w:t>
            </w:r>
          </w:p>
          <w:p>
            <w:pPr>
              <w:numPr>
                <w:ilvl w:val="0"/>
                <w:numId w:val="5"/>
              </w:numPr>
              <w:adjustRightInd w:val="0"/>
              <w:snapToGrid w:val="0"/>
              <w:ind w:firstLine="480" w:firstLineChars="200"/>
              <w:rPr>
                <w:rFonts w:hint="eastAsia"/>
                <w:color w:val="auto"/>
                <w:szCs w:val="24"/>
                <w:highlight w:val="none"/>
                <w:lang w:eastAsia="zh-CN"/>
              </w:rPr>
            </w:pPr>
            <w:r>
              <w:rPr>
                <w:rFonts w:hint="eastAsia"/>
                <w:color w:val="auto"/>
                <w:szCs w:val="24"/>
                <w:highlight w:val="none"/>
                <w:lang w:eastAsia="zh-CN"/>
              </w:rPr>
              <w:t>生态环境</w:t>
            </w:r>
          </w:p>
          <w:p>
            <w:pPr>
              <w:adjustRightInd w:val="0"/>
              <w:snapToGrid w:val="0"/>
              <w:ind w:firstLine="480" w:firstLineChars="200"/>
              <w:rPr>
                <w:rFonts w:hint="eastAsia"/>
                <w:color w:val="auto"/>
                <w:sz w:val="24"/>
                <w:szCs w:val="24"/>
                <w:highlight w:val="none"/>
                <w:u w:val="none"/>
                <w:lang w:val="en-US" w:eastAsia="zh-CN"/>
              </w:rPr>
            </w:pPr>
            <w:r>
              <w:rPr>
                <w:rFonts w:hint="eastAsia"/>
                <w:color w:val="auto"/>
                <w:sz w:val="24"/>
                <w:szCs w:val="24"/>
                <w:highlight w:val="none"/>
                <w:u w:val="none"/>
                <w:lang w:val="en-US" w:eastAsia="zh-CN"/>
              </w:rPr>
              <w:t>本项目占地较少，不砍伐林木，项目建设后，部分占地均进行绿化处理，因此，本项目对周边生态环境影响较小。</w:t>
            </w:r>
          </w:p>
          <w:p>
            <w:pPr>
              <w:adjustRightInd w:val="0"/>
              <w:snapToGrid w:val="0"/>
              <w:rPr>
                <w:b/>
                <w:color w:val="auto"/>
                <w:szCs w:val="24"/>
                <w:highlight w:val="none"/>
              </w:rPr>
            </w:pPr>
            <w:r>
              <w:rPr>
                <w:rFonts w:hint="eastAsia"/>
                <w:b/>
                <w:color w:val="auto"/>
                <w:szCs w:val="24"/>
                <w:highlight w:val="none"/>
                <w:lang w:val="en-US" w:eastAsia="zh-CN"/>
              </w:rPr>
              <w:t>10</w:t>
            </w:r>
            <w:r>
              <w:rPr>
                <w:b/>
                <w:color w:val="auto"/>
                <w:szCs w:val="24"/>
                <w:highlight w:val="none"/>
              </w:rPr>
              <w:t>.1.</w:t>
            </w:r>
            <w:r>
              <w:rPr>
                <w:rFonts w:hint="eastAsia"/>
                <w:b/>
                <w:color w:val="auto"/>
                <w:szCs w:val="24"/>
                <w:highlight w:val="none"/>
                <w:lang w:val="en-US" w:eastAsia="zh-CN"/>
              </w:rPr>
              <w:t>6</w:t>
            </w:r>
            <w:r>
              <w:rPr>
                <w:b/>
                <w:color w:val="auto"/>
                <w:szCs w:val="24"/>
                <w:highlight w:val="none"/>
              </w:rPr>
              <w:t xml:space="preserve"> 污染防治措施</w:t>
            </w:r>
          </w:p>
          <w:p>
            <w:pPr>
              <w:adjustRightInd w:val="0"/>
              <w:snapToGrid w:val="0"/>
              <w:ind w:firstLine="480" w:firstLineChars="200"/>
              <w:rPr>
                <w:color w:val="auto"/>
                <w:szCs w:val="24"/>
                <w:highlight w:val="none"/>
              </w:rPr>
            </w:pPr>
            <w:r>
              <w:rPr>
                <w:color w:val="auto"/>
                <w:szCs w:val="24"/>
                <w:highlight w:val="none"/>
              </w:rPr>
              <w:t>本项目已采取了电磁环境防护措施：</w:t>
            </w:r>
            <w:r>
              <w:rPr>
                <w:rFonts w:hint="eastAsia" w:ascii="宋体" w:hAnsi="宋体" w:cs="宋体"/>
                <w:color w:val="auto"/>
                <w:szCs w:val="24"/>
                <w:highlight w:val="none"/>
              </w:rPr>
              <w:t>①</w:t>
            </w:r>
            <w:r>
              <w:rPr>
                <w:color w:val="auto"/>
                <w:szCs w:val="24"/>
                <w:highlight w:val="none"/>
              </w:rPr>
              <w:t>本工程设备选型上就本着技术先进，可靠性高，设备成熟，功能强，适应性强，既符合国际标准又适应中国国情的原则；</w:t>
            </w:r>
            <w:r>
              <w:rPr>
                <w:rFonts w:hint="eastAsia" w:ascii="宋体" w:hAnsi="宋体" w:cs="宋体"/>
                <w:color w:val="auto"/>
                <w:szCs w:val="24"/>
                <w:highlight w:val="none"/>
              </w:rPr>
              <w:t>②</w:t>
            </w:r>
            <w:r>
              <w:rPr>
                <w:color w:val="auto"/>
                <w:szCs w:val="24"/>
                <w:highlight w:val="none"/>
              </w:rPr>
              <w:t>保障天线架设高度</w:t>
            </w:r>
            <w:r>
              <w:rPr>
                <w:rFonts w:hint="eastAsia"/>
                <w:color w:val="auto"/>
                <w:szCs w:val="24"/>
                <w:highlight w:val="none"/>
              </w:rPr>
              <w:t>，</w:t>
            </w:r>
            <w:r>
              <w:rPr>
                <w:rFonts w:hint="eastAsia"/>
                <w:color w:val="auto"/>
                <w:szCs w:val="24"/>
                <w:highlight w:val="none"/>
                <w:lang w:eastAsia="zh-CN"/>
              </w:rPr>
              <w:t>不得低于</w:t>
            </w:r>
            <w:r>
              <w:rPr>
                <w:rFonts w:hint="eastAsia"/>
                <w:color w:val="auto"/>
                <w:szCs w:val="24"/>
                <w:highlight w:val="none"/>
                <w:lang w:val="en-US" w:eastAsia="zh-CN"/>
              </w:rPr>
              <w:t>150m</w:t>
            </w:r>
            <w:r>
              <w:rPr>
                <w:rFonts w:hint="eastAsia"/>
                <w:color w:val="auto"/>
                <w:szCs w:val="24"/>
                <w:highlight w:val="none"/>
              </w:rPr>
              <w:t>；③对</w:t>
            </w:r>
            <w:r>
              <w:rPr>
                <w:color w:val="auto"/>
                <w:szCs w:val="21"/>
                <w:highlight w:val="none"/>
              </w:rPr>
              <w:t>机房设置</w:t>
            </w:r>
            <w:r>
              <w:rPr>
                <w:rFonts w:hint="eastAsia"/>
                <w:color w:val="auto"/>
                <w:szCs w:val="21"/>
                <w:highlight w:val="none"/>
              </w:rPr>
              <w:t>高频接地</w:t>
            </w:r>
            <w:r>
              <w:rPr>
                <w:color w:val="auto"/>
                <w:szCs w:val="24"/>
                <w:highlight w:val="none"/>
              </w:rPr>
              <w:t>，</w:t>
            </w:r>
            <w:r>
              <w:rPr>
                <w:rFonts w:hint="eastAsia"/>
                <w:color w:val="auto"/>
                <w:szCs w:val="24"/>
                <w:highlight w:val="none"/>
              </w:rPr>
              <w:t>对工作人员采取</w:t>
            </w:r>
            <w:r>
              <w:rPr>
                <w:snapToGrid w:val="0"/>
                <w:color w:val="auto"/>
                <w:kern w:val="0"/>
                <w:szCs w:val="24"/>
                <w:highlight w:val="none"/>
              </w:rPr>
              <w:t>减少在强场区域工作时间，</w:t>
            </w:r>
            <w:r>
              <w:rPr>
                <w:rFonts w:hint="eastAsia"/>
                <w:snapToGrid w:val="0"/>
                <w:color w:val="auto"/>
                <w:kern w:val="0"/>
                <w:szCs w:val="24"/>
                <w:highlight w:val="none"/>
              </w:rPr>
              <w:t>定期进行</w:t>
            </w:r>
            <w:r>
              <w:rPr>
                <w:snapToGrid w:val="0"/>
                <w:color w:val="auto"/>
                <w:kern w:val="0"/>
                <w:szCs w:val="24"/>
                <w:highlight w:val="none"/>
              </w:rPr>
              <w:t>电磁辐射防护培训等</w:t>
            </w:r>
            <w:r>
              <w:rPr>
                <w:rFonts w:hint="eastAsia"/>
                <w:snapToGrid w:val="0"/>
                <w:color w:val="auto"/>
                <w:kern w:val="0"/>
                <w:szCs w:val="24"/>
                <w:highlight w:val="none"/>
              </w:rPr>
              <w:t>措施；④设置应急预案。</w:t>
            </w:r>
          </w:p>
          <w:p>
            <w:pPr>
              <w:adjustRightInd w:val="0"/>
              <w:snapToGrid w:val="0"/>
              <w:ind w:firstLine="480" w:firstLineChars="200"/>
              <w:rPr>
                <w:color w:val="auto"/>
                <w:szCs w:val="24"/>
                <w:highlight w:val="none"/>
              </w:rPr>
            </w:pPr>
            <w:r>
              <w:rPr>
                <w:color w:val="auto"/>
                <w:szCs w:val="24"/>
                <w:highlight w:val="none"/>
              </w:rPr>
              <w:t>除采取以上措施外，今后还应采取的措施有：</w:t>
            </w:r>
            <w:r>
              <w:rPr>
                <w:rFonts w:hint="eastAsia" w:ascii="宋体" w:hAnsi="宋体" w:cs="宋体"/>
                <w:color w:val="auto"/>
                <w:szCs w:val="24"/>
                <w:highlight w:val="none"/>
              </w:rPr>
              <w:t>①</w:t>
            </w:r>
            <w:r>
              <w:rPr>
                <w:rFonts w:hint="eastAsia"/>
                <w:color w:val="auto"/>
                <w:szCs w:val="24"/>
                <w:highlight w:val="none"/>
              </w:rPr>
              <w:t>应在发射塔周围作好警示宣传标识，</w:t>
            </w:r>
            <w:r>
              <w:rPr>
                <w:color w:val="auto"/>
                <w:szCs w:val="24"/>
                <w:highlight w:val="none"/>
              </w:rPr>
              <w:t>告诫公众不要靠近或长时间滞留在发射塔附近区域；</w:t>
            </w:r>
            <w:r>
              <w:rPr>
                <w:rFonts w:hint="eastAsia" w:ascii="宋体" w:hAnsi="宋体" w:cs="宋体"/>
                <w:color w:val="auto"/>
                <w:szCs w:val="24"/>
                <w:highlight w:val="none"/>
              </w:rPr>
              <w:t>②</w:t>
            </w:r>
            <w:r>
              <w:rPr>
                <w:color w:val="auto"/>
                <w:szCs w:val="24"/>
                <w:highlight w:val="none"/>
              </w:rPr>
              <w:t>对近场区的电磁环境影响水平要严格管理；</w:t>
            </w:r>
            <w:r>
              <w:rPr>
                <w:rFonts w:hint="eastAsia" w:ascii="宋体" w:hAnsi="宋体" w:cs="宋体"/>
                <w:color w:val="auto"/>
                <w:szCs w:val="24"/>
                <w:highlight w:val="none"/>
              </w:rPr>
              <w:t>③</w:t>
            </w:r>
            <w:r>
              <w:rPr>
                <w:color w:val="auto"/>
                <w:szCs w:val="24"/>
                <w:highlight w:val="none"/>
              </w:rPr>
              <w:t>禁止在电视发射台附近区域修建超过极限海拔的建筑；</w:t>
            </w:r>
            <w:r>
              <w:rPr>
                <w:rFonts w:hint="eastAsia" w:ascii="宋体" w:hAnsi="宋体" w:cs="宋体"/>
                <w:color w:val="auto"/>
                <w:szCs w:val="24"/>
                <w:highlight w:val="none"/>
              </w:rPr>
              <w:t>④</w:t>
            </w:r>
            <w:r>
              <w:rPr>
                <w:color w:val="auto"/>
                <w:szCs w:val="24"/>
                <w:highlight w:val="none"/>
              </w:rPr>
              <w:t>发射系统出现风险时，应按照风险控制措施进行处理。</w:t>
            </w:r>
          </w:p>
          <w:p>
            <w:pPr>
              <w:adjustRightInd w:val="0"/>
              <w:snapToGrid w:val="0"/>
              <w:rPr>
                <w:rFonts w:hint="default"/>
                <w:b/>
                <w:color w:val="auto"/>
                <w:szCs w:val="24"/>
                <w:highlight w:val="none"/>
              </w:rPr>
            </w:pPr>
            <w:r>
              <w:rPr>
                <w:rFonts w:hint="eastAsia"/>
                <w:b/>
                <w:color w:val="auto"/>
                <w:szCs w:val="24"/>
                <w:highlight w:val="none"/>
                <w:lang w:val="en-US" w:eastAsia="zh-CN"/>
              </w:rPr>
              <w:t xml:space="preserve">10.1.7 </w:t>
            </w:r>
            <w:r>
              <w:rPr>
                <w:rFonts w:hint="default"/>
                <w:b/>
                <w:color w:val="auto"/>
                <w:szCs w:val="24"/>
                <w:highlight w:val="none"/>
              </w:rPr>
              <w:t>公众参与</w:t>
            </w:r>
          </w:p>
          <w:p>
            <w:pPr>
              <w:pStyle w:val="17"/>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none"/>
              </w:rPr>
              <w:t>根据《建设项目环境保护管理条例》及</w:t>
            </w:r>
            <w:r>
              <w:rPr>
                <w:rFonts w:hint="eastAsia" w:ascii="Times New Roman" w:hAnsi="Times New Roman" w:cs="Times New Roman"/>
                <w:color w:val="auto"/>
                <w:kern w:val="0"/>
                <w:szCs w:val="20"/>
                <w:shd w:val="clear" w:color="auto" w:fill="auto"/>
                <w:lang w:val="en-US" w:eastAsia="zh-CN"/>
              </w:rPr>
              <w:t>《环境保护公众参与办法》</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eastAsia="zh-CN"/>
              </w:rPr>
              <w:t>建设单位</w:t>
            </w:r>
            <w:r>
              <w:rPr>
                <w:rFonts w:hint="default" w:ascii="Times New Roman" w:hAnsi="Times New Roman" w:eastAsia="宋体" w:cs="Times New Roman"/>
                <w:color w:val="auto"/>
                <w:sz w:val="24"/>
                <w:szCs w:val="24"/>
                <w:highlight w:val="none"/>
              </w:rPr>
              <w:t>发放公众参与调查表</w:t>
            </w:r>
            <w:r>
              <w:rPr>
                <w:rFonts w:hint="eastAsia" w:cs="Times New Roman"/>
                <w:color w:val="auto"/>
                <w:sz w:val="24"/>
                <w:szCs w:val="24"/>
                <w:highlight w:val="none"/>
                <w:lang w:eastAsia="zh-CN"/>
              </w:rPr>
              <w:t>，同时在项目施工场地张贴了项目信息公示</w:t>
            </w:r>
            <w:r>
              <w:rPr>
                <w:rFonts w:hint="default" w:ascii="Times New Roman" w:hAnsi="Times New Roman" w:eastAsia="宋体" w:cs="Times New Roman"/>
                <w:color w:val="auto"/>
                <w:sz w:val="24"/>
                <w:szCs w:val="24"/>
                <w:highlight w:val="none"/>
              </w:rPr>
              <w:t>。公众意见收集时间内，环评单位与建设单位的传真、电话、电子邮件等渠道未收到公众对于本工程相关的反馈意见，公众参与调查表显示</w:t>
            </w:r>
            <w:r>
              <w:rPr>
                <w:rFonts w:hint="eastAsia" w:cs="Times New Roman"/>
                <w:color w:val="auto"/>
                <w:sz w:val="24"/>
                <w:szCs w:val="24"/>
                <w:highlight w:val="none"/>
                <w:lang w:eastAsia="zh-CN"/>
              </w:rPr>
              <w:t>项目所在地孔家溶居委会</w:t>
            </w:r>
            <w:r>
              <w:rPr>
                <w:rFonts w:hint="default" w:ascii="Times New Roman" w:hAnsi="Times New Roman" w:eastAsia="宋体" w:cs="Times New Roman"/>
                <w:color w:val="auto"/>
                <w:sz w:val="24"/>
                <w:szCs w:val="24"/>
                <w:highlight w:val="none"/>
              </w:rPr>
              <w:t>均支持工程建设。</w:t>
            </w:r>
          </w:p>
          <w:p>
            <w:pPr>
              <w:pStyle w:val="17"/>
              <w:adjustRightInd w:val="0"/>
              <w:snapToGrid w:val="0"/>
              <w:spacing w:line="360" w:lineRule="auto"/>
              <w:ind w:firstLine="482" w:firstLineChars="200"/>
              <w:rPr>
                <w:b/>
                <w:color w:val="auto"/>
                <w:szCs w:val="24"/>
                <w:highlight w:val="none"/>
              </w:rPr>
            </w:pPr>
            <w:r>
              <w:rPr>
                <w:b/>
                <w:color w:val="auto"/>
                <w:szCs w:val="24"/>
                <w:highlight w:val="none"/>
              </w:rPr>
              <w:t>综上所述，</w:t>
            </w:r>
            <w:r>
              <w:rPr>
                <w:rFonts w:hint="eastAsia"/>
                <w:b/>
                <w:color w:val="auto"/>
                <w:szCs w:val="24"/>
                <w:highlight w:val="none"/>
              </w:rPr>
              <w:t>常德市鼎城区广播电视台广播发射塔建设项目</w:t>
            </w:r>
            <w:r>
              <w:rPr>
                <w:b/>
                <w:color w:val="auto"/>
                <w:szCs w:val="24"/>
                <w:highlight w:val="none"/>
              </w:rPr>
              <w:t>的建设目符合国家产业政策。新建的广播发射塔是</w:t>
            </w:r>
            <w:r>
              <w:rPr>
                <w:rFonts w:hint="eastAsia"/>
                <w:b/>
                <w:color w:val="auto"/>
                <w:szCs w:val="24"/>
                <w:highlight w:val="none"/>
                <w:lang w:eastAsia="zh-CN"/>
              </w:rPr>
              <w:t>常德市</w:t>
            </w:r>
            <w:r>
              <w:rPr>
                <w:b/>
                <w:color w:val="auto"/>
                <w:szCs w:val="24"/>
                <w:highlight w:val="none"/>
              </w:rPr>
              <w:t>广播电视的枢纽设施，具有显著的社会效益和经济效益。本环评认为工程在设计、施工、运行过程中按照国家相关环境保护要求，加强环境管理并采取本环评提出的环境保护措施后，能使本工程产生的电场强度、</w:t>
            </w:r>
            <w:r>
              <w:rPr>
                <w:rFonts w:hint="eastAsia"/>
                <w:b/>
                <w:color w:val="auto"/>
                <w:szCs w:val="24"/>
                <w:highlight w:val="none"/>
                <w:lang w:eastAsia="zh-CN"/>
              </w:rPr>
              <w:t>磁场强度、</w:t>
            </w:r>
            <w:r>
              <w:rPr>
                <w:b/>
                <w:color w:val="auto"/>
                <w:szCs w:val="24"/>
                <w:highlight w:val="none"/>
              </w:rPr>
              <w:t>功率密度和噪声等对环境的影响满足国家有关环境保护法规、环境保护标准的要求。从环境保护的角度，本评价认为本工程的建设是可行的。</w:t>
            </w:r>
          </w:p>
          <w:p>
            <w:pPr>
              <w:adjustRightInd w:val="0"/>
              <w:snapToGrid w:val="0"/>
              <w:rPr>
                <w:b/>
                <w:bCs/>
                <w:color w:val="auto"/>
                <w:szCs w:val="24"/>
                <w:highlight w:val="none"/>
              </w:rPr>
            </w:pPr>
            <w:r>
              <w:rPr>
                <w:rFonts w:hint="eastAsia"/>
                <w:b/>
                <w:bCs/>
                <w:color w:val="auto"/>
                <w:szCs w:val="24"/>
                <w:highlight w:val="none"/>
                <w:lang w:val="en-US" w:eastAsia="zh-CN"/>
              </w:rPr>
              <w:t>10</w:t>
            </w:r>
            <w:r>
              <w:rPr>
                <w:b/>
                <w:bCs/>
                <w:color w:val="auto"/>
                <w:szCs w:val="24"/>
                <w:highlight w:val="none"/>
              </w:rPr>
              <w:t>.2  建议</w:t>
            </w:r>
          </w:p>
          <w:p>
            <w:pPr>
              <w:adjustRightInd w:val="0"/>
              <w:snapToGrid w:val="0"/>
              <w:ind w:firstLine="480" w:firstLineChars="200"/>
              <w:rPr>
                <w:color w:val="auto"/>
                <w:szCs w:val="24"/>
                <w:highlight w:val="none"/>
              </w:rPr>
            </w:pPr>
            <w:r>
              <w:rPr>
                <w:color w:val="auto"/>
                <w:szCs w:val="24"/>
                <w:highlight w:val="none"/>
              </w:rPr>
              <w:t>（1）注意加强环境管理，加强环境保护工作，遇有突发的应急事件时，必须准备应急突发事件的应急预案。</w:t>
            </w:r>
          </w:p>
          <w:p>
            <w:pPr>
              <w:adjustRightInd w:val="0"/>
              <w:snapToGrid w:val="0"/>
              <w:ind w:firstLine="480" w:firstLineChars="200"/>
              <w:rPr>
                <w:color w:val="auto"/>
                <w:szCs w:val="24"/>
                <w:highlight w:val="none"/>
              </w:rPr>
            </w:pPr>
            <w:r>
              <w:rPr>
                <w:color w:val="auto"/>
                <w:szCs w:val="24"/>
                <w:highlight w:val="none"/>
              </w:rPr>
              <w:t>（2）对项目附近的居民和学校等进行有关发射塔知识和环境保护知识的宣传。</w:t>
            </w:r>
          </w:p>
          <w:p>
            <w:pPr>
              <w:adjustRightInd w:val="0"/>
              <w:snapToGrid w:val="0"/>
              <w:ind w:firstLine="480" w:firstLineChars="200"/>
              <w:rPr>
                <w:color w:val="auto"/>
                <w:szCs w:val="24"/>
                <w:highlight w:val="none"/>
              </w:rPr>
            </w:pPr>
            <w:r>
              <w:rPr>
                <w:color w:val="auto"/>
                <w:szCs w:val="24"/>
                <w:highlight w:val="none"/>
              </w:rPr>
              <w:t>（3）工程建成后要及时组织竣工验收，对竣工验收中发现的环保问题要及时提出处置措施及处置时间安排。</w:t>
            </w:r>
          </w:p>
          <w:p>
            <w:pPr>
              <w:adjustRightInd w:val="0"/>
              <w:snapToGrid w:val="0"/>
              <w:ind w:firstLine="480" w:firstLineChars="200"/>
              <w:rPr>
                <w:color w:val="auto"/>
                <w:szCs w:val="24"/>
                <w:highlight w:val="none"/>
              </w:rPr>
            </w:pPr>
          </w:p>
          <w:p>
            <w:pPr>
              <w:adjustRightInd w:val="0"/>
              <w:snapToGrid w:val="0"/>
              <w:ind w:firstLine="480" w:firstLineChars="200"/>
              <w:rPr>
                <w:color w:val="auto"/>
                <w:szCs w:val="24"/>
                <w:highlight w:val="none"/>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p>
            <w:pPr>
              <w:adjustRightInd w:val="0"/>
              <w:snapToGrid w:val="0"/>
              <w:ind w:firstLine="480" w:firstLineChars="200"/>
              <w:rPr>
                <w:color w:val="auto"/>
                <w:szCs w:val="24"/>
                <w:highlight w:val="yellow"/>
              </w:rPr>
            </w:pPr>
          </w:p>
        </w:tc>
      </w:tr>
    </w:tbl>
    <w:p>
      <w:pPr>
        <w:rPr>
          <w:color w:val="auto"/>
        </w:rPr>
      </w:pPr>
    </w:p>
    <w:p>
      <w:pPr>
        <w:tabs>
          <w:tab w:val="left" w:pos="1665"/>
        </w:tabs>
        <w:spacing w:before="312" w:beforeLines="100" w:after="312" w:afterLines="100"/>
        <w:jc w:val="center"/>
        <w:rPr>
          <w:b/>
          <w:color w:val="auto"/>
          <w:sz w:val="36"/>
          <w:szCs w:val="36"/>
          <w:highlight w:val="none"/>
        </w:rPr>
      </w:pPr>
      <w:r>
        <w:rPr>
          <w:b/>
          <w:color w:val="auto"/>
          <w:sz w:val="36"/>
          <w:szCs w:val="36"/>
          <w:highlight w:val="none"/>
        </w:rPr>
        <w:t>附      录</w:t>
      </w:r>
    </w:p>
    <w:p>
      <w:pPr>
        <w:tabs>
          <w:tab w:val="left" w:pos="1665"/>
        </w:tabs>
        <w:rPr>
          <w:b/>
          <w:color w:val="auto"/>
          <w:szCs w:val="24"/>
          <w:highlight w:val="none"/>
        </w:rPr>
      </w:pPr>
      <w:r>
        <w:rPr>
          <w:b/>
          <w:color w:val="auto"/>
          <w:szCs w:val="24"/>
          <w:highlight w:val="none"/>
        </w:rPr>
        <w:t>附图</w:t>
      </w:r>
    </w:p>
    <w:p>
      <w:pPr>
        <w:tabs>
          <w:tab w:val="left" w:pos="1665"/>
        </w:tabs>
        <w:rPr>
          <w:color w:val="auto"/>
          <w:szCs w:val="24"/>
          <w:highlight w:val="none"/>
        </w:rPr>
      </w:pPr>
      <w:r>
        <w:rPr>
          <w:color w:val="auto"/>
          <w:szCs w:val="24"/>
          <w:highlight w:val="none"/>
        </w:rPr>
        <w:t>附图一</w:t>
      </w:r>
      <w:r>
        <w:rPr>
          <w:rFonts w:hint="eastAsia"/>
          <w:color w:val="auto"/>
          <w:szCs w:val="24"/>
          <w:highlight w:val="none"/>
          <w:lang w:val="en-US" w:eastAsia="zh-CN"/>
        </w:rPr>
        <w:t xml:space="preserve"> </w:t>
      </w:r>
      <w:r>
        <w:rPr>
          <w:rFonts w:hint="eastAsia"/>
          <w:color w:val="auto"/>
          <w:szCs w:val="24"/>
          <w:highlight w:val="none"/>
        </w:rPr>
        <w:t>项目现场照片</w:t>
      </w:r>
    </w:p>
    <w:p>
      <w:pPr>
        <w:tabs>
          <w:tab w:val="left" w:pos="1665"/>
        </w:tabs>
        <w:rPr>
          <w:color w:val="auto"/>
          <w:szCs w:val="24"/>
          <w:highlight w:val="none"/>
        </w:rPr>
      </w:pPr>
      <w:r>
        <w:rPr>
          <w:color w:val="auto"/>
          <w:szCs w:val="24"/>
          <w:highlight w:val="none"/>
        </w:rPr>
        <w:t>附图二</w:t>
      </w:r>
      <w:r>
        <w:rPr>
          <w:rFonts w:hint="eastAsia"/>
          <w:color w:val="auto"/>
          <w:szCs w:val="24"/>
          <w:highlight w:val="none"/>
          <w:lang w:val="en-US" w:eastAsia="zh-CN"/>
        </w:rPr>
        <w:t xml:space="preserve"> </w:t>
      </w:r>
      <w:r>
        <w:rPr>
          <w:color w:val="auto"/>
          <w:szCs w:val="24"/>
          <w:highlight w:val="none"/>
        </w:rPr>
        <w:t>项目</w:t>
      </w:r>
      <w:r>
        <w:rPr>
          <w:rFonts w:hint="eastAsia"/>
          <w:color w:val="auto"/>
          <w:szCs w:val="24"/>
          <w:highlight w:val="none"/>
          <w:lang w:eastAsia="zh-CN"/>
        </w:rPr>
        <w:t>地理位置图</w:t>
      </w:r>
    </w:p>
    <w:p>
      <w:pPr>
        <w:tabs>
          <w:tab w:val="left" w:pos="1665"/>
        </w:tabs>
        <w:rPr>
          <w:color w:val="auto"/>
          <w:szCs w:val="24"/>
          <w:highlight w:val="none"/>
        </w:rPr>
      </w:pPr>
      <w:r>
        <w:rPr>
          <w:color w:val="auto"/>
          <w:szCs w:val="24"/>
          <w:highlight w:val="none"/>
        </w:rPr>
        <w:t>附图三</w:t>
      </w:r>
      <w:r>
        <w:rPr>
          <w:rFonts w:hint="eastAsia"/>
          <w:color w:val="auto"/>
          <w:szCs w:val="24"/>
          <w:highlight w:val="none"/>
          <w:lang w:val="en-US" w:eastAsia="zh-CN"/>
        </w:rPr>
        <w:t xml:space="preserve"> </w:t>
      </w:r>
      <w:r>
        <w:rPr>
          <w:rFonts w:hint="eastAsia"/>
          <w:color w:val="auto"/>
          <w:szCs w:val="24"/>
          <w:highlight w:val="none"/>
          <w:lang w:eastAsia="zh-CN"/>
        </w:rPr>
        <w:t>项目周边敏感目标图</w:t>
      </w:r>
    </w:p>
    <w:p>
      <w:pPr>
        <w:tabs>
          <w:tab w:val="left" w:pos="1665"/>
        </w:tabs>
        <w:rPr>
          <w:rFonts w:hint="eastAsia"/>
          <w:color w:val="auto"/>
          <w:szCs w:val="24"/>
          <w:highlight w:val="none"/>
          <w:u w:val="wave"/>
          <w:lang w:val="en-US" w:eastAsia="zh-CN"/>
        </w:rPr>
      </w:pPr>
      <w:r>
        <w:rPr>
          <w:rFonts w:hint="eastAsia"/>
          <w:color w:val="auto"/>
          <w:szCs w:val="24"/>
          <w:highlight w:val="none"/>
          <w:u w:val="wave"/>
          <w:lang w:eastAsia="zh-CN"/>
        </w:rPr>
        <w:t>附图四</w:t>
      </w:r>
      <w:r>
        <w:rPr>
          <w:rFonts w:hint="eastAsia"/>
          <w:color w:val="auto"/>
          <w:szCs w:val="24"/>
          <w:highlight w:val="none"/>
          <w:u w:val="wave"/>
          <w:lang w:val="en-US" w:eastAsia="zh-CN"/>
        </w:rPr>
        <w:t xml:space="preserve"> 项目水平达标范围概况</w:t>
      </w:r>
    </w:p>
    <w:p>
      <w:pPr>
        <w:tabs>
          <w:tab w:val="left" w:pos="1665"/>
        </w:tabs>
        <w:rPr>
          <w:color w:val="auto"/>
          <w:szCs w:val="24"/>
          <w:highlight w:val="none"/>
        </w:rPr>
      </w:pPr>
      <w:r>
        <w:rPr>
          <w:rFonts w:hint="eastAsia"/>
          <w:color w:val="auto"/>
          <w:szCs w:val="24"/>
          <w:highlight w:val="none"/>
          <w:lang w:eastAsia="zh-CN"/>
        </w:rPr>
        <w:t>附图五</w:t>
      </w:r>
      <w:r>
        <w:rPr>
          <w:rFonts w:hint="eastAsia"/>
          <w:color w:val="auto"/>
          <w:szCs w:val="24"/>
          <w:highlight w:val="none"/>
          <w:lang w:val="en-US" w:eastAsia="zh-CN"/>
        </w:rPr>
        <w:t xml:space="preserve"> </w:t>
      </w:r>
      <w:r>
        <w:rPr>
          <w:color w:val="auto"/>
          <w:szCs w:val="24"/>
          <w:highlight w:val="none"/>
        </w:rPr>
        <w:t>项目</w:t>
      </w:r>
      <w:r>
        <w:rPr>
          <w:rFonts w:hint="eastAsia"/>
          <w:color w:val="auto"/>
          <w:szCs w:val="24"/>
          <w:highlight w:val="none"/>
          <w:lang w:eastAsia="zh-CN"/>
        </w:rPr>
        <w:t>厂区</w:t>
      </w:r>
      <w:r>
        <w:rPr>
          <w:color w:val="auto"/>
          <w:szCs w:val="24"/>
          <w:highlight w:val="none"/>
        </w:rPr>
        <w:t>平面布置图</w:t>
      </w:r>
    </w:p>
    <w:p>
      <w:pPr>
        <w:tabs>
          <w:tab w:val="left" w:pos="1665"/>
        </w:tabs>
        <w:rPr>
          <w:rFonts w:hint="eastAsia"/>
          <w:color w:val="auto"/>
          <w:szCs w:val="24"/>
          <w:highlight w:val="none"/>
        </w:rPr>
      </w:pPr>
      <w:r>
        <w:rPr>
          <w:color w:val="auto"/>
          <w:szCs w:val="24"/>
          <w:highlight w:val="none"/>
        </w:rPr>
        <w:t>附图</w:t>
      </w:r>
      <w:r>
        <w:rPr>
          <w:rFonts w:hint="eastAsia"/>
          <w:color w:val="auto"/>
          <w:szCs w:val="24"/>
          <w:highlight w:val="none"/>
          <w:lang w:eastAsia="zh-CN"/>
        </w:rPr>
        <w:t>六</w:t>
      </w:r>
      <w:r>
        <w:rPr>
          <w:rFonts w:hint="eastAsia"/>
          <w:color w:val="auto"/>
          <w:szCs w:val="24"/>
          <w:highlight w:val="none"/>
          <w:lang w:val="en-US" w:eastAsia="zh-CN"/>
        </w:rPr>
        <w:t xml:space="preserve"> </w:t>
      </w:r>
      <w:r>
        <w:rPr>
          <w:rFonts w:hint="eastAsia"/>
          <w:color w:val="auto"/>
          <w:szCs w:val="24"/>
          <w:highlight w:val="none"/>
        </w:rPr>
        <w:t>发射机房所在楼层平面布置图</w:t>
      </w:r>
    </w:p>
    <w:p>
      <w:pPr>
        <w:tabs>
          <w:tab w:val="left" w:pos="1665"/>
        </w:tabs>
        <w:rPr>
          <w:rFonts w:hint="eastAsia" w:eastAsia="宋体"/>
          <w:color w:val="auto"/>
          <w:szCs w:val="24"/>
          <w:highlight w:val="none"/>
          <w:u w:val="wave"/>
          <w:lang w:val="en-US" w:eastAsia="zh-CN"/>
        </w:rPr>
      </w:pPr>
      <w:r>
        <w:rPr>
          <w:rFonts w:hint="eastAsia"/>
          <w:color w:val="auto"/>
          <w:szCs w:val="24"/>
          <w:highlight w:val="none"/>
          <w:u w:val="wave"/>
          <w:lang w:val="en-US" w:eastAsia="zh-CN"/>
        </w:rPr>
        <w:t>附图七 建设单位现场公示照片</w:t>
      </w:r>
    </w:p>
    <w:p>
      <w:pPr>
        <w:tabs>
          <w:tab w:val="left" w:pos="1665"/>
        </w:tabs>
        <w:rPr>
          <w:color w:val="auto"/>
          <w:szCs w:val="24"/>
          <w:highlight w:val="none"/>
        </w:rPr>
      </w:pPr>
    </w:p>
    <w:p>
      <w:pPr>
        <w:tabs>
          <w:tab w:val="left" w:pos="1665"/>
        </w:tabs>
        <w:rPr>
          <w:color w:val="auto"/>
          <w:szCs w:val="24"/>
          <w:highlight w:val="yellow"/>
        </w:rPr>
      </w:pPr>
    </w:p>
    <w:p>
      <w:pPr>
        <w:tabs>
          <w:tab w:val="left" w:pos="1665"/>
        </w:tabs>
        <w:rPr>
          <w:b/>
          <w:color w:val="auto"/>
          <w:szCs w:val="24"/>
          <w:highlight w:val="none"/>
        </w:rPr>
      </w:pPr>
      <w:r>
        <w:rPr>
          <w:b/>
          <w:color w:val="auto"/>
          <w:szCs w:val="24"/>
          <w:highlight w:val="none"/>
        </w:rPr>
        <w:t>附  件</w:t>
      </w:r>
    </w:p>
    <w:p>
      <w:pPr>
        <w:tabs>
          <w:tab w:val="left" w:pos="1665"/>
        </w:tabs>
        <w:rPr>
          <w:color w:val="auto"/>
          <w:szCs w:val="24"/>
          <w:highlight w:val="none"/>
        </w:rPr>
      </w:pPr>
      <w:r>
        <w:rPr>
          <w:color w:val="auto"/>
          <w:szCs w:val="24"/>
          <w:highlight w:val="none"/>
        </w:rPr>
        <w:t>附件</w:t>
      </w:r>
      <w:r>
        <w:rPr>
          <w:rFonts w:hint="eastAsia"/>
          <w:color w:val="auto"/>
          <w:szCs w:val="24"/>
          <w:highlight w:val="none"/>
          <w:lang w:val="en-US" w:eastAsia="zh-CN"/>
        </w:rPr>
        <w:t xml:space="preserve">一 </w:t>
      </w:r>
      <w:r>
        <w:rPr>
          <w:rFonts w:hint="eastAsia"/>
          <w:color w:val="auto"/>
          <w:szCs w:val="24"/>
          <w:highlight w:val="none"/>
          <w:lang w:eastAsia="zh-CN"/>
        </w:rPr>
        <w:t>委托书</w:t>
      </w:r>
    </w:p>
    <w:p>
      <w:pPr>
        <w:tabs>
          <w:tab w:val="left" w:pos="1665"/>
        </w:tabs>
        <w:rPr>
          <w:color w:val="auto"/>
          <w:szCs w:val="24"/>
          <w:highlight w:val="none"/>
        </w:rPr>
      </w:pPr>
      <w:r>
        <w:rPr>
          <w:bCs/>
          <w:color w:val="auto"/>
          <w:highlight w:val="none"/>
        </w:rPr>
        <w:t>附件</w:t>
      </w:r>
      <w:r>
        <w:rPr>
          <w:rFonts w:hint="eastAsia"/>
          <w:color w:val="auto"/>
          <w:szCs w:val="24"/>
          <w:highlight w:val="none"/>
          <w:lang w:val="en-US" w:eastAsia="zh-CN"/>
        </w:rPr>
        <w:t>二 质量保证单及</w:t>
      </w:r>
      <w:r>
        <w:rPr>
          <w:rFonts w:hint="eastAsia"/>
          <w:color w:val="auto"/>
          <w:szCs w:val="24"/>
          <w:highlight w:val="none"/>
          <w:lang w:eastAsia="zh-CN"/>
        </w:rPr>
        <w:t>检</w:t>
      </w:r>
      <w:r>
        <w:rPr>
          <w:color w:val="auto"/>
          <w:szCs w:val="24"/>
          <w:highlight w:val="none"/>
        </w:rPr>
        <w:t>测报告</w:t>
      </w:r>
    </w:p>
    <w:p>
      <w:pPr>
        <w:tabs>
          <w:tab w:val="left" w:pos="1665"/>
        </w:tabs>
        <w:rPr>
          <w:rFonts w:hint="eastAsia"/>
          <w:color w:val="auto"/>
          <w:szCs w:val="24"/>
          <w:highlight w:val="none"/>
          <w:lang w:val="en-US" w:eastAsia="zh-CN"/>
        </w:rPr>
      </w:pPr>
      <w:r>
        <w:rPr>
          <w:rFonts w:hint="eastAsia"/>
          <w:color w:val="auto"/>
          <w:szCs w:val="24"/>
          <w:highlight w:val="none"/>
          <w:lang w:eastAsia="zh-CN"/>
        </w:rPr>
        <w:t>附件</w:t>
      </w:r>
      <w:r>
        <w:rPr>
          <w:rFonts w:hint="eastAsia"/>
          <w:color w:val="auto"/>
          <w:szCs w:val="24"/>
          <w:highlight w:val="none"/>
          <w:lang w:val="en-US" w:eastAsia="zh-CN"/>
        </w:rPr>
        <w:t>三 常德市鼎城区发展和改革局关于常德市鼎城区广播电视台业务大楼可行</w:t>
      </w:r>
    </w:p>
    <w:p>
      <w:pPr>
        <w:tabs>
          <w:tab w:val="left" w:pos="1665"/>
        </w:tabs>
        <w:ind w:firstLine="960" w:firstLineChars="400"/>
        <w:rPr>
          <w:rFonts w:hint="eastAsia"/>
          <w:color w:val="auto"/>
          <w:szCs w:val="24"/>
          <w:highlight w:val="none"/>
          <w:lang w:val="en-US" w:eastAsia="zh-CN"/>
        </w:rPr>
      </w:pPr>
      <w:r>
        <w:rPr>
          <w:rFonts w:hint="eastAsia"/>
          <w:color w:val="auto"/>
          <w:szCs w:val="24"/>
          <w:highlight w:val="none"/>
          <w:lang w:val="en-US" w:eastAsia="zh-CN"/>
        </w:rPr>
        <w:t>性研究报告的批复：常鼎发【2016】303号</w:t>
      </w:r>
    </w:p>
    <w:p>
      <w:pPr>
        <w:tabs>
          <w:tab w:val="left" w:pos="1665"/>
        </w:tabs>
        <w:rPr>
          <w:bCs/>
          <w:color w:val="auto"/>
          <w:highlight w:val="none"/>
        </w:rPr>
      </w:pPr>
      <w:r>
        <w:rPr>
          <w:color w:val="auto"/>
          <w:szCs w:val="24"/>
          <w:highlight w:val="none"/>
        </w:rPr>
        <w:t>附件</w:t>
      </w:r>
      <w:r>
        <w:rPr>
          <w:rFonts w:hint="eastAsia"/>
          <w:color w:val="auto"/>
          <w:szCs w:val="24"/>
          <w:highlight w:val="none"/>
          <w:lang w:val="en-US" w:eastAsia="zh-CN"/>
        </w:rPr>
        <w:t xml:space="preserve">四 </w:t>
      </w:r>
      <w:r>
        <w:rPr>
          <w:rFonts w:hint="eastAsia"/>
          <w:bCs/>
          <w:color w:val="auto"/>
          <w:highlight w:val="none"/>
          <w:lang w:eastAsia="zh-CN"/>
        </w:rPr>
        <w:t>建设用地批准书</w:t>
      </w:r>
    </w:p>
    <w:p>
      <w:pPr>
        <w:tabs>
          <w:tab w:val="left" w:pos="1665"/>
        </w:tabs>
        <w:rPr>
          <w:rFonts w:hint="eastAsia"/>
          <w:color w:val="auto"/>
          <w:szCs w:val="24"/>
          <w:highlight w:val="none"/>
          <w:lang w:val="en-US" w:eastAsia="zh-CN"/>
        </w:rPr>
      </w:pPr>
      <w:r>
        <w:rPr>
          <w:color w:val="auto"/>
          <w:szCs w:val="24"/>
          <w:highlight w:val="none"/>
        </w:rPr>
        <w:t>附件</w:t>
      </w:r>
      <w:r>
        <w:rPr>
          <w:rFonts w:hint="eastAsia"/>
          <w:color w:val="auto"/>
          <w:szCs w:val="24"/>
          <w:highlight w:val="none"/>
          <w:lang w:val="en-US" w:eastAsia="zh-CN"/>
        </w:rPr>
        <w:t>五 业务大楼环评文件</w:t>
      </w:r>
    </w:p>
    <w:p>
      <w:pPr>
        <w:tabs>
          <w:tab w:val="left" w:pos="1665"/>
        </w:tabs>
        <w:rPr>
          <w:color w:val="auto"/>
          <w:szCs w:val="24"/>
        </w:rPr>
      </w:pPr>
    </w:p>
    <w:p>
      <w:pPr>
        <w:tabs>
          <w:tab w:val="left" w:pos="1665"/>
        </w:tabs>
        <w:rPr>
          <w:color w:val="auto"/>
          <w:szCs w:val="24"/>
        </w:rPr>
      </w:pPr>
    </w:p>
    <w:p>
      <w:pPr>
        <w:tabs>
          <w:tab w:val="left" w:pos="1665"/>
        </w:tabs>
        <w:rPr>
          <w:rFonts w:hint="eastAsia" w:eastAsia="宋体"/>
          <w:b/>
          <w:bCs/>
          <w:color w:val="auto"/>
          <w:szCs w:val="24"/>
          <w:lang w:eastAsia="zh-CN"/>
        </w:rPr>
      </w:pPr>
      <w:r>
        <w:rPr>
          <w:rFonts w:hint="eastAsia"/>
          <w:b/>
          <w:bCs/>
          <w:color w:val="auto"/>
          <w:szCs w:val="24"/>
          <w:lang w:eastAsia="zh-CN"/>
        </w:rPr>
        <w:t>附</w:t>
      </w:r>
      <w:r>
        <w:rPr>
          <w:rFonts w:hint="eastAsia"/>
          <w:b/>
          <w:bCs/>
          <w:color w:val="auto"/>
          <w:szCs w:val="24"/>
          <w:lang w:val="en-US" w:eastAsia="zh-CN"/>
        </w:rPr>
        <w:t xml:space="preserve">  </w:t>
      </w:r>
      <w:r>
        <w:rPr>
          <w:rFonts w:hint="eastAsia"/>
          <w:b/>
          <w:bCs/>
          <w:color w:val="auto"/>
          <w:szCs w:val="24"/>
          <w:lang w:eastAsia="zh-CN"/>
        </w:rPr>
        <w:t>表</w:t>
      </w:r>
    </w:p>
    <w:p>
      <w:pPr>
        <w:rPr>
          <w:rFonts w:hint="eastAsia" w:eastAsia="宋体"/>
          <w:color w:val="auto"/>
          <w:lang w:eastAsia="zh-CN"/>
        </w:rPr>
      </w:pPr>
      <w:r>
        <w:rPr>
          <w:rFonts w:hint="eastAsia"/>
          <w:color w:val="auto"/>
          <w:lang w:eastAsia="zh-CN"/>
        </w:rPr>
        <w:t>附表一</w:t>
      </w:r>
      <w:r>
        <w:rPr>
          <w:rFonts w:hint="eastAsia"/>
          <w:color w:val="auto"/>
          <w:lang w:val="en-US" w:eastAsia="zh-CN"/>
        </w:rPr>
        <w:t xml:space="preserve"> 建设项目环评审批基础信息表</w:t>
      </w: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宋体e眠副浡渀.">
    <w:altName w:val="宋体"/>
    <w:panose1 w:val="00000000000000000000"/>
    <w:charset w:val="86"/>
    <w:family w:val="roman"/>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Dutch801 Rm BT">
    <w:panose1 w:val="02020603060505020304"/>
    <w:charset w:val="00"/>
    <w:family w:val="roman"/>
    <w:pitch w:val="default"/>
    <w:sig w:usb0="00000000" w:usb1="00000000" w:usb2="00000000" w:usb3="00000000" w:csb0="00000000" w:csb1="00000000"/>
  </w:font>
  <w:font w:name="monospace">
    <w:altName w:val="AMGDT"/>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AMGDT">
    <w:panose1 w:val="02000400000000000000"/>
    <w:charset w:val="00"/>
    <w:family w:val="auto"/>
    <w:pitch w:val="default"/>
    <w:sig w:usb0="80000003" w:usb1="10000000" w:usb2="00000000" w:usb3="00000000" w:csb0="00000001" w:csb1="00000000"/>
  </w:font>
  <w:font w:name="TimesNewRomanPS-ItalicMT">
    <w:altName w:val="宋体"/>
    <w:panose1 w:val="00000000000000000000"/>
    <w:charset w:val="86"/>
    <w:family w:val="auto"/>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80F3C52" w:usb2="00000016" w:usb3="00000000" w:csb0="0004001F" w:csb1="00000000"/>
  </w:font>
  <w:font w:name="TimesNewRomanPS-BoldMT">
    <w:altName w:val="AMGDT"/>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方正舒体">
    <w:altName w:val="宋体"/>
    <w:panose1 w:val="02010601030101010101"/>
    <w:charset w:val="86"/>
    <w:family w:val="auto"/>
    <w:pitch w:val="default"/>
    <w:sig w:usb0="00000000" w:usb1="0000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u">
    <w:altName w:val="Segoe Print"/>
    <w:panose1 w:val="00000000000000000000"/>
    <w:charset w:val="00"/>
    <w:family w:val="auto"/>
    <w:pitch w:val="default"/>
    <w:sig w:usb0="00000000" w:usb1="00000000" w:usb2="00000000" w:usb3="00000000" w:csb0="00000000" w:csb1="00000000"/>
  </w:font>
  <w:font w:name="ut">
    <w:altName w:val="Segoe Print"/>
    <w:panose1 w:val="00000000000000000000"/>
    <w:charset w:val="00"/>
    <w:family w:val="auto"/>
    <w:pitch w:val="default"/>
    <w:sig w:usb0="00000000" w:usb1="00000000" w:usb2="00000000" w:usb3="00000000" w:csb0="00000000" w:csb1="00000000"/>
  </w:font>
  <w:font w:name="utu">
    <w:altName w:val="Segoe Print"/>
    <w:panose1 w:val="00000000000000000000"/>
    <w:charset w:val="00"/>
    <w:family w:val="auto"/>
    <w:pitch w:val="default"/>
    <w:sig w:usb0="00000000" w:usb1="00000000" w:usb2="00000000" w:usb3="00000000" w:csb0="00000000" w:csb1="00000000"/>
  </w:font>
  <w:font w:name="华文彩云">
    <w:altName w:val="微软雅黑"/>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FangSong_GB2312">
    <w:altName w:val="仿宋"/>
    <w:panose1 w:val="00000000000000000000"/>
    <w:charset w:val="86"/>
    <w:family w:val="modern"/>
    <w:pitch w:val="default"/>
    <w:sig w:usb0="00000000" w:usb1="00000000" w:usb2="00000016" w:usb3="00000000" w:csb0="00040001" w:csb1="00000000"/>
  </w:font>
  <w:font w:name="TimesNewRomanPS-ItalicMT">
    <w:altName w:val="Times New Roman"/>
    <w:panose1 w:val="00000000000000000000"/>
    <w:charset w:val="00"/>
    <w:family w:val="roman"/>
    <w:pitch w:val="default"/>
    <w:sig w:usb0="00000000" w:usb1="00000000" w:usb2="00000010" w:usb3="00000000" w:csb0="00040001" w:csb1="00000000"/>
  </w:font>
  <w:font w:name="Symbol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Arial Narrow">
    <w:altName w:val="Arial"/>
    <w:panose1 w:val="020B0606020202030204"/>
    <w:charset w:val="00"/>
    <w:family w:val="roman"/>
    <w:pitch w:val="default"/>
    <w:sig w:usb0="00000000" w:usb1="00000000" w:usb2="00000000" w:usb3="00000000" w:csb0="2000009F" w:csb1="DFD70000"/>
  </w:font>
  <w:font w:name="ˎ̥">
    <w:altName w:val="Times New Roman"/>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Adobe ｺﾚﾌ・Std R">
    <w:altName w:val="MS Mincho"/>
    <w:panose1 w:val="00000000000000000000"/>
    <w:charset w:val="80"/>
    <w:family w:val="swiss"/>
    <w:pitch w:val="default"/>
    <w:sig w:usb0="00000000" w:usb1="00000000" w:usb2="00000000" w:usb3="00000000" w:csb0="00020000" w:csb1="00000000"/>
  </w:font>
  <w:font w:name="MS Mincho">
    <w:panose1 w:val="02020609040205080304"/>
    <w:charset w:val="80"/>
    <w:family w:val="auto"/>
    <w:pitch w:val="default"/>
    <w:sig w:usb0="E00002FF" w:usb1="6AC7FDFB" w:usb2="00000012" w:usb3="00000000" w:csb0="4002009F" w:csb1="DFD70000"/>
  </w:font>
  <w:font w:name="Plotter">
    <w:altName w:val="宋体"/>
    <w:panose1 w:val="00000000000000000000"/>
    <w:charset w:val="00"/>
    <w:family w:val="roman"/>
    <w:pitch w:val="default"/>
    <w:sig w:usb0="00000000" w:usb1="00000000" w:usb2="0000006E" w:usb3="00000000" w:csb0="81646401" w:csb1="BFF7D17E"/>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方正姚体">
    <w:altName w:val="宋体"/>
    <w:panose1 w:val="02010601030101010101"/>
    <w:charset w:val="86"/>
    <w:family w:val="auto"/>
    <w:pitch w:val="default"/>
    <w:sig w:usb0="00000000" w:usb1="00000000" w:usb2="00000000" w:usb3="00000000" w:csb0="00040000" w:csb1="00000000"/>
  </w:font>
  <w:font w:name="Calibri">
    <w:panose1 w:val="020F0502020204030204"/>
    <w:charset w:val="86"/>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宋体">
    <w:panose1 w:val="02010600030101010101"/>
    <w:charset w:val="86"/>
    <w:family w:val="auto"/>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书宋简体">
    <w:altName w:val="宋体"/>
    <w:panose1 w:val="02010601030101010101"/>
    <w:charset w:val="86"/>
    <w:family w:val="auto"/>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方正大标宋简体">
    <w:altName w:val="宋体"/>
    <w:panose1 w:val="02010601030101010101"/>
    <w:charset w:val="86"/>
    <w:family w:val="auto"/>
    <w:pitch w:val="default"/>
    <w:sig w:usb0="00000000" w:usb1="00000000" w:usb2="00000010" w:usb3="00000000" w:csb0="00040000" w:csb1="00000000"/>
  </w:font>
  <w:font w:name="方正宋黑简体">
    <w:altName w:val="宋体"/>
    <w:panose1 w:val="02010601030101010101"/>
    <w:charset w:val="86"/>
    <w:family w:val="auto"/>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仿宋体">
    <w:altName w:val="宋体"/>
    <w:panose1 w:val="02010600030101010101"/>
    <w:charset w:val="86"/>
    <w:family w:val="roman"/>
    <w:pitch w:val="default"/>
    <w:sig w:usb0="00000000" w:usb1="00000000" w:usb2="00000010" w:usb3="00000000" w:csb0="00040000" w:csb1="00000000"/>
  </w:font>
  <w:font w:name="Century">
    <w:altName w:val="Times New Roman"/>
    <w:panose1 w:val="02040604050505020304"/>
    <w:charset w:val="00"/>
    <w:family w:val="roman"/>
    <w:pitch w:val="default"/>
    <w:sig w:usb0="00000000" w:usb1="00000000" w:usb2="00000000" w:usb3="00000000" w:csb0="0000009F" w:csb1="00000000"/>
  </w:font>
  <w:font w:name="Yu Gothic UI">
    <w:altName w:val="Meiryo UI"/>
    <w:panose1 w:val="020B0500000000000000"/>
    <w:charset w:val="80"/>
    <w:family w:val="auto"/>
    <w:pitch w:val="default"/>
    <w:sig w:usb0="00000000" w:usb1="00000000" w:usb2="00000016" w:usb3="00000000" w:csb0="2002009F" w:csb1="00000000"/>
  </w:font>
  <w:font w:name="MS PGothic">
    <w:panose1 w:val="020B0600070205080204"/>
    <w:charset w:val="80"/>
    <w:family w:val="auto"/>
    <w:pitch w:val="default"/>
    <w:sig w:usb0="E00002FF" w:usb1="6AC7FDFB" w:usb2="00000012" w:usb3="00000000" w:csb0="4002009F" w:csb1="DFD70000"/>
  </w:font>
  <w:font w:name="幼圆">
    <w:altName w:val="宋体"/>
    <w:panose1 w:val="0201050906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CorpoSLig">
    <w:altName w:val="Times New Roman"/>
    <w:panose1 w:val="00000000000000000000"/>
    <w:charset w:val="00"/>
    <w:family w:val="auto"/>
    <w:pitch w:val="default"/>
    <w:sig w:usb0="00000000" w:usb1="00000000" w:usb2="00000000" w:usb3="00000000" w:csb0="00000093" w:csb1="00000000"/>
  </w:font>
  <w:font w:name="Tms Rmn">
    <w:altName w:val="Segoe Print"/>
    <w:panose1 w:val="02020603040505020304"/>
    <w:charset w:val="00"/>
    <w:family w:val="roman"/>
    <w:pitch w:val="default"/>
    <w:sig w:usb0="00000000" w:usb1="00000000" w:usb2="00000000" w:usb3="00000000" w:csb0="00000001" w:csb1="00000000"/>
  </w:font>
  <w:font w:name="CG Times">
    <w:altName w:val="AMGDT"/>
    <w:panose1 w:val="00000000000000000000"/>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00" w:usb3="00000000" w:csb0="0004009F" w:csb1="DFD70000"/>
  </w:font>
  <w:font w:name="..ì.">
    <w:altName w:val="宋体"/>
    <w:panose1 w:val="00000000000000000000"/>
    <w:charset w:val="86"/>
    <w:family w:val="swiss"/>
    <w:pitch w:val="default"/>
    <w:sig w:usb0="00000000" w:usb1="00000000" w:usb2="00000010" w:usb3="00000000" w:csb0="00040000" w:csb1="00000000"/>
  </w:font>
  <w:font w:name="MS PMincho">
    <w:panose1 w:val="02020600040205080304"/>
    <w:charset w:val="80"/>
    <w:family w:val="roman"/>
    <w:pitch w:val="default"/>
    <w:sig w:usb0="E00002FF" w:usb1="6AC7FDFB" w:usb2="00000012" w:usb3="00000000" w:csb0="4002009F" w:csb1="DFD70000"/>
  </w:font>
  <w:font w:name="宋?">
    <w:altName w:val="Times New Roman"/>
    <w:panose1 w:val="00000000000000000000"/>
    <w:charset w:val="00"/>
    <w:family w:val="auto"/>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00"/>
    <w:family w:val="auto"/>
    <w:pitch w:val="default"/>
    <w:sig w:usb0="00000000" w:usb1="00000000" w:usb2="00000000" w:usb3="00000000" w:csb0="00000000" w:csb1="00000000"/>
  </w:font>
  <w:font w:name="Meiryo UI">
    <w:panose1 w:val="020B0604030504040204"/>
    <w:charset w:val="80"/>
    <w:family w:val="auto"/>
    <w:pitch w:val="default"/>
    <w:sig w:usb0="E10102FF" w:usb1="EAC7FFFF" w:usb2="00010012" w:usb3="00000000" w:csb0="6002009F" w:csb1="DFD70000"/>
  </w:font>
  <w:font w:name="方正黑体简体">
    <w:altName w:val="黑体"/>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SimSun-ExtB">
    <w:panose1 w:val="02010609060101010101"/>
    <w:charset w:val="86"/>
    <w:family w:val="modern"/>
    <w:pitch w:val="default"/>
    <w:sig w:usb0="00000001" w:usb1="02000000" w:usb2="00000000" w:usb3="00000000" w:csb0="00040001" w:csb1="00000000"/>
  </w:font>
  <w:font w:name="SSJ-PK748200003fa-Identity-H">
    <w:altName w:val="宋体"/>
    <w:panose1 w:val="00000000000000000000"/>
    <w:charset w:val="86"/>
    <w:family w:val="auto"/>
    <w:pitch w:val="default"/>
    <w:sig w:usb0="00000000" w:usb1="0000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Impact">
    <w:panose1 w:val="020B0806030902050204"/>
    <w:charset w:val="00"/>
    <w:family w:val="swiss"/>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華康中明體">
    <w:altName w:val="PMingLiU"/>
    <w:panose1 w:val="00000000000000000000"/>
    <w:charset w:val="88"/>
    <w:family w:val="modern"/>
    <w:pitch w:val="default"/>
    <w:sig w:usb0="00000000" w:usb1="00000000" w:usb2="00000016" w:usb3="00000000" w:csb0="00100000" w:csb1="00000000"/>
  </w:font>
  <w:font w:name="Batang">
    <w:panose1 w:val="02030600000101010101"/>
    <w:charset w:val="81"/>
    <w:family w:val="roman"/>
    <w:pitch w:val="default"/>
    <w:sig w:usb0="B00002AF" w:usb1="69D77CFB" w:usb2="00000030" w:usb3="00000000" w:csb0="4008009F" w:csb1="DFD70000"/>
  </w:font>
  <w:font w:name="CorporateS-Regular">
    <w:altName w:val="Courier New"/>
    <w:panose1 w:val="00000000000000000000"/>
    <w:charset w:val="00"/>
    <w:family w:val="auto"/>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Vladimir Script">
    <w:altName w:val="Mongolian Baiti"/>
    <w:panose1 w:val="03050402040407070305"/>
    <w:charset w:val="00"/>
    <w:family w:val="script"/>
    <w:pitch w:val="default"/>
    <w:sig w:usb0="00000000" w:usb1="00000000" w:usb2="00000000" w:usb3="00000000" w:csb0="20000001" w:csb1="00000000"/>
  </w:font>
  <w:font w:name="_x000B__x000C_">
    <w:altName w:val="Times New Roman"/>
    <w:panose1 w:val="00000000000000000000"/>
    <w:charset w:val="00"/>
    <w:family w:val="roman"/>
    <w:pitch w:val="default"/>
    <w:sig w:usb0="00000000" w:usb1="00000000" w:usb2="00000000" w:usb3="00000000" w:csb0="00000001" w:csb1="00000000"/>
  </w:font>
  <w:font w:name="ӗԲ">
    <w:altName w:val="Times New Roman"/>
    <w:panose1 w:val="00000000000000000000"/>
    <w:charset w:val="00"/>
    <w:family w:val="roman"/>
    <w:pitch w:val="default"/>
    <w:sig w:usb0="00000000" w:usb1="00000000" w:usb2="00000000" w:usb3="00000000" w:csb0="00040001" w:csb1="00000000"/>
  </w:font>
  <w:font w:name="ﾋﾎﾌ・">
    <w:altName w:val="MS Mincho"/>
    <w:panose1 w:val="00000000000000000000"/>
    <w:charset w:val="80"/>
    <w:family w:val="auto"/>
    <w:pitch w:val="default"/>
    <w:sig w:usb0="00000000" w:usb1="00000000" w:usb2="00000010" w:usb3="00000000" w:csb0="00020000" w:csb1="00000000"/>
  </w:font>
  <w:font w:name="Comic Sans MS">
    <w:panose1 w:val="030F0702030302020204"/>
    <w:charset w:val="00"/>
    <w:family w:val="auto"/>
    <w:pitch w:val="default"/>
    <w:sig w:usb0="00000287" w:usb1="00000000" w:usb2="00000000" w:usb3="00000000" w:csb0="2000009F" w:csb1="00000000"/>
  </w:font>
  <w:font w:name="宋体-PUA">
    <w:altName w:val="宋体"/>
    <w:panose1 w:val="02010600030101010101"/>
    <w:charset w:val="86"/>
    <w:family w:val="auto"/>
    <w:pitch w:val="default"/>
    <w:sig w:usb0="00000000" w:usb1="00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BatangChe">
    <w:panose1 w:val="0203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S UI Gothic">
    <w:panose1 w:val="020B0600070205080204"/>
    <w:charset w:val="80"/>
    <w:family w:val="auto"/>
    <w:pitch w:val="default"/>
    <w:sig w:usb0="E00002FF" w:usb1="6AC7FDFB" w:usb2="00000012" w:usb3="00000000" w:csb0="4002009F" w:csb1="DFD70000"/>
  </w:font>
  <w:font w:name="04b_21">
    <w:panose1 w:val="00000400000000000000"/>
    <w:charset w:val="00"/>
    <w:family w:val="auto"/>
    <w:pitch w:val="default"/>
    <w:sig w:usb0="00000000" w:usb1="00000000" w:usb2="00000000" w:usb3="00000000" w:csb0="00000000" w:csb1="00000000"/>
  </w:font>
  <w:font w:name="Trebuchet MS">
    <w:panose1 w:val="020B0603020202020204"/>
    <w:charset w:val="00"/>
    <w:family w:val="auto"/>
    <w:pitch w:val="default"/>
    <w:sig w:usb0="00000287" w:usb1="00000000" w:usb2="00000000" w:usb3="00000000" w:csb0="2000009F" w:csb1="00000000"/>
  </w:font>
  <w:font w:name="MingLiU">
    <w:panose1 w:val="02020509000000000000"/>
    <w:charset w:val="88"/>
    <w:family w:val="modern"/>
    <w:pitch w:val="default"/>
    <w:sig w:usb0="A00002FF" w:usb1="28CFFCFA" w:usb2="00000016" w:usb3="00000000" w:csb0="00100001" w:csb1="00000000"/>
  </w:font>
  <w:font w:name="Palatino Linotype">
    <w:panose1 w:val="02040502050505030304"/>
    <w:charset w:val="00"/>
    <w:family w:val="roman"/>
    <w:pitch w:val="default"/>
    <w:sig w:usb0="E0000287" w:usb1="40000013" w:usb2="00000000" w:usb3="00000000" w:csb0="2000019F" w:csb1="00000000"/>
  </w:font>
  <w:font w:name="方正美黑简体">
    <w:altName w:val="宋体"/>
    <w:panose1 w:val="02010601030101010101"/>
    <w:charset w:val="86"/>
    <w:family w:val="auto"/>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Microsoft JhengHei">
    <w:panose1 w:val="020B0604030504040204"/>
    <w:charset w:val="88"/>
    <w:family w:val="swiss"/>
    <w:pitch w:val="default"/>
    <w:sig w:usb0="00000087" w:usb1="28AF4000" w:usb2="00000016" w:usb3="00000000" w:csb0="00100009" w:csb1="00000000"/>
  </w:font>
  <w:font w:name="新宋体-18030">
    <w:altName w:val="宋体"/>
    <w:panose1 w:val="02010609060101010101"/>
    <w:charset w:val="86"/>
    <w:family w:val="modern"/>
    <w:pitch w:val="default"/>
    <w:sig w:usb0="00000000" w:usb1="00000000" w:usb2="000A005E" w:usb3="00000000" w:csb0="00040001" w:csb1="00000000"/>
  </w:font>
  <w:font w:name="宋体-18030">
    <w:altName w:val="宋体"/>
    <w:panose1 w:val="02010609060101010101"/>
    <w:charset w:val="86"/>
    <w:family w:val="modern"/>
    <w:pitch w:val="default"/>
    <w:sig w:usb0="00000000" w:usb1="00000000" w:usb2="000A005E" w:usb3="00000000" w:csb0="00040001" w:csb1="00000000"/>
  </w:font>
  <w:font w:name="font-weight : 400">
    <w:altName w:val="微软雅黑"/>
    <w:panose1 w:val="00000000000000000000"/>
    <w:charset w:val="00"/>
    <w:family w:val="auto"/>
    <w:pitch w:val="default"/>
    <w:sig w:usb0="00000000" w:usb1="00000000" w:usb2="00000000" w:usb3="00000000" w:csb0="00040001" w:csb1="00000000"/>
  </w:font>
  <w:font w:name="宋">
    <w:altName w:val="宋体"/>
    <w:panose1 w:val="00000000000000000000"/>
    <w:charset w:val="00"/>
    <w:family w:val="auto"/>
    <w:pitch w:val="default"/>
    <w:sig w:usb0="00000000" w:usb1="00000000" w:usb2="00000000" w:usb3="00000000" w:csb0="00040001" w:csb1="00000000"/>
  </w:font>
  <w:font w:name="F1">
    <w:altName w:val="宋体"/>
    <w:panose1 w:val="00000000000000000000"/>
    <w:charset w:val="86"/>
    <w:family w:val="auto"/>
    <w:pitch w:val="default"/>
    <w:sig w:usb0="00000000" w:usb1="00000000" w:usb2="0000000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Roman">
    <w:altName w:val="Times New Roman"/>
    <w:panose1 w:val="00000000000000000000"/>
    <w:charset w:val="00"/>
    <w:family w:val="roman"/>
    <w:pitch w:val="default"/>
    <w:sig w:usb0="00000000" w:usb1="00000000" w:usb2="00000000" w:usb3="00000000" w:csb0="00000000" w:csb1="00000000"/>
  </w:font>
  <w:font w:name="Geneva">
    <w:altName w:val="Arial"/>
    <w:panose1 w:val="00000000000000000000"/>
    <w:charset w:val="00"/>
    <w:family w:val="swiss"/>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Swis721 Lt BT">
    <w:panose1 w:val="020B0403020202020204"/>
    <w:charset w:val="00"/>
    <w:family w:val="auto"/>
    <w:pitch w:val="default"/>
    <w:sig w:usb0="00000000" w:usb1="00000000" w:usb2="00000000" w:usb3="00000000" w:csb0="00000000" w:csb1="00000000"/>
  </w:font>
  <w:font w:name="Garamond">
    <w:altName w:val="RomanS"/>
    <w:panose1 w:val="02020404030301010803"/>
    <w:charset w:val="00"/>
    <w:family w:val="roman"/>
    <w:pitch w:val="default"/>
    <w:sig w:usb0="00000000" w:usb1="00000000" w:usb2="00000000" w:usb3="00000000" w:csb0="0000009F" w:csb1="DFD70000"/>
  </w:font>
  <w:font w:name="宋">
    <w:altName w:val="宋体"/>
    <w:panose1 w:val="00000000000000000000"/>
    <w:charset w:val="86"/>
    <w:family w:val="roman"/>
    <w:pitch w:val="default"/>
    <w:sig w:usb0="00000000" w:usb1="00000000" w:usb2="00000000" w:usb3="00000000" w:csb0="00040001" w:csb1="00000000"/>
  </w:font>
  <w:font w:name="创艺简仿宋">
    <w:altName w:val="黑体"/>
    <w:panose1 w:val="00000000000000000000"/>
    <w:charset w:val="86"/>
    <w:family w:val="auto"/>
    <w:pitch w:val="default"/>
    <w:sig w:usb0="00000000" w:usb1="00000000" w:usb2="00000010" w:usb3="00000000" w:csb0="00040000" w:csb1="00000000"/>
  </w:font>
  <w:font w:name="..">
    <w:altName w:val="Times New Roman"/>
    <w:panose1 w:val="00000000000000000000"/>
    <w:charset w:val="01"/>
    <w:family w:val="roman"/>
    <w:pitch w:val="default"/>
    <w:sig w:usb0="00000000" w:usb1="00000000" w:usb2="00000000" w:usb3="00000000" w:csb0="000001FF" w:csb1="00000000"/>
  </w:font>
  <w:font w:name="@华文楷体">
    <w:altName w:val="宋体"/>
    <w:panose1 w:val="02010600040101010101"/>
    <w:charset w:val="86"/>
    <w:family w:val="auto"/>
    <w:pitch w:val="default"/>
    <w:sig w:usb0="00000000" w:usb1="00000000" w:usb2="00000000" w:usb3="00000000" w:csb0="0004009F" w:csb1="DFD70000"/>
  </w:font>
  <w:font w:name="AdobeSongStd-Light">
    <w:altName w:val="黑体"/>
    <w:panose1 w:val="00000000000000000000"/>
    <w:charset w:val="86"/>
    <w:family w:val="auto"/>
    <w:pitch w:val="default"/>
    <w:sig w:usb0="00000000" w:usb1="00000000" w:usb2="00000010" w:usb3="00000000" w:csb0="00040000" w:csb1="00000000"/>
  </w:font>
  <w:font w:name="SymbolMT">
    <w:altName w:val="PMingLiU"/>
    <w:panose1 w:val="00000000000000000000"/>
    <w:charset w:val="88"/>
    <w:family w:val="auto"/>
    <w:pitch w:val="default"/>
    <w:sig w:usb0="00000000" w:usb1="00000000" w:usb2="00000010" w:usb3="00000000" w:csb0="00100000" w:csb1="00000000"/>
  </w:font>
  <w:font w:name="Segoe UI Semilight">
    <w:altName w:val="RomanS"/>
    <w:panose1 w:val="020B0402040204020203"/>
    <w:charset w:val="00"/>
    <w:family w:val="auto"/>
    <w:pitch w:val="default"/>
    <w:sig w:usb0="00000000" w:usb1="00000000" w:usb2="00000009" w:usb3="00000000" w:csb0="200001FF" w:csb1="00000000"/>
  </w:font>
  <w:font w:name="Microsoft JhengHei Light">
    <w:altName w:val="宋体"/>
    <w:panose1 w:val="020B0304030504040204"/>
    <w:charset w:val="86"/>
    <w:family w:val="auto"/>
    <w:pitch w:val="default"/>
    <w:sig w:usb0="00000000" w:usb1="00000000" w:usb2="00000016" w:usb3="00000000" w:csb0="203E01BF" w:csb1="00000000"/>
  </w:font>
  <w:font w:name="RomanS">
    <w:panose1 w:val="02000400000000000000"/>
    <w:charset w:val="00"/>
    <w:family w:val="auto"/>
    <w:pitch w:val="default"/>
    <w:sig w:usb0="00000207" w:usb1="00000000" w:usb2="00000000" w:usb3="00000000" w:csb0="000001FF" w:csb1="00000000"/>
  </w:font>
  <w:font w:name="Helvetica">
    <w:altName w:val="Arial"/>
    <w:panose1 w:val="020B0604020202020204"/>
    <w:charset w:val="00"/>
    <w:family w:val="auto"/>
    <w:pitch w:val="default"/>
    <w:sig w:usb0="00000000" w:usb1="00000000" w:usb2="00000009" w:usb3="00000000" w:csb0="000001FF" w:csb1="00000000"/>
  </w:font>
  <w:font w:name="Cambria Math">
    <w:panose1 w:val="02040503050406030204"/>
    <w:charset w:val="01"/>
    <w:family w:val="auto"/>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黑体">
    <w:panose1 w:val="02010609060101010101"/>
    <w:charset w:val="86"/>
    <w:family w:val="auto"/>
    <w:pitch w:val="default"/>
    <w:sig w:usb0="800002BF" w:usb1="38CF7CFA" w:usb2="00000016" w:usb3="00000000" w:csb0="00040001" w:csb1="00000000"/>
  </w:font>
  <w:font w:name="@华文隶书">
    <w:altName w:val="宋体"/>
    <w:panose1 w:val="02010800040101010101"/>
    <w:charset w:val="86"/>
    <w:family w:val="auto"/>
    <w:pitch w:val="default"/>
    <w:sig w:usb0="00000000" w:usb1="0000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行书体">
    <w:altName w:val="宋体"/>
    <w:panose1 w:val="02010609000101010101"/>
    <w:charset w:val="86"/>
    <w:family w:val="modern"/>
    <w:pitch w:val="default"/>
    <w:sig w:usb0="00000000" w:usb1="00000000" w:usb2="00000010" w:usb3="00000000" w:csb0="00040000" w:csb1="00000000"/>
  </w:font>
  <w:font w:name="TT1D86o00">
    <w:altName w:val="宋体"/>
    <w:panose1 w:val="00000000000000000000"/>
    <w:charset w:val="86"/>
    <w:family w:val="auto"/>
    <w:pitch w:val="default"/>
    <w:sig w:usb0="00000000" w:usb1="00000000" w:usb2="00000010" w:usb3="00000000" w:csb0="00040000" w:csb1="00000000"/>
  </w:font>
  <w:font w:name="TimesNewRoman">
    <w:altName w:val="宋体"/>
    <w:panose1 w:val="00000000000000000000"/>
    <w:charset w:val="86"/>
    <w:family w:val="auto"/>
    <w:pitch w:val="default"/>
    <w:sig w:usb0="00000000" w:usb1="00000000" w:usb2="00000010" w:usb3="00000000" w:csb0="00040000" w:csb1="00000000"/>
  </w:font>
  <w:font w:name="TT1D84o00">
    <w:altName w:val="宋体"/>
    <w:panose1 w:val="00000000000000000000"/>
    <w:charset w:val="86"/>
    <w:family w:val="auto"/>
    <w:pitch w:val="default"/>
    <w:sig w:usb0="00000000" w:usb1="00000000" w:usb2="00000010" w:usb3="00000000" w:csb0="00040000" w:csb1="00000000"/>
  </w:font>
  <w:font w:name="UniversalMath1 BT">
    <w:panose1 w:val="05050102010205020602"/>
    <w:charset w:val="02"/>
    <w:family w:val="roman"/>
    <w:pitch w:val="default"/>
    <w:sig w:usb0="00000000" w:usb1="00000000" w:usb2="00000000" w:usb3="00000000" w:csb0="00000000" w:csb1="00000000"/>
  </w:font>
  <w:font w:name="Century Gothic">
    <w:altName w:val="AmdtSymbols"/>
    <w:panose1 w:val="020B0502020202020204"/>
    <w:charset w:val="00"/>
    <w:family w:val="swiss"/>
    <w:pitch w:val="default"/>
    <w:sig w:usb0="00000000" w:usb1="00000000" w:usb2="00000000" w:usb3="00000000" w:csb0="2000009F" w:csb1="DFD70000"/>
  </w:font>
  <w:font w:name="MV Boli">
    <w:panose1 w:val="02000500030200090000"/>
    <w:charset w:val="00"/>
    <w:family w:val="auto"/>
    <w:pitch w:val="default"/>
    <w:sig w:usb0="00000003" w:usb1="00000000" w:usb2="00000100" w:usb3="00000000" w:csb0="00000001" w:csb1="00000000"/>
  </w:font>
  <w:font w:name="Adobe 仿宋 Std R">
    <w:altName w:val="仿宋"/>
    <w:panose1 w:val="02020400000000000000"/>
    <w:charset w:val="86"/>
    <w:family w:val="auto"/>
    <w:pitch w:val="default"/>
    <w:sig w:usb0="00000000" w:usb1="00000000" w:usb2="00000016" w:usb3="00000000" w:csb0="00060007" w:csb1="00000000"/>
  </w:font>
  <w:font w:name="Ó×Ô²">
    <w:altName w:val="Arial"/>
    <w:panose1 w:val="00000000000000000000"/>
    <w:charset w:val="00"/>
    <w:family w:val="modern"/>
    <w:pitch w:val="default"/>
    <w:sig w:usb0="00000000" w:usb1="00000000" w:usb2="00000000" w:usb3="00000000" w:csb0="00000001" w:csb1="00000000"/>
  </w:font>
  <w:font w:name="Adobe ｷﾂﾋﾎ Std R">
    <w:altName w:val="MS Mincho"/>
    <w:panose1 w:val="00000000000000000000"/>
    <w:charset w:val="80"/>
    <w:family w:val="roman"/>
    <w:pitch w:val="default"/>
    <w:sig w:usb0="00000000" w:usb1="00000000" w:usb2="00000000" w:usb3="00000000" w:csb0="00020000" w:csb1="00000000"/>
  </w:font>
  <w:font w:name="Kozuka Mincho Pr6N R">
    <w:altName w:val="MS PMincho"/>
    <w:panose1 w:val="02020400000000000000"/>
    <w:charset w:val="80"/>
    <w:family w:val="auto"/>
    <w:pitch w:val="default"/>
    <w:sig w:usb0="00000000" w:usb1="00000000" w:usb2="00000012" w:usb3="00000000" w:csb0="2002009F" w:csb1="00000000"/>
  </w:font>
  <w:font w:name="华文行楷">
    <w:altName w:val="微软雅黑"/>
    <w:panose1 w:val="0201080004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华文琥珀">
    <w:altName w:val="宋体"/>
    <w:panose1 w:val="02010800040101010101"/>
    <w:charset w:val="86"/>
    <w:family w:val="auto"/>
    <w:pitch w:val="default"/>
    <w:sig w:usb0="00000000" w:usb1="00000000" w:usb2="00000000" w:usb3="00000000" w:csb0="00040000" w:csb1="00000000"/>
  </w:font>
  <w:font w:name="Berlin Sans FB">
    <w:altName w:val="Segoe Print"/>
    <w:panose1 w:val="020E0602020502020306"/>
    <w:charset w:val="00"/>
    <w:family w:val="auto"/>
    <w:pitch w:val="default"/>
    <w:sig w:usb0="00000000" w:usb1="00000000" w:usb2="00000000" w:usb3="00000000" w:csb0="20000001" w:csb1="00000000"/>
  </w:font>
  <w:font w:name="Bell MT">
    <w:altName w:val="AcadEref"/>
    <w:panose1 w:val="02020503060305020303"/>
    <w:charset w:val="00"/>
    <w:family w:val="auto"/>
    <w:pitch w:val="default"/>
    <w:sig w:usb0="00000000" w:usb1="00000000" w:usb2="00000000" w:usb3="00000000" w:csb0="20000001" w:csb1="00000000"/>
  </w:font>
  <w:font w:name="Bauhaus 93">
    <w:altName w:val="Gabriola"/>
    <w:panose1 w:val="04030905020B02020C02"/>
    <w:charset w:val="00"/>
    <w:family w:val="auto"/>
    <w:pitch w:val="default"/>
    <w:sig w:usb0="00000000" w:usb1="00000000" w:usb2="00000000" w:usb3="00000000" w:csb0="20000001" w:csb1="00000000"/>
  </w:font>
  <w:font w:name="Baskerville Old Face">
    <w:altName w:val="Segoe Print"/>
    <w:panose1 w:val="02020602080505020303"/>
    <w:charset w:val="00"/>
    <w:family w:val="auto"/>
    <w:pitch w:val="default"/>
    <w:sig w:usb0="00000000" w:usb1="00000000" w:usb2="00000000" w:usb3="00000000" w:csb0="20000001" w:csb1="00000000"/>
  </w:font>
  <w:font w:name="Arial Rounded MT Bold">
    <w:altName w:val="Arial"/>
    <w:panose1 w:val="020F0704030504030204"/>
    <w:charset w:val="00"/>
    <w:family w:val="auto"/>
    <w:pitch w:val="default"/>
    <w:sig w:usb0="00000000"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ingLiU-ExtB">
    <w:panose1 w:val="02020500000000000000"/>
    <w:charset w:val="88"/>
    <w:family w:val="auto"/>
    <w:pitch w:val="default"/>
    <w:sig w:usb0="8000002F" w:usb1="02000008" w:usb2="00000000" w:usb3="00000000" w:csb0="00100001" w:csb1="00000000"/>
  </w:font>
  <w:font w:name="Ravie">
    <w:altName w:val="Gabriola"/>
    <w:panose1 w:val="04040805050809020602"/>
    <w:charset w:val="00"/>
    <w:family w:val="auto"/>
    <w:pitch w:val="default"/>
    <w:sig w:usb0="00000000" w:usb1="00000000" w:usb2="00000000" w:usb3="00000000" w:csb0="20000001" w:csb1="00000000"/>
  </w:font>
  <w:font w:name="Rockwell">
    <w:altName w:val="Segoe Print"/>
    <w:panose1 w:val="02060603020205020403"/>
    <w:charset w:val="00"/>
    <w:family w:val="auto"/>
    <w:pitch w:val="default"/>
    <w:sig w:usb0="00000000" w:usb1="00000000" w:usb2="00000000" w:usb3="00000000" w:csb0="20000001" w:csb1="00000000"/>
  </w:font>
  <w:font w:name="Rockwell Condensed">
    <w:altName w:val="Segoe Print"/>
    <w:panose1 w:val="02060603050405020104"/>
    <w:charset w:val="00"/>
    <w:family w:val="auto"/>
    <w:pitch w:val="default"/>
    <w:sig w:usb0="00000000" w:usb1="00000000" w:usb2="00000000" w:usb3="00000000" w:csb0="20000001" w:csb1="00000000"/>
  </w:font>
  <w:font w:name="Rockwell Extra Bold">
    <w:altName w:val="Segoe Print"/>
    <w:panose1 w:val="02060903040505020403"/>
    <w:charset w:val="00"/>
    <w:family w:val="auto"/>
    <w:pitch w:val="default"/>
    <w:sig w:usb0="00000000" w:usb1="00000000" w:usb2="00000000" w:usb3="00000000" w:csb0="20000001" w:csb1="00000000"/>
  </w:font>
  <w:font w:name="Rod">
    <w:panose1 w:val="02030509050101010101"/>
    <w:charset w:val="00"/>
    <w:family w:val="auto"/>
    <w:pitch w:val="default"/>
    <w:sig w:usb0="00000801" w:usb1="00000000" w:usb2="00000000" w:usb3="00000000" w:csb0="00000020" w:csb1="00200000"/>
  </w:font>
  <w:font w:name="DotumChe">
    <w:panose1 w:val="020B0609000101010101"/>
    <w:charset w:val="81"/>
    <w:family w:val="auto"/>
    <w:pitch w:val="default"/>
    <w:sig w:usb0="B00002AF" w:usb1="69D77CFB" w:usb2="00000030" w:usb3="00000000" w:csb0="4008009F" w:csb1="DFD70000"/>
  </w:font>
  <w:font w:name="Wingdings">
    <w:panose1 w:val="05000000000000000000"/>
    <w:charset w:val="00"/>
    <w:family w:val="auto"/>
    <w:pitch w:val="default"/>
    <w:sig w:usb0="00000000" w:usb1="00000000" w:usb2="00000000" w:usb3="00000000" w:csb0="80000000" w:csb1="00000000"/>
  </w:font>
  <w:font w:name="Wide Latin">
    <w:altName w:val="Segoe Print"/>
    <w:panose1 w:val="020A0A07050505020404"/>
    <w:charset w:val="00"/>
    <w:family w:val="auto"/>
    <w:pitch w:val="default"/>
    <w:sig w:usb0="00000000"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Vrinda">
    <w:panose1 w:val="020B0502040204020203"/>
    <w:charset w:val="00"/>
    <w:family w:val="auto"/>
    <w:pitch w:val="default"/>
    <w:sig w:usb0="00010003" w:usb1="00000000" w:usb2="00000000" w:usb3="00000000" w:csb0="00000001" w:csb1="00000000"/>
  </w:font>
  <w:font w:name="Vivaldi">
    <w:altName w:val="Mongolian Baiti"/>
    <w:panose1 w:val="03020602050506090804"/>
    <w:charset w:val="00"/>
    <w:family w:val="auto"/>
    <w:pitch w:val="default"/>
    <w:sig w:usb0="00000000" w:usb1="00000000" w:usb2="00000000" w:usb3="00000000" w:csb0="20000001" w:csb1="00000000"/>
  </w:font>
  <w:font w:name="Viner Hand ITC">
    <w:altName w:val="Mongolian Baiti"/>
    <w:panose1 w:val="03070502030502020203"/>
    <w:charset w:val="00"/>
    <w:family w:val="auto"/>
    <w:pitch w:val="default"/>
    <w:sig w:usb0="00000000" w:usb1="00000000" w:usb2="00000000" w:usb3="00000000" w:csb0="20000001" w:csb1="00000000"/>
  </w:font>
  <w:font w:name="Vijaya">
    <w:panose1 w:val="020B0604020202020204"/>
    <w:charset w:val="00"/>
    <w:family w:val="auto"/>
    <w:pitch w:val="default"/>
    <w:sig w:usb0="00100003" w:usb1="00000000" w:usb2="00000000" w:usb3="00000000" w:csb0="00000001"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Tw Cen MT Condensed">
    <w:altName w:val="Segoe Print"/>
    <w:panose1 w:val="020B0606020104020203"/>
    <w:charset w:val="00"/>
    <w:family w:val="auto"/>
    <w:pitch w:val="default"/>
    <w:sig w:usb0="00000000" w:usb1="00000000" w:usb2="00000000" w:usb3="00000000" w:csb0="20000003" w:csb1="00000000"/>
  </w:font>
  <w:font w:name="Tw Cen MT">
    <w:altName w:val="Segoe Print"/>
    <w:panose1 w:val="020B0602020104020603"/>
    <w:charset w:val="00"/>
    <w:family w:val="auto"/>
    <w:pitch w:val="default"/>
    <w:sig w:usb0="00000000" w:usb1="00000000" w:usb2="00000000" w:usb3="00000000" w:csb0="20000003" w:csb1="00000000"/>
  </w:font>
  <w:font w:name="Tunga">
    <w:panose1 w:val="020B0502040204020203"/>
    <w:charset w:val="00"/>
    <w:family w:val="auto"/>
    <w:pitch w:val="default"/>
    <w:sig w:usb0="00400003" w:usb1="00000000" w:usb2="00000000" w:usb3="00000000" w:csb0="00000001" w:csb1="00000000"/>
  </w:font>
  <w:font w:name="Traditional Arabic">
    <w:panose1 w:val="02020603050405020304"/>
    <w:charset w:val="00"/>
    <w:family w:val="auto"/>
    <w:pitch w:val="default"/>
    <w:sig w:usb0="00006003" w:usb1="80000000" w:usb2="00000008" w:usb3="00000000" w:csb0="00000041" w:csb1="20080000"/>
  </w:font>
  <w:font w:name="Gabriola">
    <w:panose1 w:val="04040605051002020D02"/>
    <w:charset w:val="00"/>
    <w:family w:val="auto"/>
    <w:pitch w:val="default"/>
    <w:sig w:usb0="E00002EF" w:usb1="5000204B" w:usb2="00000000" w:usb3="00000000" w:csb0="2000009F" w:csb1="00000000"/>
  </w:font>
  <w:font w:name="昆仑仿宋">
    <w:altName w:val="黑体"/>
    <w:panose1 w:val="00000000000000000000"/>
    <w:charset w:val="86"/>
    <w:family w:val="modern"/>
    <w:pitch w:val="default"/>
    <w:sig w:usb0="00000000" w:usb1="00000000" w:usb2="00000010" w:usb3="00000000" w:csb0="00040000" w:csb1="00000000"/>
  </w:font>
  <w:font w:name="宋体-方正超大字符集">
    <w:altName w:val="宋体"/>
    <w:panose1 w:val="03000509000000000000"/>
    <w:charset w:val="86"/>
    <w:family w:val="auto"/>
    <w:pitch w:val="default"/>
    <w:sig w:usb0="00000000" w:usb1="0000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Gulim">
    <w:panose1 w:val="020B0600000101010101"/>
    <w:charset w:val="81"/>
    <w:family w:val="auto"/>
    <w:pitch w:val="default"/>
    <w:sig w:usb0="B00002AF" w:usb1="69D77CFB" w:usb2="00000030" w:usb3="00000000" w:csb0="4008009F" w:csb1="DFD70000"/>
  </w:font>
  <w:font w:name="Corbel">
    <w:panose1 w:val="020B0503020204020204"/>
    <w:charset w:val="00"/>
    <w:family w:val="auto"/>
    <w:pitch w:val="default"/>
    <w:sig w:usb0="A00002EF" w:usb1="4000A44B" w:usb2="00000000" w:usb3="00000000" w:csb0="2000019F" w:csb1="00000000"/>
  </w:font>
  <w:font w:name="DaunPenh">
    <w:panose1 w:val="01010101010101010101"/>
    <w:charset w:val="00"/>
    <w:family w:val="auto"/>
    <w:pitch w:val="default"/>
    <w:sig w:usb0="00000003" w:usb1="00000000" w:usb2="00010000" w:usb3="00000000" w:csb0="00000001" w:csb1="00000000"/>
  </w:font>
  <w:font w:name="Simplified Arabic Fixed">
    <w:panose1 w:val="02070309020205020404"/>
    <w:charset w:val="00"/>
    <w:family w:val="auto"/>
    <w:pitch w:val="default"/>
    <w:sig w:usb0="00002003" w:usb1="00000000" w:usb2="00000000" w:usb3="00000000" w:csb0="00000041" w:csb1="2008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Meiryo">
    <w:panose1 w:val="020B0604030504040204"/>
    <w:charset w:val="80"/>
    <w:family w:val="auto"/>
    <w:pitch w:val="default"/>
    <w:sig w:usb0="E10102FF" w:usb1="EAC7FFFF" w:usb2="00010012" w:usb3="00000000" w:csb0="6002009F" w:csb1="DFD70000"/>
  </w:font>
  <w:font w:name="Yu Gothic UI">
    <w:altName w:val="Corbel"/>
    <w:panose1 w:val="020B0500000000000000"/>
    <w:charset w:val="00"/>
    <w:family w:val="auto"/>
    <w:pitch w:val="default"/>
    <w:sig w:usb0="00000000" w:usb1="00000000" w:usb2="00000016" w:usb3="00000000" w:csb0="2002009F" w:csb1="00000000"/>
  </w:font>
  <w:font w:name="SimSun-Identity-H">
    <w:altName w:val="宋体"/>
    <w:panose1 w:val="00000000000000000000"/>
    <w:charset w:val="86"/>
    <w:family w:val="auto"/>
    <w:pitch w:val="default"/>
    <w:sig w:usb0="00000000" w:usb1="00000000" w:usb2="00000000" w:usb3="00000000" w:csb0="00040000" w:csb1="00000000"/>
  </w:font>
  <w:font w:name="TimesNewRomanPSMT-Identity-H">
    <w:altName w:val="宋体"/>
    <w:panose1 w:val="00000000000000000000"/>
    <w:charset w:val="86"/>
    <w:family w:val="auto"/>
    <w:pitch w:val="default"/>
    <w:sig w:usb0="00000000" w:usb1="00000000" w:usb2="00000000" w:usb3="00000000" w:csb0="00040000" w:csb1="00000000"/>
  </w:font>
  <w:font w:name="SimSun-Identity-H">
    <w:altName w:val="AMGDT"/>
    <w:panose1 w:val="00000000000000000000"/>
    <w:charset w:val="00"/>
    <w:family w:val="auto"/>
    <w:pitch w:val="default"/>
    <w:sig w:usb0="00000000" w:usb1="00000000" w:usb2="00000000" w:usb3="00000000" w:csb0="00000000" w:csb1="00000000"/>
  </w:font>
  <w:font w:name="方正小标宋简体">
    <w:altName w:val="黑体"/>
    <w:panose1 w:val="02010601030101010101"/>
    <w:charset w:val="86"/>
    <w:family w:val="auto"/>
    <w:pitch w:val="default"/>
    <w:sig w:usb0="00000000" w:usb1="00000000" w:usb2="00000010" w:usb3="00000000" w:csb0="00040000" w:csb1="00000000"/>
  </w:font>
  <w:font w:name="CordiaUPC">
    <w:panose1 w:val="020B0304020202020204"/>
    <w:charset w:val="00"/>
    <w:family w:val="auto"/>
    <w:pitch w:val="default"/>
    <w:sig w:usb0="81000003" w:usb1="00000000" w:usb2="00000000" w:usb3="00000000" w:csb0="00010001" w:csb1="00000000"/>
  </w:font>
  <w:font w:name="Cordia New">
    <w:panose1 w:val="020B0304020202020204"/>
    <w:charset w:val="00"/>
    <w:family w:val="auto"/>
    <w:pitch w:val="default"/>
    <w:sig w:usb0="81000003" w:usb1="00000000" w:usb2="00000000" w:usb3="00000000" w:csb0="00010001" w:csb1="00000000"/>
  </w:font>
  <w:font w:name="Constantia">
    <w:panose1 w:val="02030602050306030303"/>
    <w:charset w:val="00"/>
    <w:family w:val="auto"/>
    <w:pitch w:val="default"/>
    <w:sig w:usb0="A00002EF" w:usb1="4000204B" w:usb2="00000000" w:usb3="00000000" w:csb0="2000019F" w:csb1="00000000"/>
  </w:font>
  <w:font w:name="Consolas">
    <w:panose1 w:val="020B0609020204030204"/>
    <w:charset w:val="00"/>
    <w:family w:val="auto"/>
    <w:pitch w:val="default"/>
    <w:sig w:usb0="E10002FF" w:usb1="4000FCFF" w:usb2="00000009" w:usb3="00000000" w:csb0="6000019F" w:csb1="DFD70000"/>
  </w:font>
  <w:font w:name="David">
    <w:panose1 w:val="020E0502060401010101"/>
    <w:charset w:val="00"/>
    <w:family w:val="auto"/>
    <w:pitch w:val="default"/>
    <w:sig w:usb0="00000801" w:usb1="00000000" w:usb2="00000000" w:usb3="00000000" w:csb0="00000020" w:csb1="00200000"/>
  </w:font>
  <w:font w:name="DilleniaUPC">
    <w:panose1 w:val="02020603050405020304"/>
    <w:charset w:val="00"/>
    <w:family w:val="auto"/>
    <w:pitch w:val="default"/>
    <w:sig w:usb0="81000027" w:usb1="00000002" w:usb2="00000000" w:usb3="00000000" w:csb0="00010001" w:csb1="00000000"/>
  </w:font>
  <w:font w:name="DokChampa">
    <w:panose1 w:val="020B0604020202020204"/>
    <w:charset w:val="00"/>
    <w:family w:val="auto"/>
    <w:pitch w:val="default"/>
    <w:sig w:usb0="03000003" w:usb1="00000000" w:usb2="00000000" w:usb3="00000000" w:csb0="40010001" w:csb1="00000000"/>
  </w:font>
  <w:font w:name="Ebrima">
    <w:panose1 w:val="02000000000000000000"/>
    <w:charset w:val="00"/>
    <w:family w:val="auto"/>
    <w:pitch w:val="default"/>
    <w:sig w:usb0="A000505F" w:usb1="02000041" w:usb2="00000000" w:usb3="00000404" w:csb0="00000093" w:csb1="00000000"/>
  </w:font>
  <w:font w:name="Franklin Gothic Medium">
    <w:panose1 w:val="020B0603020102020204"/>
    <w:charset w:val="00"/>
    <w:family w:val="auto"/>
    <w:pitch w:val="default"/>
    <w:sig w:usb0="00000287" w:usb1="00000000" w:usb2="00000000" w:usb3="00000000" w:csb0="2000009F" w:csb1="DFD70000"/>
  </w:font>
  <w:font w:name="IrisUPC">
    <w:panose1 w:val="020B0604020202020204"/>
    <w:charset w:val="00"/>
    <w:family w:val="auto"/>
    <w:pitch w:val="default"/>
    <w:sig w:usb0="01000007" w:usb1="00000002" w:usb2="00000000" w:usb3="00000000" w:csb0="00010001" w:csb1="00000000"/>
  </w:font>
  <w:font w:name="Kartika">
    <w:panose1 w:val="02020503030404060203"/>
    <w:charset w:val="00"/>
    <w:family w:val="auto"/>
    <w:pitch w:val="default"/>
    <w:sig w:usb0="00800003" w:usb1="00000000" w:usb2="0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Nyala">
    <w:panose1 w:val="02000504070300020003"/>
    <w:charset w:val="00"/>
    <w:family w:val="auto"/>
    <w:pitch w:val="default"/>
    <w:sig w:usb0="A000006F" w:usb1="00000000" w:usb2="00000800" w:usb3="00000000" w:csb0="00000093" w:csb1="00000000"/>
  </w:font>
  <w:font w:name="Plantagenet Cherokee">
    <w:panose1 w:val="02020602070100000000"/>
    <w:charset w:val="00"/>
    <w:family w:val="auto"/>
    <w:pitch w:val="default"/>
    <w:sig w:usb0="00000003" w:usb1="00000000" w:usb2="00001000" w:usb3="00000000" w:csb0="00000001" w:csb1="00000000"/>
  </w:font>
  <w:font w:name="Shruti">
    <w:panose1 w:val="020B0502040204020203"/>
    <w:charset w:val="00"/>
    <w:family w:val="auto"/>
    <w:pitch w:val="default"/>
    <w:sig w:usb0="00040003" w:usb1="00000000" w:usb2="00000000" w:usb3="00000000" w:csb0="00000001" w:csb1="00000000"/>
  </w:font>
  <w:font w:name="MingLiU_HKSCS">
    <w:panose1 w:val="02020500000000000000"/>
    <w:charset w:val="88"/>
    <w:family w:val="auto"/>
    <w:pitch w:val="default"/>
    <w:sig w:usb0="A00002FF" w:usb1="38CFFCFA" w:usb2="00000016" w:usb3="00000000" w:csb0="00100001" w:csb1="00000000"/>
  </w:font>
  <w:font w:name="Browallia New">
    <w:panose1 w:val="020B0604020202020204"/>
    <w:charset w:val="00"/>
    <w:family w:val="auto"/>
    <w:pitch w:val="default"/>
    <w:sig w:usb0="81000003" w:usb1="00000000" w:usb2="00000000" w:usb3="00000000" w:csb0="00010001" w:csb1="00000000"/>
  </w:font>
  <w:font w:name="EucrosiaUPC">
    <w:panose1 w:val="02020603050405020304"/>
    <w:charset w:val="00"/>
    <w:family w:val="auto"/>
    <w:pitch w:val="default"/>
    <w:sig w:usb0="81000027" w:usb1="00000002" w:usb2="00000000" w:usb3="00000000" w:csb0="00010001" w:csb1="00000000"/>
  </w:font>
  <w:font w:name="夹发砰">
    <w:altName w:val="宋体"/>
    <w:panose1 w:val="00000000000000000000"/>
    <w:charset w:val="86"/>
    <w:family w:val="roman"/>
    <w:pitch w:val="default"/>
    <w:sig w:usb0="00000000" w:usb1="00000000" w:usb2="00000010" w:usb3="00000000" w:csb0="00040000" w:csb1="00000000"/>
  </w:font>
  <w:font w:name="Linux Libertine Display G">
    <w:altName w:val="Corbel"/>
    <w:panose1 w:val="02000503000000000000"/>
    <w:charset w:val="00"/>
    <w:family w:val="auto"/>
    <w:pitch w:val="default"/>
    <w:sig w:usb0="00000000" w:usb1="00000000" w:usb2="02000020" w:usb3="00000000" w:csb0="600001BF" w:csb1="00000000"/>
  </w:font>
  <w:font w:name="Linux Libertine G">
    <w:altName w:val="Corbel"/>
    <w:panose1 w:val="02000503000000000000"/>
    <w:charset w:val="00"/>
    <w:family w:val="auto"/>
    <w:pitch w:val="default"/>
    <w:sig w:usb0="00000000" w:usb1="00000000" w:usb2="00000020" w:usb3="00000000" w:csb0="6000019B" w:csb1="00000000"/>
  </w:font>
  <w:font w:name="Mangal">
    <w:panose1 w:val="02040503050203030202"/>
    <w:charset w:val="00"/>
    <w:family w:val="auto"/>
    <w:pitch w:val="default"/>
    <w:sig w:usb0="00008003" w:usb1="00000000" w:usb2="00000000" w:usb3="00000000" w:csb0="00000001" w:csb1="00000000"/>
  </w:font>
  <w:font w:name="Segoe UI Symbol">
    <w:panose1 w:val="020B0502040204020203"/>
    <w:charset w:val="00"/>
    <w:family w:val="auto"/>
    <w:pitch w:val="default"/>
    <w:sig w:usb0="8000006F" w:usb1="1200FBEF" w:usb2="0004C000" w:usb3="00000000" w:csb0="00000001" w:csb1="40000000"/>
  </w:font>
  <w:font w:name="Yu Gothic UI Semibold">
    <w:altName w:val="MS UI Gothic"/>
    <w:panose1 w:val="020B0700000000000000"/>
    <w:charset w:val="80"/>
    <w:family w:val="auto"/>
    <w:pitch w:val="default"/>
    <w:sig w:usb0="00000000" w:usb1="00000000" w:usb2="00000016" w:usb3="00000000" w:csb0="2002009F" w:csb1="00000000"/>
  </w:font>
  <w:font w:name="Microsoft Himalaya">
    <w:panose1 w:val="01010100010101010101"/>
    <w:charset w:val="00"/>
    <w:family w:val="auto"/>
    <w:pitch w:val="default"/>
    <w:sig w:usb0="80000003" w:usb1="00010000" w:usb2="00000040" w:usb3="00000000" w:csb0="00000001" w:csb1="00000000"/>
  </w:font>
  <w:font w:name="Yu Gothic UI Light">
    <w:altName w:val="MS UI Gothic"/>
    <w:panose1 w:val="020B0300000000000000"/>
    <w:charset w:val="80"/>
    <w:family w:val="auto"/>
    <w:pitch w:val="default"/>
    <w:sig w:usb0="00000000" w:usb1="00000000" w:usb2="00000016" w:usb3="00000000" w:csb0="2002009F" w:csb1="00000000"/>
  </w:font>
  <w:font w:name="楷体">
    <w:panose1 w:val="02010609060101010101"/>
    <w:charset w:val="7A"/>
    <w:family w:val="swiss"/>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Palatino">
    <w:altName w:val="Palatino Linotype"/>
    <w:panose1 w:val="00000000000000000000"/>
    <w:charset w:val="00"/>
    <w:family w:val="roman"/>
    <w:pitch w:val="default"/>
    <w:sig w:usb0="00000000" w:usb1="00000000" w:usb2="00000000" w:usb3="00000000" w:csb0="00000001" w:csb1="00000000"/>
  </w:font>
  <w:font w:name="??">
    <w:altName w:val="宋体"/>
    <w:panose1 w:val="00000000000000000000"/>
    <w:charset w:val="86"/>
    <w:family w:val="swiss"/>
    <w:pitch w:val="default"/>
    <w:sig w:usb0="00000000" w:usb1="00000000" w:usb2="00000010" w:usb3="00000000" w:csb0="00040001" w:csb1="00000000"/>
  </w:font>
  <w:font w:name="Angsana New">
    <w:panose1 w:val="02020603050405020304"/>
    <w:charset w:val="00"/>
    <w:family w:val="roman"/>
    <w:pitch w:val="default"/>
    <w:sig w:usb0="81000003" w:usb1="00000000" w:usb2="00000000" w:usb3="00000000" w:csb0="00010001" w:csb1="00000000"/>
  </w:font>
  <w:font w:name="華康楷書體W5">
    <w:altName w:val="PMingLiU"/>
    <w:panose1 w:val="03000509000000000000"/>
    <w:charset w:val="88"/>
    <w:family w:val="script"/>
    <w:pitch w:val="default"/>
    <w:sig w:usb0="00000000" w:usb1="00000000" w:usb2="00000016" w:usb3="00000000" w:csb0="00100000" w:csb1="00000000"/>
  </w:font>
  <w:font w:name="..._x0004_">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ongti">
    <w:altName w:val="AMGDT"/>
    <w:panose1 w:val="00000000000000000000"/>
    <w:charset w:val="00"/>
    <w:family w:val="auto"/>
    <w:pitch w:val="default"/>
    <w:sig w:usb0="00000000" w:usb1="00000000" w:usb2="00000000" w:usb3="00000000" w:csb0="00000000" w:csb1="00000000"/>
  </w:font>
  <w:font w:name="Calibri">
    <w:panose1 w:val="020F0502020204030204"/>
    <w:charset w:val="CC"/>
    <w:family w:val="swiss"/>
    <w:pitch w:val="default"/>
    <w:sig w:usb0="E10002FF" w:usb1="4000ACFF" w:usb2="00000009" w:usb3="00000000" w:csb0="2000019F" w:csb1="00000000"/>
  </w:font>
  <w:font w:name="PQWDRN+TimesNewRomanPSMT">
    <w:altName w:val="Times New Roman"/>
    <w:panose1 w:val="02020603050405020304"/>
    <w:charset w:val="01"/>
    <w:family w:val="roman"/>
    <w:pitch w:val="default"/>
    <w:sig w:usb0="00000000" w:usb1="00000000" w:usb2="00000000" w:usb3="00000000" w:csb0="00000000" w:csb1="00000000"/>
  </w:font>
  <w:font w:name="EDPEMC+Arial-BoldMT">
    <w:altName w:val="Microsoft Sans Serif"/>
    <w:panose1 w:val="020B0704020202020204"/>
    <w:charset w:val="01"/>
    <w:family w:val="swiss"/>
    <w:pitch w:val="default"/>
    <w:sig w:usb0="00000000" w:usb1="00000000" w:usb2="00000000" w:usb3="00000000" w:csb0="00000000" w:csb1="00000000"/>
  </w:font>
  <w:font w:name="Arial">
    <w:panose1 w:val="020B0604020202020204"/>
    <w:charset w:val="CC"/>
    <w:family w:val="swiss"/>
    <w:pitch w:val="default"/>
    <w:sig w:usb0="E0002AFF" w:usb1="C0007843" w:usb2="00000009" w:usb3="00000000" w:csb0="400001FF" w:csb1="FFFF0000"/>
  </w:font>
  <w:font w:name="KEPWIL+ArialMT">
    <w:altName w:val="Microsoft Sans Serif"/>
    <w:panose1 w:val="020B0604020202020204"/>
    <w:charset w:val="01"/>
    <w:family w:val="swiss"/>
    <w:pitch w:val="default"/>
    <w:sig w:usb0="00000000" w:usb1="00000000" w:usb2="00000000" w:usb3="00000000" w:csb0="00000000" w:csb1="00000000"/>
  </w:font>
  <w:font w:name="Lucida Sans Unicode">
    <w:panose1 w:val="020B0602030504020204"/>
    <w:charset w:val="CC"/>
    <w:family w:val="swiss"/>
    <w:pitch w:val="default"/>
    <w:sig w:usb0="80001AFF" w:usb1="0000396B" w:usb2="00000000" w:usb3="00000000" w:csb0="200000BF" w:csb1="D7F70000"/>
  </w:font>
  <w:font w:name="ºÚÌå">
    <w:altName w:val="Arial"/>
    <w:panose1 w:val="00000000000000000000"/>
    <w:charset w:val="00"/>
    <w:family w:val="swiss"/>
    <w:pitch w:val="default"/>
    <w:sig w:usb0="00000000" w:usb1="00000000" w:usb2="00000000" w:usb3="00000000" w:csb0="00000001" w:csb1="00000000"/>
  </w:font>
  <w:font w:name="ËÎÌå">
    <w:altName w:val="Arial"/>
    <w:panose1 w:val="00000000000000000000"/>
    <w:charset w:val="00"/>
    <w:family w:val="swiss"/>
    <w:pitch w:val="default"/>
    <w:sig w:usb0="00000000" w:usb1="00000000" w:usb2="00000000" w:usb3="00000000" w:csb0="00000001" w:csb1="00000000"/>
  </w:font>
  <w:font w:name="Source Sans Pro Light">
    <w:altName w:val="RomanS"/>
    <w:panose1 w:val="020B0403030403020204"/>
    <w:charset w:val="00"/>
    <w:family w:val="auto"/>
    <w:pitch w:val="default"/>
    <w:sig w:usb0="00000000" w:usb1="00000000" w:usb2="00000000" w:usb3="00000000" w:csb0="2000019F" w:csb1="00000000"/>
  </w:font>
  <w:font w:name="Liberation Sans">
    <w:altName w:val="ISOCPEUR"/>
    <w:panose1 w:val="020B0604020202020204"/>
    <w:charset w:val="00"/>
    <w:family w:val="auto"/>
    <w:pitch w:val="default"/>
    <w:sig w:usb0="00000000" w:usb1="00000000" w:usb2="00000021" w:usb3="00000000" w:csb0="600001BF" w:csb1="DFF70000"/>
  </w:font>
  <w:font w:name="AcadEref">
    <w:panose1 w:val="02000500000000020003"/>
    <w:charset w:val="00"/>
    <w:family w:val="auto"/>
    <w:pitch w:val="default"/>
    <w:sig w:usb0="0000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 w:name="ISOCPEUR">
    <w:panose1 w:val="020B0604020202020204"/>
    <w:charset w:val="00"/>
    <w:family w:val="auto"/>
    <w:pitch w:val="default"/>
    <w:sig w:usb0="00000287" w:usb1="00000000" w:usb2="00000000" w:usb3="00000000" w:csb0="4000009F" w:csb1="DFD70000"/>
  </w:font>
  <w:font w:name="NewsGoth BT">
    <w:altName w:val="AmdtSymbols"/>
    <w:panose1 w:val="020B0503020203020204"/>
    <w:charset w:val="00"/>
    <w:family w:val="auto"/>
    <w:pitch w:val="default"/>
    <w:sig w:usb0="00000000" w:usb1="00000000" w:usb2="00000000" w:usb3="00000000" w:csb0="00000011" w:csb1="00000000"/>
  </w:font>
  <w:font w:name="Adobe 宋体 Std L">
    <w:altName w:val="宋体"/>
    <w:panose1 w:val="02020300000000000000"/>
    <w:charset w:val="86"/>
    <w:family w:val="auto"/>
    <w:pitch w:val="default"/>
    <w:sig w:usb0="00000000" w:usb1="00000000" w:usb2="00000016" w:usb3="00000000" w:csb0="00060007" w:csb1="00000000"/>
  </w:font>
  <w:font w:name="Adobe 楷体 Std R">
    <w:altName w:val="宋体"/>
    <w:panose1 w:val="02020400000000000000"/>
    <w:charset w:val="86"/>
    <w:family w:val="auto"/>
    <w:pitch w:val="default"/>
    <w:sig w:usb0="00000000" w:usb1="00000000" w:usb2="00000016" w:usb3="00000000" w:csb0="00060007" w:csb1="00000000"/>
  </w:font>
  <w:font w:name="Adobe 明體 Std L">
    <w:altName w:val="PMingLiU"/>
    <w:panose1 w:val="02020300000000000000"/>
    <w:charset w:val="88"/>
    <w:family w:val="auto"/>
    <w:pitch w:val="default"/>
    <w:sig w:usb0="00000000" w:usb1="00000000" w:usb2="00000016" w:usb3="00000000" w:csb0="00120005" w:csb1="00000000"/>
  </w:font>
  <w:font w:name="BALPDE+SimSun">
    <w:altName w:val="宋体"/>
    <w:panose1 w:val="00000000000000000000"/>
    <w:charset w:val="86"/>
    <w:family w:val="swiss"/>
    <w:pitch w:val="default"/>
    <w:sig w:usb0="00000000" w:usb1="00000000" w:usb2="00000000" w:usb3="00000000" w:csb0="00040000" w:csb1="00000000"/>
  </w:font>
  <w:font w:name="Albertus Xb (W1)">
    <w:altName w:val="Arial"/>
    <w:panose1 w:val="00000000000000000000"/>
    <w:charset w:val="00"/>
    <w:family w:val="swiss"/>
    <w:pitch w:val="default"/>
    <w:sig w:usb0="00000000" w:usb1="00000000" w:usb2="00000000" w:usb3="00000000" w:csb0="00000001" w:csb1="00000000"/>
  </w:font>
  <w:font w:name="汉鼎简中等线">
    <w:altName w:val="宋体"/>
    <w:panose1 w:val="02010609010101010101"/>
    <w:charset w:val="86"/>
    <w:family w:val="modern"/>
    <w:pitch w:val="default"/>
    <w:sig w:usb0="00000000" w:usb1="00000000" w:usb2="00000010" w:usb3="00000000" w:csb0="00040000" w:csb1="00000000"/>
  </w:font>
  <w:font w:name="Adobe Gothic Std B">
    <w:altName w:val="MS UI Gothic"/>
    <w:panose1 w:val="020B0800000000000000"/>
    <w:charset w:val="80"/>
    <w:family w:val="auto"/>
    <w:pitch w:val="default"/>
    <w:sig w:usb0="00000000" w:usb1="00000000" w:usb2="00000010" w:usb3="00000000" w:csb0="602A0005" w:csb1="00000000"/>
  </w:font>
  <w:font w:name="Adobe 黑体 Std R">
    <w:altName w:val="黑体"/>
    <w:panose1 w:val="020B0400000000000000"/>
    <w:charset w:val="86"/>
    <w:family w:val="auto"/>
    <w:pitch w:val="default"/>
    <w:sig w:usb0="00000000" w:usb1="00000000" w:usb2="00000016" w:usb3="00000000" w:csb0="00060007" w:csb1="00000000"/>
  </w:font>
  <w:font w:name="Adobe 繁黑體 Std B">
    <w:altName w:val="黑体"/>
    <w:panose1 w:val="020B0700000000000000"/>
    <w:charset w:val="88"/>
    <w:family w:val="auto"/>
    <w:pitch w:val="default"/>
    <w:sig w:usb0="00000000" w:usb1="00000000" w:usb2="00000016" w:usb3="00000000" w:csb0="00120005" w:csb1="00000000"/>
  </w:font>
  <w:font w:name="方正宋三简体">
    <w:altName w:val="宋体"/>
    <w:panose1 w:val="03000509000000000000"/>
    <w:charset w:val="86"/>
    <w:family w:val="script"/>
    <w:pitch w:val="default"/>
    <w:sig w:usb0="00000000" w:usb1="00000000" w:usb2="00000010" w:usb3="00000000" w:csb0="00040000" w:csb1="00000000"/>
  </w:font>
  <w:font w:name="长城粗隶书体">
    <w:altName w:val="宋体"/>
    <w:panose1 w:val="00000000000000000000"/>
    <w:charset w:val="86"/>
    <w:family w:val="modern"/>
    <w:pitch w:val="default"/>
    <w:sig w:usb0="00000000" w:usb1="00000000" w:usb2="00000010" w:usb3="00000000" w:csb0="00040000" w:csb1="00000000"/>
  </w:font>
  <w:font w:name="仿宋体-10Point">
    <w:altName w:val="仿宋"/>
    <w:panose1 w:val="00000000000000000000"/>
    <w:charset w:val="86"/>
    <w:family w:val="modern"/>
    <w:pitch w:val="default"/>
    <w:sig w:usb0="00000000" w:usb1="00000000" w:usb2="00000010" w:usb3="00000000" w:csb0="00040000" w:csb1="00000000"/>
  </w:font>
  <w:font w:name="黑体-10Point">
    <w:altName w:val="黑体"/>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1"/>
    <w:family w:val="roman"/>
    <w:pitch w:val="default"/>
    <w:sig w:usb0="00000000" w:usb1="00000000" w:usb2="00000000" w:usb3="00000000" w:csb0="00040001" w:csb1="00000000"/>
  </w:font>
  <w:font w:name="Maiandra GD">
    <w:altName w:val="AmdtSymbols"/>
    <w:panose1 w:val="020E0502030308020204"/>
    <w:charset w:val="00"/>
    <w:family w:val="auto"/>
    <w:pitch w:val="default"/>
    <w:sig w:usb0="00000000" w:usb1="00000000" w:usb2="00000000" w:usb3="00000000" w:csb0="20000001" w:csb1="00000000"/>
  </w:font>
  <w:font w:name="AngsanaUPC">
    <w:panose1 w:val="02020603050405020304"/>
    <w:charset w:val="00"/>
    <w:family w:val="roman"/>
    <w:pitch w:val="default"/>
    <w:sig w:usb0="81000003" w:usb1="00000000" w:usb2="00000000" w:usb3="00000000" w:csb0="00010001" w:csb1="00000000"/>
  </w:font>
  <w:font w:name="FrankRuehl">
    <w:panose1 w:val="020E0503060101010101"/>
    <w:charset w:val="B1"/>
    <w:family w:val="swiss"/>
    <w:pitch w:val="default"/>
    <w:sig w:usb0="00000801" w:usb1="00000000" w:usb2="00000000" w:usb3="00000000" w:csb0="00000020" w:csb1="00200000"/>
  </w:font>
  <w:font w:name="方正楷体简体">
    <w:altName w:val="宋体"/>
    <w:panose1 w:val="02010601030101010101"/>
    <w:charset w:val="86"/>
    <w:family w:val="auto"/>
    <w:pitch w:val="default"/>
    <w:sig w:usb0="00000000" w:usb1="00000000" w:usb2="00000010" w:usb3="00000000" w:csb0="00040000" w:csb1="00000000"/>
  </w:font>
  <w:font w:name="宋体,Arial">
    <w:altName w:val="宋体"/>
    <w:panose1 w:val="00000000000000000000"/>
    <w:charset w:val="86"/>
    <w:family w:val="roman"/>
    <w:pitch w:val="default"/>
    <w:sig w:usb0="00000000" w:usb1="00000000" w:usb2="00000010" w:usb3="00000000" w:csb0="00040000" w:csb1="00000000"/>
  </w:font>
  <w:font w:name="方正仿宋简体">
    <w:altName w:val="宋体"/>
    <w:panose1 w:val="00000000000000000000"/>
    <w:charset w:val="86"/>
    <w:family w:val="roman"/>
    <w:pitch w:val="default"/>
    <w:sig w:usb0="00000000" w:usb1="00000000" w:usb2="00000010" w:usb3="00000000" w:csb0="00040000" w:csb1="00000000"/>
  </w:font>
  <w:font w:name="方正小标宋简体">
    <w:altName w:val="黑体"/>
    <w:panose1 w:val="00000000000000000000"/>
    <w:charset w:val="00"/>
    <w:family w:val="auto"/>
    <w:pitch w:val="default"/>
    <w:sig w:usb0="00000000" w:usb1="00000000" w:usb2="00000000" w:usb3="00000000" w:csb0="00000000" w:csb1="00000000"/>
  </w:font>
  <w:font w:name="Segoe UI Semibold">
    <w:panose1 w:val="020B0702040204020203"/>
    <w:charset w:val="00"/>
    <w:family w:val="auto"/>
    <w:pitch w:val="default"/>
    <w:sig w:usb0="E00002FF" w:usb1="4000A47B" w:usb2="00000001" w:usb3="00000000" w:csb0="2000019F" w:csb1="00000000"/>
  </w:font>
  <w:font w:name="Shonar Bangla">
    <w:panose1 w:val="020B0502040204020203"/>
    <w:charset w:val="00"/>
    <w:family w:val="auto"/>
    <w:pitch w:val="default"/>
    <w:sig w:usb0="00010003" w:usb1="00000000" w:usb2="00000000" w:usb3="00000000" w:csb0="00000001" w:csb1="00000000"/>
  </w:font>
  <w:font w:name="瀹嬩綋">
    <w:altName w:val="AMGDT"/>
    <w:panose1 w:val="00000000000000000000"/>
    <w:charset w:val="00"/>
    <w:family w:val="auto"/>
    <w:pitch w:val="default"/>
    <w:sig w:usb0="00000000" w:usb1="00000000" w:usb2="00000000" w:usb3="00000000" w:csb0="00000000" w:csb1="00000000"/>
  </w:font>
  <w:font w:name="Poplar Std">
    <w:altName w:val="AMGDT"/>
    <w:panose1 w:val="04020903030B02020202"/>
    <w:charset w:val="00"/>
    <w:family w:val="auto"/>
    <w:pitch w:val="default"/>
    <w:sig w:usb0="00000000" w:usb1="00000000" w:usb2="00000000" w:usb3="00000000" w:csb0="20000001" w:csb1="00000000"/>
  </w:font>
  <w:font w:name="Blackoak Std">
    <w:altName w:val="AMGDT"/>
    <w:panose1 w:val="04050907060602020202"/>
    <w:charset w:val="00"/>
    <w:family w:val="auto"/>
    <w:pitch w:val="default"/>
    <w:sig w:usb0="00000000" w:usb1="00000000" w:usb2="00000000" w:usb3="00000000" w:csb0="20000001" w:csb1="00000000"/>
  </w:font>
  <w:font w:name="Kozuka Mincho Pro H">
    <w:altName w:val="MS PMincho"/>
    <w:panose1 w:val="02020A00000000000000"/>
    <w:charset w:val="80"/>
    <w:family w:val="auto"/>
    <w:pitch w:val="default"/>
    <w:sig w:usb0="00000000" w:usb1="00000000" w:usb2="00000012" w:usb3="00000000" w:csb0="20020005" w:csb1="00000000"/>
  </w:font>
  <w:font w:name="Kozuka Gothic Pro H">
    <w:altName w:val="MS UI Gothic"/>
    <w:panose1 w:val="020B0800000000000000"/>
    <w:charset w:val="80"/>
    <w:family w:val="auto"/>
    <w:pitch w:val="default"/>
    <w:sig w:usb0="00000000" w:usb1="00000000" w:usb2="00000012" w:usb3="00000000" w:csb0="20020005" w:csb1="00000000"/>
  </w:font>
  <w:font w:name="等线">
    <w:altName w:val="宋体"/>
    <w:panose1 w:val="02010600030101010101"/>
    <w:charset w:val="86"/>
    <w:family w:val="auto"/>
    <w:pitch w:val="default"/>
    <w:sig w:usb0="00000000" w:usb1="00000000" w:usb2="00000016" w:usb3="00000000" w:csb0="0004000F" w:csb1="00000000"/>
  </w:font>
  <w:font w:name="华康简魏碑">
    <w:altName w:val="宋体"/>
    <w:panose1 w:val="00000000000000000000"/>
    <w:charset w:val="86"/>
    <w:family w:val="modern"/>
    <w:pitch w:val="default"/>
    <w:sig w:usb0="00000000" w:usb1="00000000" w:usb2="00000000" w:usb3="00000000" w:csb0="00040001" w:csb1="00000000"/>
  </w:font>
  <w:font w:name="Plotter">
    <w:altName w:val="Times New Roman"/>
    <w:panose1 w:val="02020603050405020304"/>
    <w:charset w:val="01"/>
    <w:family w:val="roman"/>
    <w:pitch w:val="default"/>
    <w:sig w:usb0="00000000" w:usb1="00000000" w:usb2="00000000" w:usb3="00000000" w:csb0="000001FF" w:csb1="00000000"/>
  </w:font>
  <w:font w:name="ﾋﾎﾌ">
    <w:altName w:val="MS Gothic"/>
    <w:panose1 w:val="00000000000000000000"/>
    <w:charset w:val="80"/>
    <w:family w:val="auto"/>
    <w:pitch w:val="default"/>
    <w:sig w:usb0="00000000" w:usb1="00000000" w:usb2="00000010" w:usb3="00000000" w:csb0="00020000" w:csb1="00000000"/>
  </w:font>
  <w:font w:name="MS Reference Specialty">
    <w:panose1 w:val="05000500000000000000"/>
    <w:charset w:val="00"/>
    <w:family w:val="auto"/>
    <w:pitch w:val="default"/>
    <w:sig w:usb0="00000000" w:usb1="00000000" w:usb2="00000000" w:usb3="00000000" w:csb0="80000000" w:csb1="00000000"/>
  </w:font>
  <w:font w:name="Eras Light ITC">
    <w:altName w:val="RomanS"/>
    <w:panose1 w:val="020B0402030504020804"/>
    <w:charset w:val="00"/>
    <w:family w:val="auto"/>
    <w:pitch w:val="default"/>
    <w:sig w:usb0="00000000" w:usb1="00000000" w:usb2="00000000" w:usb3="00000000" w:csb0="20000001" w:csb1="00000000"/>
  </w:font>
  <w:font w:name="Blackadder ITC">
    <w:altName w:val="Gabriola"/>
    <w:panose1 w:val="04020505051007020D02"/>
    <w:charset w:val="00"/>
    <w:family w:val="auto"/>
    <w:pitch w:val="default"/>
    <w:sig w:usb0="00000000" w:usb1="00000000" w:usb2="00000000" w:usb3="00000000" w:csb0="20000001" w:csb1="00000000"/>
  </w:font>
  <w:font w:name="Curlz MT">
    <w:altName w:val="Gabriola"/>
    <w:panose1 w:val="04040404050702020202"/>
    <w:charset w:val="00"/>
    <w:family w:val="auto"/>
    <w:pitch w:val="default"/>
    <w:sig w:usb0="00000000" w:usb1="00000000" w:usb2="00000000" w:usb3="00000000" w:csb0="20000001"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86"/>
    <w:family w:val="swiss"/>
    <w:pitch w:val="default"/>
    <w:sig w:usb0="E1002EFF" w:usb1="C000605B" w:usb2="00000029" w:usb3="00000000" w:csb0="200101FF" w:csb1="20280000"/>
  </w:font>
  <w:font w:name="等线 Light">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00"/>
    <w:family w:val="auto"/>
    <w:pitch w:val="default"/>
    <w:sig w:usb0="00000000" w:usb1="00000000" w:usb2="00000010" w:usb3="00000000" w:csb0="00040001" w:csb1="00000000"/>
  </w:font>
  <w:font w:name="Century Schoolbook">
    <w:altName w:val="Segoe Print"/>
    <w:panose1 w:val="02040604050505020304"/>
    <w:charset w:val="00"/>
    <w:family w:val="roman"/>
    <w:pitch w:val="default"/>
    <w:sig w:usb0="00000000" w:usb1="00000000" w:usb2="00000000" w:usb3="00000000" w:csb0="2000009F" w:csb1="DFD70000"/>
  </w:font>
  <w:font w:name="等线 Light">
    <w:altName w:val="AMGDT"/>
    <w:panose1 w:val="00000000000000000000"/>
    <w:charset w:val="00"/>
    <w:family w:val="auto"/>
    <w:pitch w:val="default"/>
    <w:sig w:usb0="00000000" w:usb1="00000000" w:usb2="00000000" w:usb3="00000000" w:csb0="00000000" w:csb1="00000000"/>
  </w:font>
  <w:font w:name="Arail">
    <w:altName w:val="Courier New"/>
    <w:panose1 w:val="00000000000000000000"/>
    <w:charset w:val="00"/>
    <w:family w:val="auto"/>
    <w:pitch w:val="default"/>
    <w:sig w:usb0="00000000" w:usb1="00000000" w:usb2="00000000" w:usb3="00000000" w:csb0="00040001" w:csb1="00000000"/>
  </w:font>
  <w:font w:name="ڌ墻">
    <w:altName w:val="宋体"/>
    <w:panose1 w:val="00000000000000000000"/>
    <w:charset w:val="86"/>
    <w:family w:val="roman"/>
    <w:pitch w:val="default"/>
    <w:sig w:usb0="00000000" w:usb1="00000000" w:usb2="00000010" w:usb3="00000000" w:csb0="00040000" w:csb1="00000000"/>
  </w:font>
  <w:font w:name="方正仿宋_GBK">
    <w:altName w:val="宋体"/>
    <w:panose1 w:val="03000509000000000000"/>
    <w:charset w:val="86"/>
    <w:family w:val="script"/>
    <w:pitch w:val="default"/>
    <w:sig w:usb0="00000000" w:usb1="00000000" w:usb2="00000000" w:usb3="00000000" w:csb0="00040000" w:csb1="00000000"/>
  </w:font>
  <w:font w:name="TT64Do02">
    <w:altName w:val="Courier New"/>
    <w:panose1 w:val="00000000000000000000"/>
    <w:charset w:val="00"/>
    <w:family w:val="auto"/>
    <w:pitch w:val="default"/>
    <w:sig w:usb0="00000000" w:usb1="00000000" w:usb2="00000000" w:usb3="00000000" w:csb0="00040001" w:csb1="00000000"/>
  </w:font>
  <w:font w:name="Playbill">
    <w:altName w:val="Gabriola"/>
    <w:panose1 w:val="040506030A0602020202"/>
    <w:charset w:val="00"/>
    <w:family w:val="auto"/>
    <w:pitch w:val="default"/>
    <w:sig w:usb0="00000000" w:usb1="00000000" w:usb2="00000000" w:usb3="00000000" w:csb0="20000001" w:csb1="00000000"/>
  </w:font>
  <w:font w:name="Bookman Old Style">
    <w:altName w:val="Segoe Print"/>
    <w:panose1 w:val="02050604050505020204"/>
    <w:charset w:val="00"/>
    <w:family w:val="auto"/>
    <w:pitch w:val="default"/>
    <w:sig w:usb0="00000000" w:usb1="00000000" w:usb2="00000000" w:usb3="00000000" w:csb0="2000009F" w:csb1="DFD70000"/>
  </w:font>
  <w:font w:name="Sitka Text">
    <w:altName w:val="AmdtSymbols"/>
    <w:panose1 w:val="02000505000000020004"/>
    <w:charset w:val="00"/>
    <w:family w:val="auto"/>
    <w:pitch w:val="default"/>
    <w:sig w:usb0="00000000" w:usb1="00000000" w:usb2="00000000" w:usb3="00000000" w:csb0="2000019F" w:csb1="00000000"/>
  </w:font>
  <w:font w:name="Yu Gothic">
    <w:altName w:val="MS UI Gothic"/>
    <w:panose1 w:val="020B0400000000000000"/>
    <w:charset w:val="80"/>
    <w:family w:val="auto"/>
    <w:pitch w:val="default"/>
    <w:sig w:usb0="00000000" w:usb1="00000000" w:usb2="00000016" w:usb3="00000000" w:csb0="2002009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24</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938B8"/>
    <w:multiLevelType w:val="multilevel"/>
    <w:tmpl w:val="2E1938B8"/>
    <w:lvl w:ilvl="0" w:tentative="0">
      <w:start w:val="1"/>
      <w:numFmt w:val="decimalEnclosedCircle"/>
      <w:lvlText w:val="%1"/>
      <w:lvlJc w:val="left"/>
      <w:pPr>
        <w:ind w:left="842" w:hanging="360"/>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59841D2C"/>
    <w:multiLevelType w:val="singleLevel"/>
    <w:tmpl w:val="59841D2C"/>
    <w:lvl w:ilvl="0" w:tentative="0">
      <w:start w:val="1"/>
      <w:numFmt w:val="decimal"/>
      <w:suff w:val="nothing"/>
      <w:lvlText w:val="（%1）"/>
      <w:lvlJc w:val="left"/>
    </w:lvl>
  </w:abstractNum>
  <w:abstractNum w:abstractNumId="2">
    <w:nsid w:val="59DD9E6D"/>
    <w:multiLevelType w:val="singleLevel"/>
    <w:tmpl w:val="59DD9E6D"/>
    <w:lvl w:ilvl="0" w:tentative="0">
      <w:start w:val="4"/>
      <w:numFmt w:val="decimal"/>
      <w:suff w:val="nothing"/>
      <w:lvlText w:val="（%1）"/>
      <w:lvlJc w:val="left"/>
    </w:lvl>
  </w:abstractNum>
  <w:abstractNum w:abstractNumId="3">
    <w:nsid w:val="5A24C9EA"/>
    <w:multiLevelType w:val="singleLevel"/>
    <w:tmpl w:val="5A24C9EA"/>
    <w:lvl w:ilvl="0" w:tentative="0">
      <w:start w:val="2"/>
      <w:numFmt w:val="decimal"/>
      <w:suff w:val="nothing"/>
      <w:lvlText w:val="（%1）"/>
      <w:lvlJc w:val="left"/>
    </w:lvl>
  </w:abstractNum>
  <w:abstractNum w:abstractNumId="4">
    <w:nsid w:val="6C176CAB"/>
    <w:multiLevelType w:val="multilevel"/>
    <w:tmpl w:val="6C176CAB"/>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213"/>
    <w:rsid w:val="0000196B"/>
    <w:rsid w:val="00001C4F"/>
    <w:rsid w:val="0000334F"/>
    <w:rsid w:val="00004174"/>
    <w:rsid w:val="00004F04"/>
    <w:rsid w:val="00006C8D"/>
    <w:rsid w:val="00006CCE"/>
    <w:rsid w:val="00010231"/>
    <w:rsid w:val="0001175E"/>
    <w:rsid w:val="00011803"/>
    <w:rsid w:val="000118AD"/>
    <w:rsid w:val="000118F2"/>
    <w:rsid w:val="00011CAF"/>
    <w:rsid w:val="00012136"/>
    <w:rsid w:val="00012585"/>
    <w:rsid w:val="00013D5A"/>
    <w:rsid w:val="00014FBE"/>
    <w:rsid w:val="00015CA1"/>
    <w:rsid w:val="000207EE"/>
    <w:rsid w:val="000216A3"/>
    <w:rsid w:val="000235D9"/>
    <w:rsid w:val="00024706"/>
    <w:rsid w:val="000313AB"/>
    <w:rsid w:val="000318A9"/>
    <w:rsid w:val="000319E8"/>
    <w:rsid w:val="00034AB5"/>
    <w:rsid w:val="00034B94"/>
    <w:rsid w:val="00035620"/>
    <w:rsid w:val="0003623D"/>
    <w:rsid w:val="000368EA"/>
    <w:rsid w:val="00037A14"/>
    <w:rsid w:val="00037CD4"/>
    <w:rsid w:val="00042329"/>
    <w:rsid w:val="00043C26"/>
    <w:rsid w:val="00046BFE"/>
    <w:rsid w:val="000476A3"/>
    <w:rsid w:val="000521F2"/>
    <w:rsid w:val="00053FE9"/>
    <w:rsid w:val="000565AB"/>
    <w:rsid w:val="00057CEF"/>
    <w:rsid w:val="00061EB1"/>
    <w:rsid w:val="0006221E"/>
    <w:rsid w:val="00062CB3"/>
    <w:rsid w:val="00063A07"/>
    <w:rsid w:val="000645AE"/>
    <w:rsid w:val="00066190"/>
    <w:rsid w:val="000708A9"/>
    <w:rsid w:val="00071B9F"/>
    <w:rsid w:val="00073320"/>
    <w:rsid w:val="00073A34"/>
    <w:rsid w:val="0007594E"/>
    <w:rsid w:val="00076C08"/>
    <w:rsid w:val="00076FE0"/>
    <w:rsid w:val="00080B6C"/>
    <w:rsid w:val="0008223E"/>
    <w:rsid w:val="00084606"/>
    <w:rsid w:val="000850C3"/>
    <w:rsid w:val="00085819"/>
    <w:rsid w:val="0009174D"/>
    <w:rsid w:val="00092AA4"/>
    <w:rsid w:val="00095CFB"/>
    <w:rsid w:val="000A0001"/>
    <w:rsid w:val="000A1CBD"/>
    <w:rsid w:val="000A23EB"/>
    <w:rsid w:val="000A38B8"/>
    <w:rsid w:val="000A4183"/>
    <w:rsid w:val="000B24EA"/>
    <w:rsid w:val="000B2D39"/>
    <w:rsid w:val="000B3B39"/>
    <w:rsid w:val="000B3BDF"/>
    <w:rsid w:val="000B4405"/>
    <w:rsid w:val="000B505A"/>
    <w:rsid w:val="000B726B"/>
    <w:rsid w:val="000C1715"/>
    <w:rsid w:val="000C3AE5"/>
    <w:rsid w:val="000C4240"/>
    <w:rsid w:val="000C4C47"/>
    <w:rsid w:val="000C69BF"/>
    <w:rsid w:val="000C6A3F"/>
    <w:rsid w:val="000D2AF9"/>
    <w:rsid w:val="000D2EFE"/>
    <w:rsid w:val="000E1305"/>
    <w:rsid w:val="000E1860"/>
    <w:rsid w:val="000E3070"/>
    <w:rsid w:val="000E566E"/>
    <w:rsid w:val="000F0105"/>
    <w:rsid w:val="000F3C3B"/>
    <w:rsid w:val="000F445B"/>
    <w:rsid w:val="000F64B1"/>
    <w:rsid w:val="001007A3"/>
    <w:rsid w:val="00104229"/>
    <w:rsid w:val="00104FD2"/>
    <w:rsid w:val="00106322"/>
    <w:rsid w:val="00106F44"/>
    <w:rsid w:val="00107E55"/>
    <w:rsid w:val="00110170"/>
    <w:rsid w:val="00113CFC"/>
    <w:rsid w:val="001144AC"/>
    <w:rsid w:val="00116E3A"/>
    <w:rsid w:val="00117107"/>
    <w:rsid w:val="00117480"/>
    <w:rsid w:val="00124001"/>
    <w:rsid w:val="00124657"/>
    <w:rsid w:val="00125A0F"/>
    <w:rsid w:val="00126B1F"/>
    <w:rsid w:val="00126BA4"/>
    <w:rsid w:val="00127C2F"/>
    <w:rsid w:val="00131688"/>
    <w:rsid w:val="0013227E"/>
    <w:rsid w:val="00133579"/>
    <w:rsid w:val="00133C84"/>
    <w:rsid w:val="00141409"/>
    <w:rsid w:val="00141950"/>
    <w:rsid w:val="00143646"/>
    <w:rsid w:val="00146091"/>
    <w:rsid w:val="001472C6"/>
    <w:rsid w:val="0014741F"/>
    <w:rsid w:val="001511B4"/>
    <w:rsid w:val="00151414"/>
    <w:rsid w:val="001519A9"/>
    <w:rsid w:val="00152087"/>
    <w:rsid w:val="00153BF9"/>
    <w:rsid w:val="00154623"/>
    <w:rsid w:val="00154BFA"/>
    <w:rsid w:val="00154F89"/>
    <w:rsid w:val="00155C79"/>
    <w:rsid w:val="0015632D"/>
    <w:rsid w:val="001567BB"/>
    <w:rsid w:val="00156E7C"/>
    <w:rsid w:val="001619F1"/>
    <w:rsid w:val="00163120"/>
    <w:rsid w:val="0016316F"/>
    <w:rsid w:val="00163316"/>
    <w:rsid w:val="00165D9C"/>
    <w:rsid w:val="00172A27"/>
    <w:rsid w:val="00173464"/>
    <w:rsid w:val="00173782"/>
    <w:rsid w:val="00173918"/>
    <w:rsid w:val="00176296"/>
    <w:rsid w:val="00176486"/>
    <w:rsid w:val="00176BA7"/>
    <w:rsid w:val="00181138"/>
    <w:rsid w:val="00182773"/>
    <w:rsid w:val="00184791"/>
    <w:rsid w:val="00186077"/>
    <w:rsid w:val="00191CC9"/>
    <w:rsid w:val="0019290B"/>
    <w:rsid w:val="001948D9"/>
    <w:rsid w:val="00194D51"/>
    <w:rsid w:val="001964F2"/>
    <w:rsid w:val="00197616"/>
    <w:rsid w:val="00197E08"/>
    <w:rsid w:val="001A2C08"/>
    <w:rsid w:val="001A4809"/>
    <w:rsid w:val="001A4E6E"/>
    <w:rsid w:val="001A508C"/>
    <w:rsid w:val="001A7D14"/>
    <w:rsid w:val="001B0C96"/>
    <w:rsid w:val="001B6924"/>
    <w:rsid w:val="001B78A4"/>
    <w:rsid w:val="001C045B"/>
    <w:rsid w:val="001C0EDB"/>
    <w:rsid w:val="001C1483"/>
    <w:rsid w:val="001C26C8"/>
    <w:rsid w:val="001C4888"/>
    <w:rsid w:val="001C4A4A"/>
    <w:rsid w:val="001C4D1C"/>
    <w:rsid w:val="001C57C0"/>
    <w:rsid w:val="001C59B7"/>
    <w:rsid w:val="001C674A"/>
    <w:rsid w:val="001C6CD9"/>
    <w:rsid w:val="001C744C"/>
    <w:rsid w:val="001D5AA5"/>
    <w:rsid w:val="001D5EF2"/>
    <w:rsid w:val="001E1256"/>
    <w:rsid w:val="001E2844"/>
    <w:rsid w:val="001E50E7"/>
    <w:rsid w:val="001F07DB"/>
    <w:rsid w:val="001F0A1F"/>
    <w:rsid w:val="001F45EA"/>
    <w:rsid w:val="001F5238"/>
    <w:rsid w:val="001F5E5B"/>
    <w:rsid w:val="001F6F3C"/>
    <w:rsid w:val="001F7E88"/>
    <w:rsid w:val="00200096"/>
    <w:rsid w:val="00200C90"/>
    <w:rsid w:val="00201B75"/>
    <w:rsid w:val="00203F43"/>
    <w:rsid w:val="002041D8"/>
    <w:rsid w:val="00204524"/>
    <w:rsid w:val="0021190F"/>
    <w:rsid w:val="002124B6"/>
    <w:rsid w:val="00214254"/>
    <w:rsid w:val="0021512B"/>
    <w:rsid w:val="002171D6"/>
    <w:rsid w:val="00217608"/>
    <w:rsid w:val="00220481"/>
    <w:rsid w:val="00220C43"/>
    <w:rsid w:val="00223513"/>
    <w:rsid w:val="00223BDA"/>
    <w:rsid w:val="00223BEA"/>
    <w:rsid w:val="00225860"/>
    <w:rsid w:val="00226123"/>
    <w:rsid w:val="002300CF"/>
    <w:rsid w:val="00230471"/>
    <w:rsid w:val="0023080C"/>
    <w:rsid w:val="00233164"/>
    <w:rsid w:val="00235969"/>
    <w:rsid w:val="00235AF5"/>
    <w:rsid w:val="00236D17"/>
    <w:rsid w:val="002407C5"/>
    <w:rsid w:val="00241C73"/>
    <w:rsid w:val="002435B0"/>
    <w:rsid w:val="00243B29"/>
    <w:rsid w:val="002446A0"/>
    <w:rsid w:val="002449A7"/>
    <w:rsid w:val="0025529F"/>
    <w:rsid w:val="00255993"/>
    <w:rsid w:val="00255F6A"/>
    <w:rsid w:val="002613B4"/>
    <w:rsid w:val="00262551"/>
    <w:rsid w:val="0026344C"/>
    <w:rsid w:val="0026345B"/>
    <w:rsid w:val="00263CF6"/>
    <w:rsid w:val="00263EB7"/>
    <w:rsid w:val="00265C2B"/>
    <w:rsid w:val="002661C9"/>
    <w:rsid w:val="00267C62"/>
    <w:rsid w:val="00271415"/>
    <w:rsid w:val="00271AE0"/>
    <w:rsid w:val="002721BA"/>
    <w:rsid w:val="00272D6F"/>
    <w:rsid w:val="00272E82"/>
    <w:rsid w:val="002748DE"/>
    <w:rsid w:val="00275102"/>
    <w:rsid w:val="00275C85"/>
    <w:rsid w:val="0027652E"/>
    <w:rsid w:val="00276780"/>
    <w:rsid w:val="00276E58"/>
    <w:rsid w:val="002770EF"/>
    <w:rsid w:val="00282AE0"/>
    <w:rsid w:val="00284C77"/>
    <w:rsid w:val="002923FD"/>
    <w:rsid w:val="00292874"/>
    <w:rsid w:val="00295B2E"/>
    <w:rsid w:val="00295DD0"/>
    <w:rsid w:val="00295E1D"/>
    <w:rsid w:val="002A0DE5"/>
    <w:rsid w:val="002A18E1"/>
    <w:rsid w:val="002A1B2B"/>
    <w:rsid w:val="002A2EC7"/>
    <w:rsid w:val="002A3733"/>
    <w:rsid w:val="002A44B6"/>
    <w:rsid w:val="002A7ED5"/>
    <w:rsid w:val="002B02C9"/>
    <w:rsid w:val="002B05E8"/>
    <w:rsid w:val="002B0BA3"/>
    <w:rsid w:val="002B0E4B"/>
    <w:rsid w:val="002B12D7"/>
    <w:rsid w:val="002B5566"/>
    <w:rsid w:val="002B6224"/>
    <w:rsid w:val="002C03D9"/>
    <w:rsid w:val="002C11A8"/>
    <w:rsid w:val="002C2670"/>
    <w:rsid w:val="002D0538"/>
    <w:rsid w:val="002D298F"/>
    <w:rsid w:val="002D2BE9"/>
    <w:rsid w:val="002D3E4A"/>
    <w:rsid w:val="002D45F5"/>
    <w:rsid w:val="002D4F16"/>
    <w:rsid w:val="002E12EE"/>
    <w:rsid w:val="002E3A98"/>
    <w:rsid w:val="002E6364"/>
    <w:rsid w:val="002E6498"/>
    <w:rsid w:val="002E7580"/>
    <w:rsid w:val="002E75F5"/>
    <w:rsid w:val="002F2FEC"/>
    <w:rsid w:val="002F6403"/>
    <w:rsid w:val="00301198"/>
    <w:rsid w:val="003012F9"/>
    <w:rsid w:val="0030475B"/>
    <w:rsid w:val="0030485B"/>
    <w:rsid w:val="00306346"/>
    <w:rsid w:val="00307216"/>
    <w:rsid w:val="003072A9"/>
    <w:rsid w:val="00310899"/>
    <w:rsid w:val="0031228B"/>
    <w:rsid w:val="0031403D"/>
    <w:rsid w:val="00315324"/>
    <w:rsid w:val="00315347"/>
    <w:rsid w:val="003154AC"/>
    <w:rsid w:val="003226FC"/>
    <w:rsid w:val="00322EBB"/>
    <w:rsid w:val="0032618F"/>
    <w:rsid w:val="00326232"/>
    <w:rsid w:val="0032657E"/>
    <w:rsid w:val="0033226D"/>
    <w:rsid w:val="00332C1E"/>
    <w:rsid w:val="003337B3"/>
    <w:rsid w:val="00333A6C"/>
    <w:rsid w:val="003363D9"/>
    <w:rsid w:val="00337AB9"/>
    <w:rsid w:val="003449A5"/>
    <w:rsid w:val="0034780C"/>
    <w:rsid w:val="00347954"/>
    <w:rsid w:val="00350CA7"/>
    <w:rsid w:val="00351B9A"/>
    <w:rsid w:val="00353346"/>
    <w:rsid w:val="00353D18"/>
    <w:rsid w:val="0035632B"/>
    <w:rsid w:val="00356748"/>
    <w:rsid w:val="00360352"/>
    <w:rsid w:val="0036130C"/>
    <w:rsid w:val="003620AD"/>
    <w:rsid w:val="00362173"/>
    <w:rsid w:val="00362429"/>
    <w:rsid w:val="00366612"/>
    <w:rsid w:val="003671B4"/>
    <w:rsid w:val="00367702"/>
    <w:rsid w:val="00370F48"/>
    <w:rsid w:val="0037283A"/>
    <w:rsid w:val="00374213"/>
    <w:rsid w:val="00375C99"/>
    <w:rsid w:val="00377203"/>
    <w:rsid w:val="003817B3"/>
    <w:rsid w:val="0038188B"/>
    <w:rsid w:val="00383215"/>
    <w:rsid w:val="003860D5"/>
    <w:rsid w:val="00386CCB"/>
    <w:rsid w:val="003900CB"/>
    <w:rsid w:val="00391AF4"/>
    <w:rsid w:val="00393CC5"/>
    <w:rsid w:val="00395C53"/>
    <w:rsid w:val="00395D4E"/>
    <w:rsid w:val="003A3A40"/>
    <w:rsid w:val="003A401D"/>
    <w:rsid w:val="003A637D"/>
    <w:rsid w:val="003A7FBB"/>
    <w:rsid w:val="003B0774"/>
    <w:rsid w:val="003B0E9F"/>
    <w:rsid w:val="003C0A70"/>
    <w:rsid w:val="003C1D25"/>
    <w:rsid w:val="003C3481"/>
    <w:rsid w:val="003C600D"/>
    <w:rsid w:val="003C65A1"/>
    <w:rsid w:val="003D3C03"/>
    <w:rsid w:val="003D46F2"/>
    <w:rsid w:val="003E30E7"/>
    <w:rsid w:val="003E43B1"/>
    <w:rsid w:val="003E48B5"/>
    <w:rsid w:val="003E5696"/>
    <w:rsid w:val="003E5971"/>
    <w:rsid w:val="003E6460"/>
    <w:rsid w:val="003E6930"/>
    <w:rsid w:val="003F044E"/>
    <w:rsid w:val="003F1895"/>
    <w:rsid w:val="003F2DAE"/>
    <w:rsid w:val="003F353A"/>
    <w:rsid w:val="003F5781"/>
    <w:rsid w:val="003F58E1"/>
    <w:rsid w:val="003F7E29"/>
    <w:rsid w:val="004001AD"/>
    <w:rsid w:val="00400287"/>
    <w:rsid w:val="00400F80"/>
    <w:rsid w:val="00401B86"/>
    <w:rsid w:val="00403309"/>
    <w:rsid w:val="004043E4"/>
    <w:rsid w:val="00411544"/>
    <w:rsid w:val="00414641"/>
    <w:rsid w:val="00414ACC"/>
    <w:rsid w:val="00415F2C"/>
    <w:rsid w:val="0041698E"/>
    <w:rsid w:val="004172BA"/>
    <w:rsid w:val="00417FC3"/>
    <w:rsid w:val="00420D6D"/>
    <w:rsid w:val="004210E7"/>
    <w:rsid w:val="0042145C"/>
    <w:rsid w:val="004245CC"/>
    <w:rsid w:val="00424833"/>
    <w:rsid w:val="00425554"/>
    <w:rsid w:val="00426586"/>
    <w:rsid w:val="004274B0"/>
    <w:rsid w:val="00427601"/>
    <w:rsid w:val="0042768B"/>
    <w:rsid w:val="00427B8C"/>
    <w:rsid w:val="004321CF"/>
    <w:rsid w:val="004403A2"/>
    <w:rsid w:val="00445B7C"/>
    <w:rsid w:val="00445E05"/>
    <w:rsid w:val="0045149C"/>
    <w:rsid w:val="0046193D"/>
    <w:rsid w:val="004623ED"/>
    <w:rsid w:val="00464599"/>
    <w:rsid w:val="0046563F"/>
    <w:rsid w:val="004674E5"/>
    <w:rsid w:val="004713E2"/>
    <w:rsid w:val="00473D28"/>
    <w:rsid w:val="0047573D"/>
    <w:rsid w:val="004807D9"/>
    <w:rsid w:val="00482B2C"/>
    <w:rsid w:val="0048574D"/>
    <w:rsid w:val="00486FBB"/>
    <w:rsid w:val="00487547"/>
    <w:rsid w:val="00490E05"/>
    <w:rsid w:val="00491546"/>
    <w:rsid w:val="00491B77"/>
    <w:rsid w:val="004923FC"/>
    <w:rsid w:val="0049343C"/>
    <w:rsid w:val="004966B8"/>
    <w:rsid w:val="004A2FD3"/>
    <w:rsid w:val="004A48F7"/>
    <w:rsid w:val="004A5BCE"/>
    <w:rsid w:val="004A7F82"/>
    <w:rsid w:val="004B109D"/>
    <w:rsid w:val="004B186F"/>
    <w:rsid w:val="004B1A25"/>
    <w:rsid w:val="004B1AAC"/>
    <w:rsid w:val="004B43BB"/>
    <w:rsid w:val="004B6234"/>
    <w:rsid w:val="004B67C8"/>
    <w:rsid w:val="004B7F38"/>
    <w:rsid w:val="004C0D64"/>
    <w:rsid w:val="004C2982"/>
    <w:rsid w:val="004C29CC"/>
    <w:rsid w:val="004C34E2"/>
    <w:rsid w:val="004C63CA"/>
    <w:rsid w:val="004D5385"/>
    <w:rsid w:val="004D658B"/>
    <w:rsid w:val="004D7C63"/>
    <w:rsid w:val="004E0A3A"/>
    <w:rsid w:val="004E2725"/>
    <w:rsid w:val="004E2FAA"/>
    <w:rsid w:val="004E4106"/>
    <w:rsid w:val="004E42EB"/>
    <w:rsid w:val="004E43A5"/>
    <w:rsid w:val="004E4689"/>
    <w:rsid w:val="004E4746"/>
    <w:rsid w:val="004E541E"/>
    <w:rsid w:val="004E5B0B"/>
    <w:rsid w:val="004E63BD"/>
    <w:rsid w:val="004F01CE"/>
    <w:rsid w:val="004F0C7D"/>
    <w:rsid w:val="004F1C71"/>
    <w:rsid w:val="004F3DEF"/>
    <w:rsid w:val="004F6DFC"/>
    <w:rsid w:val="005004D8"/>
    <w:rsid w:val="00502B97"/>
    <w:rsid w:val="00502CD3"/>
    <w:rsid w:val="005101BD"/>
    <w:rsid w:val="005111E2"/>
    <w:rsid w:val="005149F2"/>
    <w:rsid w:val="005154BD"/>
    <w:rsid w:val="005158E4"/>
    <w:rsid w:val="00515F5C"/>
    <w:rsid w:val="00516EE4"/>
    <w:rsid w:val="00522FC5"/>
    <w:rsid w:val="00525497"/>
    <w:rsid w:val="00530BD3"/>
    <w:rsid w:val="00530C0E"/>
    <w:rsid w:val="00531309"/>
    <w:rsid w:val="005318D5"/>
    <w:rsid w:val="0053253E"/>
    <w:rsid w:val="0053628A"/>
    <w:rsid w:val="00536890"/>
    <w:rsid w:val="00541240"/>
    <w:rsid w:val="00543FBC"/>
    <w:rsid w:val="005507BA"/>
    <w:rsid w:val="005518BD"/>
    <w:rsid w:val="00551A59"/>
    <w:rsid w:val="00552E17"/>
    <w:rsid w:val="0055480C"/>
    <w:rsid w:val="00554C0F"/>
    <w:rsid w:val="00555B57"/>
    <w:rsid w:val="005576B2"/>
    <w:rsid w:val="00557A68"/>
    <w:rsid w:val="0056034E"/>
    <w:rsid w:val="00560474"/>
    <w:rsid w:val="005615C0"/>
    <w:rsid w:val="00571774"/>
    <w:rsid w:val="00574287"/>
    <w:rsid w:val="00575F23"/>
    <w:rsid w:val="005761E0"/>
    <w:rsid w:val="00576742"/>
    <w:rsid w:val="0057736E"/>
    <w:rsid w:val="005834A2"/>
    <w:rsid w:val="005861D8"/>
    <w:rsid w:val="005862F1"/>
    <w:rsid w:val="00586E9A"/>
    <w:rsid w:val="00587A27"/>
    <w:rsid w:val="0059235B"/>
    <w:rsid w:val="00592B3D"/>
    <w:rsid w:val="00592E5F"/>
    <w:rsid w:val="00597DE4"/>
    <w:rsid w:val="00597E99"/>
    <w:rsid w:val="005A200D"/>
    <w:rsid w:val="005A2502"/>
    <w:rsid w:val="005B3842"/>
    <w:rsid w:val="005B39D5"/>
    <w:rsid w:val="005B4BDE"/>
    <w:rsid w:val="005B6A1A"/>
    <w:rsid w:val="005B71BF"/>
    <w:rsid w:val="005B7538"/>
    <w:rsid w:val="005C00AE"/>
    <w:rsid w:val="005C1AEA"/>
    <w:rsid w:val="005C3293"/>
    <w:rsid w:val="005C35FC"/>
    <w:rsid w:val="005C360F"/>
    <w:rsid w:val="005C3C4A"/>
    <w:rsid w:val="005C52BD"/>
    <w:rsid w:val="005C64BC"/>
    <w:rsid w:val="005D0896"/>
    <w:rsid w:val="005D0D5E"/>
    <w:rsid w:val="005D147D"/>
    <w:rsid w:val="005D2413"/>
    <w:rsid w:val="005D39B0"/>
    <w:rsid w:val="005D54B0"/>
    <w:rsid w:val="005D56F9"/>
    <w:rsid w:val="005D5D69"/>
    <w:rsid w:val="005D76F2"/>
    <w:rsid w:val="005E1661"/>
    <w:rsid w:val="005E39F3"/>
    <w:rsid w:val="005F5AA0"/>
    <w:rsid w:val="005F7325"/>
    <w:rsid w:val="00600762"/>
    <w:rsid w:val="006021C1"/>
    <w:rsid w:val="0060584F"/>
    <w:rsid w:val="00605DB6"/>
    <w:rsid w:val="006061F7"/>
    <w:rsid w:val="00610B43"/>
    <w:rsid w:val="0061171E"/>
    <w:rsid w:val="00611C17"/>
    <w:rsid w:val="006137D9"/>
    <w:rsid w:val="00620E74"/>
    <w:rsid w:val="00621CC1"/>
    <w:rsid w:val="00622250"/>
    <w:rsid w:val="00622281"/>
    <w:rsid w:val="006224C8"/>
    <w:rsid w:val="00622D18"/>
    <w:rsid w:val="00622EB4"/>
    <w:rsid w:val="00623841"/>
    <w:rsid w:val="00625C62"/>
    <w:rsid w:val="0062651B"/>
    <w:rsid w:val="006268F8"/>
    <w:rsid w:val="00626EA0"/>
    <w:rsid w:val="00627439"/>
    <w:rsid w:val="00627B1B"/>
    <w:rsid w:val="00631A96"/>
    <w:rsid w:val="00634C35"/>
    <w:rsid w:val="006352CC"/>
    <w:rsid w:val="00640BD3"/>
    <w:rsid w:val="006414BB"/>
    <w:rsid w:val="00642CD8"/>
    <w:rsid w:val="0064526B"/>
    <w:rsid w:val="00645CFA"/>
    <w:rsid w:val="006470F0"/>
    <w:rsid w:val="0065094D"/>
    <w:rsid w:val="006524BD"/>
    <w:rsid w:val="00652E35"/>
    <w:rsid w:val="006547BC"/>
    <w:rsid w:val="00655B0E"/>
    <w:rsid w:val="00656777"/>
    <w:rsid w:val="00660613"/>
    <w:rsid w:val="006608B3"/>
    <w:rsid w:val="00665155"/>
    <w:rsid w:val="006665CC"/>
    <w:rsid w:val="00670B64"/>
    <w:rsid w:val="00670BF5"/>
    <w:rsid w:val="00670F7D"/>
    <w:rsid w:val="00671503"/>
    <w:rsid w:val="00672E5D"/>
    <w:rsid w:val="00673933"/>
    <w:rsid w:val="00674290"/>
    <w:rsid w:val="0067590C"/>
    <w:rsid w:val="00676537"/>
    <w:rsid w:val="006773EF"/>
    <w:rsid w:val="00677697"/>
    <w:rsid w:val="006810EE"/>
    <w:rsid w:val="00681CAB"/>
    <w:rsid w:val="00684096"/>
    <w:rsid w:val="0068436F"/>
    <w:rsid w:val="006906E1"/>
    <w:rsid w:val="00691A29"/>
    <w:rsid w:val="00691C13"/>
    <w:rsid w:val="0069272B"/>
    <w:rsid w:val="006930B2"/>
    <w:rsid w:val="00695BE8"/>
    <w:rsid w:val="0069616D"/>
    <w:rsid w:val="00696BA7"/>
    <w:rsid w:val="006A17AD"/>
    <w:rsid w:val="006A2C4B"/>
    <w:rsid w:val="006A2F42"/>
    <w:rsid w:val="006A31FF"/>
    <w:rsid w:val="006A36D5"/>
    <w:rsid w:val="006A4D2F"/>
    <w:rsid w:val="006A5BE6"/>
    <w:rsid w:val="006A6A5E"/>
    <w:rsid w:val="006A6AC7"/>
    <w:rsid w:val="006A6E26"/>
    <w:rsid w:val="006B060B"/>
    <w:rsid w:val="006B22BE"/>
    <w:rsid w:val="006B2EED"/>
    <w:rsid w:val="006B6590"/>
    <w:rsid w:val="006C20D2"/>
    <w:rsid w:val="006C4520"/>
    <w:rsid w:val="006D124D"/>
    <w:rsid w:val="006D28D1"/>
    <w:rsid w:val="006D28D4"/>
    <w:rsid w:val="006D2F88"/>
    <w:rsid w:val="006D4B5A"/>
    <w:rsid w:val="006D4D89"/>
    <w:rsid w:val="006D7CB2"/>
    <w:rsid w:val="006E132F"/>
    <w:rsid w:val="006E4EA5"/>
    <w:rsid w:val="006F48D6"/>
    <w:rsid w:val="006F670D"/>
    <w:rsid w:val="00700FA7"/>
    <w:rsid w:val="007018A0"/>
    <w:rsid w:val="00702911"/>
    <w:rsid w:val="00703EE3"/>
    <w:rsid w:val="00704BE3"/>
    <w:rsid w:val="0071074D"/>
    <w:rsid w:val="007112E4"/>
    <w:rsid w:val="00711BC5"/>
    <w:rsid w:val="00711C7D"/>
    <w:rsid w:val="00713695"/>
    <w:rsid w:val="007225EC"/>
    <w:rsid w:val="00723302"/>
    <w:rsid w:val="00723C81"/>
    <w:rsid w:val="00725E76"/>
    <w:rsid w:val="00730874"/>
    <w:rsid w:val="00731F31"/>
    <w:rsid w:val="00732FED"/>
    <w:rsid w:val="00736AA4"/>
    <w:rsid w:val="007375D7"/>
    <w:rsid w:val="00737D4E"/>
    <w:rsid w:val="0074188C"/>
    <w:rsid w:val="00742D5D"/>
    <w:rsid w:val="007439D5"/>
    <w:rsid w:val="00743E64"/>
    <w:rsid w:val="00744A63"/>
    <w:rsid w:val="00747603"/>
    <w:rsid w:val="0074786D"/>
    <w:rsid w:val="00747936"/>
    <w:rsid w:val="00747C07"/>
    <w:rsid w:val="00756A4B"/>
    <w:rsid w:val="00767625"/>
    <w:rsid w:val="007678C9"/>
    <w:rsid w:val="007702B4"/>
    <w:rsid w:val="00771A32"/>
    <w:rsid w:val="007729D3"/>
    <w:rsid w:val="007732E8"/>
    <w:rsid w:val="0077444D"/>
    <w:rsid w:val="00774EC2"/>
    <w:rsid w:val="007802B7"/>
    <w:rsid w:val="007811DE"/>
    <w:rsid w:val="0078176A"/>
    <w:rsid w:val="0078459F"/>
    <w:rsid w:val="0078553B"/>
    <w:rsid w:val="00787767"/>
    <w:rsid w:val="0079154F"/>
    <w:rsid w:val="007917CC"/>
    <w:rsid w:val="007934A7"/>
    <w:rsid w:val="0079428E"/>
    <w:rsid w:val="00794375"/>
    <w:rsid w:val="00794A1E"/>
    <w:rsid w:val="00794ADF"/>
    <w:rsid w:val="00797756"/>
    <w:rsid w:val="007A10A6"/>
    <w:rsid w:val="007A18E0"/>
    <w:rsid w:val="007A2AB0"/>
    <w:rsid w:val="007A4BE4"/>
    <w:rsid w:val="007A4DE0"/>
    <w:rsid w:val="007A5DE7"/>
    <w:rsid w:val="007A6588"/>
    <w:rsid w:val="007A7E59"/>
    <w:rsid w:val="007A7FD7"/>
    <w:rsid w:val="007B1B75"/>
    <w:rsid w:val="007B22AE"/>
    <w:rsid w:val="007B40D2"/>
    <w:rsid w:val="007B4815"/>
    <w:rsid w:val="007B4C8D"/>
    <w:rsid w:val="007B552D"/>
    <w:rsid w:val="007B6EAB"/>
    <w:rsid w:val="007B7FF4"/>
    <w:rsid w:val="007D1D14"/>
    <w:rsid w:val="007D4244"/>
    <w:rsid w:val="007D45FC"/>
    <w:rsid w:val="007D5229"/>
    <w:rsid w:val="007E576B"/>
    <w:rsid w:val="007E6451"/>
    <w:rsid w:val="007E65C7"/>
    <w:rsid w:val="007E7EED"/>
    <w:rsid w:val="007F0E53"/>
    <w:rsid w:val="007F0F90"/>
    <w:rsid w:val="007F127E"/>
    <w:rsid w:val="0080593F"/>
    <w:rsid w:val="00805F2B"/>
    <w:rsid w:val="00807932"/>
    <w:rsid w:val="00807BA1"/>
    <w:rsid w:val="00810044"/>
    <w:rsid w:val="008114CD"/>
    <w:rsid w:val="0081579E"/>
    <w:rsid w:val="008174DA"/>
    <w:rsid w:val="00820CB3"/>
    <w:rsid w:val="00823646"/>
    <w:rsid w:val="0082465E"/>
    <w:rsid w:val="00824819"/>
    <w:rsid w:val="00826E58"/>
    <w:rsid w:val="0083039B"/>
    <w:rsid w:val="008303FD"/>
    <w:rsid w:val="00832CB2"/>
    <w:rsid w:val="00832DF4"/>
    <w:rsid w:val="00833C5A"/>
    <w:rsid w:val="0083706D"/>
    <w:rsid w:val="00841816"/>
    <w:rsid w:val="008430EA"/>
    <w:rsid w:val="00843F20"/>
    <w:rsid w:val="008442BD"/>
    <w:rsid w:val="0084462E"/>
    <w:rsid w:val="008449FA"/>
    <w:rsid w:val="00845002"/>
    <w:rsid w:val="00847483"/>
    <w:rsid w:val="00852622"/>
    <w:rsid w:val="00855F84"/>
    <w:rsid w:val="00860905"/>
    <w:rsid w:val="00861096"/>
    <w:rsid w:val="0086122F"/>
    <w:rsid w:val="00870063"/>
    <w:rsid w:val="008701C8"/>
    <w:rsid w:val="0087033A"/>
    <w:rsid w:val="008721D4"/>
    <w:rsid w:val="00872DF5"/>
    <w:rsid w:val="0087472B"/>
    <w:rsid w:val="008756ED"/>
    <w:rsid w:val="008756F4"/>
    <w:rsid w:val="00876E01"/>
    <w:rsid w:val="008778A0"/>
    <w:rsid w:val="00880A92"/>
    <w:rsid w:val="00882313"/>
    <w:rsid w:val="00883B54"/>
    <w:rsid w:val="008854AF"/>
    <w:rsid w:val="00887346"/>
    <w:rsid w:val="00887BA0"/>
    <w:rsid w:val="00890038"/>
    <w:rsid w:val="0089080E"/>
    <w:rsid w:val="0089131E"/>
    <w:rsid w:val="0089600D"/>
    <w:rsid w:val="008960CA"/>
    <w:rsid w:val="008A0AB4"/>
    <w:rsid w:val="008A38E5"/>
    <w:rsid w:val="008A4B30"/>
    <w:rsid w:val="008A5B0B"/>
    <w:rsid w:val="008A6EE4"/>
    <w:rsid w:val="008A7499"/>
    <w:rsid w:val="008A7BCC"/>
    <w:rsid w:val="008B01C7"/>
    <w:rsid w:val="008B0BA7"/>
    <w:rsid w:val="008B3196"/>
    <w:rsid w:val="008B43BC"/>
    <w:rsid w:val="008B45FF"/>
    <w:rsid w:val="008B5B84"/>
    <w:rsid w:val="008C1B5F"/>
    <w:rsid w:val="008C4941"/>
    <w:rsid w:val="008C49F3"/>
    <w:rsid w:val="008D1CD2"/>
    <w:rsid w:val="008D2E6A"/>
    <w:rsid w:val="008D4E0B"/>
    <w:rsid w:val="008D5CBE"/>
    <w:rsid w:val="008D6E1D"/>
    <w:rsid w:val="008D709F"/>
    <w:rsid w:val="008E1974"/>
    <w:rsid w:val="008E3415"/>
    <w:rsid w:val="008E3A58"/>
    <w:rsid w:val="008E413E"/>
    <w:rsid w:val="008E7551"/>
    <w:rsid w:val="008F0DB8"/>
    <w:rsid w:val="008F155C"/>
    <w:rsid w:val="008F2676"/>
    <w:rsid w:val="008F2836"/>
    <w:rsid w:val="008F5666"/>
    <w:rsid w:val="008F5DBE"/>
    <w:rsid w:val="008F66E3"/>
    <w:rsid w:val="00900028"/>
    <w:rsid w:val="009008CD"/>
    <w:rsid w:val="0090120D"/>
    <w:rsid w:val="00903C37"/>
    <w:rsid w:val="009050DD"/>
    <w:rsid w:val="0090522F"/>
    <w:rsid w:val="009064E0"/>
    <w:rsid w:val="00906A51"/>
    <w:rsid w:val="00907820"/>
    <w:rsid w:val="009102FB"/>
    <w:rsid w:val="0091369C"/>
    <w:rsid w:val="00913BFD"/>
    <w:rsid w:val="009143C4"/>
    <w:rsid w:val="009157C7"/>
    <w:rsid w:val="0092081F"/>
    <w:rsid w:val="00922614"/>
    <w:rsid w:val="00923AD1"/>
    <w:rsid w:val="0092522A"/>
    <w:rsid w:val="00925D43"/>
    <w:rsid w:val="00926DE1"/>
    <w:rsid w:val="0093351E"/>
    <w:rsid w:val="00935969"/>
    <w:rsid w:val="009462C1"/>
    <w:rsid w:val="00946479"/>
    <w:rsid w:val="0094665C"/>
    <w:rsid w:val="009477C5"/>
    <w:rsid w:val="00951414"/>
    <w:rsid w:val="009520DA"/>
    <w:rsid w:val="00952183"/>
    <w:rsid w:val="0095264F"/>
    <w:rsid w:val="00953BCF"/>
    <w:rsid w:val="00955490"/>
    <w:rsid w:val="009565DF"/>
    <w:rsid w:val="00961E38"/>
    <w:rsid w:val="009645C5"/>
    <w:rsid w:val="00964B61"/>
    <w:rsid w:val="009701B2"/>
    <w:rsid w:val="00971E86"/>
    <w:rsid w:val="009723AE"/>
    <w:rsid w:val="00972473"/>
    <w:rsid w:val="00973027"/>
    <w:rsid w:val="009733E0"/>
    <w:rsid w:val="00975EDF"/>
    <w:rsid w:val="00976B01"/>
    <w:rsid w:val="00977FD2"/>
    <w:rsid w:val="00982140"/>
    <w:rsid w:val="0098388C"/>
    <w:rsid w:val="00983E26"/>
    <w:rsid w:val="00985403"/>
    <w:rsid w:val="00990733"/>
    <w:rsid w:val="009925C7"/>
    <w:rsid w:val="00992619"/>
    <w:rsid w:val="0099606D"/>
    <w:rsid w:val="0099782B"/>
    <w:rsid w:val="009A2A2A"/>
    <w:rsid w:val="009A4037"/>
    <w:rsid w:val="009A4828"/>
    <w:rsid w:val="009A5406"/>
    <w:rsid w:val="009A6E6A"/>
    <w:rsid w:val="009B001E"/>
    <w:rsid w:val="009B1E29"/>
    <w:rsid w:val="009B2198"/>
    <w:rsid w:val="009B2253"/>
    <w:rsid w:val="009B2454"/>
    <w:rsid w:val="009B30D1"/>
    <w:rsid w:val="009B4CB1"/>
    <w:rsid w:val="009B4DE0"/>
    <w:rsid w:val="009B63F8"/>
    <w:rsid w:val="009B6477"/>
    <w:rsid w:val="009B7AF6"/>
    <w:rsid w:val="009C059F"/>
    <w:rsid w:val="009C1500"/>
    <w:rsid w:val="009C1BCD"/>
    <w:rsid w:val="009C1EF2"/>
    <w:rsid w:val="009C1EF8"/>
    <w:rsid w:val="009D032D"/>
    <w:rsid w:val="009D1B2B"/>
    <w:rsid w:val="009D77D5"/>
    <w:rsid w:val="009E141E"/>
    <w:rsid w:val="009E1A55"/>
    <w:rsid w:val="009E2117"/>
    <w:rsid w:val="009E4889"/>
    <w:rsid w:val="009E48C9"/>
    <w:rsid w:val="009E524E"/>
    <w:rsid w:val="009E67C2"/>
    <w:rsid w:val="009F0861"/>
    <w:rsid w:val="009F4046"/>
    <w:rsid w:val="009F4775"/>
    <w:rsid w:val="009F4AB1"/>
    <w:rsid w:val="009F5079"/>
    <w:rsid w:val="009F5E6C"/>
    <w:rsid w:val="00A015FD"/>
    <w:rsid w:val="00A0474E"/>
    <w:rsid w:val="00A0768C"/>
    <w:rsid w:val="00A10996"/>
    <w:rsid w:val="00A11769"/>
    <w:rsid w:val="00A124BC"/>
    <w:rsid w:val="00A13A60"/>
    <w:rsid w:val="00A13C89"/>
    <w:rsid w:val="00A14AC0"/>
    <w:rsid w:val="00A1522B"/>
    <w:rsid w:val="00A15E89"/>
    <w:rsid w:val="00A16321"/>
    <w:rsid w:val="00A16EC2"/>
    <w:rsid w:val="00A2049C"/>
    <w:rsid w:val="00A23FA7"/>
    <w:rsid w:val="00A265EC"/>
    <w:rsid w:val="00A338CE"/>
    <w:rsid w:val="00A34485"/>
    <w:rsid w:val="00A43C5A"/>
    <w:rsid w:val="00A4740B"/>
    <w:rsid w:val="00A47653"/>
    <w:rsid w:val="00A47813"/>
    <w:rsid w:val="00A54FBE"/>
    <w:rsid w:val="00A560CF"/>
    <w:rsid w:val="00A56287"/>
    <w:rsid w:val="00A61678"/>
    <w:rsid w:val="00A63394"/>
    <w:rsid w:val="00A63FB1"/>
    <w:rsid w:val="00A70021"/>
    <w:rsid w:val="00A706F8"/>
    <w:rsid w:val="00A70C1A"/>
    <w:rsid w:val="00A750AF"/>
    <w:rsid w:val="00A75249"/>
    <w:rsid w:val="00A7667D"/>
    <w:rsid w:val="00A829A3"/>
    <w:rsid w:val="00A85E2D"/>
    <w:rsid w:val="00A87A17"/>
    <w:rsid w:val="00A87C7C"/>
    <w:rsid w:val="00A91026"/>
    <w:rsid w:val="00A91CBA"/>
    <w:rsid w:val="00A92870"/>
    <w:rsid w:val="00A9347F"/>
    <w:rsid w:val="00A93FF9"/>
    <w:rsid w:val="00A94150"/>
    <w:rsid w:val="00A978D4"/>
    <w:rsid w:val="00A97B57"/>
    <w:rsid w:val="00A97ECE"/>
    <w:rsid w:val="00AA01D0"/>
    <w:rsid w:val="00AA0467"/>
    <w:rsid w:val="00AA16AF"/>
    <w:rsid w:val="00AA1A21"/>
    <w:rsid w:val="00AA4876"/>
    <w:rsid w:val="00AA65A6"/>
    <w:rsid w:val="00AA7363"/>
    <w:rsid w:val="00AB1B9A"/>
    <w:rsid w:val="00AB2146"/>
    <w:rsid w:val="00AB29BA"/>
    <w:rsid w:val="00AB532B"/>
    <w:rsid w:val="00AC01C0"/>
    <w:rsid w:val="00AC0DD0"/>
    <w:rsid w:val="00AC21B7"/>
    <w:rsid w:val="00AC43ED"/>
    <w:rsid w:val="00AD0A3F"/>
    <w:rsid w:val="00AD478D"/>
    <w:rsid w:val="00AD4790"/>
    <w:rsid w:val="00AD4C69"/>
    <w:rsid w:val="00AD6114"/>
    <w:rsid w:val="00AD6700"/>
    <w:rsid w:val="00AD75CE"/>
    <w:rsid w:val="00AE3D13"/>
    <w:rsid w:val="00AE3D52"/>
    <w:rsid w:val="00AE489E"/>
    <w:rsid w:val="00AE499D"/>
    <w:rsid w:val="00AE5275"/>
    <w:rsid w:val="00AE6CCC"/>
    <w:rsid w:val="00AE7253"/>
    <w:rsid w:val="00AE73A5"/>
    <w:rsid w:val="00AF5333"/>
    <w:rsid w:val="00AF7BA1"/>
    <w:rsid w:val="00B129B1"/>
    <w:rsid w:val="00B13EA1"/>
    <w:rsid w:val="00B20CFC"/>
    <w:rsid w:val="00B21E62"/>
    <w:rsid w:val="00B21FEC"/>
    <w:rsid w:val="00B220FC"/>
    <w:rsid w:val="00B22767"/>
    <w:rsid w:val="00B23666"/>
    <w:rsid w:val="00B23E2F"/>
    <w:rsid w:val="00B24D5C"/>
    <w:rsid w:val="00B26FA9"/>
    <w:rsid w:val="00B3366D"/>
    <w:rsid w:val="00B34141"/>
    <w:rsid w:val="00B35F94"/>
    <w:rsid w:val="00B37494"/>
    <w:rsid w:val="00B43D6C"/>
    <w:rsid w:val="00B444C9"/>
    <w:rsid w:val="00B44C88"/>
    <w:rsid w:val="00B44F9B"/>
    <w:rsid w:val="00B50B14"/>
    <w:rsid w:val="00B51BFB"/>
    <w:rsid w:val="00B52C86"/>
    <w:rsid w:val="00B53039"/>
    <w:rsid w:val="00B56CA8"/>
    <w:rsid w:val="00B570EC"/>
    <w:rsid w:val="00B611DA"/>
    <w:rsid w:val="00B61CA0"/>
    <w:rsid w:val="00B62BA4"/>
    <w:rsid w:val="00B63498"/>
    <w:rsid w:val="00B64D21"/>
    <w:rsid w:val="00B661AB"/>
    <w:rsid w:val="00B67988"/>
    <w:rsid w:val="00B71D6D"/>
    <w:rsid w:val="00B75B54"/>
    <w:rsid w:val="00B77048"/>
    <w:rsid w:val="00B81FD4"/>
    <w:rsid w:val="00B83992"/>
    <w:rsid w:val="00B84014"/>
    <w:rsid w:val="00B8717A"/>
    <w:rsid w:val="00B9044E"/>
    <w:rsid w:val="00B93290"/>
    <w:rsid w:val="00B93CB2"/>
    <w:rsid w:val="00B94DE2"/>
    <w:rsid w:val="00B95FB0"/>
    <w:rsid w:val="00B9655C"/>
    <w:rsid w:val="00B969CE"/>
    <w:rsid w:val="00B96C28"/>
    <w:rsid w:val="00B97306"/>
    <w:rsid w:val="00B97CDA"/>
    <w:rsid w:val="00BA1437"/>
    <w:rsid w:val="00BA28AB"/>
    <w:rsid w:val="00BA3AAD"/>
    <w:rsid w:val="00BA5B3F"/>
    <w:rsid w:val="00BA7023"/>
    <w:rsid w:val="00BB1B9E"/>
    <w:rsid w:val="00BB277D"/>
    <w:rsid w:val="00BB2AF3"/>
    <w:rsid w:val="00BB2E81"/>
    <w:rsid w:val="00BB322F"/>
    <w:rsid w:val="00BB35D0"/>
    <w:rsid w:val="00BB577A"/>
    <w:rsid w:val="00BB6205"/>
    <w:rsid w:val="00BC12A1"/>
    <w:rsid w:val="00BC1E5A"/>
    <w:rsid w:val="00BC284A"/>
    <w:rsid w:val="00BC2C4F"/>
    <w:rsid w:val="00BC4086"/>
    <w:rsid w:val="00BC4A6A"/>
    <w:rsid w:val="00BC6E53"/>
    <w:rsid w:val="00BD2A6C"/>
    <w:rsid w:val="00BD533A"/>
    <w:rsid w:val="00BD571E"/>
    <w:rsid w:val="00BD6167"/>
    <w:rsid w:val="00BE0602"/>
    <w:rsid w:val="00BE0957"/>
    <w:rsid w:val="00BE0D6D"/>
    <w:rsid w:val="00BF1309"/>
    <w:rsid w:val="00BF1729"/>
    <w:rsid w:val="00BF39AF"/>
    <w:rsid w:val="00BF3F45"/>
    <w:rsid w:val="00C022C9"/>
    <w:rsid w:val="00C02ED9"/>
    <w:rsid w:val="00C06666"/>
    <w:rsid w:val="00C121EC"/>
    <w:rsid w:val="00C13042"/>
    <w:rsid w:val="00C13FE5"/>
    <w:rsid w:val="00C16E3F"/>
    <w:rsid w:val="00C20942"/>
    <w:rsid w:val="00C21E21"/>
    <w:rsid w:val="00C22D1F"/>
    <w:rsid w:val="00C230AE"/>
    <w:rsid w:val="00C236C0"/>
    <w:rsid w:val="00C247A2"/>
    <w:rsid w:val="00C26049"/>
    <w:rsid w:val="00C27087"/>
    <w:rsid w:val="00C32C38"/>
    <w:rsid w:val="00C32E3F"/>
    <w:rsid w:val="00C342E0"/>
    <w:rsid w:val="00C36467"/>
    <w:rsid w:val="00C42684"/>
    <w:rsid w:val="00C42A64"/>
    <w:rsid w:val="00C44217"/>
    <w:rsid w:val="00C44863"/>
    <w:rsid w:val="00C45B64"/>
    <w:rsid w:val="00C470FD"/>
    <w:rsid w:val="00C50755"/>
    <w:rsid w:val="00C51D02"/>
    <w:rsid w:val="00C523BE"/>
    <w:rsid w:val="00C52A64"/>
    <w:rsid w:val="00C52F48"/>
    <w:rsid w:val="00C6117A"/>
    <w:rsid w:val="00C61267"/>
    <w:rsid w:val="00C6206C"/>
    <w:rsid w:val="00C62FE6"/>
    <w:rsid w:val="00C66CA4"/>
    <w:rsid w:val="00C67963"/>
    <w:rsid w:val="00C67C58"/>
    <w:rsid w:val="00C71BAE"/>
    <w:rsid w:val="00C72032"/>
    <w:rsid w:val="00C72E1F"/>
    <w:rsid w:val="00C72F1E"/>
    <w:rsid w:val="00C7350B"/>
    <w:rsid w:val="00C73730"/>
    <w:rsid w:val="00C85EB7"/>
    <w:rsid w:val="00C85FE9"/>
    <w:rsid w:val="00C92B00"/>
    <w:rsid w:val="00C939D4"/>
    <w:rsid w:val="00C93A52"/>
    <w:rsid w:val="00C94717"/>
    <w:rsid w:val="00C954BE"/>
    <w:rsid w:val="00C97F4B"/>
    <w:rsid w:val="00CA24B9"/>
    <w:rsid w:val="00CA3114"/>
    <w:rsid w:val="00CA6AAA"/>
    <w:rsid w:val="00CA6CC6"/>
    <w:rsid w:val="00CA7E42"/>
    <w:rsid w:val="00CA7FFE"/>
    <w:rsid w:val="00CB0043"/>
    <w:rsid w:val="00CB20C6"/>
    <w:rsid w:val="00CB34CC"/>
    <w:rsid w:val="00CB7082"/>
    <w:rsid w:val="00CB7CC3"/>
    <w:rsid w:val="00CC1784"/>
    <w:rsid w:val="00CC6891"/>
    <w:rsid w:val="00CC6D2A"/>
    <w:rsid w:val="00CC7210"/>
    <w:rsid w:val="00CD09D1"/>
    <w:rsid w:val="00CD2243"/>
    <w:rsid w:val="00CD31E6"/>
    <w:rsid w:val="00CD455E"/>
    <w:rsid w:val="00CD5EB1"/>
    <w:rsid w:val="00CD7A29"/>
    <w:rsid w:val="00CE1619"/>
    <w:rsid w:val="00CE278A"/>
    <w:rsid w:val="00CE2C86"/>
    <w:rsid w:val="00CE2CB4"/>
    <w:rsid w:val="00CE2F50"/>
    <w:rsid w:val="00CE32CC"/>
    <w:rsid w:val="00CE4D22"/>
    <w:rsid w:val="00CE5626"/>
    <w:rsid w:val="00CE6425"/>
    <w:rsid w:val="00CE70AA"/>
    <w:rsid w:val="00CF129C"/>
    <w:rsid w:val="00CF35FA"/>
    <w:rsid w:val="00CF477A"/>
    <w:rsid w:val="00CF697E"/>
    <w:rsid w:val="00D01737"/>
    <w:rsid w:val="00D02200"/>
    <w:rsid w:val="00D06319"/>
    <w:rsid w:val="00D06E25"/>
    <w:rsid w:val="00D11077"/>
    <w:rsid w:val="00D13145"/>
    <w:rsid w:val="00D15084"/>
    <w:rsid w:val="00D154B1"/>
    <w:rsid w:val="00D1626F"/>
    <w:rsid w:val="00D16855"/>
    <w:rsid w:val="00D174A1"/>
    <w:rsid w:val="00D177B7"/>
    <w:rsid w:val="00D177C4"/>
    <w:rsid w:val="00D17846"/>
    <w:rsid w:val="00D1799D"/>
    <w:rsid w:val="00D20558"/>
    <w:rsid w:val="00D20F9C"/>
    <w:rsid w:val="00D2167D"/>
    <w:rsid w:val="00D216B3"/>
    <w:rsid w:val="00D2172F"/>
    <w:rsid w:val="00D21AB9"/>
    <w:rsid w:val="00D22B49"/>
    <w:rsid w:val="00D247B7"/>
    <w:rsid w:val="00D25B97"/>
    <w:rsid w:val="00D25C1B"/>
    <w:rsid w:val="00D2708C"/>
    <w:rsid w:val="00D27C3A"/>
    <w:rsid w:val="00D31BB0"/>
    <w:rsid w:val="00D33829"/>
    <w:rsid w:val="00D338E6"/>
    <w:rsid w:val="00D34323"/>
    <w:rsid w:val="00D350CC"/>
    <w:rsid w:val="00D40175"/>
    <w:rsid w:val="00D40CB9"/>
    <w:rsid w:val="00D42C61"/>
    <w:rsid w:val="00D42D3E"/>
    <w:rsid w:val="00D45498"/>
    <w:rsid w:val="00D45C1E"/>
    <w:rsid w:val="00D46338"/>
    <w:rsid w:val="00D47686"/>
    <w:rsid w:val="00D47F59"/>
    <w:rsid w:val="00D50454"/>
    <w:rsid w:val="00D50631"/>
    <w:rsid w:val="00D529A6"/>
    <w:rsid w:val="00D53782"/>
    <w:rsid w:val="00D54E0F"/>
    <w:rsid w:val="00D56BDF"/>
    <w:rsid w:val="00D61868"/>
    <w:rsid w:val="00D61FB7"/>
    <w:rsid w:val="00D71CDF"/>
    <w:rsid w:val="00D7255D"/>
    <w:rsid w:val="00D7454C"/>
    <w:rsid w:val="00D74654"/>
    <w:rsid w:val="00D7591E"/>
    <w:rsid w:val="00D76586"/>
    <w:rsid w:val="00D76AEE"/>
    <w:rsid w:val="00D77449"/>
    <w:rsid w:val="00D77A4B"/>
    <w:rsid w:val="00D8204B"/>
    <w:rsid w:val="00D834F8"/>
    <w:rsid w:val="00D847F1"/>
    <w:rsid w:val="00D84973"/>
    <w:rsid w:val="00D9402A"/>
    <w:rsid w:val="00D953ED"/>
    <w:rsid w:val="00D95E91"/>
    <w:rsid w:val="00DA0406"/>
    <w:rsid w:val="00DA71E0"/>
    <w:rsid w:val="00DB1DCE"/>
    <w:rsid w:val="00DB3155"/>
    <w:rsid w:val="00DB3F98"/>
    <w:rsid w:val="00DB4A02"/>
    <w:rsid w:val="00DB5D14"/>
    <w:rsid w:val="00DC274F"/>
    <w:rsid w:val="00DC2A48"/>
    <w:rsid w:val="00DD00E6"/>
    <w:rsid w:val="00DD0B35"/>
    <w:rsid w:val="00DD0E47"/>
    <w:rsid w:val="00DD1990"/>
    <w:rsid w:val="00DD2194"/>
    <w:rsid w:val="00DD29DC"/>
    <w:rsid w:val="00DD2ED6"/>
    <w:rsid w:val="00DD464C"/>
    <w:rsid w:val="00DD5D6C"/>
    <w:rsid w:val="00DD5F37"/>
    <w:rsid w:val="00DE056E"/>
    <w:rsid w:val="00DE1640"/>
    <w:rsid w:val="00DE2B08"/>
    <w:rsid w:val="00DE4CB9"/>
    <w:rsid w:val="00DE6117"/>
    <w:rsid w:val="00DF122F"/>
    <w:rsid w:val="00DF1FBF"/>
    <w:rsid w:val="00DF5288"/>
    <w:rsid w:val="00DF5DC2"/>
    <w:rsid w:val="00DF6D90"/>
    <w:rsid w:val="00DF7314"/>
    <w:rsid w:val="00E02E66"/>
    <w:rsid w:val="00E03738"/>
    <w:rsid w:val="00E05941"/>
    <w:rsid w:val="00E06611"/>
    <w:rsid w:val="00E10623"/>
    <w:rsid w:val="00E11AB2"/>
    <w:rsid w:val="00E12036"/>
    <w:rsid w:val="00E124BA"/>
    <w:rsid w:val="00E16AFD"/>
    <w:rsid w:val="00E17DF4"/>
    <w:rsid w:val="00E233D5"/>
    <w:rsid w:val="00E23867"/>
    <w:rsid w:val="00E25364"/>
    <w:rsid w:val="00E262B2"/>
    <w:rsid w:val="00E26559"/>
    <w:rsid w:val="00E313CB"/>
    <w:rsid w:val="00E33DED"/>
    <w:rsid w:val="00E34387"/>
    <w:rsid w:val="00E3537C"/>
    <w:rsid w:val="00E35EEB"/>
    <w:rsid w:val="00E3720F"/>
    <w:rsid w:val="00E372AC"/>
    <w:rsid w:val="00E376BB"/>
    <w:rsid w:val="00E411B3"/>
    <w:rsid w:val="00E4189C"/>
    <w:rsid w:val="00E42710"/>
    <w:rsid w:val="00E42E1C"/>
    <w:rsid w:val="00E43667"/>
    <w:rsid w:val="00E47154"/>
    <w:rsid w:val="00E51D80"/>
    <w:rsid w:val="00E5363B"/>
    <w:rsid w:val="00E53D36"/>
    <w:rsid w:val="00E60595"/>
    <w:rsid w:val="00E617BF"/>
    <w:rsid w:val="00E62C6E"/>
    <w:rsid w:val="00E63B1C"/>
    <w:rsid w:val="00E64BD8"/>
    <w:rsid w:val="00E71118"/>
    <w:rsid w:val="00E73764"/>
    <w:rsid w:val="00E73AB7"/>
    <w:rsid w:val="00E74303"/>
    <w:rsid w:val="00E74ECC"/>
    <w:rsid w:val="00E75BF6"/>
    <w:rsid w:val="00E76097"/>
    <w:rsid w:val="00E76AC1"/>
    <w:rsid w:val="00E77787"/>
    <w:rsid w:val="00E77B5B"/>
    <w:rsid w:val="00E835DA"/>
    <w:rsid w:val="00E8363C"/>
    <w:rsid w:val="00E83E6B"/>
    <w:rsid w:val="00E87FCF"/>
    <w:rsid w:val="00E92E83"/>
    <w:rsid w:val="00E95F23"/>
    <w:rsid w:val="00EA1DDD"/>
    <w:rsid w:val="00EA49C6"/>
    <w:rsid w:val="00EA5241"/>
    <w:rsid w:val="00EA6DFA"/>
    <w:rsid w:val="00EA7805"/>
    <w:rsid w:val="00EA7837"/>
    <w:rsid w:val="00EB151A"/>
    <w:rsid w:val="00EB3361"/>
    <w:rsid w:val="00EB499B"/>
    <w:rsid w:val="00EB7F44"/>
    <w:rsid w:val="00EC1F3B"/>
    <w:rsid w:val="00EC362B"/>
    <w:rsid w:val="00EC4691"/>
    <w:rsid w:val="00EC47DD"/>
    <w:rsid w:val="00EC50E1"/>
    <w:rsid w:val="00ED0641"/>
    <w:rsid w:val="00ED0E3D"/>
    <w:rsid w:val="00ED1FA8"/>
    <w:rsid w:val="00ED29B2"/>
    <w:rsid w:val="00ED6230"/>
    <w:rsid w:val="00ED78DC"/>
    <w:rsid w:val="00EE208D"/>
    <w:rsid w:val="00EE2BD9"/>
    <w:rsid w:val="00EE3C5F"/>
    <w:rsid w:val="00EE4E56"/>
    <w:rsid w:val="00EE6F17"/>
    <w:rsid w:val="00EF0556"/>
    <w:rsid w:val="00EF0A8C"/>
    <w:rsid w:val="00EF2F87"/>
    <w:rsid w:val="00EF51A1"/>
    <w:rsid w:val="00EF6846"/>
    <w:rsid w:val="00EF7305"/>
    <w:rsid w:val="00F002C8"/>
    <w:rsid w:val="00F02F6C"/>
    <w:rsid w:val="00F05364"/>
    <w:rsid w:val="00F05F43"/>
    <w:rsid w:val="00F10A30"/>
    <w:rsid w:val="00F10F35"/>
    <w:rsid w:val="00F123F5"/>
    <w:rsid w:val="00F13346"/>
    <w:rsid w:val="00F14DBF"/>
    <w:rsid w:val="00F222A3"/>
    <w:rsid w:val="00F223E6"/>
    <w:rsid w:val="00F2342D"/>
    <w:rsid w:val="00F248A9"/>
    <w:rsid w:val="00F26A05"/>
    <w:rsid w:val="00F26DA5"/>
    <w:rsid w:val="00F26FD1"/>
    <w:rsid w:val="00F301E9"/>
    <w:rsid w:val="00F32EAF"/>
    <w:rsid w:val="00F34415"/>
    <w:rsid w:val="00F35E07"/>
    <w:rsid w:val="00F37646"/>
    <w:rsid w:val="00F379A9"/>
    <w:rsid w:val="00F408E7"/>
    <w:rsid w:val="00F444A6"/>
    <w:rsid w:val="00F45A4A"/>
    <w:rsid w:val="00F50383"/>
    <w:rsid w:val="00F50AE4"/>
    <w:rsid w:val="00F5113C"/>
    <w:rsid w:val="00F52308"/>
    <w:rsid w:val="00F540BA"/>
    <w:rsid w:val="00F547A4"/>
    <w:rsid w:val="00F54DAC"/>
    <w:rsid w:val="00F5589A"/>
    <w:rsid w:val="00F55E90"/>
    <w:rsid w:val="00F56F13"/>
    <w:rsid w:val="00F6097D"/>
    <w:rsid w:val="00F60C43"/>
    <w:rsid w:val="00F61B4C"/>
    <w:rsid w:val="00F634B9"/>
    <w:rsid w:val="00F654A8"/>
    <w:rsid w:val="00F66265"/>
    <w:rsid w:val="00F72110"/>
    <w:rsid w:val="00F76624"/>
    <w:rsid w:val="00F773F7"/>
    <w:rsid w:val="00F77E27"/>
    <w:rsid w:val="00F81080"/>
    <w:rsid w:val="00F81F06"/>
    <w:rsid w:val="00F83C87"/>
    <w:rsid w:val="00F871C6"/>
    <w:rsid w:val="00F877E7"/>
    <w:rsid w:val="00F95ED0"/>
    <w:rsid w:val="00F96646"/>
    <w:rsid w:val="00F9712E"/>
    <w:rsid w:val="00F97F8C"/>
    <w:rsid w:val="00FA1613"/>
    <w:rsid w:val="00FA63B0"/>
    <w:rsid w:val="00FA699D"/>
    <w:rsid w:val="00FA72D9"/>
    <w:rsid w:val="00FB0084"/>
    <w:rsid w:val="00FB1F6E"/>
    <w:rsid w:val="00FB2DD8"/>
    <w:rsid w:val="00FB55E6"/>
    <w:rsid w:val="00FB5839"/>
    <w:rsid w:val="00FB7877"/>
    <w:rsid w:val="00FC1619"/>
    <w:rsid w:val="00FC22E0"/>
    <w:rsid w:val="00FC535B"/>
    <w:rsid w:val="00FC7360"/>
    <w:rsid w:val="00FC772E"/>
    <w:rsid w:val="00FC7CB6"/>
    <w:rsid w:val="00FC7D9C"/>
    <w:rsid w:val="00FD04F8"/>
    <w:rsid w:val="00FD06D6"/>
    <w:rsid w:val="00FD10DE"/>
    <w:rsid w:val="00FD140B"/>
    <w:rsid w:val="00FD3E5C"/>
    <w:rsid w:val="00FD3F2E"/>
    <w:rsid w:val="00FD5D36"/>
    <w:rsid w:val="00FE0641"/>
    <w:rsid w:val="00FE1DE1"/>
    <w:rsid w:val="00FE380F"/>
    <w:rsid w:val="00FE55E8"/>
    <w:rsid w:val="00FE6B55"/>
    <w:rsid w:val="00FE7C9F"/>
    <w:rsid w:val="00FF12CC"/>
    <w:rsid w:val="00FF1662"/>
    <w:rsid w:val="00FF25AF"/>
    <w:rsid w:val="00FF3598"/>
    <w:rsid w:val="00FF3A92"/>
    <w:rsid w:val="00FF3DE3"/>
    <w:rsid w:val="00FF5454"/>
    <w:rsid w:val="011B4CF9"/>
    <w:rsid w:val="0144680C"/>
    <w:rsid w:val="018A62C7"/>
    <w:rsid w:val="028B5159"/>
    <w:rsid w:val="029B4682"/>
    <w:rsid w:val="02AF5940"/>
    <w:rsid w:val="03116E16"/>
    <w:rsid w:val="031D5FE1"/>
    <w:rsid w:val="039356ED"/>
    <w:rsid w:val="03A67DE9"/>
    <w:rsid w:val="03D41104"/>
    <w:rsid w:val="041653AE"/>
    <w:rsid w:val="04726A39"/>
    <w:rsid w:val="04E60F50"/>
    <w:rsid w:val="055A717B"/>
    <w:rsid w:val="05771DE9"/>
    <w:rsid w:val="06100662"/>
    <w:rsid w:val="076445F8"/>
    <w:rsid w:val="07690536"/>
    <w:rsid w:val="07C4369B"/>
    <w:rsid w:val="07C56D0C"/>
    <w:rsid w:val="07DB60F3"/>
    <w:rsid w:val="07E223E5"/>
    <w:rsid w:val="07F515E7"/>
    <w:rsid w:val="080822CD"/>
    <w:rsid w:val="08340753"/>
    <w:rsid w:val="083A73B8"/>
    <w:rsid w:val="0857273B"/>
    <w:rsid w:val="08712CD6"/>
    <w:rsid w:val="08B53E31"/>
    <w:rsid w:val="08C10891"/>
    <w:rsid w:val="08CB6863"/>
    <w:rsid w:val="08E3262E"/>
    <w:rsid w:val="08E8331E"/>
    <w:rsid w:val="095A4D7D"/>
    <w:rsid w:val="09737A4E"/>
    <w:rsid w:val="09873672"/>
    <w:rsid w:val="09A810B7"/>
    <w:rsid w:val="0AAE52E1"/>
    <w:rsid w:val="0ABE36DA"/>
    <w:rsid w:val="0ACE32E6"/>
    <w:rsid w:val="0B613455"/>
    <w:rsid w:val="0BB352BC"/>
    <w:rsid w:val="0BB750F1"/>
    <w:rsid w:val="0BE652F6"/>
    <w:rsid w:val="0C322237"/>
    <w:rsid w:val="0C4D380A"/>
    <w:rsid w:val="0CAB58D3"/>
    <w:rsid w:val="0CC66A1C"/>
    <w:rsid w:val="0CDC10C0"/>
    <w:rsid w:val="0CFE7056"/>
    <w:rsid w:val="0D2B3C6A"/>
    <w:rsid w:val="0D661FE9"/>
    <w:rsid w:val="0D694491"/>
    <w:rsid w:val="0D771ED4"/>
    <w:rsid w:val="0DB00395"/>
    <w:rsid w:val="0EA22CDD"/>
    <w:rsid w:val="0EB17625"/>
    <w:rsid w:val="0EBE4BCB"/>
    <w:rsid w:val="0EC319DB"/>
    <w:rsid w:val="0F2763AB"/>
    <w:rsid w:val="0F315F8B"/>
    <w:rsid w:val="0F8F350D"/>
    <w:rsid w:val="10381DD7"/>
    <w:rsid w:val="10385018"/>
    <w:rsid w:val="10C24FA5"/>
    <w:rsid w:val="10D55C9B"/>
    <w:rsid w:val="112D7A48"/>
    <w:rsid w:val="11711994"/>
    <w:rsid w:val="11A05B41"/>
    <w:rsid w:val="11E86A2A"/>
    <w:rsid w:val="121C3816"/>
    <w:rsid w:val="12B20B3D"/>
    <w:rsid w:val="12BA763F"/>
    <w:rsid w:val="13041168"/>
    <w:rsid w:val="13084128"/>
    <w:rsid w:val="13260FFD"/>
    <w:rsid w:val="13414DE8"/>
    <w:rsid w:val="137A484A"/>
    <w:rsid w:val="13C62751"/>
    <w:rsid w:val="13FF21CF"/>
    <w:rsid w:val="14730584"/>
    <w:rsid w:val="147C073F"/>
    <w:rsid w:val="14AD4F60"/>
    <w:rsid w:val="14BE35B0"/>
    <w:rsid w:val="14DC589D"/>
    <w:rsid w:val="151E2F4C"/>
    <w:rsid w:val="15287213"/>
    <w:rsid w:val="158F3637"/>
    <w:rsid w:val="15EE52FE"/>
    <w:rsid w:val="16180389"/>
    <w:rsid w:val="16354BF2"/>
    <w:rsid w:val="16376880"/>
    <w:rsid w:val="172F12F3"/>
    <w:rsid w:val="1783014E"/>
    <w:rsid w:val="179E7D0A"/>
    <w:rsid w:val="17AA62C5"/>
    <w:rsid w:val="17E016BB"/>
    <w:rsid w:val="17F7540D"/>
    <w:rsid w:val="17FC1C8A"/>
    <w:rsid w:val="18172C80"/>
    <w:rsid w:val="1861006C"/>
    <w:rsid w:val="1888212A"/>
    <w:rsid w:val="18BD5DBD"/>
    <w:rsid w:val="18C04ADF"/>
    <w:rsid w:val="18C85694"/>
    <w:rsid w:val="18E844F2"/>
    <w:rsid w:val="18F715D0"/>
    <w:rsid w:val="1921156A"/>
    <w:rsid w:val="19D15B8D"/>
    <w:rsid w:val="19E02827"/>
    <w:rsid w:val="1A6C2BBE"/>
    <w:rsid w:val="1A81302A"/>
    <w:rsid w:val="1B416A3D"/>
    <w:rsid w:val="1B52462C"/>
    <w:rsid w:val="1B873174"/>
    <w:rsid w:val="1B8C0609"/>
    <w:rsid w:val="1BF7140F"/>
    <w:rsid w:val="1BFF4831"/>
    <w:rsid w:val="1C28116B"/>
    <w:rsid w:val="1C3C35BB"/>
    <w:rsid w:val="1CE6247F"/>
    <w:rsid w:val="1CE7243C"/>
    <w:rsid w:val="1D39186A"/>
    <w:rsid w:val="1D7C5AAA"/>
    <w:rsid w:val="1DA17523"/>
    <w:rsid w:val="1DB4749F"/>
    <w:rsid w:val="1DC416D9"/>
    <w:rsid w:val="1E07669E"/>
    <w:rsid w:val="1E523071"/>
    <w:rsid w:val="1E8C5C50"/>
    <w:rsid w:val="1FAF5313"/>
    <w:rsid w:val="1FD70D83"/>
    <w:rsid w:val="20726D46"/>
    <w:rsid w:val="20831276"/>
    <w:rsid w:val="20926922"/>
    <w:rsid w:val="20A53CAB"/>
    <w:rsid w:val="20B83D29"/>
    <w:rsid w:val="20BC0331"/>
    <w:rsid w:val="20C550BE"/>
    <w:rsid w:val="21084C5C"/>
    <w:rsid w:val="210A4D1A"/>
    <w:rsid w:val="21AF34E3"/>
    <w:rsid w:val="221118BF"/>
    <w:rsid w:val="222D79DD"/>
    <w:rsid w:val="224E626E"/>
    <w:rsid w:val="22760A3E"/>
    <w:rsid w:val="229D6847"/>
    <w:rsid w:val="22AD5CC3"/>
    <w:rsid w:val="22F523F7"/>
    <w:rsid w:val="23493C49"/>
    <w:rsid w:val="23515EB7"/>
    <w:rsid w:val="23ED7292"/>
    <w:rsid w:val="23EE0688"/>
    <w:rsid w:val="23F317CA"/>
    <w:rsid w:val="24182FBF"/>
    <w:rsid w:val="24213076"/>
    <w:rsid w:val="2436144E"/>
    <w:rsid w:val="243A50A8"/>
    <w:rsid w:val="245A155B"/>
    <w:rsid w:val="24AD3711"/>
    <w:rsid w:val="250069E9"/>
    <w:rsid w:val="251E53D5"/>
    <w:rsid w:val="252618C0"/>
    <w:rsid w:val="254949AC"/>
    <w:rsid w:val="256F6B37"/>
    <w:rsid w:val="258C7A87"/>
    <w:rsid w:val="25F22658"/>
    <w:rsid w:val="25FF319E"/>
    <w:rsid w:val="26A54F5B"/>
    <w:rsid w:val="271102D2"/>
    <w:rsid w:val="273B4659"/>
    <w:rsid w:val="274C44D6"/>
    <w:rsid w:val="275564B8"/>
    <w:rsid w:val="2778792B"/>
    <w:rsid w:val="277A1C2E"/>
    <w:rsid w:val="27AC4D48"/>
    <w:rsid w:val="27C33DB2"/>
    <w:rsid w:val="2811761E"/>
    <w:rsid w:val="28483BC1"/>
    <w:rsid w:val="28E83244"/>
    <w:rsid w:val="299039DC"/>
    <w:rsid w:val="2A031DE8"/>
    <w:rsid w:val="2A8B07F7"/>
    <w:rsid w:val="2ABA6F8E"/>
    <w:rsid w:val="2AC26F65"/>
    <w:rsid w:val="2B5E5A9B"/>
    <w:rsid w:val="2B901BF2"/>
    <w:rsid w:val="2BBB0D98"/>
    <w:rsid w:val="2BCC4BCD"/>
    <w:rsid w:val="2C0B79FC"/>
    <w:rsid w:val="2C1832F6"/>
    <w:rsid w:val="2C1C3A77"/>
    <w:rsid w:val="2C6378A0"/>
    <w:rsid w:val="2C6E15B6"/>
    <w:rsid w:val="2C856979"/>
    <w:rsid w:val="2CEB6784"/>
    <w:rsid w:val="2D59105E"/>
    <w:rsid w:val="2DE50B9F"/>
    <w:rsid w:val="2DEF53FA"/>
    <w:rsid w:val="2EA170F8"/>
    <w:rsid w:val="2F3B13BF"/>
    <w:rsid w:val="2F6F418E"/>
    <w:rsid w:val="2F7E1468"/>
    <w:rsid w:val="2F84544D"/>
    <w:rsid w:val="2F9C42E3"/>
    <w:rsid w:val="2FA23F51"/>
    <w:rsid w:val="2FCA774B"/>
    <w:rsid w:val="30243517"/>
    <w:rsid w:val="30267936"/>
    <w:rsid w:val="30581F36"/>
    <w:rsid w:val="307C044C"/>
    <w:rsid w:val="30D61175"/>
    <w:rsid w:val="30E503A6"/>
    <w:rsid w:val="30E72F91"/>
    <w:rsid w:val="310F028E"/>
    <w:rsid w:val="31431A32"/>
    <w:rsid w:val="31461CFA"/>
    <w:rsid w:val="314B715D"/>
    <w:rsid w:val="31590092"/>
    <w:rsid w:val="315B439E"/>
    <w:rsid w:val="316B3806"/>
    <w:rsid w:val="31F77485"/>
    <w:rsid w:val="326E1E71"/>
    <w:rsid w:val="3287569D"/>
    <w:rsid w:val="3290106B"/>
    <w:rsid w:val="32D201DC"/>
    <w:rsid w:val="32DD3E63"/>
    <w:rsid w:val="3300417C"/>
    <w:rsid w:val="3314169E"/>
    <w:rsid w:val="33366277"/>
    <w:rsid w:val="336A41E3"/>
    <w:rsid w:val="33830720"/>
    <w:rsid w:val="33B70CD4"/>
    <w:rsid w:val="33FB01CC"/>
    <w:rsid w:val="34CB141F"/>
    <w:rsid w:val="351D2C22"/>
    <w:rsid w:val="351E4E58"/>
    <w:rsid w:val="35737F0D"/>
    <w:rsid w:val="35966D9B"/>
    <w:rsid w:val="35D168C1"/>
    <w:rsid w:val="365E3DDB"/>
    <w:rsid w:val="36653D27"/>
    <w:rsid w:val="368275BB"/>
    <w:rsid w:val="368F2725"/>
    <w:rsid w:val="36A5675A"/>
    <w:rsid w:val="36BD31C3"/>
    <w:rsid w:val="36CC2CF5"/>
    <w:rsid w:val="36D764A4"/>
    <w:rsid w:val="36E92F5B"/>
    <w:rsid w:val="37211F31"/>
    <w:rsid w:val="376D77F0"/>
    <w:rsid w:val="37C139B3"/>
    <w:rsid w:val="37CD1DD1"/>
    <w:rsid w:val="37D73BB7"/>
    <w:rsid w:val="37E722DA"/>
    <w:rsid w:val="37E81099"/>
    <w:rsid w:val="38461259"/>
    <w:rsid w:val="38582BED"/>
    <w:rsid w:val="38742F4C"/>
    <w:rsid w:val="38744687"/>
    <w:rsid w:val="38975854"/>
    <w:rsid w:val="391C2B1E"/>
    <w:rsid w:val="39410481"/>
    <w:rsid w:val="398B0E49"/>
    <w:rsid w:val="399A20F8"/>
    <w:rsid w:val="39F111E8"/>
    <w:rsid w:val="39F1646C"/>
    <w:rsid w:val="3AF51AE1"/>
    <w:rsid w:val="3B283451"/>
    <w:rsid w:val="3B50000C"/>
    <w:rsid w:val="3B7271C6"/>
    <w:rsid w:val="3BAD4A2F"/>
    <w:rsid w:val="3C9A1B54"/>
    <w:rsid w:val="3CA62225"/>
    <w:rsid w:val="3D1A38CF"/>
    <w:rsid w:val="3DA87E49"/>
    <w:rsid w:val="3E286600"/>
    <w:rsid w:val="3E2C5BC6"/>
    <w:rsid w:val="3EB26AE9"/>
    <w:rsid w:val="3ED42D22"/>
    <w:rsid w:val="3F3413EF"/>
    <w:rsid w:val="3F645A10"/>
    <w:rsid w:val="3F7C4943"/>
    <w:rsid w:val="3FA15F14"/>
    <w:rsid w:val="3FC0338F"/>
    <w:rsid w:val="3FD409A4"/>
    <w:rsid w:val="3FDB7E2D"/>
    <w:rsid w:val="3FE202BD"/>
    <w:rsid w:val="3FE672BD"/>
    <w:rsid w:val="3FFC70CB"/>
    <w:rsid w:val="400B1731"/>
    <w:rsid w:val="400E63E9"/>
    <w:rsid w:val="40771DE7"/>
    <w:rsid w:val="40D34EEF"/>
    <w:rsid w:val="41400D90"/>
    <w:rsid w:val="41433FED"/>
    <w:rsid w:val="415E6FC1"/>
    <w:rsid w:val="417636CF"/>
    <w:rsid w:val="41B42D1D"/>
    <w:rsid w:val="41C544A6"/>
    <w:rsid w:val="41ED01E2"/>
    <w:rsid w:val="423464C8"/>
    <w:rsid w:val="42B27A95"/>
    <w:rsid w:val="42B46C59"/>
    <w:rsid w:val="431C7284"/>
    <w:rsid w:val="434A7755"/>
    <w:rsid w:val="435A3C4F"/>
    <w:rsid w:val="43952BCA"/>
    <w:rsid w:val="43AC3316"/>
    <w:rsid w:val="43B44612"/>
    <w:rsid w:val="43B95D04"/>
    <w:rsid w:val="43CB6AE8"/>
    <w:rsid w:val="44385CD6"/>
    <w:rsid w:val="447C0208"/>
    <w:rsid w:val="44AE2161"/>
    <w:rsid w:val="44B01F9D"/>
    <w:rsid w:val="44C34FC6"/>
    <w:rsid w:val="457D627F"/>
    <w:rsid w:val="45A33FE2"/>
    <w:rsid w:val="46325279"/>
    <w:rsid w:val="469423CE"/>
    <w:rsid w:val="46B92E17"/>
    <w:rsid w:val="46BF394F"/>
    <w:rsid w:val="46DA3BD8"/>
    <w:rsid w:val="46F329D7"/>
    <w:rsid w:val="47271528"/>
    <w:rsid w:val="47EF0957"/>
    <w:rsid w:val="487F71B5"/>
    <w:rsid w:val="48A461C9"/>
    <w:rsid w:val="492E174E"/>
    <w:rsid w:val="497B5013"/>
    <w:rsid w:val="49E6443A"/>
    <w:rsid w:val="4A641128"/>
    <w:rsid w:val="4A782B84"/>
    <w:rsid w:val="4B2E381B"/>
    <w:rsid w:val="4B4439C2"/>
    <w:rsid w:val="4B8B0121"/>
    <w:rsid w:val="4B9B0250"/>
    <w:rsid w:val="4BA0484B"/>
    <w:rsid w:val="4CED5B66"/>
    <w:rsid w:val="4D34564E"/>
    <w:rsid w:val="4D6B5EC7"/>
    <w:rsid w:val="4D9E6A3D"/>
    <w:rsid w:val="4DF31885"/>
    <w:rsid w:val="4DF928D7"/>
    <w:rsid w:val="4E3D3871"/>
    <w:rsid w:val="4E5F659A"/>
    <w:rsid w:val="4EB319B4"/>
    <w:rsid w:val="4F183B8D"/>
    <w:rsid w:val="4F4F76E1"/>
    <w:rsid w:val="4F5124E0"/>
    <w:rsid w:val="4F6E6E81"/>
    <w:rsid w:val="4FB91348"/>
    <w:rsid w:val="4FC71C97"/>
    <w:rsid w:val="4FD14F2C"/>
    <w:rsid w:val="505A65FC"/>
    <w:rsid w:val="507907B1"/>
    <w:rsid w:val="5089728B"/>
    <w:rsid w:val="509F3352"/>
    <w:rsid w:val="50A52427"/>
    <w:rsid w:val="50B4030E"/>
    <w:rsid w:val="50D165D5"/>
    <w:rsid w:val="50E67F2B"/>
    <w:rsid w:val="51186649"/>
    <w:rsid w:val="5147264F"/>
    <w:rsid w:val="51BC1AE6"/>
    <w:rsid w:val="51CA41C4"/>
    <w:rsid w:val="521E13A8"/>
    <w:rsid w:val="52297BE8"/>
    <w:rsid w:val="522E2481"/>
    <w:rsid w:val="52427502"/>
    <w:rsid w:val="52B50B63"/>
    <w:rsid w:val="5301425A"/>
    <w:rsid w:val="532A5C04"/>
    <w:rsid w:val="534C53A3"/>
    <w:rsid w:val="535F1D05"/>
    <w:rsid w:val="53830733"/>
    <w:rsid w:val="538F7A9B"/>
    <w:rsid w:val="53F600D2"/>
    <w:rsid w:val="54266F00"/>
    <w:rsid w:val="542C748F"/>
    <w:rsid w:val="54970C36"/>
    <w:rsid w:val="54D448C2"/>
    <w:rsid w:val="55207B33"/>
    <w:rsid w:val="552636A3"/>
    <w:rsid w:val="55266055"/>
    <w:rsid w:val="558127D5"/>
    <w:rsid w:val="55CB6781"/>
    <w:rsid w:val="55E90E4A"/>
    <w:rsid w:val="55FC271B"/>
    <w:rsid w:val="560052DC"/>
    <w:rsid w:val="561A7E41"/>
    <w:rsid w:val="561D6B15"/>
    <w:rsid w:val="56215894"/>
    <w:rsid w:val="562B4686"/>
    <w:rsid w:val="565E0B39"/>
    <w:rsid w:val="56F31375"/>
    <w:rsid w:val="5728181A"/>
    <w:rsid w:val="573F027F"/>
    <w:rsid w:val="577F48D9"/>
    <w:rsid w:val="57E0068D"/>
    <w:rsid w:val="57EA5768"/>
    <w:rsid w:val="57EC1DE2"/>
    <w:rsid w:val="58085B0E"/>
    <w:rsid w:val="586B758F"/>
    <w:rsid w:val="587A589B"/>
    <w:rsid w:val="59694DE2"/>
    <w:rsid w:val="59741271"/>
    <w:rsid w:val="59E63F2B"/>
    <w:rsid w:val="5A237687"/>
    <w:rsid w:val="5A633A90"/>
    <w:rsid w:val="5A9C0C7D"/>
    <w:rsid w:val="5B197F14"/>
    <w:rsid w:val="5B26561A"/>
    <w:rsid w:val="5C0B69A8"/>
    <w:rsid w:val="5C43665A"/>
    <w:rsid w:val="5C4A0ED8"/>
    <w:rsid w:val="5C4C7154"/>
    <w:rsid w:val="5C9F14A2"/>
    <w:rsid w:val="5CB343D4"/>
    <w:rsid w:val="5CE212B7"/>
    <w:rsid w:val="5D28416D"/>
    <w:rsid w:val="5DA21358"/>
    <w:rsid w:val="5DBC70A2"/>
    <w:rsid w:val="5DC70B36"/>
    <w:rsid w:val="5DDA24FB"/>
    <w:rsid w:val="5E4D2630"/>
    <w:rsid w:val="5E6C2763"/>
    <w:rsid w:val="5E8116C1"/>
    <w:rsid w:val="5E8D473A"/>
    <w:rsid w:val="5E8F1466"/>
    <w:rsid w:val="5F36476D"/>
    <w:rsid w:val="5F36597F"/>
    <w:rsid w:val="5F365FAD"/>
    <w:rsid w:val="5F3A18C0"/>
    <w:rsid w:val="5F3A579D"/>
    <w:rsid w:val="5F453ED6"/>
    <w:rsid w:val="5F832395"/>
    <w:rsid w:val="5F8A3D8B"/>
    <w:rsid w:val="5FE724B5"/>
    <w:rsid w:val="60017557"/>
    <w:rsid w:val="601248F1"/>
    <w:rsid w:val="607B0EA0"/>
    <w:rsid w:val="60C51E7F"/>
    <w:rsid w:val="60DB4BF1"/>
    <w:rsid w:val="60DC01C7"/>
    <w:rsid w:val="60EA4D38"/>
    <w:rsid w:val="61133DBE"/>
    <w:rsid w:val="613B21B8"/>
    <w:rsid w:val="619B0C11"/>
    <w:rsid w:val="62A51D4D"/>
    <w:rsid w:val="62C50BD8"/>
    <w:rsid w:val="62F94138"/>
    <w:rsid w:val="636064F3"/>
    <w:rsid w:val="636273C7"/>
    <w:rsid w:val="63D82F63"/>
    <w:rsid w:val="63ED017B"/>
    <w:rsid w:val="643D7DA2"/>
    <w:rsid w:val="64794C8C"/>
    <w:rsid w:val="64E419B4"/>
    <w:rsid w:val="64EF1A6F"/>
    <w:rsid w:val="653D7471"/>
    <w:rsid w:val="655A670E"/>
    <w:rsid w:val="657D0E1E"/>
    <w:rsid w:val="65CA120D"/>
    <w:rsid w:val="66A20AAF"/>
    <w:rsid w:val="66FF14A3"/>
    <w:rsid w:val="672865F2"/>
    <w:rsid w:val="67553C7F"/>
    <w:rsid w:val="67706C39"/>
    <w:rsid w:val="67FF346E"/>
    <w:rsid w:val="682D257B"/>
    <w:rsid w:val="68F96F45"/>
    <w:rsid w:val="69216721"/>
    <w:rsid w:val="695F1944"/>
    <w:rsid w:val="697512A2"/>
    <w:rsid w:val="6A152499"/>
    <w:rsid w:val="6A46185A"/>
    <w:rsid w:val="6A5D5B3E"/>
    <w:rsid w:val="6A695F5B"/>
    <w:rsid w:val="6A784F8F"/>
    <w:rsid w:val="6A867A2D"/>
    <w:rsid w:val="6B052D6A"/>
    <w:rsid w:val="6B375031"/>
    <w:rsid w:val="6B6300D4"/>
    <w:rsid w:val="6B7C3A10"/>
    <w:rsid w:val="6B8F0C94"/>
    <w:rsid w:val="6B977093"/>
    <w:rsid w:val="6BF44B81"/>
    <w:rsid w:val="6BFF337E"/>
    <w:rsid w:val="6C304FCF"/>
    <w:rsid w:val="6C346BA5"/>
    <w:rsid w:val="6C447FE9"/>
    <w:rsid w:val="6C596167"/>
    <w:rsid w:val="6C974DAC"/>
    <w:rsid w:val="6D1342BB"/>
    <w:rsid w:val="6DAB2730"/>
    <w:rsid w:val="6DD62F22"/>
    <w:rsid w:val="6DF34C28"/>
    <w:rsid w:val="6E107E61"/>
    <w:rsid w:val="6E2B0053"/>
    <w:rsid w:val="6E565924"/>
    <w:rsid w:val="6E8919F9"/>
    <w:rsid w:val="6EC70363"/>
    <w:rsid w:val="6EE6139B"/>
    <w:rsid w:val="6F3E5707"/>
    <w:rsid w:val="6F624B4A"/>
    <w:rsid w:val="6F6663DA"/>
    <w:rsid w:val="6FA60452"/>
    <w:rsid w:val="6FB375FD"/>
    <w:rsid w:val="702D1C62"/>
    <w:rsid w:val="70495AA2"/>
    <w:rsid w:val="708B076D"/>
    <w:rsid w:val="70D90CD6"/>
    <w:rsid w:val="70E007B4"/>
    <w:rsid w:val="7111482F"/>
    <w:rsid w:val="71484FEA"/>
    <w:rsid w:val="71BA78A4"/>
    <w:rsid w:val="72074C3D"/>
    <w:rsid w:val="72311127"/>
    <w:rsid w:val="726A0575"/>
    <w:rsid w:val="726C5787"/>
    <w:rsid w:val="72914FFD"/>
    <w:rsid w:val="732B4F3F"/>
    <w:rsid w:val="733103E8"/>
    <w:rsid w:val="733F7184"/>
    <w:rsid w:val="736002B6"/>
    <w:rsid w:val="736B7F0B"/>
    <w:rsid w:val="736D5924"/>
    <w:rsid w:val="74254A95"/>
    <w:rsid w:val="743E4EFF"/>
    <w:rsid w:val="748236C4"/>
    <w:rsid w:val="748D0583"/>
    <w:rsid w:val="74A46D43"/>
    <w:rsid w:val="751904CA"/>
    <w:rsid w:val="755F173E"/>
    <w:rsid w:val="7579120C"/>
    <w:rsid w:val="75CF32FF"/>
    <w:rsid w:val="75DC6A06"/>
    <w:rsid w:val="75E362EE"/>
    <w:rsid w:val="75E36795"/>
    <w:rsid w:val="75E36822"/>
    <w:rsid w:val="76596861"/>
    <w:rsid w:val="76B514CD"/>
    <w:rsid w:val="76BE0C04"/>
    <w:rsid w:val="77232853"/>
    <w:rsid w:val="777A7B11"/>
    <w:rsid w:val="77C728FA"/>
    <w:rsid w:val="7843001E"/>
    <w:rsid w:val="78501FD5"/>
    <w:rsid w:val="78892A36"/>
    <w:rsid w:val="78957263"/>
    <w:rsid w:val="78CF6C78"/>
    <w:rsid w:val="78F631E2"/>
    <w:rsid w:val="79035899"/>
    <w:rsid w:val="791B73D9"/>
    <w:rsid w:val="798C3395"/>
    <w:rsid w:val="799F57B1"/>
    <w:rsid w:val="79C33D8B"/>
    <w:rsid w:val="79D32E0D"/>
    <w:rsid w:val="7A07059D"/>
    <w:rsid w:val="7A0B06F6"/>
    <w:rsid w:val="7A9705B4"/>
    <w:rsid w:val="7B18284D"/>
    <w:rsid w:val="7B5215DE"/>
    <w:rsid w:val="7B697BA2"/>
    <w:rsid w:val="7B6C429E"/>
    <w:rsid w:val="7B9833AA"/>
    <w:rsid w:val="7BCA0414"/>
    <w:rsid w:val="7BCE6129"/>
    <w:rsid w:val="7C0F6ACD"/>
    <w:rsid w:val="7CA06CCB"/>
    <w:rsid w:val="7D7877D8"/>
    <w:rsid w:val="7DDD09CB"/>
    <w:rsid w:val="7DEC40E1"/>
    <w:rsid w:val="7E697AA0"/>
    <w:rsid w:val="7ED72125"/>
    <w:rsid w:val="7ED9678E"/>
    <w:rsid w:val="7F200611"/>
    <w:rsid w:val="7F9E45FB"/>
    <w:rsid w:val="7FA6080F"/>
    <w:rsid w:val="7FCD76B5"/>
    <w:rsid w:val="7FF97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99"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lang w:val="en-US" w:eastAsia="zh-CN" w:bidi="ar-SA"/>
    </w:rPr>
  </w:style>
  <w:style w:type="paragraph" w:styleId="2">
    <w:name w:val="heading 1"/>
    <w:basedOn w:val="1"/>
    <w:next w:val="3"/>
    <w:link w:val="72"/>
    <w:qFormat/>
    <w:uiPriority w:val="0"/>
    <w:pPr>
      <w:keepNext/>
      <w:keepLines/>
      <w:spacing w:line="240" w:lineRule="auto"/>
      <w:outlineLvl w:val="0"/>
    </w:pPr>
    <w:rPr>
      <w:b/>
      <w:kern w:val="44"/>
      <w:sz w:val="32"/>
    </w:rPr>
  </w:style>
  <w:style w:type="paragraph" w:styleId="3">
    <w:name w:val="heading 2"/>
    <w:basedOn w:val="1"/>
    <w:next w:val="1"/>
    <w:link w:val="76"/>
    <w:qFormat/>
    <w:uiPriority w:val="0"/>
    <w:pPr>
      <w:keepNext/>
      <w:keepLines/>
      <w:spacing w:before="120" w:after="120" w:line="415" w:lineRule="auto"/>
      <w:outlineLvl w:val="1"/>
    </w:pPr>
    <w:rPr>
      <w:rFonts w:eastAsia="黑体"/>
      <w:b/>
      <w:bCs/>
      <w:sz w:val="30"/>
      <w:szCs w:val="32"/>
    </w:rPr>
  </w:style>
  <w:style w:type="paragraph" w:styleId="4">
    <w:name w:val="heading 3"/>
    <w:basedOn w:val="1"/>
    <w:next w:val="1"/>
    <w:link w:val="83"/>
    <w:qFormat/>
    <w:uiPriority w:val="0"/>
    <w:pPr>
      <w:keepNext/>
      <w:keepLines/>
      <w:spacing w:before="260" w:after="260" w:line="416" w:lineRule="auto"/>
      <w:outlineLvl w:val="2"/>
    </w:pPr>
    <w:rPr>
      <w:b/>
      <w:bCs/>
      <w:sz w:val="32"/>
      <w:szCs w:val="32"/>
    </w:rPr>
  </w:style>
  <w:style w:type="paragraph" w:styleId="5">
    <w:name w:val="heading 4"/>
    <w:basedOn w:val="1"/>
    <w:next w:val="6"/>
    <w:link w:val="66"/>
    <w:qFormat/>
    <w:uiPriority w:val="0"/>
    <w:pPr>
      <w:keepNext/>
      <w:spacing w:line="240" w:lineRule="auto"/>
      <w:jc w:val="center"/>
      <w:outlineLvl w:val="3"/>
    </w:pPr>
    <w:rPr>
      <w:rFonts w:ascii="宋体"/>
      <w:sz w:val="28"/>
    </w:rPr>
  </w:style>
  <w:style w:type="paragraph" w:styleId="7">
    <w:name w:val="heading 5"/>
    <w:basedOn w:val="1"/>
    <w:next w:val="6"/>
    <w:link w:val="60"/>
    <w:qFormat/>
    <w:uiPriority w:val="0"/>
    <w:pPr>
      <w:keepNext/>
      <w:keepLines/>
      <w:spacing w:before="280" w:after="290" w:line="376" w:lineRule="auto"/>
      <w:outlineLvl w:val="4"/>
    </w:pPr>
    <w:rPr>
      <w:b/>
      <w:sz w:val="28"/>
    </w:rPr>
  </w:style>
  <w:style w:type="paragraph" w:styleId="8">
    <w:name w:val="heading 6"/>
    <w:basedOn w:val="1"/>
    <w:next w:val="6"/>
    <w:link w:val="61"/>
    <w:qFormat/>
    <w:uiPriority w:val="0"/>
    <w:pPr>
      <w:keepNext/>
      <w:keepLines/>
      <w:spacing w:before="240" w:after="64" w:line="320" w:lineRule="auto"/>
      <w:outlineLvl w:val="5"/>
    </w:pPr>
    <w:rPr>
      <w:rFonts w:ascii="Arial" w:hAnsi="Arial" w:eastAsia="黑体"/>
      <w:b/>
    </w:rPr>
  </w:style>
  <w:style w:type="paragraph" w:styleId="9">
    <w:name w:val="heading 7"/>
    <w:basedOn w:val="1"/>
    <w:next w:val="6"/>
    <w:link w:val="64"/>
    <w:qFormat/>
    <w:uiPriority w:val="0"/>
    <w:pPr>
      <w:keepNext/>
      <w:keepLines/>
      <w:spacing w:before="240" w:after="64" w:line="320" w:lineRule="auto"/>
      <w:outlineLvl w:val="6"/>
    </w:pPr>
    <w:rPr>
      <w:b/>
    </w:rPr>
  </w:style>
  <w:style w:type="paragraph" w:styleId="10">
    <w:name w:val="heading 8"/>
    <w:basedOn w:val="1"/>
    <w:next w:val="6"/>
    <w:link w:val="78"/>
    <w:qFormat/>
    <w:uiPriority w:val="0"/>
    <w:pPr>
      <w:keepNext/>
      <w:keepLines/>
      <w:spacing w:before="240" w:after="64" w:line="320" w:lineRule="auto"/>
      <w:outlineLvl w:val="7"/>
    </w:pPr>
    <w:rPr>
      <w:rFonts w:ascii="Arial" w:hAnsi="Arial" w:eastAsia="黑体"/>
    </w:rPr>
  </w:style>
  <w:style w:type="paragraph" w:styleId="11">
    <w:name w:val="heading 9"/>
    <w:basedOn w:val="1"/>
    <w:next w:val="6"/>
    <w:link w:val="73"/>
    <w:qFormat/>
    <w:uiPriority w:val="0"/>
    <w:pPr>
      <w:keepNext/>
      <w:keepLines/>
      <w:spacing w:before="240" w:after="64" w:line="320" w:lineRule="auto"/>
      <w:outlineLvl w:val="8"/>
    </w:pPr>
    <w:rPr>
      <w:rFonts w:ascii="Arial" w:hAnsi="Arial" w:eastAsia="黑体"/>
      <w:sz w:val="28"/>
    </w:rPr>
  </w:style>
  <w:style w:type="character" w:default="1" w:styleId="28">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6">
    <w:name w:val="Normal Indent"/>
    <w:basedOn w:val="1"/>
    <w:link w:val="94"/>
    <w:qFormat/>
    <w:uiPriority w:val="0"/>
    <w:pPr>
      <w:spacing w:line="240" w:lineRule="auto"/>
      <w:ind w:firstLine="420"/>
    </w:pPr>
    <w:rPr>
      <w:sz w:val="21"/>
    </w:rPr>
  </w:style>
  <w:style w:type="paragraph" w:styleId="12">
    <w:name w:val="Body Text First Indent"/>
    <w:basedOn w:val="13"/>
    <w:link w:val="70"/>
    <w:qFormat/>
    <w:uiPriority w:val="0"/>
    <w:pPr>
      <w:spacing w:beforeLines="0" w:afterLines="0" w:line="360" w:lineRule="auto"/>
      <w:ind w:firstLine="420" w:firstLineChars="100"/>
    </w:pPr>
    <w:rPr>
      <w:b w:val="0"/>
      <w:bCs w:val="0"/>
    </w:rPr>
  </w:style>
  <w:style w:type="paragraph" w:styleId="13">
    <w:name w:val="Body Text"/>
    <w:basedOn w:val="1"/>
    <w:link w:val="71"/>
    <w:qFormat/>
    <w:uiPriority w:val="0"/>
    <w:pPr>
      <w:spacing w:beforeLines="50" w:afterLines="50" w:line="240" w:lineRule="auto"/>
    </w:pPr>
    <w:rPr>
      <w:b/>
      <w:bCs/>
    </w:rPr>
  </w:style>
  <w:style w:type="paragraph" w:styleId="14">
    <w:name w:val="Document Map"/>
    <w:basedOn w:val="1"/>
    <w:link w:val="84"/>
    <w:semiHidden/>
    <w:qFormat/>
    <w:uiPriority w:val="0"/>
    <w:pPr>
      <w:shd w:val="clear" w:color="auto" w:fill="000080"/>
    </w:pPr>
  </w:style>
  <w:style w:type="paragraph" w:styleId="15">
    <w:name w:val="annotation text"/>
    <w:basedOn w:val="1"/>
    <w:link w:val="98"/>
    <w:semiHidden/>
    <w:qFormat/>
    <w:uiPriority w:val="99"/>
    <w:pPr>
      <w:jc w:val="left"/>
    </w:pPr>
    <w:rPr>
      <w:sz w:val="21"/>
      <w:szCs w:val="24"/>
    </w:rPr>
  </w:style>
  <w:style w:type="paragraph" w:styleId="16">
    <w:name w:val="Body Text 3"/>
    <w:basedOn w:val="1"/>
    <w:link w:val="85"/>
    <w:qFormat/>
    <w:uiPriority w:val="0"/>
    <w:pPr>
      <w:spacing w:after="120"/>
    </w:pPr>
    <w:rPr>
      <w:sz w:val="16"/>
      <w:szCs w:val="16"/>
    </w:rPr>
  </w:style>
  <w:style w:type="paragraph" w:styleId="17">
    <w:name w:val="Body Text Indent"/>
    <w:basedOn w:val="1"/>
    <w:link w:val="75"/>
    <w:qFormat/>
    <w:uiPriority w:val="0"/>
    <w:pPr>
      <w:spacing w:line="240" w:lineRule="auto"/>
      <w:ind w:firstLine="510"/>
    </w:pPr>
  </w:style>
  <w:style w:type="paragraph" w:styleId="18">
    <w:name w:val="Plain Text"/>
    <w:basedOn w:val="1"/>
    <w:link w:val="82"/>
    <w:qFormat/>
    <w:uiPriority w:val="0"/>
    <w:rPr>
      <w:rFonts w:ascii="宋体" w:hAnsi="Courier New"/>
      <w:sz w:val="21"/>
    </w:rPr>
  </w:style>
  <w:style w:type="paragraph" w:styleId="19">
    <w:name w:val="Date"/>
    <w:basedOn w:val="1"/>
    <w:next w:val="1"/>
    <w:link w:val="65"/>
    <w:qFormat/>
    <w:uiPriority w:val="0"/>
    <w:rPr>
      <w:rFonts w:eastAsia="黑体"/>
      <w:b/>
      <w:sz w:val="36"/>
    </w:rPr>
  </w:style>
  <w:style w:type="paragraph" w:styleId="20">
    <w:name w:val="Body Text Indent 2"/>
    <w:basedOn w:val="1"/>
    <w:link w:val="80"/>
    <w:qFormat/>
    <w:uiPriority w:val="0"/>
    <w:pPr>
      <w:spacing w:line="400" w:lineRule="exact"/>
      <w:ind w:left="-3" w:firstLine="288"/>
    </w:pPr>
    <w:rPr>
      <w:sz w:val="21"/>
    </w:rPr>
  </w:style>
  <w:style w:type="paragraph" w:styleId="21">
    <w:name w:val="Balloon Text"/>
    <w:basedOn w:val="1"/>
    <w:link w:val="59"/>
    <w:semiHidden/>
    <w:qFormat/>
    <w:uiPriority w:val="0"/>
    <w:rPr>
      <w:sz w:val="18"/>
      <w:szCs w:val="18"/>
    </w:rPr>
  </w:style>
  <w:style w:type="paragraph" w:styleId="22">
    <w:name w:val="footer"/>
    <w:basedOn w:val="1"/>
    <w:link w:val="74"/>
    <w:unhideWhenUsed/>
    <w:qFormat/>
    <w:uiPriority w:val="99"/>
    <w:pPr>
      <w:tabs>
        <w:tab w:val="center" w:pos="4153"/>
        <w:tab w:val="right" w:pos="8306"/>
      </w:tabs>
      <w:snapToGrid w:val="0"/>
      <w:jc w:val="left"/>
    </w:pPr>
    <w:rPr>
      <w:sz w:val="18"/>
      <w:szCs w:val="18"/>
    </w:rPr>
  </w:style>
  <w:style w:type="paragraph" w:styleId="23">
    <w:name w:val="header"/>
    <w:basedOn w:val="1"/>
    <w:link w:val="67"/>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Body Text Indent 3"/>
    <w:basedOn w:val="1"/>
    <w:link w:val="77"/>
    <w:qFormat/>
    <w:uiPriority w:val="0"/>
    <w:pPr>
      <w:spacing w:line="400" w:lineRule="exact"/>
      <w:ind w:left="-3" w:firstLine="525"/>
    </w:pPr>
    <w:rPr>
      <w:sz w:val="21"/>
    </w:rPr>
  </w:style>
  <w:style w:type="paragraph" w:styleId="25">
    <w:name w:val="Body Text 2"/>
    <w:basedOn w:val="1"/>
    <w:link w:val="79"/>
    <w:qFormat/>
    <w:uiPriority w:val="0"/>
    <w:pPr>
      <w:spacing w:line="240" w:lineRule="auto"/>
      <w:jc w:val="center"/>
    </w:pPr>
    <w:rPr>
      <w:sz w:val="21"/>
    </w:rPr>
  </w:style>
  <w:style w:type="paragraph" w:styleId="26">
    <w:name w:val="Normal (Web)"/>
    <w:basedOn w:val="1"/>
    <w:qFormat/>
    <w:uiPriority w:val="0"/>
    <w:pPr>
      <w:widowControl/>
      <w:spacing w:before="100" w:beforeAutospacing="1" w:after="100" w:afterAutospacing="1" w:line="240" w:lineRule="auto"/>
      <w:jc w:val="left"/>
    </w:pPr>
    <w:rPr>
      <w:rFonts w:ascii="Arial Unicode MS" w:hAnsi="Arial Unicode MS" w:eastAsia="Times New Roman"/>
      <w:kern w:val="0"/>
      <w:szCs w:val="24"/>
    </w:rPr>
  </w:style>
  <w:style w:type="paragraph" w:styleId="27">
    <w:name w:val="index 1"/>
    <w:basedOn w:val="1"/>
    <w:next w:val="1"/>
    <w:semiHidden/>
    <w:qFormat/>
    <w:uiPriority w:val="0"/>
    <w:pPr>
      <w:spacing w:line="260" w:lineRule="exact"/>
      <w:ind w:left="-105" w:leftChars="-50" w:right="-105" w:rightChars="-50"/>
      <w:jc w:val="center"/>
    </w:pPr>
    <w:rPr>
      <w:bCs/>
      <w:sz w:val="18"/>
      <w:szCs w:val="24"/>
    </w:rPr>
  </w:style>
  <w:style w:type="character" w:styleId="29">
    <w:name w:val="Strong"/>
    <w:basedOn w:val="28"/>
    <w:qFormat/>
    <w:uiPriority w:val="22"/>
    <w:rPr>
      <w:b/>
      <w:bCs/>
    </w:rPr>
  </w:style>
  <w:style w:type="character" w:styleId="30">
    <w:name w:val="page number"/>
    <w:basedOn w:val="28"/>
    <w:qFormat/>
    <w:uiPriority w:val="0"/>
  </w:style>
  <w:style w:type="character" w:styleId="31">
    <w:name w:val="FollowedHyperlink"/>
    <w:basedOn w:val="28"/>
    <w:qFormat/>
    <w:uiPriority w:val="0"/>
    <w:rPr>
      <w:color w:val="800080"/>
      <w:u w:val="single"/>
    </w:rPr>
  </w:style>
  <w:style w:type="character" w:styleId="32">
    <w:name w:val="Hyperlink"/>
    <w:basedOn w:val="28"/>
    <w:qFormat/>
    <w:uiPriority w:val="0"/>
    <w:rPr>
      <w:color w:val="07519A"/>
      <w:u w:val="none"/>
    </w:rPr>
  </w:style>
  <w:style w:type="character" w:styleId="33">
    <w:name w:val="annotation reference"/>
    <w:basedOn w:val="28"/>
    <w:semiHidden/>
    <w:qFormat/>
    <w:uiPriority w:val="0"/>
    <w:rPr>
      <w:sz w:val="21"/>
    </w:rPr>
  </w:style>
  <w:style w:type="character" w:styleId="34">
    <w:name w:val="footnote reference"/>
    <w:qFormat/>
    <w:uiPriority w:val="0"/>
    <w:rPr>
      <w:vertAlign w:val="superscript"/>
    </w:rPr>
  </w:style>
  <w:style w:type="table" w:styleId="36">
    <w:name w:val="Table Grid"/>
    <w:basedOn w:val="35"/>
    <w:qFormat/>
    <w:uiPriority w:val="5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7">
    <w:name w:val="2"/>
    <w:basedOn w:val="1"/>
    <w:next w:val="6"/>
    <w:qFormat/>
    <w:uiPriority w:val="0"/>
    <w:pPr>
      <w:spacing w:line="480" w:lineRule="exact"/>
      <w:ind w:firstLine="420"/>
    </w:pPr>
    <w:rPr>
      <w:sz w:val="28"/>
    </w:rPr>
  </w:style>
  <w:style w:type="paragraph" w:customStyle="1" w:styleId="38">
    <w:name w:val="样式2"/>
    <w:basedOn w:val="1"/>
    <w:qFormat/>
    <w:uiPriority w:val="0"/>
    <w:pPr>
      <w:autoSpaceDE w:val="0"/>
      <w:autoSpaceDN w:val="0"/>
      <w:adjustRightInd w:val="0"/>
      <w:spacing w:line="500" w:lineRule="exact"/>
      <w:jc w:val="left"/>
    </w:pPr>
    <w:rPr>
      <w:rFonts w:ascii="宋体"/>
      <w:kern w:val="0"/>
      <w:sz w:val="26"/>
    </w:rPr>
  </w:style>
  <w:style w:type="paragraph" w:customStyle="1" w:styleId="39">
    <w:name w:val="列出段落1"/>
    <w:basedOn w:val="1"/>
    <w:qFormat/>
    <w:uiPriority w:val="34"/>
    <w:pPr>
      <w:ind w:firstLine="420" w:firstLineChars="200"/>
    </w:pPr>
  </w:style>
  <w:style w:type="paragraph" w:customStyle="1" w:styleId="40">
    <w:name w:val="！正文"/>
    <w:basedOn w:val="1"/>
    <w:link w:val="87"/>
    <w:qFormat/>
    <w:uiPriority w:val="0"/>
    <w:pPr>
      <w:adjustRightInd w:val="0"/>
      <w:snapToGrid w:val="0"/>
      <w:ind w:firstLine="560" w:firstLineChars="200"/>
    </w:pPr>
    <w:rPr>
      <w:rFonts w:ascii="宋体" w:hAnsi="宋体"/>
      <w:bCs/>
      <w:kern w:val="0"/>
      <w:sz w:val="28"/>
      <w:szCs w:val="28"/>
    </w:rPr>
  </w:style>
  <w:style w:type="paragraph" w:customStyle="1" w:styleId="41">
    <w:name w:val="表格"/>
    <w:basedOn w:val="1"/>
    <w:link w:val="81"/>
    <w:qFormat/>
    <w:uiPriority w:val="0"/>
    <w:pPr>
      <w:adjustRightInd w:val="0"/>
      <w:snapToGrid w:val="0"/>
      <w:spacing w:before="100" w:beforeAutospacing="1" w:after="100" w:afterAutospacing="1" w:line="240" w:lineRule="atLeast"/>
      <w:jc w:val="center"/>
    </w:pPr>
    <w:rPr>
      <w:rFonts w:ascii="Arial" w:hAnsi="Arial" w:cs="Arial"/>
      <w:snapToGrid w:val="0"/>
      <w:kern w:val="0"/>
      <w:szCs w:val="21"/>
    </w:rPr>
  </w:style>
  <w:style w:type="paragraph" w:customStyle="1" w:styleId="42">
    <w:name w:val="Char"/>
    <w:basedOn w:val="1"/>
    <w:qFormat/>
    <w:uiPriority w:val="0"/>
    <w:pPr>
      <w:jc w:val="center"/>
    </w:pPr>
    <w:rPr>
      <w:sz w:val="28"/>
      <w:szCs w:val="28"/>
    </w:rPr>
  </w:style>
  <w:style w:type="paragraph" w:customStyle="1" w:styleId="43">
    <w:name w:val="pic-info"/>
    <w:basedOn w:val="1"/>
    <w:qFormat/>
    <w:uiPriority w:val="0"/>
    <w:pPr>
      <w:widowControl/>
      <w:spacing w:before="100" w:beforeAutospacing="1" w:after="100" w:afterAutospacing="1" w:line="240" w:lineRule="auto"/>
      <w:jc w:val="left"/>
    </w:pPr>
    <w:rPr>
      <w:rFonts w:ascii="宋体" w:hAnsi="宋体" w:cs="宋体"/>
      <w:kern w:val="0"/>
      <w:szCs w:val="24"/>
    </w:rPr>
  </w:style>
  <w:style w:type="paragraph" w:customStyle="1" w:styleId="44">
    <w:name w:val="图形中文字"/>
    <w:basedOn w:val="1"/>
    <w:qFormat/>
    <w:uiPriority w:val="0"/>
    <w:pPr>
      <w:autoSpaceDE w:val="0"/>
      <w:autoSpaceDN w:val="0"/>
      <w:adjustRightInd w:val="0"/>
      <w:spacing w:line="240" w:lineRule="auto"/>
      <w:jc w:val="center"/>
    </w:pPr>
    <w:rPr>
      <w:rFonts w:ascii="宋体"/>
      <w:kern w:val="0"/>
    </w:rPr>
  </w:style>
  <w:style w:type="paragraph" w:customStyle="1" w:styleId="45">
    <w:name w:val="马2"/>
    <w:basedOn w:val="1"/>
    <w:qFormat/>
    <w:uiPriority w:val="0"/>
    <w:pPr>
      <w:suppressLineNumbers/>
      <w:ind w:firstLine="541" w:firstLineChars="200"/>
    </w:pPr>
    <w:rPr>
      <w:rFonts w:ascii="宋体" w:hAnsi="宋体"/>
      <w:spacing w:val="6"/>
      <w:szCs w:val="28"/>
    </w:rPr>
  </w:style>
  <w:style w:type="paragraph" w:customStyle="1" w:styleId="46">
    <w:name w:val="p16"/>
    <w:basedOn w:val="1"/>
    <w:qFormat/>
    <w:uiPriority w:val="0"/>
    <w:pPr>
      <w:widowControl/>
      <w:spacing w:line="240" w:lineRule="auto"/>
      <w:ind w:firstLine="510"/>
    </w:pPr>
    <w:rPr>
      <w:kern w:val="0"/>
      <w:szCs w:val="24"/>
    </w:rPr>
  </w:style>
  <w:style w:type="paragraph" w:customStyle="1" w:styleId="47">
    <w:name w:val="简单回函地址"/>
    <w:basedOn w:val="1"/>
    <w:qFormat/>
    <w:uiPriority w:val="0"/>
    <w:pPr>
      <w:spacing w:line="240" w:lineRule="auto"/>
    </w:pPr>
    <w:rPr>
      <w:sz w:val="21"/>
    </w:rPr>
  </w:style>
  <w:style w:type="paragraph" w:customStyle="1" w:styleId="48">
    <w:name w:val="p0"/>
    <w:basedOn w:val="1"/>
    <w:qFormat/>
    <w:uiPriority w:val="0"/>
    <w:pPr>
      <w:widowControl/>
    </w:pPr>
    <w:rPr>
      <w:kern w:val="0"/>
      <w:sz w:val="21"/>
      <w:szCs w:val="21"/>
    </w:rPr>
  </w:style>
  <w:style w:type="paragraph" w:customStyle="1" w:styleId="49">
    <w:name w:val="Char1"/>
    <w:basedOn w:val="1"/>
    <w:qFormat/>
    <w:uiPriority w:val="0"/>
    <w:pPr>
      <w:jc w:val="center"/>
    </w:pPr>
    <w:rPr>
      <w:sz w:val="28"/>
      <w:szCs w:val="28"/>
    </w:rPr>
  </w:style>
  <w:style w:type="paragraph" w:customStyle="1" w:styleId="50">
    <w:name w:val="line2"/>
    <w:basedOn w:val="1"/>
    <w:qFormat/>
    <w:uiPriority w:val="0"/>
    <w:pPr>
      <w:widowControl/>
      <w:spacing w:before="100" w:beforeAutospacing="1" w:after="100" w:afterAutospacing="1" w:line="300" w:lineRule="atLeast"/>
      <w:jc w:val="left"/>
    </w:pPr>
    <w:rPr>
      <w:rFonts w:ascii="宋体" w:hAnsi="宋体" w:cs="宋体"/>
      <w:kern w:val="0"/>
      <w:szCs w:val="24"/>
    </w:rPr>
  </w:style>
  <w:style w:type="paragraph" w:customStyle="1" w:styleId="51">
    <w:name w:val="Char Char1 Char Char Char Char Char Char Char Char Char Char Char Char Char Char Char Char Char Char"/>
    <w:basedOn w:val="1"/>
    <w:qFormat/>
    <w:uiPriority w:val="0"/>
    <w:pPr>
      <w:widowControl/>
      <w:spacing w:after="160" w:line="240" w:lineRule="exact"/>
      <w:jc w:val="left"/>
    </w:pPr>
  </w:style>
  <w:style w:type="paragraph" w:customStyle="1" w:styleId="52">
    <w:name w:val="Char2"/>
    <w:basedOn w:val="1"/>
    <w:qFormat/>
    <w:uiPriority w:val="0"/>
    <w:pPr>
      <w:jc w:val="center"/>
    </w:pPr>
    <w:rPr>
      <w:sz w:val="28"/>
      <w:szCs w:val="28"/>
    </w:rPr>
  </w:style>
  <w:style w:type="paragraph" w:customStyle="1" w:styleId="53">
    <w:name w:val="xl31"/>
    <w:basedOn w:val="1"/>
    <w:qFormat/>
    <w:uiPriority w:val="0"/>
    <w:pPr>
      <w:widowControl/>
      <w:spacing w:before="100" w:beforeAutospacing="1" w:after="100" w:afterAutospacing="1" w:line="240" w:lineRule="auto"/>
      <w:jc w:val="center"/>
    </w:pPr>
    <w:rPr>
      <w:kern w:val="0"/>
      <w:szCs w:val="24"/>
    </w:rPr>
  </w:style>
  <w:style w:type="paragraph" w:customStyle="1" w:styleId="54">
    <w:name w:val="xl30"/>
    <w:basedOn w:val="1"/>
    <w:semiHidden/>
    <w:qFormat/>
    <w:uiPriority w:val="0"/>
    <w:pPr>
      <w:widowControl/>
      <w:pBdr>
        <w:right w:val="single" w:color="auto" w:sz="8" w:space="0"/>
      </w:pBdr>
      <w:spacing w:before="100" w:after="100" w:line="240" w:lineRule="auto"/>
      <w:jc w:val="center"/>
    </w:pPr>
    <w:rPr>
      <w:rFonts w:ascii="仿宋_GB2312" w:eastAsia="Arial Unicode MS"/>
      <w:kern w:val="0"/>
    </w:rPr>
  </w:style>
  <w:style w:type="paragraph" w:customStyle="1" w:styleId="55">
    <w:name w:val="默认段落字体 Para Char Char Char Char"/>
    <w:basedOn w:val="1"/>
    <w:qFormat/>
    <w:uiPriority w:val="0"/>
    <w:pPr>
      <w:spacing w:line="240" w:lineRule="auto"/>
    </w:pPr>
    <w:rPr>
      <w:sz w:val="21"/>
      <w:szCs w:val="24"/>
    </w:rPr>
  </w:style>
  <w:style w:type="paragraph" w:customStyle="1" w:styleId="56">
    <w:name w:val="Char Char Char Char"/>
    <w:basedOn w:val="1"/>
    <w:qFormat/>
    <w:uiPriority w:val="0"/>
    <w:pPr>
      <w:spacing w:before="120" w:after="120"/>
      <w:ind w:firstLine="420"/>
    </w:pPr>
    <w:rPr>
      <w:rFonts w:ascii="Tahoma" w:hAnsi="Tahoma"/>
      <w:sz w:val="28"/>
    </w:r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默认段落字体 Para Char Char Char Char Char Char Char Char Char Char Char Char Char Char Char Char Char"/>
    <w:basedOn w:val="1"/>
    <w:qFormat/>
    <w:uiPriority w:val="0"/>
    <w:pPr>
      <w:spacing w:line="240" w:lineRule="auto"/>
    </w:pPr>
    <w:rPr>
      <w:rFonts w:ascii="Tahoma" w:hAnsi="Tahoma"/>
    </w:rPr>
  </w:style>
  <w:style w:type="character" w:customStyle="1" w:styleId="59">
    <w:name w:val="批注框文本 Char"/>
    <w:basedOn w:val="28"/>
    <w:link w:val="21"/>
    <w:semiHidden/>
    <w:qFormat/>
    <w:uiPriority w:val="0"/>
    <w:rPr>
      <w:rFonts w:ascii="Times New Roman" w:hAnsi="Times New Roman" w:eastAsia="宋体" w:cs="Times New Roman"/>
      <w:sz w:val="18"/>
      <w:szCs w:val="18"/>
    </w:rPr>
  </w:style>
  <w:style w:type="character" w:customStyle="1" w:styleId="60">
    <w:name w:val="标题 5 Char"/>
    <w:basedOn w:val="28"/>
    <w:link w:val="7"/>
    <w:qFormat/>
    <w:uiPriority w:val="0"/>
    <w:rPr>
      <w:rFonts w:ascii="Times New Roman" w:hAnsi="Times New Roman" w:eastAsia="宋体" w:cs="Times New Roman"/>
      <w:b/>
      <w:sz w:val="28"/>
      <w:szCs w:val="20"/>
    </w:rPr>
  </w:style>
  <w:style w:type="character" w:customStyle="1" w:styleId="61">
    <w:name w:val="标题 6 Char"/>
    <w:basedOn w:val="28"/>
    <w:link w:val="8"/>
    <w:qFormat/>
    <w:uiPriority w:val="0"/>
    <w:rPr>
      <w:rFonts w:ascii="Arial" w:hAnsi="Arial" w:eastAsia="黑体" w:cs="Times New Roman"/>
      <w:b/>
      <w:sz w:val="24"/>
      <w:szCs w:val="20"/>
    </w:rPr>
  </w:style>
  <w:style w:type="character" w:customStyle="1" w:styleId="62">
    <w:name w:val="style11"/>
    <w:basedOn w:val="28"/>
    <w:qFormat/>
    <w:uiPriority w:val="0"/>
    <w:rPr>
      <w:color w:val="000000"/>
    </w:rPr>
  </w:style>
  <w:style w:type="character" w:customStyle="1" w:styleId="63">
    <w:name w:val="headline-content2"/>
    <w:basedOn w:val="28"/>
    <w:qFormat/>
    <w:uiPriority w:val="0"/>
  </w:style>
  <w:style w:type="character" w:customStyle="1" w:styleId="64">
    <w:name w:val="标题 7 Char"/>
    <w:basedOn w:val="28"/>
    <w:link w:val="9"/>
    <w:qFormat/>
    <w:uiPriority w:val="0"/>
    <w:rPr>
      <w:rFonts w:ascii="Times New Roman" w:hAnsi="Times New Roman" w:eastAsia="宋体" w:cs="Times New Roman"/>
      <w:b/>
      <w:sz w:val="24"/>
      <w:szCs w:val="20"/>
    </w:rPr>
  </w:style>
  <w:style w:type="character" w:customStyle="1" w:styleId="65">
    <w:name w:val="日期 Char"/>
    <w:basedOn w:val="28"/>
    <w:link w:val="19"/>
    <w:qFormat/>
    <w:uiPriority w:val="0"/>
    <w:rPr>
      <w:rFonts w:ascii="Times New Roman" w:hAnsi="Times New Roman" w:eastAsia="黑体" w:cs="Times New Roman"/>
      <w:b/>
      <w:sz w:val="36"/>
      <w:szCs w:val="20"/>
    </w:rPr>
  </w:style>
  <w:style w:type="character" w:customStyle="1" w:styleId="66">
    <w:name w:val="标题 4 Char"/>
    <w:basedOn w:val="28"/>
    <w:link w:val="5"/>
    <w:qFormat/>
    <w:uiPriority w:val="0"/>
    <w:rPr>
      <w:rFonts w:ascii="宋体" w:hAnsi="Times New Roman" w:eastAsia="宋体" w:cs="Times New Roman"/>
      <w:sz w:val="28"/>
      <w:szCs w:val="20"/>
    </w:rPr>
  </w:style>
  <w:style w:type="character" w:customStyle="1" w:styleId="67">
    <w:name w:val="页眉 Char"/>
    <w:basedOn w:val="28"/>
    <w:link w:val="23"/>
    <w:semiHidden/>
    <w:qFormat/>
    <w:uiPriority w:val="99"/>
    <w:rPr>
      <w:sz w:val="18"/>
      <w:szCs w:val="18"/>
    </w:rPr>
  </w:style>
  <w:style w:type="character" w:customStyle="1" w:styleId="68">
    <w:name w:val="style31"/>
    <w:basedOn w:val="28"/>
    <w:qFormat/>
    <w:uiPriority w:val="0"/>
    <w:rPr>
      <w:color w:val="0000FF"/>
    </w:rPr>
  </w:style>
  <w:style w:type="character" w:customStyle="1" w:styleId="69">
    <w:name w:val="标题 3 Char"/>
    <w:basedOn w:val="28"/>
    <w:qFormat/>
    <w:uiPriority w:val="0"/>
    <w:rPr>
      <w:rFonts w:ascii="Times New Roman" w:hAnsi="Times New Roman" w:eastAsia="宋体" w:cs="Times New Roman"/>
      <w:b/>
      <w:bCs/>
      <w:sz w:val="32"/>
      <w:szCs w:val="32"/>
    </w:rPr>
  </w:style>
  <w:style w:type="character" w:customStyle="1" w:styleId="70">
    <w:name w:val="正文首行缩进 Char"/>
    <w:basedOn w:val="71"/>
    <w:link w:val="12"/>
    <w:qFormat/>
    <w:uiPriority w:val="0"/>
    <w:rPr>
      <w:rFonts w:ascii="Times New Roman" w:hAnsi="Times New Roman" w:eastAsia="宋体" w:cs="Times New Roman"/>
      <w:sz w:val="24"/>
      <w:szCs w:val="20"/>
    </w:rPr>
  </w:style>
  <w:style w:type="character" w:customStyle="1" w:styleId="71">
    <w:name w:val="正文文本 Char"/>
    <w:basedOn w:val="28"/>
    <w:link w:val="13"/>
    <w:qFormat/>
    <w:uiPriority w:val="0"/>
    <w:rPr>
      <w:rFonts w:ascii="Times New Roman" w:hAnsi="Times New Roman" w:eastAsia="宋体" w:cs="Times New Roman"/>
      <w:b/>
      <w:bCs/>
      <w:sz w:val="24"/>
      <w:szCs w:val="20"/>
    </w:rPr>
  </w:style>
  <w:style w:type="character" w:customStyle="1" w:styleId="72">
    <w:name w:val="标题 1 Char"/>
    <w:basedOn w:val="28"/>
    <w:link w:val="2"/>
    <w:qFormat/>
    <w:uiPriority w:val="0"/>
    <w:rPr>
      <w:rFonts w:ascii="Times New Roman" w:hAnsi="Times New Roman" w:eastAsia="宋体" w:cs="Times New Roman"/>
      <w:b/>
      <w:kern w:val="44"/>
      <w:sz w:val="32"/>
      <w:szCs w:val="20"/>
    </w:rPr>
  </w:style>
  <w:style w:type="character" w:customStyle="1" w:styleId="73">
    <w:name w:val="标题 9 Char"/>
    <w:basedOn w:val="28"/>
    <w:link w:val="11"/>
    <w:qFormat/>
    <w:uiPriority w:val="0"/>
    <w:rPr>
      <w:rFonts w:ascii="Arial" w:hAnsi="Arial" w:eastAsia="黑体" w:cs="Times New Roman"/>
      <w:sz w:val="28"/>
      <w:szCs w:val="20"/>
    </w:rPr>
  </w:style>
  <w:style w:type="character" w:customStyle="1" w:styleId="74">
    <w:name w:val="页脚 Char"/>
    <w:basedOn w:val="28"/>
    <w:link w:val="22"/>
    <w:qFormat/>
    <w:uiPriority w:val="99"/>
    <w:rPr>
      <w:sz w:val="18"/>
      <w:szCs w:val="18"/>
    </w:rPr>
  </w:style>
  <w:style w:type="character" w:customStyle="1" w:styleId="75">
    <w:name w:val="正文文本缩进 Char"/>
    <w:basedOn w:val="28"/>
    <w:link w:val="17"/>
    <w:qFormat/>
    <w:uiPriority w:val="0"/>
    <w:rPr>
      <w:rFonts w:ascii="Times New Roman" w:hAnsi="Times New Roman" w:eastAsia="宋体" w:cs="Times New Roman"/>
      <w:sz w:val="24"/>
      <w:szCs w:val="20"/>
    </w:rPr>
  </w:style>
  <w:style w:type="character" w:customStyle="1" w:styleId="76">
    <w:name w:val="标题 2 Char"/>
    <w:basedOn w:val="28"/>
    <w:link w:val="3"/>
    <w:qFormat/>
    <w:uiPriority w:val="0"/>
    <w:rPr>
      <w:rFonts w:ascii="Times New Roman" w:hAnsi="Times New Roman" w:eastAsia="黑体" w:cs="Times New Roman"/>
      <w:b/>
      <w:bCs/>
      <w:sz w:val="30"/>
      <w:szCs w:val="32"/>
    </w:rPr>
  </w:style>
  <w:style w:type="character" w:customStyle="1" w:styleId="77">
    <w:name w:val="正文文本缩进 3 Char"/>
    <w:basedOn w:val="28"/>
    <w:link w:val="24"/>
    <w:qFormat/>
    <w:uiPriority w:val="0"/>
    <w:rPr>
      <w:rFonts w:ascii="Times New Roman" w:hAnsi="Times New Roman" w:eastAsia="宋体" w:cs="Times New Roman"/>
      <w:szCs w:val="20"/>
    </w:rPr>
  </w:style>
  <w:style w:type="character" w:customStyle="1" w:styleId="78">
    <w:name w:val="标题 8 Char"/>
    <w:basedOn w:val="28"/>
    <w:link w:val="10"/>
    <w:qFormat/>
    <w:uiPriority w:val="0"/>
    <w:rPr>
      <w:rFonts w:ascii="Arial" w:hAnsi="Arial" w:eastAsia="黑体" w:cs="Times New Roman"/>
      <w:sz w:val="24"/>
      <w:szCs w:val="20"/>
    </w:rPr>
  </w:style>
  <w:style w:type="character" w:customStyle="1" w:styleId="79">
    <w:name w:val="正文文本 2 Char"/>
    <w:basedOn w:val="28"/>
    <w:link w:val="25"/>
    <w:qFormat/>
    <w:uiPriority w:val="0"/>
    <w:rPr>
      <w:rFonts w:ascii="Times New Roman" w:hAnsi="Times New Roman" w:eastAsia="宋体" w:cs="Times New Roman"/>
      <w:szCs w:val="20"/>
    </w:rPr>
  </w:style>
  <w:style w:type="character" w:customStyle="1" w:styleId="80">
    <w:name w:val="正文文本缩进 2 Char"/>
    <w:basedOn w:val="28"/>
    <w:link w:val="20"/>
    <w:qFormat/>
    <w:uiPriority w:val="0"/>
    <w:rPr>
      <w:rFonts w:ascii="Times New Roman" w:hAnsi="Times New Roman" w:eastAsia="宋体" w:cs="Times New Roman"/>
      <w:szCs w:val="20"/>
    </w:rPr>
  </w:style>
  <w:style w:type="character" w:customStyle="1" w:styleId="81">
    <w:name w:val="表格 Char"/>
    <w:basedOn w:val="28"/>
    <w:link w:val="41"/>
    <w:qFormat/>
    <w:uiPriority w:val="0"/>
    <w:rPr>
      <w:rFonts w:ascii="Arial" w:hAnsi="Arial" w:eastAsia="宋体" w:cs="Arial"/>
      <w:snapToGrid w:val="0"/>
      <w:kern w:val="0"/>
      <w:sz w:val="24"/>
      <w:szCs w:val="21"/>
    </w:rPr>
  </w:style>
  <w:style w:type="character" w:customStyle="1" w:styleId="82">
    <w:name w:val="纯文本 Char"/>
    <w:basedOn w:val="28"/>
    <w:link w:val="18"/>
    <w:qFormat/>
    <w:uiPriority w:val="0"/>
    <w:rPr>
      <w:rFonts w:ascii="宋体" w:hAnsi="Courier New" w:eastAsia="宋体" w:cs="Times New Roman"/>
      <w:szCs w:val="20"/>
    </w:rPr>
  </w:style>
  <w:style w:type="character" w:customStyle="1" w:styleId="83">
    <w:name w:val="标题 3 Char1"/>
    <w:basedOn w:val="28"/>
    <w:link w:val="4"/>
    <w:qFormat/>
    <w:uiPriority w:val="0"/>
    <w:rPr>
      <w:rFonts w:ascii="Times New Roman" w:hAnsi="Times New Roman" w:eastAsia="宋体" w:cs="Times New Roman"/>
      <w:b/>
      <w:bCs/>
      <w:sz w:val="32"/>
      <w:szCs w:val="32"/>
    </w:rPr>
  </w:style>
  <w:style w:type="character" w:customStyle="1" w:styleId="84">
    <w:name w:val="文档结构图 Char"/>
    <w:basedOn w:val="28"/>
    <w:link w:val="14"/>
    <w:semiHidden/>
    <w:qFormat/>
    <w:uiPriority w:val="0"/>
    <w:rPr>
      <w:rFonts w:ascii="Times New Roman" w:hAnsi="Times New Roman" w:eastAsia="宋体" w:cs="Times New Roman"/>
      <w:sz w:val="24"/>
      <w:szCs w:val="20"/>
      <w:shd w:val="clear" w:color="auto" w:fill="000080"/>
    </w:rPr>
  </w:style>
  <w:style w:type="character" w:customStyle="1" w:styleId="85">
    <w:name w:val="正文文本 3 Char"/>
    <w:basedOn w:val="28"/>
    <w:link w:val="16"/>
    <w:qFormat/>
    <w:uiPriority w:val="0"/>
    <w:rPr>
      <w:rFonts w:ascii="Times New Roman" w:hAnsi="Times New Roman" w:eastAsia="宋体" w:cs="Times New Roman"/>
      <w:sz w:val="16"/>
      <w:szCs w:val="16"/>
    </w:rPr>
  </w:style>
  <w:style w:type="character" w:customStyle="1" w:styleId="86">
    <w:name w:val="t1"/>
    <w:basedOn w:val="28"/>
    <w:qFormat/>
    <w:uiPriority w:val="0"/>
  </w:style>
  <w:style w:type="character" w:customStyle="1" w:styleId="87">
    <w:name w:val="！正文 Char"/>
    <w:basedOn w:val="28"/>
    <w:link w:val="40"/>
    <w:qFormat/>
    <w:uiPriority w:val="0"/>
    <w:rPr>
      <w:rFonts w:ascii="宋体" w:hAnsi="宋体"/>
      <w:bCs/>
      <w:sz w:val="28"/>
      <w:szCs w:val="28"/>
    </w:rPr>
  </w:style>
  <w:style w:type="paragraph" w:customStyle="1" w:styleId="88">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rPr>
  </w:style>
  <w:style w:type="character" w:customStyle="1" w:styleId="89">
    <w:name w:val="description"/>
    <w:basedOn w:val="28"/>
    <w:qFormat/>
    <w:uiPriority w:val="0"/>
  </w:style>
  <w:style w:type="character" w:customStyle="1" w:styleId="90">
    <w:name w:val="样式3 Char Char"/>
    <w:link w:val="91"/>
    <w:qFormat/>
    <w:uiPriority w:val="0"/>
    <w:rPr>
      <w:rFonts w:ascii="宋体" w:hAnsi="宋体"/>
      <w:sz w:val="24"/>
    </w:rPr>
  </w:style>
  <w:style w:type="paragraph" w:customStyle="1" w:styleId="91">
    <w:name w:val="样式3"/>
    <w:basedOn w:val="1"/>
    <w:link w:val="90"/>
    <w:qFormat/>
    <w:uiPriority w:val="0"/>
    <w:pPr>
      <w:spacing w:line="440" w:lineRule="exact"/>
      <w:jc w:val="center"/>
    </w:pPr>
    <w:rPr>
      <w:rFonts w:ascii="宋体" w:hAnsi="宋体"/>
      <w:kern w:val="0"/>
    </w:rPr>
  </w:style>
  <w:style w:type="character" w:customStyle="1" w:styleId="92">
    <w:name w:val="报告书正文 Char"/>
    <w:link w:val="93"/>
    <w:qFormat/>
    <w:uiPriority w:val="0"/>
    <w:rPr>
      <w:kern w:val="2"/>
      <w:sz w:val="28"/>
    </w:rPr>
  </w:style>
  <w:style w:type="paragraph" w:customStyle="1" w:styleId="93">
    <w:name w:val="报告书正文"/>
    <w:basedOn w:val="20"/>
    <w:link w:val="92"/>
    <w:qFormat/>
    <w:uiPriority w:val="0"/>
    <w:pPr>
      <w:adjustRightInd w:val="0"/>
      <w:snapToGrid w:val="0"/>
      <w:spacing w:line="500" w:lineRule="exact"/>
      <w:ind w:left="0" w:firstLine="200" w:firstLineChars="200"/>
    </w:pPr>
    <w:rPr>
      <w:sz w:val="28"/>
    </w:rPr>
  </w:style>
  <w:style w:type="character" w:customStyle="1" w:styleId="94">
    <w:name w:val="正文缩进 Char"/>
    <w:link w:val="6"/>
    <w:qFormat/>
    <w:uiPriority w:val="0"/>
    <w:rPr>
      <w:kern w:val="2"/>
      <w:sz w:val="21"/>
    </w:rPr>
  </w:style>
  <w:style w:type="paragraph" w:customStyle="1" w:styleId="95">
    <w:name w:val="Body Text 22"/>
    <w:basedOn w:val="1"/>
    <w:qFormat/>
    <w:uiPriority w:val="0"/>
    <w:pPr>
      <w:adjustRightInd w:val="0"/>
      <w:spacing w:line="440" w:lineRule="atLeast"/>
      <w:ind w:firstLine="480"/>
      <w:textAlignment w:val="baseline"/>
    </w:pPr>
    <w:rPr>
      <w:rFonts w:eastAsia="仿宋_GB2312"/>
    </w:rPr>
  </w:style>
  <w:style w:type="paragraph" w:customStyle="1" w:styleId="96">
    <w:name w:val="正文（首行缩进2字）"/>
    <w:basedOn w:val="1"/>
    <w:qFormat/>
    <w:uiPriority w:val="0"/>
    <w:pPr>
      <w:spacing w:line="500" w:lineRule="exact"/>
      <w:ind w:firstLine="552" w:firstLineChars="200"/>
    </w:pPr>
    <w:rPr>
      <w:spacing w:val="-2"/>
      <w:sz w:val="28"/>
      <w:szCs w:val="28"/>
    </w:rPr>
  </w:style>
  <w:style w:type="paragraph" w:customStyle="1" w:styleId="97">
    <w:name w:val="p15"/>
    <w:basedOn w:val="1"/>
    <w:qFormat/>
    <w:uiPriority w:val="0"/>
    <w:pPr>
      <w:widowControl/>
      <w:snapToGrid w:val="0"/>
      <w:spacing w:line="240" w:lineRule="auto"/>
      <w:jc w:val="center"/>
    </w:pPr>
    <w:rPr>
      <w:kern w:val="0"/>
      <w:sz w:val="22"/>
      <w:szCs w:val="22"/>
    </w:rPr>
  </w:style>
  <w:style w:type="character" w:customStyle="1" w:styleId="98">
    <w:name w:val="批注文字 Char"/>
    <w:basedOn w:val="28"/>
    <w:link w:val="15"/>
    <w:semiHidden/>
    <w:qFormat/>
    <w:uiPriority w:val="99"/>
    <w:rPr>
      <w:kern w:val="2"/>
      <w:sz w:val="21"/>
      <w:szCs w:val="24"/>
    </w:rPr>
  </w:style>
  <w:style w:type="character" w:customStyle="1" w:styleId="99">
    <w:name w:val="批注文字 Char1"/>
    <w:basedOn w:val="28"/>
    <w:semiHidden/>
    <w:qFormat/>
    <w:uiPriority w:val="0"/>
    <w:rPr>
      <w:kern w:val="2"/>
      <w:sz w:val="24"/>
    </w:rPr>
  </w:style>
  <w:style w:type="paragraph" w:customStyle="1" w:styleId="100">
    <w:name w:val="Char11"/>
    <w:basedOn w:val="1"/>
    <w:semiHidden/>
    <w:qFormat/>
    <w:uiPriority w:val="0"/>
    <w:pPr>
      <w:spacing w:line="240" w:lineRule="auto"/>
      <w:ind w:left="510"/>
    </w:pPr>
    <w:rPr>
      <w:sz w:val="21"/>
      <w:szCs w:val="21"/>
    </w:rPr>
  </w:style>
  <w:style w:type="paragraph" w:customStyle="1" w:styleId="101">
    <w:name w:val="表内格式"/>
    <w:basedOn w:val="1"/>
    <w:qFormat/>
    <w:uiPriority w:val="0"/>
    <w:pPr>
      <w:spacing w:line="240" w:lineRule="auto"/>
      <w:jc w:val="center"/>
    </w:pPr>
    <w:rPr>
      <w:rFonts w:eastAsia="楷体_GB2312"/>
      <w:sz w:val="18"/>
      <w:szCs w:val="18"/>
    </w:rPr>
  </w:style>
  <w:style w:type="character" w:customStyle="1" w:styleId="102">
    <w:name w:val="纯文本 Char2"/>
    <w:qFormat/>
    <w:uiPriority w:val="0"/>
    <w:rPr>
      <w:rFonts w:ascii="宋体" w:hAnsi="Courier New"/>
      <w:kern w:val="2"/>
      <w:sz w:val="21"/>
    </w:rPr>
  </w:style>
  <w:style w:type="paragraph" w:customStyle="1" w:styleId="103">
    <w:name w:val="List Paragraph"/>
    <w:basedOn w:val="1"/>
    <w:unhideWhenUsed/>
    <w:qFormat/>
    <w:uiPriority w:val="99"/>
    <w:pPr>
      <w:ind w:firstLine="420" w:firstLineChars="200"/>
    </w:pPr>
  </w:style>
  <w:style w:type="paragraph" w:customStyle="1" w:styleId="104">
    <w:name w:val="Char12"/>
    <w:basedOn w:val="1"/>
    <w:semiHidden/>
    <w:qFormat/>
    <w:uiPriority w:val="0"/>
    <w:pPr>
      <w:spacing w:line="240" w:lineRule="auto"/>
      <w:ind w:left="510"/>
    </w:pPr>
    <w:rPr>
      <w:sz w:val="21"/>
      <w:szCs w:val="21"/>
    </w:rPr>
  </w:style>
  <w:style w:type="paragraph" w:customStyle="1" w:styleId="105">
    <w:name w:val="Char3"/>
    <w:basedOn w:val="1"/>
    <w:qFormat/>
    <w:uiPriority w:val="0"/>
    <w:pPr>
      <w:jc w:val="center"/>
    </w:pPr>
    <w:rPr>
      <w:sz w:val="28"/>
      <w:szCs w:val="28"/>
    </w:rPr>
  </w:style>
  <w:style w:type="paragraph" w:customStyle="1" w:styleId="106">
    <w:name w:val="正文文本缩进1"/>
    <w:basedOn w:val="1"/>
    <w:qFormat/>
    <w:uiPriority w:val="0"/>
    <w:pPr>
      <w:spacing w:after="120" w:line="240" w:lineRule="auto"/>
      <w:ind w:left="420" w:leftChars="200"/>
    </w:pPr>
    <w:rPr>
      <w:sz w:val="21"/>
      <w:szCs w:val="24"/>
    </w:rPr>
  </w:style>
  <w:style w:type="paragraph" w:customStyle="1" w:styleId="107">
    <w:name w:val="Char4"/>
    <w:basedOn w:val="1"/>
    <w:qFormat/>
    <w:uiPriority w:val="0"/>
    <w:pPr>
      <w:jc w:val="center"/>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e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chart" Target="charts/chart4.xml"/><Relationship Id="rId27" Type="http://schemas.openxmlformats.org/officeDocument/2006/relationships/chart" Target="charts/chart3.xml"/><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4.wmf"/><Relationship Id="rId23" Type="http://schemas.openxmlformats.org/officeDocument/2006/relationships/oleObject" Target="embeddings/oleObject6.bin"/><Relationship Id="rId22" Type="http://schemas.openxmlformats.org/officeDocument/2006/relationships/image" Target="media/image13.wmf"/><Relationship Id="rId21" Type="http://schemas.openxmlformats.org/officeDocument/2006/relationships/oleObject" Target="embeddings/oleObject5.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6519;&#26790;&#23071;\1%20&#29615;&#35780;&#39033;&#30446;\2017&#24180;&#39033;&#30446;\23%20&#24120;&#24503;&#24066;&#40718;&#22478;&#21306;&#24191;&#25773;&#30005;&#35270;&#21488;\&#24120;&#24503;&#24066;&#40718;&#22478;&#21306;&#24191;&#25773;&#30005;&#35270;&#21488;-&#20845;&#23618;&#22235;&#38754;&#22825;&#32447;-&#20250;&#21518;&#2591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6519;&#26790;&#23071;\1%20&#29615;&#35780;&#39033;&#30446;\2017&#24180;&#39033;&#30446;\23%20&#24120;&#24503;&#24066;&#40718;&#22478;&#21306;&#24191;&#25773;&#30005;&#35270;&#21488;\&#24120;&#24503;&#24066;&#40718;&#22478;&#21306;&#24191;&#25773;&#30005;&#35270;&#21488;-&#20845;&#23618;&#22235;&#38754;&#22825;&#32447;-&#20250;&#21518;&#2591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6519;&#26790;&#23071;\1%20&#29615;&#35780;&#39033;&#30446;\2017&#24180;&#39033;&#30446;\23%20&#24120;&#24503;&#24066;&#40718;&#22478;&#21306;&#24191;&#25773;&#30005;&#35270;&#21488;\&#24120;&#24503;&#24066;&#40718;&#22478;&#21306;&#24191;&#25773;&#30005;&#35270;&#21488;-&#20845;&#23618;&#22235;&#38754;&#22825;&#32447;-&#20250;&#21518;&#2591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26519;&#26790;&#23071;\1%20&#29615;&#35780;&#39033;&#30446;\2017&#24180;&#39033;&#30446;\23%20&#24120;&#24503;&#24066;&#40718;&#22478;&#21306;&#24191;&#25773;&#30005;&#35270;&#21488;\&#24120;&#24503;&#24066;&#40718;&#22478;&#21306;&#24191;&#25773;&#30005;&#35270;&#21488;-&#20845;&#23618;&#22235;&#38754;&#22825;&#32447;-&#20250;&#21518;&#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05794740516"/>
          <c:y val="0.0558835781551973"/>
          <c:w val="0.728054456597626"/>
          <c:h val="0.827301587301587"/>
        </c:manualLayout>
      </c:layout>
      <c:scatterChart>
        <c:scatterStyle val="smoothMarker"/>
        <c:varyColors val="0"/>
        <c:ser>
          <c:idx val="0"/>
          <c:order val="0"/>
          <c:tx>
            <c:strRef>
              <c:f>'[常德市鼎城区广播电视台-六层四面天线-会后改.xlsx]Sheet2'!$A$7</c:f>
              <c:strCache>
                <c:ptCount val="1"/>
                <c:pt idx="0">
                  <c:v>-50</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'[常德市鼎城区广播电视台-六层四面天线-会后改.xlsx]Sheet2'!$B$7:$P$7</c:f>
              <c:numCache>
                <c:formatCode>0.00_ </c:formatCode>
                <c:ptCount val="15"/>
                <c:pt idx="0">
                  <c:v>5.75427561733599e-6</c:v>
                </c:pt>
                <c:pt idx="1">
                  <c:v>4.60927174143604e-5</c:v>
                </c:pt>
                <c:pt idx="2">
                  <c:v>0.000446159412882789</c:v>
                </c:pt>
                <c:pt idx="3">
                  <c:v>0.00198396898962682</c:v>
                </c:pt>
                <c:pt idx="4">
                  <c:v>0.0133945403096883</c:v>
                </c:pt>
                <c:pt idx="5">
                  <c:v>0.0718844394716939</c:v>
                </c:pt>
                <c:pt idx="6">
                  <c:v>0.149443143064434</c:v>
                </c:pt>
                <c:pt idx="7">
                  <c:v>0.466272172613358</c:v>
                </c:pt>
                <c:pt idx="8">
                  <c:v>0.849477383105193</c:v>
                </c:pt>
                <c:pt idx="9">
                  <c:v>1.03086434413669</c:v>
                </c:pt>
                <c:pt idx="10">
                  <c:v>1.03736517256996</c:v>
                </c:pt>
                <c:pt idx="11">
                  <c:v>1.17570299938038</c:v>
                </c:pt>
                <c:pt idx="12">
                  <c:v>1.39933480025898</c:v>
                </c:pt>
                <c:pt idx="13">
                  <c:v>1.58483483545985</c:v>
                </c:pt>
                <c:pt idx="14">
                  <c:v>1.5734289817443</c:v>
                </c:pt>
              </c:numCache>
            </c:numRef>
          </c:yVal>
          <c:smooth val="1"/>
        </c:ser>
        <c:ser>
          <c:idx val="1"/>
          <c:order val="1"/>
          <c:tx>
            <c:strRef>
              <c:f>'[常德市鼎城区广播电视台-六层四面天线-会后改.xlsx]Sheet2'!$A$8</c:f>
              <c:strCache>
                <c:ptCount val="1"/>
                <c:pt idx="0">
                  <c:v>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'[常德市鼎城区广播电视台-六层四面天线-会后改.xlsx]Sheet2'!$B$8:$P$8</c:f>
              <c:numCache>
                <c:formatCode>0.00_ </c:formatCode>
                <c:ptCount val="15"/>
                <c:pt idx="0">
                  <c:v>9.98994953312132e-6</c:v>
                </c:pt>
                <c:pt idx="1">
                  <c:v>0.000147723764219943</c:v>
                </c:pt>
                <c:pt idx="2">
                  <c:v>0.0017052818379571</c:v>
                </c:pt>
                <c:pt idx="3">
                  <c:v>0.00777726732655357</c:v>
                </c:pt>
                <c:pt idx="4">
                  <c:v>0.0507977884339205</c:v>
                </c:pt>
                <c:pt idx="5">
                  <c:v>0.243318770559783</c:v>
                </c:pt>
                <c:pt idx="6">
                  <c:v>0.460892003791659</c:v>
                </c:pt>
                <c:pt idx="7">
                  <c:v>1.13263651080692</c:v>
                </c:pt>
                <c:pt idx="8">
                  <c:v>1.68260388349812</c:v>
                </c:pt>
                <c:pt idx="9">
                  <c:v>1.87186671097062</c:v>
                </c:pt>
                <c:pt idx="10">
                  <c:v>1.87786282436185</c:v>
                </c:pt>
                <c:pt idx="11">
                  <c:v>1.99210143186411</c:v>
                </c:pt>
                <c:pt idx="12">
                  <c:v>2.11311311394647</c:v>
                </c:pt>
                <c:pt idx="13">
                  <c:v>2.06548455142601</c:v>
                </c:pt>
                <c:pt idx="14">
                  <c:v>1.88655448375413</c:v>
                </c:pt>
              </c:numCache>
            </c:numRef>
          </c:yVal>
          <c:smooth val="1"/>
        </c:ser>
        <c:ser>
          <c:idx val="2"/>
          <c:order val="2"/>
          <c:tx>
            <c:strRef>
              <c:f>'[常德市鼎城区广播电视台-六层四面天线-会后改.xlsx]Sheet2'!$A$9</c:f>
              <c:strCache>
                <c:ptCount val="1"/>
                <c:pt idx="0">
                  <c:v>50</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'[常德市鼎城区广播电视台-六层四面天线-会后改.xlsx]Sheet2'!$B$9:$P$9</c:f>
              <c:numCache>
                <c:formatCode>0.00_ </c:formatCode>
                <c:ptCount val="15"/>
                <c:pt idx="0">
                  <c:v>2.74321802763748e-5</c:v>
                </c:pt>
                <c:pt idx="1">
                  <c:v>0.000892318825765578</c:v>
                </c:pt>
                <c:pt idx="2">
                  <c:v>0.0116659009898304</c:v>
                </c:pt>
                <c:pt idx="3">
                  <c:v>0.0522176435004968</c:v>
                </c:pt>
                <c:pt idx="4">
                  <c:v>0.298886286128868</c:v>
                </c:pt>
                <c:pt idx="5">
                  <c:v>1.08498793736356</c:v>
                </c:pt>
                <c:pt idx="6">
                  <c:v>1.69895476621039</c:v>
                </c:pt>
                <c:pt idx="7">
                  <c:v>2.79866960051797</c:v>
                </c:pt>
                <c:pt idx="8">
                  <c:v>3.16966967091971</c:v>
                </c:pt>
                <c:pt idx="9">
                  <c:v>3.18763767671789</c:v>
                </c:pt>
                <c:pt idx="10">
                  <c:v>3.18684484968319</c:v>
                </c:pt>
                <c:pt idx="11">
                  <c:v>3.14685796348861</c:v>
                </c:pt>
                <c:pt idx="12">
                  <c:v>2.97272003224741</c:v>
                </c:pt>
                <c:pt idx="13">
                  <c:v>2.54176692453459</c:v>
                </c:pt>
                <c:pt idx="14">
                  <c:v>2.16564191817804</c:v>
                </c:pt>
              </c:numCache>
            </c:numRef>
          </c:yVal>
          <c:smooth val="1"/>
        </c:ser>
        <c:ser>
          <c:idx val="3"/>
          <c:order val="3"/>
          <c:tx>
            <c:strRef>
              <c:f>'[常德市鼎城区广播电视台-六层四面天线-会后改.xlsx]Sheet2'!$A$10</c:f>
              <c:strCache>
                <c:ptCount val="1"/>
                <c:pt idx="0">
                  <c:v>91</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'[常德市鼎城区广播电视台-六层四面天线-会后改.xlsx]Sheet2'!$B$10:$P$10</c:f>
              <c:numCache>
                <c:formatCode>0.00_ </c:formatCode>
                <c:ptCount val="15"/>
                <c:pt idx="0">
                  <c:v>0.000163911842483155</c:v>
                </c:pt>
                <c:pt idx="1">
                  <c:v>0.0106285504699909</c:v>
                </c:pt>
                <c:pt idx="2">
                  <c:v>0.137080709776543</c:v>
                </c:pt>
                <c:pt idx="3">
                  <c:v>0.533947320559642</c:v>
                </c:pt>
                <c:pt idx="4">
                  <c:v>2.0884334062372</c:v>
                </c:pt>
                <c:pt idx="5">
                  <c:v>4.35013253053029</c:v>
                </c:pt>
                <c:pt idx="6">
                  <c:v>5.10647651437968</c:v>
                </c:pt>
                <c:pt idx="7">
                  <c:v>5.31484328298487</c:v>
                </c:pt>
                <c:pt idx="8">
                  <c:v>4.75429290723642</c:v>
                </c:pt>
                <c:pt idx="9">
                  <c:v>4.42911091268834</c:v>
                </c:pt>
                <c:pt idx="10">
                  <c:v>4.41687151729649</c:v>
                </c:pt>
                <c:pt idx="11">
                  <c:v>4.14437717872906</c:v>
                </c:pt>
                <c:pt idx="12">
                  <c:v>3.62296623719644</c:v>
                </c:pt>
                <c:pt idx="13">
                  <c:v>2.85222473779461</c:v>
                </c:pt>
                <c:pt idx="14">
                  <c:v>2.33429833246397</c:v>
                </c:pt>
              </c:numCache>
            </c:numRef>
          </c:yVal>
          <c:smooth val="1"/>
        </c:ser>
        <c:ser>
          <c:idx val="4"/>
          <c:order val="4"/>
          <c:tx>
            <c:strRef>
              <c:f>'[常德市鼎城区广播电视台-六层四面天线-会后改.xlsx]Sheet2'!$A$11</c:f>
              <c:strCache>
                <c:ptCount val="1"/>
                <c:pt idx="0">
                  <c:v>92</c:v>
                </c:pt>
              </c:strCache>
            </c:strRef>
          </c:tx>
          <c:spPr>
            <a:ln w="22225" cap="rnd">
              <a:solidFill>
                <a:schemeClr val="accent5"/>
              </a:solidFill>
              <a:round/>
            </a:ln>
            <a:effectLst/>
          </c:spPr>
          <c:marker>
            <c:symbol val="star"/>
            <c:size val="6"/>
            <c:spPr>
              <a:noFill/>
              <a:ln w="9525">
                <a:solidFill>
                  <a:schemeClr val="accent5"/>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'[常德市鼎城区广播电视台-六层四面天线-会后改.xlsx]Sheet2'!$B$11:$P$11</c:f>
              <c:numCache>
                <c:formatCode>0.00_ </c:formatCode>
                <c:ptCount val="15"/>
                <c:pt idx="0">
                  <c:v>0.000175142290962136</c:v>
                </c:pt>
                <c:pt idx="1">
                  <c:v>0.0115278605756176</c:v>
                </c:pt>
                <c:pt idx="2">
                  <c:v>0.148130951525374</c:v>
                </c:pt>
                <c:pt idx="3">
                  <c:v>0.572768631281041</c:v>
                </c:pt>
                <c:pt idx="4">
                  <c:v>2.20285193933633</c:v>
                </c:pt>
                <c:pt idx="5">
                  <c:v>4.49809612111777</c:v>
                </c:pt>
                <c:pt idx="6">
                  <c:v>5.23496378315684</c:v>
                </c:pt>
                <c:pt idx="7">
                  <c:v>5.38502100540324</c:v>
                </c:pt>
                <c:pt idx="8">
                  <c:v>4.79197634287178</c:v>
                </c:pt>
                <c:pt idx="9">
                  <c:v>4.45712768370504</c:v>
                </c:pt>
                <c:pt idx="10">
                  <c:v>4.44458199554993</c:v>
                </c:pt>
                <c:pt idx="11">
                  <c:v>4.16607360341534</c:v>
                </c:pt>
                <c:pt idx="12">
                  <c:v>3.6363703965396</c:v>
                </c:pt>
                <c:pt idx="13">
                  <c:v>2.85826665487946</c:v>
                </c:pt>
                <c:pt idx="14">
                  <c:v>2.33748937372691</c:v>
                </c:pt>
              </c:numCache>
            </c:numRef>
          </c:yVal>
          <c:smooth val="1"/>
        </c:ser>
        <c:ser>
          <c:idx val="5"/>
          <c:order val="5"/>
          <c:tx>
            <c:strRef>
              <c:f>'[常德市鼎城区广播电视台-六层四面天线-会后改.xlsx]Sheet2'!$A$12</c:f>
              <c:strCache>
                <c:ptCount val="1"/>
                <c:pt idx="0">
                  <c:v>100</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'[常德市鼎城区广播电视台-六层四面天线-会后改.xlsx]Sheet2'!$B$12:$P$12</c:f>
              <c:numCache>
                <c:formatCode>0.00_ </c:formatCode>
                <c:ptCount val="15"/>
                <c:pt idx="0">
                  <c:v>0.000317183482254753</c:v>
                </c:pt>
                <c:pt idx="1">
                  <c:v>0.0233318019796607</c:v>
                </c:pt>
                <c:pt idx="2">
                  <c:v>0.287537757886776</c:v>
                </c:pt>
                <c:pt idx="3">
                  <c:v>1.03376473679548</c:v>
                </c:pt>
                <c:pt idx="4">
                  <c:v>3.39790953242077</c:v>
                </c:pt>
                <c:pt idx="5">
                  <c:v>5.84344783593273</c:v>
                </c:pt>
                <c:pt idx="6">
                  <c:v>6.33933934183942</c:v>
                </c:pt>
                <c:pt idx="7">
                  <c:v>5.94544006449482</c:v>
                </c:pt>
                <c:pt idx="8">
                  <c:v>5.08353384906918</c:v>
                </c:pt>
                <c:pt idx="9">
                  <c:v>4.67184471774277</c:v>
                </c:pt>
                <c:pt idx="10">
                  <c:v>4.65688649801053</c:v>
                </c:pt>
                <c:pt idx="11">
                  <c:v>4.33128383635608</c:v>
                </c:pt>
                <c:pt idx="12">
                  <c:v>3.73751928999547</c:v>
                </c:pt>
                <c:pt idx="13">
                  <c:v>2.9034386272219</c:v>
                </c:pt>
                <c:pt idx="14">
                  <c:v>2.36124244575681</c:v>
                </c:pt>
              </c:numCache>
            </c:numRef>
          </c:yVal>
          <c:smooth val="1"/>
        </c:ser>
        <c:ser>
          <c:idx val="6"/>
          <c:order val="6"/>
          <c:tx>
            <c:strRef>
              <c:f>'[常德市鼎城区广播电视台-六层四面天线-会后改.xlsx]Sheet2'!$A$13</c:f>
              <c:strCache>
                <c:ptCount val="1"/>
                <c:pt idx="0">
                  <c:v>120</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'[常德市鼎城区广播电视台-六层四面天线-会后改.xlsx]Sheet2'!$B$13:$P$13</c:f>
              <c:numCache>
                <c:formatCode>0.00_ </c:formatCode>
                <c:ptCount val="15"/>
                <c:pt idx="0">
                  <c:v>0.00297439608588526</c:v>
                </c:pt>
                <c:pt idx="1">
                  <c:v>0.253988942169602</c:v>
                </c:pt>
                <c:pt idx="2">
                  <c:v>2.30446001895829</c:v>
                </c:pt>
                <c:pt idx="3">
                  <c:v>5.66318255403462</c:v>
                </c:pt>
                <c:pt idx="4">
                  <c:v>9.96050715932057</c:v>
                </c:pt>
                <c:pt idx="5">
                  <c:v>10.3274227571301</c:v>
                </c:pt>
                <c:pt idx="6">
                  <c:v>9.43277241877066</c:v>
                </c:pt>
                <c:pt idx="7">
                  <c:v>7.2188063939268</c:v>
                </c:pt>
                <c:pt idx="8">
                  <c:v>5.69219541127808</c:v>
                </c:pt>
                <c:pt idx="9">
                  <c:v>5.10907744119466</c:v>
                </c:pt>
                <c:pt idx="10">
                  <c:v>5.08886103855445</c:v>
                </c:pt>
                <c:pt idx="11">
                  <c:v>4.66211788140275</c:v>
                </c:pt>
                <c:pt idx="12">
                  <c:v>3.93540407626134</c:v>
                </c:pt>
                <c:pt idx="13">
                  <c:v>2.9897435033992</c:v>
                </c:pt>
                <c:pt idx="14">
                  <c:v>2.406122033212</c:v>
                </c:pt>
              </c:numCache>
            </c:numRef>
          </c:yVal>
          <c:smooth val="1"/>
        </c:ser>
        <c:ser>
          <c:idx val="7"/>
          <c:order val="7"/>
          <c:tx>
            <c:strRef>
              <c:f>'[常德市鼎城区广播电视台-六层四面天线-会后改.xlsx]Sheet2'!$A$14</c:f>
              <c:strCache>
                <c:ptCount val="1"/>
                <c:pt idx="0">
                  <c:v>149</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'[常德市鼎城区广播电视台-六层四面天线-会后改.xlsx]Sheet2'!$B$14:$P$14</c:f>
              <c:numCache>
                <c:formatCode>0.00_ </c:formatCode>
                <c:ptCount val="15"/>
                <c:pt idx="0">
                  <c:v>297.272003224741</c:v>
                </c:pt>
                <c:pt idx="1">
                  <c:v>118.06212228784</c:v>
                </c:pt>
                <c:pt idx="2">
                  <c:v>60.3488666986207</c:v>
                </c:pt>
                <c:pt idx="3">
                  <c:v>40.3982496099658</c:v>
                </c:pt>
                <c:pt idx="4">
                  <c:v>24.2900640417439</c:v>
                </c:pt>
                <c:pt idx="5">
                  <c:v>15.1922619191614</c:v>
                </c:pt>
                <c:pt idx="6">
                  <c:v>12.1558363653225</c:v>
                </c:pt>
                <c:pt idx="7">
                  <c:v>8.10522575534445</c:v>
                </c:pt>
                <c:pt idx="8">
                  <c:v>6.07926976740164</c:v>
                </c:pt>
                <c:pt idx="9">
                  <c:v>5.37997122310178</c:v>
                </c:pt>
                <c:pt idx="10">
                  <c:v>5.35627364267687</c:v>
                </c:pt>
                <c:pt idx="11">
                  <c:v>4.86354558847181</c:v>
                </c:pt>
                <c:pt idx="12">
                  <c:v>4.05301340441912</c:v>
                </c:pt>
                <c:pt idx="13">
                  <c:v>3.03980386436841</c:v>
                </c:pt>
                <c:pt idx="14">
                  <c:v>2.43185931433943</c:v>
                </c:pt>
              </c:numCache>
            </c:numRef>
          </c:yVal>
          <c:smooth val="1"/>
        </c:ser>
        <c:ser>
          <c:idx val="8"/>
          <c:order val="8"/>
          <c:tx>
            <c:strRef>
              <c:f>'[常德市鼎城区广播电视台-六层四面天线-会后改.xlsx]Sheet2'!$A$15</c:f>
              <c:strCache>
                <c:ptCount val="1"/>
                <c:pt idx="0">
                  <c:v>151</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dLbls>
            <c:delete val="1"/>
          </c:dLbls>
          <c:xVal>
            <c:numRef>
              <c:f>'[常德市鼎城区广播电视台-六层四面天线-会后改.xlsx]Sheet2'!$B$6:$P$6</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'[常德市鼎城区广播电视台-六层四面天线-会后改.xlsx]Sheet2'!$B$15:$P$15</c:f>
              <c:numCache>
                <c:formatCode>0.00_ </c:formatCode>
                <c:ptCount val="15"/>
                <c:pt idx="0">
                  <c:v>297.272003224741</c:v>
                </c:pt>
                <c:pt idx="1">
                  <c:v>118.06212228784</c:v>
                </c:pt>
                <c:pt idx="2">
                  <c:v>60.3488666986207</c:v>
                </c:pt>
                <c:pt idx="3">
                  <c:v>40.3982496099658</c:v>
                </c:pt>
                <c:pt idx="4">
                  <c:v>24.2900640417439</c:v>
                </c:pt>
                <c:pt idx="5">
                  <c:v>15.1922619191614</c:v>
                </c:pt>
                <c:pt idx="6">
                  <c:v>12.1558363653225</c:v>
                </c:pt>
                <c:pt idx="7">
                  <c:v>8.10522575534445</c:v>
                </c:pt>
                <c:pt idx="8">
                  <c:v>6.07926976740164</c:v>
                </c:pt>
                <c:pt idx="9">
                  <c:v>5.37997122310178</c:v>
                </c:pt>
                <c:pt idx="10">
                  <c:v>5.35627364267687</c:v>
                </c:pt>
                <c:pt idx="11">
                  <c:v>4.86354558847181</c:v>
                </c:pt>
                <c:pt idx="12">
                  <c:v>4.05301340441912</c:v>
                </c:pt>
                <c:pt idx="13">
                  <c:v>3.03980386436841</c:v>
                </c:pt>
                <c:pt idx="14">
                  <c:v>2.43185931433943</c:v>
                </c:pt>
              </c:numCache>
            </c:numRef>
          </c:yVal>
          <c:smooth val="1"/>
        </c:ser>
        <c:dLbls>
          <c:showLegendKey val="0"/>
          <c:showVal val="0"/>
          <c:showCatName val="0"/>
          <c:showSerName val="0"/>
          <c:showPercent val="0"/>
          <c:showBubbleSize val="0"/>
        </c:dLbls>
        <c:axId val="735137123"/>
        <c:axId val="969642064"/>
      </c:scatterChart>
      <c:valAx>
        <c:axId val="735137123"/>
        <c:scaling>
          <c:orientation val="minMax"/>
          <c:max val="500"/>
        </c:scaling>
        <c:delete val="0"/>
        <c:axPos val="b"/>
        <c:title>
          <c:tx>
            <c:rich>
              <a:bodyPr rot="0" spcFirstLastPara="0" vertOverflow="ellipsis" vert="horz" wrap="square" anchor="ctr" anchorCtr="1"/>
              <a:lstStyle/>
              <a:p>
                <a:pPr defTabSz="914400">
                  <a:defRPr lang="zh-CN" sz="900" b="1" i="0" u="none" strike="noStrike" kern="1200" cap="all"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水平距离（</a:t>
                </a:r>
                <a:r>
                  <a:rPr lang="en-US" altLang="zh-CN" b="1">
                    <a:latin typeface="微软雅黑" panose="020B0503020204020204" charset="-122"/>
                    <a:ea typeface="微软雅黑" panose="020B0503020204020204" charset="-122"/>
                    <a:cs typeface="微软雅黑" panose="020B0503020204020204" charset="-122"/>
                    <a:sym typeface="微软雅黑" panose="020B0503020204020204" charset="-122"/>
                  </a:rPr>
                  <a:t>m</a:t>
                </a:r>
                <a:r>
                  <a:rPr b="1">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manualLayout>
              <c:xMode val="edge"/>
              <c:yMode val="edge"/>
              <c:x val="0.389579939492669"/>
              <c:y val="0.94477747502270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9642064"/>
        <c:crosses val="autoZero"/>
        <c:crossBetween val="midCat"/>
      </c:valAx>
      <c:valAx>
        <c:axId val="9696420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900" b="1" i="0" u="none" strike="noStrike" kern="1200" cap="all"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电场强度（V/m）</a:t>
                </a:r>
                <a:endParaRPr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numFmt formatCode="0.00_ "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137123"/>
        <c:crosses val="autoZero"/>
        <c:crossBetween val="midCat"/>
        <c:majorUnit val="2"/>
      </c:valAx>
      <c:spPr>
        <a:noFill/>
        <a:ln>
          <a:noFill/>
        </a:ln>
        <a:effectLst/>
      </c:spPr>
    </c:plotArea>
    <c:legend>
      <c:legendPos val="t"/>
      <c:layout>
        <c:manualLayout>
          <c:xMode val="edge"/>
          <c:yMode val="edge"/>
          <c:x val="0.859320456132185"/>
          <c:y val="0.17983651226158"/>
          <c:w val="0.13718873632767"/>
          <c:h val="0.59854677565849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66159309995"/>
          <c:y val="0.0342679127725857"/>
          <c:w val="0.720030441400304"/>
          <c:h val="0.819532710280374"/>
        </c:manualLayout>
      </c:layout>
      <c:scatterChart>
        <c:scatterStyle val="smoothMarker"/>
        <c:varyColors val="0"/>
        <c:ser>
          <c:idx val="0"/>
          <c:order val="0"/>
          <c:tx>
            <c:strRef>
              <c:f>'[常德市鼎城区广播电视台-六层四面天线-会后改.xlsx]Sheet2'!$A$50</c:f>
              <c:strCache>
                <c:ptCount val="1"/>
                <c:pt idx="0">
                  <c:v>176</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'[常德市鼎城区广播电视台-六层四面天线-会后改.xlsx]Sheet2'!$B$50:$P$50</c:f>
              <c:numCache>
                <c:formatCode>0.00_ </c:formatCode>
                <c:ptCount val="15"/>
                <c:pt idx="0">
                  <c:v>0.00576973317573633</c:v>
                </c:pt>
                <c:pt idx="1">
                  <c:v>0.483519589624503</c:v>
                </c:pt>
                <c:pt idx="2">
                  <c:v>3.81039445931454</c:v>
                </c:pt>
                <c:pt idx="3">
                  <c:v>8.16551583542549</c:v>
                </c:pt>
                <c:pt idx="4">
                  <c:v>12.1025336127349</c:v>
                </c:pt>
                <c:pt idx="5">
                  <c:v>11.3100819112977</c:v>
                </c:pt>
                <c:pt idx="6">
                  <c:v>10.0250349317486</c:v>
                </c:pt>
                <c:pt idx="7">
                  <c:v>7.4265761466068</c:v>
                </c:pt>
                <c:pt idx="8">
                  <c:v>5.78536833261456</c:v>
                </c:pt>
                <c:pt idx="9">
                  <c:v>5.17477242517597</c:v>
                </c:pt>
                <c:pt idx="10">
                  <c:v>5.1537271653795</c:v>
                </c:pt>
                <c:pt idx="11">
                  <c:v>4.71120796710068</c:v>
                </c:pt>
                <c:pt idx="12">
                  <c:v>3.9642607987409</c:v>
                </c:pt>
                <c:pt idx="13">
                  <c:v>3.00210921779874</c:v>
                </c:pt>
                <c:pt idx="14">
                  <c:v>2.41249940112711</c:v>
                </c:pt>
              </c:numCache>
            </c:numRef>
          </c:yVal>
          <c:smooth val="1"/>
        </c:ser>
        <c:ser>
          <c:idx val="1"/>
          <c:order val="1"/>
          <c:tx>
            <c:strRef>
              <c:f>'[常德市鼎城区广播电视台-六层四面天线-会后改.xlsx]Sheet2'!$A$51</c:f>
              <c:strCache>
                <c:ptCount val="1"/>
                <c:pt idx="0">
                  <c:v>180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'[常德市鼎城区广播电视台-六层四面天线-会后改.xlsx]Sheet2'!$B$51:$P$51</c:f>
              <c:numCache>
                <c:formatCode>0.00_ </c:formatCode>
                <c:ptCount val="15"/>
                <c:pt idx="0">
                  <c:v>0.00297439608588526</c:v>
                </c:pt>
                <c:pt idx="1">
                  <c:v>0.253988942169602</c:v>
                </c:pt>
                <c:pt idx="2">
                  <c:v>2.30446001895829</c:v>
                </c:pt>
                <c:pt idx="3">
                  <c:v>5.66318255403462</c:v>
                </c:pt>
                <c:pt idx="4">
                  <c:v>9.96050715932057</c:v>
                </c:pt>
                <c:pt idx="5">
                  <c:v>10.3274227571301</c:v>
                </c:pt>
                <c:pt idx="6">
                  <c:v>9.43277241877066</c:v>
                </c:pt>
                <c:pt idx="7">
                  <c:v>7.2188063939268</c:v>
                </c:pt>
                <c:pt idx="8">
                  <c:v>5.69219541127808</c:v>
                </c:pt>
                <c:pt idx="9">
                  <c:v>5.10907744119466</c:v>
                </c:pt>
                <c:pt idx="10">
                  <c:v>5.08886103855445</c:v>
                </c:pt>
                <c:pt idx="11">
                  <c:v>4.66211788140275</c:v>
                </c:pt>
                <c:pt idx="12">
                  <c:v>3.93540407626134</c:v>
                </c:pt>
                <c:pt idx="13">
                  <c:v>2.9897435033992</c:v>
                </c:pt>
                <c:pt idx="14">
                  <c:v>2.406122033212</c:v>
                </c:pt>
              </c:numCache>
            </c:numRef>
          </c:yVal>
          <c:smooth val="1"/>
        </c:ser>
        <c:ser>
          <c:idx val="2"/>
          <c:order val="2"/>
          <c:tx>
            <c:strRef>
              <c:f>'[常德市鼎城区广播电视台-六层四面天线-会后改.xlsx]Sheet2'!$A$52</c:f>
              <c:strCache>
                <c:ptCount val="1"/>
                <c:pt idx="0">
                  <c:v>208</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'[常德市鼎城区广播电视台-六层四面天线-会后改.xlsx]Sheet2'!$B$52:$P$52</c:f>
              <c:numCache>
                <c:formatCode>0.00_ </c:formatCode>
                <c:ptCount val="15"/>
                <c:pt idx="0">
                  <c:v>0.000175142290962136</c:v>
                </c:pt>
                <c:pt idx="1">
                  <c:v>0.0115278605756176</c:v>
                </c:pt>
                <c:pt idx="2">
                  <c:v>0.148130951525374</c:v>
                </c:pt>
                <c:pt idx="3">
                  <c:v>0.572768631281041</c:v>
                </c:pt>
                <c:pt idx="4">
                  <c:v>2.20285193933633</c:v>
                </c:pt>
                <c:pt idx="5">
                  <c:v>4.49809612111777</c:v>
                </c:pt>
                <c:pt idx="6">
                  <c:v>5.23496378315684</c:v>
                </c:pt>
                <c:pt idx="7">
                  <c:v>5.38502100540324</c:v>
                </c:pt>
                <c:pt idx="8">
                  <c:v>4.79197634287178</c:v>
                </c:pt>
                <c:pt idx="9">
                  <c:v>4.45712768370504</c:v>
                </c:pt>
                <c:pt idx="10">
                  <c:v>4.44458199554993</c:v>
                </c:pt>
                <c:pt idx="11">
                  <c:v>4.16607360341534</c:v>
                </c:pt>
                <c:pt idx="12">
                  <c:v>3.6363703965396</c:v>
                </c:pt>
                <c:pt idx="13">
                  <c:v>2.85826665487946</c:v>
                </c:pt>
                <c:pt idx="14">
                  <c:v>2.33748937372691</c:v>
                </c:pt>
              </c:numCache>
            </c:numRef>
          </c:yVal>
          <c:smooth val="1"/>
        </c:ser>
        <c:ser>
          <c:idx val="3"/>
          <c:order val="3"/>
          <c:tx>
            <c:strRef>
              <c:f>'[常德市鼎城区广播电视台-六层四面天线-会后改.xlsx]Sheet2'!$A$53</c:f>
              <c:strCache>
                <c:ptCount val="1"/>
                <c:pt idx="0">
                  <c:v>209</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'[常德市鼎城区广播电视台-六层四面天线-会后改.xlsx]Sheet2'!$B$53:$P$53</c:f>
              <c:numCache>
                <c:formatCode>0.00_ </c:formatCode>
                <c:ptCount val="15"/>
                <c:pt idx="0">
                  <c:v>0.000163911842483155</c:v>
                </c:pt>
                <c:pt idx="1">
                  <c:v>0.0106285504699909</c:v>
                </c:pt>
                <c:pt idx="2">
                  <c:v>0.137080709776543</c:v>
                </c:pt>
                <c:pt idx="3">
                  <c:v>0.533947320559642</c:v>
                </c:pt>
                <c:pt idx="4">
                  <c:v>2.0884334062372</c:v>
                </c:pt>
                <c:pt idx="5">
                  <c:v>4.35013253053029</c:v>
                </c:pt>
                <c:pt idx="6">
                  <c:v>5.10647651437968</c:v>
                </c:pt>
                <c:pt idx="7">
                  <c:v>5.31484328298487</c:v>
                </c:pt>
                <c:pt idx="8">
                  <c:v>4.75429290723642</c:v>
                </c:pt>
                <c:pt idx="9">
                  <c:v>4.42911091268834</c:v>
                </c:pt>
                <c:pt idx="10">
                  <c:v>4.41687151729649</c:v>
                </c:pt>
                <c:pt idx="11">
                  <c:v>4.14437717872906</c:v>
                </c:pt>
                <c:pt idx="12">
                  <c:v>3.62296623719644</c:v>
                </c:pt>
                <c:pt idx="13">
                  <c:v>2.85222473779461</c:v>
                </c:pt>
                <c:pt idx="14">
                  <c:v>2.33429833246397</c:v>
                </c:pt>
              </c:numCache>
            </c:numRef>
          </c:yVal>
          <c:smooth val="1"/>
        </c:ser>
        <c:ser>
          <c:idx val="4"/>
          <c:order val="4"/>
          <c:tx>
            <c:strRef>
              <c:f>'[常德市鼎城区广播电视台-六层四面天线-会后改.xlsx]Sheet2'!$A$54</c:f>
              <c:strCache>
                <c:ptCount val="1"/>
                <c:pt idx="0">
                  <c:v>220</c:v>
                </c:pt>
              </c:strCache>
            </c:strRef>
          </c:tx>
          <c:spPr>
            <a:ln w="22225" cap="rnd">
              <a:solidFill>
                <a:schemeClr val="accent5"/>
              </a:solidFill>
              <a:round/>
            </a:ln>
            <a:effectLst/>
          </c:spPr>
          <c:marker>
            <c:symbol val="star"/>
            <c:size val="6"/>
            <c:spPr>
              <a:noFill/>
              <a:ln w="9525">
                <a:solidFill>
                  <a:schemeClr val="accent5"/>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'[常德市鼎城区广播电视台-六层四面天线-会后改.xlsx]Sheet2'!$B$54:$P$54</c:f>
              <c:numCache>
                <c:formatCode>0.00_ </c:formatCode>
                <c:ptCount val="15"/>
                <c:pt idx="0">
                  <c:v>8.67820729709405e-5</c:v>
                </c:pt>
                <c:pt idx="1">
                  <c:v>0.00472420222968322</c:v>
                </c:pt>
                <c:pt idx="2">
                  <c:v>0.0624869161912892</c:v>
                </c:pt>
                <c:pt idx="3">
                  <c:v>0.259107911764185</c:v>
                </c:pt>
                <c:pt idx="4">
                  <c:v>1.18098662228358</c:v>
                </c:pt>
                <c:pt idx="5">
                  <c:v>2.992863506265</c:v>
                </c:pt>
                <c:pt idx="6">
                  <c:v>3.84581722252129</c:v>
                </c:pt>
                <c:pt idx="7">
                  <c:v>4.55642045187652</c:v>
                </c:pt>
                <c:pt idx="8">
                  <c:v>4.32831809089597</c:v>
                </c:pt>
                <c:pt idx="9">
                  <c:v>4.10796688717854</c:v>
                </c:pt>
                <c:pt idx="10">
                  <c:v>4.09909440269501</c:v>
                </c:pt>
                <c:pt idx="11">
                  <c:v>3.89328934348128</c:v>
                </c:pt>
                <c:pt idx="12">
                  <c:v>3.46572102938</c:v>
                </c:pt>
                <c:pt idx="13">
                  <c:v>2.78033765963788</c:v>
                </c:pt>
                <c:pt idx="14">
                  <c:v>2.29607342359207</c:v>
                </c:pt>
              </c:numCache>
            </c:numRef>
          </c:yVal>
          <c:smooth val="1"/>
        </c:ser>
        <c:ser>
          <c:idx val="5"/>
          <c:order val="5"/>
          <c:tx>
            <c:strRef>
              <c:f>'[常德市鼎城区广播电视台-六层四面天线-会后改.xlsx]Sheet2'!$A$55</c:f>
              <c:strCache>
                <c:ptCount val="1"/>
                <c:pt idx="0">
                  <c:v>250</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'[常德市鼎城区广播电视台-六层四面天线-会后改.xlsx]Sheet2'!$B$55:$P$55</c:f>
              <c:numCache>
                <c:formatCode>0.00_ </c:formatCode>
                <c:ptCount val="15"/>
                <c:pt idx="0">
                  <c:v>2.74321802763748e-5</c:v>
                </c:pt>
                <c:pt idx="1">
                  <c:v>0.000892318825765578</c:v>
                </c:pt>
                <c:pt idx="2">
                  <c:v>0.0116659009898304</c:v>
                </c:pt>
                <c:pt idx="3">
                  <c:v>0.0522176435004968</c:v>
                </c:pt>
                <c:pt idx="4">
                  <c:v>0.298886286128868</c:v>
                </c:pt>
                <c:pt idx="5">
                  <c:v>1.08498793736356</c:v>
                </c:pt>
                <c:pt idx="6">
                  <c:v>1.69895476621039</c:v>
                </c:pt>
                <c:pt idx="7">
                  <c:v>2.79866960051797</c:v>
                </c:pt>
                <c:pt idx="8">
                  <c:v>3.16966967091971</c:v>
                </c:pt>
                <c:pt idx="9">
                  <c:v>3.18763767671789</c:v>
                </c:pt>
                <c:pt idx="10">
                  <c:v>3.18684484968319</c:v>
                </c:pt>
                <c:pt idx="11">
                  <c:v>3.14685796348861</c:v>
                </c:pt>
                <c:pt idx="12">
                  <c:v>2.97272003224741</c:v>
                </c:pt>
                <c:pt idx="13">
                  <c:v>2.54176692453459</c:v>
                </c:pt>
                <c:pt idx="14">
                  <c:v>2.16564191817804</c:v>
                </c:pt>
              </c:numCache>
            </c:numRef>
          </c:yVal>
          <c:smooth val="1"/>
        </c:ser>
        <c:ser>
          <c:idx val="6"/>
          <c:order val="6"/>
          <c:tx>
            <c:strRef>
              <c:f>'[常德市鼎城区广播电视台-六层四面天线-会后改.xlsx]Sheet2'!$A$56</c:f>
              <c:strCache>
                <c:ptCount val="1"/>
                <c:pt idx="0">
                  <c:v>270</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'[常德市鼎城区广播电视台-六层四面天线-会后改.xlsx]Sheet2'!$B$56:$P$56</c:f>
              <c:numCache>
                <c:formatCode>0.00_ </c:formatCode>
                <c:ptCount val="15"/>
                <c:pt idx="0">
                  <c:v>1.67712661084757e-5</c:v>
                </c:pt>
                <c:pt idx="1">
                  <c:v>0.000390600719519684</c:v>
                </c:pt>
                <c:pt idx="2">
                  <c:v>0.00490645190108916</c:v>
                </c:pt>
                <c:pt idx="3">
                  <c:v>0.0223242338494806</c:v>
                </c:pt>
                <c:pt idx="4">
                  <c:v>0.137546937731195</c:v>
                </c:pt>
                <c:pt idx="5">
                  <c:v>0.576115004739574</c:v>
                </c:pt>
                <c:pt idx="6">
                  <c:v>0.990203150644766</c:v>
                </c:pt>
                <c:pt idx="7">
                  <c:v>1.9595049989673</c:v>
                </c:pt>
                <c:pt idx="8">
                  <c:v>2.49012678983014</c:v>
                </c:pt>
                <c:pt idx="9">
                  <c:v>2.60903630502892</c:v>
                </c:pt>
                <c:pt idx="10">
                  <c:v>2.61199584660693</c:v>
                </c:pt>
                <c:pt idx="11">
                  <c:v>2.65376349198006</c:v>
                </c:pt>
                <c:pt idx="12">
                  <c:v>2.62238163624051</c:v>
                </c:pt>
                <c:pt idx="13">
                  <c:v>2.35819310469266</c:v>
                </c:pt>
                <c:pt idx="14">
                  <c:v>2.06123523341365</c:v>
                </c:pt>
              </c:numCache>
            </c:numRef>
          </c:yVal>
          <c:smooth val="1"/>
        </c:ser>
        <c:ser>
          <c:idx val="7"/>
          <c:order val="7"/>
          <c:tx>
            <c:strRef>
              <c:f>'[常德市鼎城区广播电视台-六层四面天线-会后改.xlsx]Sheet2'!$A$57</c:f>
              <c:strCache>
                <c:ptCount val="1"/>
                <c:pt idx="0">
                  <c:v>300</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dLbls>
            <c:delete val="1"/>
          </c:dLbls>
          <c:xVal>
            <c:numRef>
              <c:f>'[常德市鼎城区广播电视台-六层四面天线-会后改.xlsx]Sheet2'!$B$49:$P$49</c:f>
              <c:numCache>
                <c:formatCode>General</c:formatCode>
                <c:ptCount val="15"/>
                <c:pt idx="0">
                  <c:v>3</c:v>
                </c:pt>
                <c:pt idx="1">
                  <c:v>10</c:v>
                </c:pt>
                <c:pt idx="2">
                  <c:v>20</c:v>
                </c:pt>
                <c:pt idx="3">
                  <c:v>30</c:v>
                </c:pt>
                <c:pt idx="4">
                  <c:v>50</c:v>
                </c:pt>
                <c:pt idx="5">
                  <c:v>80</c:v>
                </c:pt>
                <c:pt idx="6">
                  <c:v>101</c:v>
                </c:pt>
                <c:pt idx="7">
                  <c:v>102</c:v>
                </c:pt>
                <c:pt idx="8">
                  <c:v>130</c:v>
                </c:pt>
                <c:pt idx="9">
                  <c:v>150</c:v>
                </c:pt>
                <c:pt idx="10">
                  <c:v>200</c:v>
                </c:pt>
                <c:pt idx="11">
                  <c:v>250</c:v>
                </c:pt>
                <c:pt idx="12">
                  <c:v>300</c:v>
                </c:pt>
                <c:pt idx="13">
                  <c:v>400</c:v>
                </c:pt>
                <c:pt idx="14">
                  <c:v>500</c:v>
                </c:pt>
              </c:numCache>
            </c:numRef>
          </c:xVal>
          <c:yVal>
            <c:numRef>
              <c:f>'[常德市鼎城区广播电视台-六层四面天线-会后改.xlsx]Sheet2'!$B$57:$P$57</c:f>
              <c:numCache>
                <c:formatCode>0.00_ </c:formatCode>
                <c:ptCount val="15"/>
                <c:pt idx="0">
                  <c:v>9.98994953312132e-6</c:v>
                </c:pt>
                <c:pt idx="1">
                  <c:v>0.000147723764219943</c:v>
                </c:pt>
                <c:pt idx="2">
                  <c:v>0.0017052818379571</c:v>
                </c:pt>
                <c:pt idx="3">
                  <c:v>0.00777726732655357</c:v>
                </c:pt>
                <c:pt idx="4">
                  <c:v>0.0507977884339205</c:v>
                </c:pt>
                <c:pt idx="5">
                  <c:v>0.243318770559783</c:v>
                </c:pt>
                <c:pt idx="6">
                  <c:v>0.460892003791659</c:v>
                </c:pt>
                <c:pt idx="7">
                  <c:v>1.13263651080692</c:v>
                </c:pt>
                <c:pt idx="8">
                  <c:v>1.68260388349812</c:v>
                </c:pt>
                <c:pt idx="9">
                  <c:v>1.87186671097062</c:v>
                </c:pt>
                <c:pt idx="10">
                  <c:v>1.87786282436185</c:v>
                </c:pt>
                <c:pt idx="11">
                  <c:v>1.99210143186411</c:v>
                </c:pt>
                <c:pt idx="12">
                  <c:v>2.11311311394647</c:v>
                </c:pt>
                <c:pt idx="13">
                  <c:v>2.06548455142601</c:v>
                </c:pt>
                <c:pt idx="14">
                  <c:v>1.88655448375413</c:v>
                </c:pt>
              </c:numCache>
            </c:numRef>
          </c:yVal>
          <c:smooth val="1"/>
        </c:ser>
        <c:dLbls>
          <c:showLegendKey val="0"/>
          <c:showVal val="0"/>
          <c:showCatName val="0"/>
          <c:showSerName val="0"/>
          <c:showPercent val="0"/>
          <c:showBubbleSize val="0"/>
        </c:dLbls>
        <c:axId val="179526553"/>
        <c:axId val="554771732"/>
      </c:scatterChart>
      <c:valAx>
        <c:axId val="179526553"/>
        <c:scaling>
          <c:orientation val="minMax"/>
          <c:max val="500"/>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rPr b="1">
                    <a:latin typeface="微软雅黑" panose="020B0503020204020204" charset="-122"/>
                    <a:ea typeface="微软雅黑" panose="020B0503020204020204" charset="-122"/>
                  </a:rPr>
                  <a:t>水平距离（m）</a:t>
                </a:r>
                <a:endParaRPr b="1">
                  <a:latin typeface="微软雅黑" panose="020B0503020204020204" charset="-122"/>
                  <a:ea typeface="微软雅黑" panose="020B0503020204020204" charset="-122"/>
                </a:endParaRPr>
              </a:p>
            </c:rich>
          </c:tx>
          <c:layout>
            <c:manualLayout>
              <c:xMode val="edge"/>
              <c:yMode val="edge"/>
              <c:x val="0.385443937087773"/>
              <c:y val="0.929779706275033"/>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4771732"/>
        <c:crosses val="autoZero"/>
        <c:crossBetween val="midCat"/>
        <c:majorUnit val="100"/>
      </c:valAx>
      <c:valAx>
        <c:axId val="554771732"/>
        <c:scaling>
          <c:orientation val="minMax"/>
          <c:max val="1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900" b="1" i="0" u="none" strike="noStrike" kern="1200" cap="all"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电场强度（V/m）</a:t>
                </a:r>
                <a:endParaRPr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numFmt formatCode="0.00_ "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9526553"/>
        <c:crosses val="autoZero"/>
        <c:crossBetween val="midCat"/>
        <c:majorUnit val="2"/>
      </c:valAx>
      <c:spPr>
        <a:noFill/>
        <a:ln>
          <a:noFill/>
        </a:ln>
        <a:effectLst/>
      </c:spPr>
    </c:plotArea>
    <c:legend>
      <c:legendPos val="t"/>
      <c:layout>
        <c:manualLayout>
          <c:xMode val="edge"/>
          <c:yMode val="edge"/>
          <c:x val="0.849822425164891"/>
          <c:y val="0.144859813084112"/>
          <c:w val="0.144698122780315"/>
          <c:h val="0.58099688473520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000" b="1">
                <a:latin typeface="微软雅黑" panose="020B0503020204020204" charset="-122"/>
                <a:ea typeface="微软雅黑" panose="020B0503020204020204" charset="-122"/>
              </a:rPr>
              <a:t>水平距离227</a:t>
            </a:r>
            <a:r>
              <a:rPr lang="en-US" altLang="zh-CN" sz="1000" b="1">
                <a:latin typeface="微软雅黑" panose="020B0503020204020204" charset="-122"/>
                <a:ea typeface="微软雅黑" panose="020B0503020204020204" charset="-122"/>
              </a:rPr>
              <a:t>m</a:t>
            </a:r>
            <a:r>
              <a:rPr altLang="en-US" sz="1000" b="1">
                <a:latin typeface="微软雅黑" panose="020B0503020204020204" charset="-122"/>
                <a:ea typeface="微软雅黑" panose="020B0503020204020204" charset="-122"/>
              </a:rPr>
              <a:t>达标处电场强度随垂直距离变化趋势</a:t>
            </a:r>
            <a:endParaRPr altLang="en-US" sz="1000" b="1">
              <a:latin typeface="微软雅黑" panose="020B0503020204020204" charset="-122"/>
              <a:ea typeface="微软雅黑" panose="020B0503020204020204" charset="-122"/>
            </a:endParaRPr>
          </a:p>
        </c:rich>
      </c:tx>
      <c:layout/>
      <c:overlay val="0"/>
      <c:spPr>
        <a:noFill/>
        <a:ln>
          <a:noFill/>
        </a:ln>
        <a:effectLst/>
      </c:spPr>
    </c:title>
    <c:autoTitleDeleted val="0"/>
    <c:plotArea>
      <c:layout/>
      <c:scatterChart>
        <c:scatterStyle val="lineMarker"/>
        <c:varyColors val="0"/>
        <c:ser>
          <c:idx val="0"/>
          <c:order val="0"/>
          <c:tx>
            <c:strRef>
              <c:f>'[常德市鼎城区广播电视台-六层四面天线-会后改.xlsx]Sheet2'!$V$6</c:f>
              <c:strCache>
                <c:ptCount val="1"/>
                <c:pt idx="0">
                  <c:v>227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'[常德市鼎城区广播电视台-六层四面天线-会后改.xlsx]Sheet2'!$U$7:$U$23</c:f>
              <c:numCache>
                <c:formatCode>General</c:formatCode>
                <c:ptCount val="17"/>
                <c:pt idx="0">
                  <c:v>-50</c:v>
                </c:pt>
                <c:pt idx="1">
                  <c:v>0</c:v>
                </c:pt>
                <c:pt idx="2">
                  <c:v>50</c:v>
                </c:pt>
                <c:pt idx="3">
                  <c:v>91</c:v>
                </c:pt>
                <c:pt idx="4">
                  <c:v>92</c:v>
                </c:pt>
                <c:pt idx="5">
                  <c:v>100</c:v>
                </c:pt>
                <c:pt idx="6">
                  <c:v>120</c:v>
                </c:pt>
                <c:pt idx="7">
                  <c:v>149</c:v>
                </c:pt>
                <c:pt idx="8">
                  <c:v>151</c:v>
                </c:pt>
                <c:pt idx="9">
                  <c:v>176</c:v>
                </c:pt>
                <c:pt idx="10">
                  <c:v>180</c:v>
                </c:pt>
                <c:pt idx="11">
                  <c:v>208</c:v>
                </c:pt>
                <c:pt idx="12">
                  <c:v>209</c:v>
                </c:pt>
                <c:pt idx="13">
                  <c:v>220</c:v>
                </c:pt>
                <c:pt idx="14">
                  <c:v>250</c:v>
                </c:pt>
                <c:pt idx="15">
                  <c:v>270</c:v>
                </c:pt>
                <c:pt idx="16">
                  <c:v>300</c:v>
                </c:pt>
              </c:numCache>
            </c:numRef>
          </c:xVal>
          <c:yVal>
            <c:numRef>
              <c:f>'[常德市鼎城区广播电视台-六层四面天线-会后改.xlsx]Sheet2'!$V$7:$V$23</c:f>
              <c:numCache>
                <c:formatCode>0.00_ </c:formatCode>
                <c:ptCount val="17"/>
                <c:pt idx="0">
                  <c:v>1.03736517256996</c:v>
                </c:pt>
                <c:pt idx="1">
                  <c:v>1.87786282436185</c:v>
                </c:pt>
                <c:pt idx="2">
                  <c:v>3.18684484968319</c:v>
                </c:pt>
                <c:pt idx="3">
                  <c:v>4.41687151729649</c:v>
                </c:pt>
                <c:pt idx="4">
                  <c:v>4.44458199554993</c:v>
                </c:pt>
                <c:pt idx="5">
                  <c:v>4.65688649801053</c:v>
                </c:pt>
                <c:pt idx="6">
                  <c:v>5.08886103855445</c:v>
                </c:pt>
                <c:pt idx="7">
                  <c:v>5.35627364267687</c:v>
                </c:pt>
                <c:pt idx="8">
                  <c:v>5.35627364267687</c:v>
                </c:pt>
                <c:pt idx="9">
                  <c:v>5.1537271653795</c:v>
                </c:pt>
                <c:pt idx="10">
                  <c:v>5.08886103855445</c:v>
                </c:pt>
                <c:pt idx="11">
                  <c:v>4.44458199554993</c:v>
                </c:pt>
                <c:pt idx="12">
                  <c:v>4.41687151729649</c:v>
                </c:pt>
                <c:pt idx="13">
                  <c:v>4.09909440269501</c:v>
                </c:pt>
                <c:pt idx="14">
                  <c:v>3.18684484968319</c:v>
                </c:pt>
                <c:pt idx="15">
                  <c:v>2.61199584660693</c:v>
                </c:pt>
                <c:pt idx="16">
                  <c:v>1.87786282436185</c:v>
                </c:pt>
              </c:numCache>
            </c:numRef>
          </c:yVal>
          <c:smooth val="0"/>
        </c:ser>
        <c:dLbls>
          <c:showLegendKey val="0"/>
          <c:showVal val="0"/>
          <c:showCatName val="0"/>
          <c:showSerName val="0"/>
          <c:showPercent val="0"/>
          <c:showBubbleSize val="0"/>
        </c:dLbls>
        <c:axId val="686133979"/>
        <c:axId val="129801896"/>
      </c:scatterChart>
      <c:valAx>
        <c:axId val="686133979"/>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b="1">
                    <a:latin typeface="微软雅黑" panose="020B0503020204020204" charset="-122"/>
                    <a:ea typeface="微软雅黑" panose="020B0503020204020204" charset="-122"/>
                  </a:rPr>
                  <a:t>垂直距离（</a:t>
                </a:r>
                <a:r>
                  <a:rPr lang="en-US" altLang="zh-CN" b="1">
                    <a:latin typeface="微软雅黑" panose="020B0503020204020204" charset="-122"/>
                    <a:ea typeface="微软雅黑" panose="020B0503020204020204" charset="-122"/>
                  </a:rPr>
                  <a:t>m</a:t>
                </a:r>
                <a:r>
                  <a:rPr altLang="en-US" b="1">
                    <a:latin typeface="微软雅黑" panose="020B0503020204020204" charset="-122"/>
                    <a:ea typeface="微软雅黑" panose="020B0503020204020204" charset="-122"/>
                  </a:rPr>
                  <a:t>）</a:t>
                </a:r>
                <a:endParaRPr altLang="en-US" b="1">
                  <a:latin typeface="微软雅黑" panose="020B0503020204020204" charset="-122"/>
                  <a:ea typeface="微软雅黑" panose="020B0503020204020204" charset="-122"/>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801896"/>
        <c:crosses val="autoZero"/>
        <c:crossBetween val="midCat"/>
      </c:valAx>
      <c:valAx>
        <c:axId val="129801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latin typeface="微软雅黑" panose="020B0503020204020204" charset="-122"/>
                    <a:ea typeface="微软雅黑" panose="020B0503020204020204" charset="-122"/>
                  </a:rPr>
                  <a:t>电场强度（V/m）</a:t>
                </a:r>
                <a:endParaRPr b="1">
                  <a:latin typeface="微软雅黑" panose="020B0503020204020204" charset="-122"/>
                  <a:ea typeface="微软雅黑" panose="020B0503020204020204" charset="-122"/>
                </a:endParaRPr>
              </a:p>
            </c:rich>
          </c:tx>
          <c:layout/>
          <c:overlay val="0"/>
          <c:spPr>
            <a:noFill/>
            <a:ln>
              <a:noFill/>
            </a:ln>
            <a:effectLst/>
          </c:spPr>
        </c:title>
        <c:numFmt formatCode="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613397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000" b="1">
                <a:latin typeface="微软雅黑" panose="020B0503020204020204" charset="-122"/>
                <a:ea typeface="微软雅黑" panose="020B0503020204020204" charset="-122"/>
              </a:rPr>
              <a:t>垂直距离</a:t>
            </a:r>
            <a:r>
              <a:rPr lang="en-US" altLang="zh-CN" sz="1000" b="1">
                <a:latin typeface="微软雅黑" panose="020B0503020204020204" charset="-122"/>
                <a:ea typeface="微软雅黑" panose="020B0503020204020204" charset="-122"/>
              </a:rPr>
              <a:t>91m</a:t>
            </a:r>
            <a:r>
              <a:rPr altLang="en-US" sz="1000" b="1">
                <a:latin typeface="微软雅黑" panose="020B0503020204020204" charset="-122"/>
                <a:ea typeface="微软雅黑" panose="020B0503020204020204" charset="-122"/>
              </a:rPr>
              <a:t>达标处电场强度随水平距离变化趋势</a:t>
            </a:r>
            <a:endParaRPr altLang="en-US" sz="1000" b="1">
              <a:latin typeface="微软雅黑" panose="020B0503020204020204" charset="-122"/>
              <a:ea typeface="微软雅黑" panose="020B0503020204020204" charset="-122"/>
            </a:endParaRPr>
          </a:p>
        </c:rich>
      </c:tx>
      <c:layout/>
      <c:overlay val="0"/>
      <c:spPr>
        <a:noFill/>
        <a:ln>
          <a:noFill/>
        </a:ln>
        <a:effectLst/>
      </c:spPr>
    </c:title>
    <c:autoTitleDeleted val="0"/>
    <c:plotArea>
      <c:layout/>
      <c:scatterChart>
        <c:scatterStyle val="smoothMarker"/>
        <c:varyColors val="0"/>
        <c:ser>
          <c:idx val="0"/>
          <c:order val="0"/>
          <c:tx>
            <c:strRef>
              <c:f>'[常德市鼎城区广播电视台-六层四面天线-会后改.xlsx]Sheet2'!$U$48</c:f>
              <c:strCache>
                <c:ptCount val="1"/>
                <c:pt idx="0">
                  <c:v>91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'[常德市鼎城区广播电视台-六层四面天线-会后改.xlsx]Sheet2'!$V$47:$AJ$47</c:f>
              <c:numCache>
                <c:formatCode>General</c:formatCode>
                <c:ptCount val="15"/>
                <c:pt idx="0">
                  <c:v>3</c:v>
                </c:pt>
                <c:pt idx="1">
                  <c:v>10</c:v>
                </c:pt>
                <c:pt idx="2">
                  <c:v>20</c:v>
                </c:pt>
                <c:pt idx="3">
                  <c:v>30</c:v>
                </c:pt>
                <c:pt idx="4">
                  <c:v>50</c:v>
                </c:pt>
                <c:pt idx="5">
                  <c:v>80</c:v>
                </c:pt>
                <c:pt idx="6">
                  <c:v>100</c:v>
                </c:pt>
                <c:pt idx="7">
                  <c:v>150</c:v>
                </c:pt>
                <c:pt idx="8">
                  <c:v>200</c:v>
                </c:pt>
                <c:pt idx="9">
                  <c:v>226</c:v>
                </c:pt>
                <c:pt idx="10">
                  <c:v>227</c:v>
                </c:pt>
                <c:pt idx="11">
                  <c:v>250</c:v>
                </c:pt>
                <c:pt idx="12">
                  <c:v>300</c:v>
                </c:pt>
                <c:pt idx="13">
                  <c:v>400</c:v>
                </c:pt>
                <c:pt idx="14">
                  <c:v>500</c:v>
                </c:pt>
              </c:numCache>
            </c:numRef>
          </c:xVal>
          <c:yVal>
            <c:numRef>
              <c:f>'[常德市鼎城区广播电视台-六层四面天线-会后改.xlsx]Sheet2'!$V$48:$AJ$48</c:f>
              <c:numCache>
                <c:formatCode>0.000_ </c:formatCode>
                <c:ptCount val="15"/>
                <c:pt idx="0">
                  <c:v>0.000163911842483155</c:v>
                </c:pt>
                <c:pt idx="1">
                  <c:v>0.0106285504699909</c:v>
                </c:pt>
                <c:pt idx="2">
                  <c:v>0.137080709776543</c:v>
                </c:pt>
                <c:pt idx="3">
                  <c:v>0.533947320559642</c:v>
                </c:pt>
                <c:pt idx="4">
                  <c:v>2.0884334062372</c:v>
                </c:pt>
                <c:pt idx="5">
                  <c:v>4.35013253053029</c:v>
                </c:pt>
                <c:pt idx="6">
                  <c:v>5.10647651437968</c:v>
                </c:pt>
                <c:pt idx="7">
                  <c:v>5.31484328298487</c:v>
                </c:pt>
                <c:pt idx="8">
                  <c:v>4.75429290723642</c:v>
                </c:pt>
                <c:pt idx="9">
                  <c:v>4.42911091268834</c:v>
                </c:pt>
                <c:pt idx="10">
                  <c:v>4.41687151729649</c:v>
                </c:pt>
                <c:pt idx="11">
                  <c:v>4.14437717872906</c:v>
                </c:pt>
                <c:pt idx="12">
                  <c:v>3.62296623719644</c:v>
                </c:pt>
                <c:pt idx="13">
                  <c:v>2.85222473779461</c:v>
                </c:pt>
                <c:pt idx="14">
                  <c:v>2.33429833246397</c:v>
                </c:pt>
              </c:numCache>
            </c:numRef>
          </c:yVal>
          <c:smooth val="1"/>
        </c:ser>
        <c:dLbls>
          <c:showLegendKey val="0"/>
          <c:showVal val="0"/>
          <c:showCatName val="0"/>
          <c:showSerName val="0"/>
          <c:showPercent val="0"/>
          <c:showBubbleSize val="0"/>
        </c:dLbls>
        <c:axId val="712309965"/>
        <c:axId val="862157018"/>
      </c:scatterChart>
      <c:valAx>
        <c:axId val="712309965"/>
        <c:scaling>
          <c:orientation val="minMax"/>
        </c:scaling>
        <c:delete val="0"/>
        <c:axPos val="b"/>
        <c:title>
          <c:tx>
            <c:rich>
              <a:bodyPr rot="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b="1">
                    <a:latin typeface="微软雅黑" panose="020B0503020204020204" charset="-122"/>
                    <a:ea typeface="微软雅黑" panose="020B0503020204020204" charset="-122"/>
                    <a:cs typeface="微软雅黑" panose="020B0503020204020204" charset="-122"/>
                    <a:sym typeface="微软雅黑" panose="020B0503020204020204" charset="-122"/>
                  </a:rPr>
                  <a:t>水平距离（</a:t>
                </a:r>
                <a:r>
                  <a:rPr lang="en-US" altLang="zh-CN" b="1">
                    <a:latin typeface="微软雅黑" panose="020B0503020204020204" charset="-122"/>
                    <a:ea typeface="微软雅黑" panose="020B0503020204020204" charset="-122"/>
                    <a:cs typeface="微软雅黑" panose="020B0503020204020204" charset="-122"/>
                    <a:sym typeface="微软雅黑" panose="020B0503020204020204" charset="-122"/>
                  </a:rPr>
                  <a:t>m</a:t>
                </a:r>
                <a:r>
                  <a:rPr altLang="en-US" b="1">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altLang="en-US"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2157018"/>
        <c:crosses val="autoZero"/>
        <c:crossBetween val="midCat"/>
      </c:valAx>
      <c:valAx>
        <c:axId val="86215701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电场强度（</a:t>
                </a:r>
                <a:r>
                  <a:rPr lang="en-US" altLang="zh-CN" b="1">
                    <a:latin typeface="微软雅黑" panose="020B0503020204020204" charset="-122"/>
                    <a:ea typeface="微软雅黑" panose="020B0503020204020204" charset="-122"/>
                    <a:cs typeface="微软雅黑" panose="020B0503020204020204" charset="-122"/>
                    <a:sym typeface="微软雅黑" panose="020B0503020204020204" charset="-122"/>
                  </a:rPr>
                  <a:t>V/m</a:t>
                </a:r>
                <a:r>
                  <a:rPr b="1">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numFmt formatCode="0.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30996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332AF0-341A-48B9-BFDD-70742799620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48</Pages>
  <Words>4987</Words>
  <Characters>28430</Characters>
  <Lines>236</Lines>
  <Paragraphs>66</Paragraphs>
  <ScaleCrop>false</ScaleCrop>
  <LinksUpToDate>false</LinksUpToDate>
  <CharactersWithSpaces>33351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2012-07-18T07:28:00Z</dcterms:created>
  <dc:creator>Administrator</dc:creator>
  <cp:lastModifiedBy>Administrator</cp:lastModifiedBy>
  <cp:lastPrinted>2017-12-20T01:29:00Z</cp:lastPrinted>
  <dcterms:modified xsi:type="dcterms:W3CDTF">2017-12-29T02:38:57Z</dcterms:modified>
  <dc:title>基本情况                                                            表1</dc:title>
  <cp:revision>676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