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169"/>
        <w:tblW w:w="9639" w:type="dxa"/>
        <w:jc w:val="center"/>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rPr>
                <w:rFonts w:ascii="仿宋" w:hAnsi="仿宋" w:eastAsia="仿宋"/>
                <w:szCs w:val="32"/>
              </w:rPr>
            </w:pPr>
            <w:bookmarkStart w:id="3" w:name="_GoBack"/>
            <w:bookmarkEnd w:id="3"/>
          </w:p>
        </w:tc>
      </w:tr>
    </w:tbl>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    〔2024〕 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湖南省生态环境厅关于湖南中医药大学第一附属医院重新申领辐射安全许可证的批复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湖南中医药大学第一附属医院：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地址：湖南省长沙市雨花区韶山中路95号，法定代表人：朱镇华，统一社会信用代码：124300004448781058。你单位2024年11月18日提交的辐射安全许可证材料收悉，本厅于2024年11月19日受理。经研究，批复如下：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一、经审查，你单位重新申领辐射安全许可证符合《</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"https://baike.baidu.com/item/%E6%94%BE%E5%B0%84%E6%80%A7%E5%90%8C%E4%BD%8D%E7%B4%A0%E4%B8%8E%E5%B0%84%E7%BA%BF%E8%A3%85%E7%BD%AE%E5%AE%89%E5%85%A8%E5%92%8C%E9%98%B2%E6%8A%A4%E6%9D%A1%E4%BE%8B/471578?fromModule=lemma_inlink" \t "https://baike.baidu.com/item/%E4%B8%AD%E5%8D%8E%E4%BA%BA%E6%B0%91%E5%85%B1%E5%92%8C%E5%9B%BD%E5%9B%BD%E5%8A%A1%E9%99%A2%E4%BB%A4%EF%BC%88%E7%AC%AC449%E5%8F%B7%EF%BC%89/_blank"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放射性同位素与射线装置安全和防护条例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》第十二条要求，根据《中华人民共和国行政许可法》第三十八条</w:t>
      </w:r>
      <w:bookmarkStart w:id="0" w:name="No122_Z4J2T38K1"/>
      <w:bookmarkEnd w:id="0"/>
      <w:r>
        <w:rPr>
          <w:rFonts w:hint="eastAsia" w:ascii="仿宋_GB2312" w:hAnsi="仿宋_GB2312" w:eastAsia="仿宋_GB2312" w:cs="仿宋_GB2312"/>
          <w:sz w:val="32"/>
          <w:szCs w:val="32"/>
          <w:lang w:val="en-US" w:eastAsia="zh-CN"/>
        </w:rPr>
        <w:t>第一款和《</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"https://baike.baidu.com/item/%E6%94%BE%E5%B0%84%E6%80%A7%E5%90%8C%E4%BD%8D%E7%B4%A0%E4%B8%8E%E5%B0%84%E7%BA%BF%E8%A3%85%E7%BD%AE%E5%AE%89%E5%85%A8%E5%92%8C%E9%98%B2%E6%8A%A4%E6%9D%A1%E4%BE%8B/471578?fromModule=lemma_inlink" \t "https://baike.baidu.com/item/%E4%B8%AD%E5%8D%8E%E4%BA%BA%E6%B0%91%E5%85%B1%E5%92%8C%E5%9B%BD%E5%9B%BD%E5%8A%A1%E9%99%A2%E4%BB%A4%EF%BC%88%E7%AC%AC449%E5%8F%B7%EF%BC%89/_blank"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放射性同位素与射线装置安全和防护条例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》第九条规定，我厅同意你单位重新申领辐射安全许可证。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二、许可内容见《辐射安全许可证》正、副本，许可证编号：湘环辐证〔02132〕，许可证有效期五年</w:t>
      </w:r>
      <w:r>
        <w:rPr>
          <w:rFonts w:hint="eastAsia" w:ascii="仿宋_GB2312" w:hAnsi="仿宋_GB2312" w:eastAsia="仿宋_GB2312" w:cs="仿宋_GB2312"/>
          <w:sz w:val="32"/>
          <w:szCs w:val="32"/>
          <w:lang w:eastAsia="zh-CN"/>
        </w:rPr>
        <w:t>。请你单位</w:t>
      </w:r>
      <w:r>
        <w:rPr>
          <w:rFonts w:hint="eastAsia" w:ascii="仿宋_GB2312" w:hAnsi="仿宋_GB2312" w:eastAsia="仿宋_GB2312" w:cs="仿宋_GB2312"/>
          <w:sz w:val="32"/>
          <w:szCs w:val="32"/>
        </w:rPr>
        <w:t>法定代表人或指派委托人携带个人有效身份证件</w:t>
      </w:r>
      <w:r>
        <w:rPr>
          <w:rFonts w:hint="eastAsia" w:ascii="仿宋_GB2312" w:hAnsi="仿宋_GB2312" w:eastAsia="仿宋_GB2312" w:cs="仿宋_GB2312"/>
          <w:sz w:val="32"/>
          <w:szCs w:val="32"/>
          <w:lang w:eastAsia="zh-CN"/>
        </w:rPr>
        <w:t>及原《辐射安全许可证》正、副本，</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湖南省政府政务服务大厅</w:t>
      </w:r>
      <w:r>
        <w:rPr>
          <w:rFonts w:hint="eastAsia" w:ascii="仿宋_GB2312" w:hAnsi="仿宋_GB2312" w:eastAsia="仿宋_GB2312" w:cs="仿宋_GB2312"/>
          <w:sz w:val="32"/>
          <w:szCs w:val="32"/>
          <w:lang w:val="en-US" w:eastAsia="zh-CN"/>
        </w:rPr>
        <w:t>生态环境厅窗口</w:t>
      </w:r>
      <w:r>
        <w:rPr>
          <w:rFonts w:hint="eastAsia" w:ascii="仿宋_GB2312" w:hAnsi="仿宋_GB2312" w:eastAsia="仿宋_GB2312" w:cs="仿宋_GB2312"/>
          <w:sz w:val="32"/>
          <w:szCs w:val="32"/>
          <w:lang w:eastAsia="zh-CN"/>
        </w:rPr>
        <w:t>领取《辐射安全许可证》正、副本。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按照《放射性同位素与射线装置安全和防护条例》第三十条规定，你单位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依法编写《放射性同位素与射线装置安全和防护状况年度评估报告》，于每年1月31日前</w:t>
      </w:r>
      <w:r>
        <w:rPr>
          <w:rFonts w:hint="eastAsia" w:ascii="仿宋_GB2312" w:hAnsi="仿宋_GB2312" w:eastAsia="仿宋_GB2312" w:cs="仿宋_GB2312"/>
          <w:sz w:val="32"/>
          <w:szCs w:val="32"/>
          <w:lang w:eastAsia="zh-CN"/>
        </w:rPr>
        <w:t>上传至全国核技术利用辐射安全申报系统</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你单位如对本批复不服，可以在收到决定书之日起六十日内依法向湖南省人民政府申请行政复议，或者六个月</w: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hidden="true" allowOverlap="1">
                <wp:simplePos x="0" y="0"/>
                <wp:positionH relativeFrom="column">
                  <wp:posOffset>-1099185</wp:posOffset>
                </wp:positionH>
                <wp:positionV relativeFrom="paragraph">
                  <wp:posOffset>-953135</wp:posOffset>
                </wp:positionV>
                <wp:extent cx="63500" cy="63500"/>
                <wp:effectExtent l="0" t="0" r="0" b="0"/>
                <wp:wrapNone/>
                <wp:docPr id="11" name="矩形 11" descr="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NH3JrAcgFCUjgSFsWnJ7upC6VvaQte4spzIBNVhvvXmgdhXtDsEND1bvsiHV7VPvYOw8n2LjlTjgkR66cx0KURxZO7F5qUjyUqBiKl1aa4fM4+JH7Kc04cYhDDmzwqoIPnIVWb4fspsJZetNouZrsTWmWeSYbhCWM84utxFyVqwaQwNzEdlsgwwCLKNDfXmpzCbSvjBHtR1jfJHYRd0Lc3EP7jHg12Yg//2hHfloGe2w+7cr0V5msAiJ8lsFFsO5t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alt="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NH3JrAcgFCUjgSFsWnJ7upC6VvaQte4spzIBNVhvvXmgdhXtDsEND1bvsiHV7VPvYOw8n2LjlTjgkR66cx0KURxZO7F5qUjyUqBiKl1aa4fM4+JH7Kc04cYhDDmzwqoIPnIVWb4fspsJZetNouZrsTWmWeSYbhCWM84utxFyVqwaQwNzEdlsgwwCLKNDfXmpzCbSvjBHtR1jfJHYRd0Lc3EP7jHg12Yg//2hHfloGe2w+7cr0V5msAiJ8lsFFsO5t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6.55pt;margin-top:-75.05pt;height:5pt;width:5pt;visibility:hidden;z-index:251660288;v-text-anchor:middle;mso-width-relative:page;mso-height-relative:page;" fillcolor="#5B9BD5" filled="t" stroked="t" coordsize="21600,21600" o:gfxdata="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">
                <v:fill on="t" focussize="0,0"/>
                <v:stroke weight="1pt" color="#2D5171"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t>内向长沙铁路运输法院提起行政诉讼。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附件：相关法律法规内容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湖南省生态环境厅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2024年12月2日</w:t>
      </w:r>
      <w:bookmarkStart w:id="1" w:name="No257_Z6T82K3"/>
      <w:bookmarkEnd w:id="1"/>
      <w:bookmarkStart w:id="2" w:name="No256_Z6T82K2"/>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抄送：省辐射环境监督站、长沙市生态环境局。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jc w:val="center"/>
        <w:textAlignment w:val="auto"/>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相关法律法规内容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"https://baike.baidu.com/item/%E6%94%BE%E5%B0%84%E6%80%A7%E5%90%8C%E4%BD%8D%E7%B4%A0%E4%B8%8E%E5%B0%84%E7%BA%BF%E8%A3%85%E7%BD%AE%E5%AE%89%E5%85%A8%E5%92%8C%E9%98%B2%E6%8A%A4%E6%9D%A1%E4%BE%8B/471578?fromModule=lemma_inlink" \t "https://baike.baidu.com/item/%E4%B8%AD%E5%8D%8E%E4%BA%BA%E6%B0%91%E5%85%B1%E5%92%8C%E5%9B%BD%E5%9B%BD%E5%8A%A1%E9%99%A2%E4%BB%A4%EF%BC%88%E7%AC%AC449%E5%8F%B7%EF%BC%89/_blank"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放射性同位素与射线装置安全和防护条例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》第十二条：</w:t>
      </w:r>
      <w:r>
        <w:rPr>
          <w:rFonts w:hint="default" w:ascii="仿宋_GB2312" w:hAnsi="仿宋_GB2312" w:eastAsia="仿宋_GB2312" w:cs="仿宋_GB2312"/>
          <w:sz w:val="32"/>
          <w:szCs w:val="32"/>
          <w:lang w:val="en-US" w:eastAsia="zh-CN"/>
        </w:rPr>
        <w:t>有下列情形之一的，持证单位应当按照原申请程序，重新申请领取许可证：（一）改变所从事活动的种类或者范围的；（二）新建或者改建、扩建生产、销售、使用设施或者场所的</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二、《中华人民共和国行政许可法》第三十八条第一款：申请人的申请符合法定条件、标准的，行政机关应当依法作出准予行政许可的书面决定。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"https://baike.baidu.com/item/%E6%94%BE%E5%B0%84%E6%80%A7%E5%90%8C%E4%BD%8D%E7%B4%A0%E4%B8%8E%E5%B0%84%E7%BA%BF%E8%A3%85%E7%BD%AE%E5%AE%89%E5%85%A8%E5%92%8C%E9%98%B2%E6%8A%A4%E6%9D%A1%E4%BE%8B/471578?fromModule=lemma_inlink" \t "https://baike.baidu.com/item/%E4%B8%AD%E5%8D%8E%E4%BA%BA%E6%B0%91%E5%85%B1%E5%92%8C%E5%9B%BD%E5%9B%BD%E5%8A%A1%E9%99%A2%E4%BB%A4%EF%BC%88%E7%AC%AC449%E5%8F%B7%EF%BC%89/_blank"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放射性同位素与射线装置安全和防护条例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》第九条：生态环境主管部门应当自受理申请之日起20个工作日内完成审查，符合条件的，颁发许可证，并予以公告；不符合条件的，书面通知申请单位并说明理由。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放射性同位素与射线装置安全和防护条例》第三十条：生产、销售、使用放射性同位素和射线装置的单位，应当对本单位的放射性同位素、射线装置的安全和防护状况进行年度评估。发现安全隐患的，应当立即进行整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0" w:firstLineChars="200"/>
        <w:textAlignment w:val="auto"/>
        <w:rPr>
          <w:rFonts w:hint="default" w:ascii="仿宋" w:hAnsi="仿宋" w:eastAsia="仿宋" w:cs="仿宋"/>
          <w:sz w:val="32"/>
          <w:szCs w:val="3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595B4"/>
    <w:multiLevelType w:val="singleLevel"/>
    <w:tmpl w:val="A94595B4"/>
    <w:lvl w:ilvl="0" w:tentative="0">
      <w:start w:val="1"/>
      <w:numFmt w:val="bullet"/>
      <w:pStyle w:val="10"/>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ZWU5YTJjYjI4MmIyYWMwY2RkZDExZDE3NGE3NjMifQ=="/>
  </w:docVars>
  <w:rsids>
    <w:rsidRoot w:val="327F2712"/>
    <w:rsid w:val="04785EAF"/>
    <w:rsid w:val="06116054"/>
    <w:rsid w:val="0771104F"/>
    <w:rsid w:val="07A51CC9"/>
    <w:rsid w:val="0ACC76B9"/>
    <w:rsid w:val="0ACF5AE9"/>
    <w:rsid w:val="0CB26575"/>
    <w:rsid w:val="150C01AB"/>
    <w:rsid w:val="160E604F"/>
    <w:rsid w:val="175137B7"/>
    <w:rsid w:val="17DF4A00"/>
    <w:rsid w:val="195A003D"/>
    <w:rsid w:val="1F5A2057"/>
    <w:rsid w:val="20471A27"/>
    <w:rsid w:val="27082C6B"/>
    <w:rsid w:val="27662D25"/>
    <w:rsid w:val="28B47A17"/>
    <w:rsid w:val="29B2105B"/>
    <w:rsid w:val="29B33362"/>
    <w:rsid w:val="2AA046AA"/>
    <w:rsid w:val="2D605605"/>
    <w:rsid w:val="2DB729D9"/>
    <w:rsid w:val="2EDA2C36"/>
    <w:rsid w:val="306F1179"/>
    <w:rsid w:val="327F2712"/>
    <w:rsid w:val="33291843"/>
    <w:rsid w:val="342B6FA6"/>
    <w:rsid w:val="34C64C76"/>
    <w:rsid w:val="375E15ED"/>
    <w:rsid w:val="3A6B3009"/>
    <w:rsid w:val="3B087DD7"/>
    <w:rsid w:val="3B7E30FC"/>
    <w:rsid w:val="3BD86261"/>
    <w:rsid w:val="3CD75C4B"/>
    <w:rsid w:val="3E653899"/>
    <w:rsid w:val="3F151F37"/>
    <w:rsid w:val="418B67A5"/>
    <w:rsid w:val="451007E3"/>
    <w:rsid w:val="45466F9A"/>
    <w:rsid w:val="45F21CB9"/>
    <w:rsid w:val="489B7043"/>
    <w:rsid w:val="4C430BE5"/>
    <w:rsid w:val="4CC122E8"/>
    <w:rsid w:val="4D014880"/>
    <w:rsid w:val="4D072494"/>
    <w:rsid w:val="4E2000B6"/>
    <w:rsid w:val="51F47388"/>
    <w:rsid w:val="585E593F"/>
    <w:rsid w:val="589870FB"/>
    <w:rsid w:val="58FA3B5E"/>
    <w:rsid w:val="59C71C57"/>
    <w:rsid w:val="5A267F8A"/>
    <w:rsid w:val="5B854831"/>
    <w:rsid w:val="5D954F0E"/>
    <w:rsid w:val="5FED1A8F"/>
    <w:rsid w:val="60F806AE"/>
    <w:rsid w:val="647C691A"/>
    <w:rsid w:val="64FE7E9D"/>
    <w:rsid w:val="67BB14F0"/>
    <w:rsid w:val="6C4B0F62"/>
    <w:rsid w:val="6DF6D10E"/>
    <w:rsid w:val="6F1C3580"/>
    <w:rsid w:val="714F1506"/>
    <w:rsid w:val="71585A81"/>
    <w:rsid w:val="7B7D1E4E"/>
    <w:rsid w:val="7CA61DF3"/>
    <w:rsid w:val="7EA939B0"/>
    <w:rsid w:val="7F153B81"/>
    <w:rsid w:val="DEBBB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line="460" w:lineRule="exact"/>
      <w:jc w:val="left"/>
      <w:textAlignment w:val="baseline"/>
      <w:outlineLvl w:val="0"/>
    </w:pPr>
    <w:rPr>
      <w:b/>
      <w:kern w:val="44"/>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qFormat/>
    <w:uiPriority w:val="0"/>
    <w:rPr>
      <w:color w:val="0000FF"/>
      <w:u w:val="single"/>
    </w:rPr>
  </w:style>
  <w:style w:type="paragraph" w:customStyle="1" w:styleId="10">
    <w:name w:val="欧铭"/>
    <w:basedOn w:val="1"/>
    <w:qFormat/>
    <w:uiPriority w:val="0"/>
    <w:pPr>
      <w:numPr>
        <w:ilvl w:val="0"/>
        <w:numId w:val="1"/>
      </w:numPr>
      <w:pBdr>
        <w:top w:val="single" w:color="auto" w:sz="4" w:space="1"/>
        <w:left w:val="single" w:color="auto" w:sz="4" w:space="4"/>
        <w:bottom w:val="single" w:color="auto" w:sz="4" w:space="1"/>
        <w:right w:val="single" w:color="auto" w:sz="4" w:space="4"/>
      </w:pBdr>
    </w:pPr>
    <w:rPr>
      <w:rFonts w:eastAsia="华文楷体" w:asciiTheme="minorAscii" w:hAnsiTheme="minorAsci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630</Words>
  <Characters>650</Characters>
  <Lines>0</Lines>
  <Paragraphs>0</Paragraphs>
  <TotalTime>1</TotalTime>
  <ScaleCrop>false</ScaleCrop>
  <LinksUpToDate>false</LinksUpToDate>
  <CharactersWithSpaces>656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2023-07-06T05:10:00Z</dcterms:created>
  <dc:creator>人和人律师</dc:creator>
  <cp:lastModifiedBy>kylin</cp:lastModifiedBy>
  <cp:lastPrinted>2023-07-11T00:34:00Z</cp:lastPrinted>
  <dcterms:modified xsi:type="dcterms:W3CDTF">2025-05-16T21:40:24Z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0692F42FB365466E8399943E487DD773_11</vt:lpwstr>
  </property>
</Properties>
</file>