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FBF13E">
      <w:pPr>
        <w:shd w:val="clear"/>
        <w:ind w:left="0" w:leftChars="0" w:firstLine="0" w:firstLineChars="0"/>
        <w:jc w:val="left"/>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附件2</w:t>
      </w:r>
    </w:p>
    <w:p w14:paraId="129301DD">
      <w:pPr>
        <w:shd w:val="clear"/>
        <w:ind w:firstLine="420"/>
        <w:rPr>
          <w:color w:val="auto"/>
          <w:highlight w:val="none"/>
        </w:rPr>
      </w:pPr>
    </w:p>
    <w:p w14:paraId="065A6DE1">
      <w:pPr>
        <w:shd w:val="clear"/>
        <w:ind w:firstLine="420"/>
        <w:rPr>
          <w:color w:val="auto"/>
          <w:highlight w:val="none"/>
        </w:rPr>
      </w:pPr>
    </w:p>
    <w:p w14:paraId="4518BF99">
      <w:pPr>
        <w:shd w:val="clear"/>
        <w:ind w:firstLine="420"/>
        <w:rPr>
          <w:color w:val="auto"/>
          <w:highlight w:val="none"/>
        </w:rPr>
      </w:pPr>
    </w:p>
    <w:p w14:paraId="71B48757">
      <w:pPr>
        <w:shd w:val="clear"/>
        <w:spacing w:after="0" w:line="580" w:lineRule="exact"/>
        <w:ind w:left="0" w:leftChars="0" w:firstLine="0" w:firstLineChars="0"/>
        <w:jc w:val="center"/>
        <w:rPr>
          <w:rFonts w:hint="eastAsia" w:ascii="方正小标宋_GBK" w:hAnsi="方正小标宋_GBK" w:eastAsia="方正小标宋_GBK" w:cs="方正小标宋_GBK"/>
          <w:color w:val="auto"/>
          <w:sz w:val="44"/>
          <w:szCs w:val="44"/>
          <w:highlight w:val="none"/>
          <w:lang w:eastAsia="zh-CN"/>
        </w:rPr>
      </w:pPr>
      <w:r>
        <w:rPr>
          <w:rFonts w:hint="eastAsia" w:ascii="方正小标宋_GBK" w:hAnsi="方正小标宋_GBK" w:eastAsia="方正小标宋_GBK" w:cs="方正小标宋_GBK"/>
          <w:color w:val="auto"/>
          <w:sz w:val="44"/>
          <w:szCs w:val="44"/>
          <w:highlight w:val="none"/>
          <w:lang w:eastAsia="zh-CN"/>
        </w:rPr>
        <w:t>湖南省《工业企业挥发性有机物排放标准》</w:t>
      </w:r>
    </w:p>
    <w:p w14:paraId="08A82151">
      <w:pPr>
        <w:shd w:val="clear"/>
        <w:spacing w:after="0" w:line="580" w:lineRule="exact"/>
        <w:ind w:left="0" w:leftChars="0" w:firstLine="0" w:firstLineChars="0"/>
        <w:jc w:val="center"/>
        <w:rPr>
          <w:rFonts w:hint="default" w:ascii="方正小标宋_GBK" w:hAnsi="方正小标宋_GBK" w:eastAsia="方正小标宋_GBK" w:cs="方正小标宋_GBK"/>
          <w:color w:val="auto"/>
          <w:sz w:val="44"/>
          <w:szCs w:val="44"/>
          <w:highlight w:val="none"/>
          <w:lang w:val="en-US" w:eastAsia="zh-CN"/>
        </w:rPr>
      </w:pPr>
      <w:r>
        <w:rPr>
          <w:rFonts w:hint="eastAsia" w:ascii="方正小标宋_GBK" w:hAnsi="方正小标宋_GBK" w:eastAsia="方正小标宋_GBK" w:cs="方正小标宋_GBK"/>
          <w:color w:val="auto"/>
          <w:sz w:val="44"/>
          <w:szCs w:val="44"/>
          <w:highlight w:val="none"/>
          <w:lang w:val="en-US" w:eastAsia="zh-CN"/>
        </w:rPr>
        <w:t>（征求意见稿）编制说明</w:t>
      </w:r>
    </w:p>
    <w:p w14:paraId="173EC999">
      <w:pPr>
        <w:shd w:val="clear"/>
        <w:spacing w:after="0" w:line="580" w:lineRule="exact"/>
        <w:ind w:left="0" w:leftChars="0" w:firstLine="0" w:firstLineChars="0"/>
        <w:jc w:val="center"/>
        <w:rPr>
          <w:rFonts w:hint="eastAsia" w:ascii="方正小标宋_GBK" w:hAnsi="方正小标宋_GBK" w:eastAsia="方正小标宋_GBK" w:cs="方正小标宋_GBK"/>
          <w:color w:val="auto"/>
          <w:sz w:val="44"/>
          <w:szCs w:val="44"/>
          <w:highlight w:val="none"/>
          <w:lang w:eastAsia="zh-CN"/>
        </w:rPr>
      </w:pPr>
    </w:p>
    <w:p w14:paraId="68DF215A">
      <w:pPr>
        <w:shd w:val="clear"/>
        <w:ind w:firstLine="420"/>
        <w:rPr>
          <w:color w:val="auto"/>
          <w:highlight w:val="none"/>
        </w:rPr>
      </w:pPr>
    </w:p>
    <w:p w14:paraId="3C23A332">
      <w:pPr>
        <w:shd w:val="clear"/>
        <w:ind w:firstLine="420"/>
        <w:rPr>
          <w:color w:val="auto"/>
          <w:highlight w:val="none"/>
        </w:rPr>
      </w:pPr>
    </w:p>
    <w:p w14:paraId="7B5D82EF">
      <w:pPr>
        <w:shd w:val="clear"/>
        <w:ind w:firstLine="420"/>
        <w:rPr>
          <w:color w:val="auto"/>
          <w:highlight w:val="none"/>
        </w:rPr>
      </w:pPr>
    </w:p>
    <w:p w14:paraId="68214F93">
      <w:pPr>
        <w:shd w:val="clear"/>
        <w:ind w:firstLine="420"/>
        <w:rPr>
          <w:color w:val="auto"/>
          <w:highlight w:val="none"/>
        </w:rPr>
      </w:pPr>
    </w:p>
    <w:p w14:paraId="2A9866E9">
      <w:pPr>
        <w:shd w:val="clear"/>
        <w:ind w:firstLine="420"/>
        <w:rPr>
          <w:color w:val="auto"/>
          <w:highlight w:val="none"/>
        </w:rPr>
      </w:pPr>
    </w:p>
    <w:p w14:paraId="63C34222">
      <w:pPr>
        <w:shd w:val="clear"/>
        <w:ind w:firstLine="420"/>
        <w:rPr>
          <w:color w:val="auto"/>
          <w:highlight w:val="none"/>
        </w:rPr>
      </w:pPr>
    </w:p>
    <w:p w14:paraId="5468A309">
      <w:pPr>
        <w:shd w:val="clear"/>
        <w:ind w:firstLine="420"/>
        <w:rPr>
          <w:color w:val="auto"/>
          <w:highlight w:val="none"/>
        </w:rPr>
      </w:pPr>
    </w:p>
    <w:p w14:paraId="7C1A309A">
      <w:pPr>
        <w:shd w:val="clear"/>
        <w:ind w:firstLine="420"/>
        <w:rPr>
          <w:color w:val="auto"/>
          <w:highlight w:val="none"/>
        </w:rPr>
      </w:pPr>
    </w:p>
    <w:p w14:paraId="171A7676">
      <w:pPr>
        <w:shd w:val="clear"/>
        <w:ind w:firstLine="420"/>
        <w:rPr>
          <w:color w:val="auto"/>
          <w:highlight w:val="none"/>
        </w:rPr>
      </w:pPr>
    </w:p>
    <w:p w14:paraId="66B0CC41">
      <w:pPr>
        <w:shd w:val="clear"/>
        <w:ind w:firstLine="420"/>
        <w:rPr>
          <w:color w:val="auto"/>
          <w:highlight w:val="none"/>
        </w:rPr>
      </w:pPr>
    </w:p>
    <w:p w14:paraId="0A993391">
      <w:pPr>
        <w:shd w:val="clear"/>
        <w:ind w:firstLine="420"/>
        <w:rPr>
          <w:color w:val="auto"/>
          <w:highlight w:val="none"/>
        </w:rPr>
      </w:pPr>
    </w:p>
    <w:p w14:paraId="4B81B945">
      <w:pPr>
        <w:shd w:val="clear"/>
        <w:ind w:firstLine="420"/>
        <w:rPr>
          <w:color w:val="auto"/>
          <w:highlight w:val="none"/>
        </w:rPr>
      </w:pPr>
    </w:p>
    <w:p w14:paraId="46BC007F">
      <w:pPr>
        <w:shd w:val="clear"/>
        <w:ind w:firstLine="420"/>
        <w:rPr>
          <w:color w:val="auto"/>
          <w:highlight w:val="none"/>
        </w:rPr>
      </w:pPr>
    </w:p>
    <w:p w14:paraId="27FEA5C7">
      <w:pPr>
        <w:shd w:val="clear"/>
        <w:ind w:firstLine="420"/>
        <w:rPr>
          <w:color w:val="auto"/>
          <w:highlight w:val="none"/>
        </w:rPr>
      </w:pPr>
    </w:p>
    <w:p w14:paraId="2134437F">
      <w:pPr>
        <w:shd w:val="clear"/>
        <w:ind w:firstLine="420"/>
        <w:rPr>
          <w:color w:val="auto"/>
          <w:highlight w:val="none"/>
        </w:rPr>
      </w:pPr>
    </w:p>
    <w:p w14:paraId="7D46C3EC">
      <w:pPr>
        <w:shd w:val="clear"/>
        <w:ind w:firstLine="420"/>
        <w:rPr>
          <w:color w:val="auto"/>
          <w:highlight w:val="none"/>
        </w:rPr>
      </w:pPr>
    </w:p>
    <w:p w14:paraId="642D9293">
      <w:pPr>
        <w:shd w:val="clear"/>
        <w:ind w:firstLine="420"/>
        <w:rPr>
          <w:color w:val="auto"/>
          <w:highlight w:val="none"/>
        </w:rPr>
      </w:pPr>
    </w:p>
    <w:p w14:paraId="16692F22">
      <w:pPr>
        <w:shd w:val="clear"/>
        <w:spacing w:after="0" w:line="580" w:lineRule="exact"/>
        <w:ind w:left="0" w:leftChars="0" w:firstLine="0" w:firstLineChars="0"/>
        <w:jc w:val="center"/>
        <w:rPr>
          <w:rFonts w:hint="eastAsia" w:ascii="方正小标宋_GBK" w:hAnsi="方正小标宋_GBK" w:eastAsia="方正小标宋_GBK" w:cs="方正小标宋_GBK"/>
          <w:color w:val="auto"/>
          <w:sz w:val="28"/>
          <w:szCs w:val="28"/>
          <w:highlight w:val="none"/>
        </w:rPr>
      </w:pPr>
      <w:r>
        <w:rPr>
          <w:rFonts w:hint="eastAsia" w:ascii="方正小标宋_GBK" w:hAnsi="方正小标宋_GBK" w:eastAsia="方正小标宋_GBK" w:cs="方正小标宋_GBK"/>
          <w:color w:val="auto"/>
          <w:sz w:val="28"/>
          <w:szCs w:val="28"/>
          <w:highlight w:val="none"/>
          <w:lang w:eastAsia="zh-CN"/>
        </w:rPr>
        <w:t>湖南</w:t>
      </w:r>
      <w:r>
        <w:rPr>
          <w:rFonts w:hint="eastAsia" w:ascii="方正小标宋_GBK" w:hAnsi="方正小标宋_GBK" w:eastAsia="方正小标宋_GBK" w:cs="方正小标宋_GBK"/>
          <w:color w:val="auto"/>
          <w:sz w:val="28"/>
          <w:szCs w:val="28"/>
          <w:highlight w:val="none"/>
        </w:rPr>
        <w:t>省《</w:t>
      </w:r>
      <w:r>
        <w:rPr>
          <w:rFonts w:hint="eastAsia" w:ascii="方正小标宋_GBK" w:hAnsi="方正小标宋_GBK" w:eastAsia="方正小标宋_GBK" w:cs="方正小标宋_GBK"/>
          <w:color w:val="auto"/>
          <w:sz w:val="28"/>
          <w:szCs w:val="28"/>
          <w:highlight w:val="none"/>
          <w:lang w:eastAsia="zh-CN"/>
        </w:rPr>
        <w:t>工业企业挥发性有机物</w:t>
      </w:r>
      <w:r>
        <w:rPr>
          <w:rFonts w:hint="eastAsia" w:ascii="方正小标宋_GBK" w:hAnsi="方正小标宋_GBK" w:eastAsia="方正小标宋_GBK" w:cs="方正小标宋_GBK"/>
          <w:color w:val="auto"/>
          <w:sz w:val="28"/>
          <w:szCs w:val="28"/>
          <w:highlight w:val="none"/>
        </w:rPr>
        <w:t>排放标准》编制组</w:t>
      </w:r>
    </w:p>
    <w:p w14:paraId="443A6649">
      <w:pPr>
        <w:shd w:val="clear"/>
        <w:spacing w:after="0" w:line="580" w:lineRule="exact"/>
        <w:ind w:left="0" w:leftChars="0" w:firstLine="0" w:firstLineChars="0"/>
        <w:jc w:val="center"/>
        <w:rPr>
          <w:rFonts w:hint="eastAsia" w:ascii="方正小标宋_GBK" w:hAnsi="方正小标宋_GBK" w:eastAsia="方正小标宋_GBK" w:cs="方正小标宋_GBK"/>
          <w:color w:val="auto"/>
          <w:sz w:val="28"/>
          <w:szCs w:val="28"/>
          <w:highlight w:val="none"/>
        </w:rPr>
      </w:pPr>
      <w:r>
        <w:rPr>
          <w:rFonts w:hint="eastAsia" w:ascii="方正小标宋_GBK" w:hAnsi="方正小标宋_GBK" w:eastAsia="方正小标宋_GBK" w:cs="方正小标宋_GBK"/>
          <w:color w:val="auto"/>
          <w:sz w:val="28"/>
          <w:szCs w:val="28"/>
          <w:highlight w:val="none"/>
        </w:rPr>
        <w:t>二〇二</w:t>
      </w:r>
      <w:r>
        <w:rPr>
          <w:rFonts w:hint="eastAsia" w:ascii="方正小标宋_GBK" w:hAnsi="方正小标宋_GBK" w:eastAsia="方正小标宋_GBK" w:cs="方正小标宋_GBK"/>
          <w:color w:val="auto"/>
          <w:sz w:val="28"/>
          <w:szCs w:val="28"/>
          <w:highlight w:val="none"/>
          <w:lang w:val="en-US" w:eastAsia="zh-CN"/>
        </w:rPr>
        <w:t>五</w:t>
      </w:r>
      <w:r>
        <w:rPr>
          <w:rFonts w:hint="eastAsia" w:ascii="方正小标宋_GBK" w:hAnsi="方正小标宋_GBK" w:eastAsia="方正小标宋_GBK" w:cs="方正小标宋_GBK"/>
          <w:color w:val="auto"/>
          <w:sz w:val="28"/>
          <w:szCs w:val="28"/>
          <w:highlight w:val="none"/>
        </w:rPr>
        <w:t>年</w:t>
      </w:r>
      <w:r>
        <w:rPr>
          <w:rFonts w:hint="eastAsia" w:ascii="方正小标宋_GBK" w:hAnsi="方正小标宋_GBK" w:eastAsia="方正小标宋_GBK" w:cs="方正小标宋_GBK"/>
          <w:color w:val="auto"/>
          <w:sz w:val="28"/>
          <w:szCs w:val="28"/>
          <w:highlight w:val="none"/>
          <w:lang w:val="en-US" w:eastAsia="zh-CN"/>
        </w:rPr>
        <w:t>八</w:t>
      </w:r>
      <w:r>
        <w:rPr>
          <w:rFonts w:hint="eastAsia" w:ascii="方正小标宋_GBK" w:hAnsi="方正小标宋_GBK" w:eastAsia="方正小标宋_GBK" w:cs="方正小标宋_GBK"/>
          <w:color w:val="auto"/>
          <w:sz w:val="28"/>
          <w:szCs w:val="28"/>
          <w:highlight w:val="none"/>
        </w:rPr>
        <w:t>月</w:t>
      </w:r>
    </w:p>
    <w:p w14:paraId="1BD302E0">
      <w:pPr>
        <w:shd w:val="clear"/>
        <w:ind w:firstLine="420"/>
        <w:rPr>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titlePg/>
          <w:docGrid w:type="lines" w:linePitch="312" w:charSpace="0"/>
        </w:sectPr>
      </w:pPr>
    </w:p>
    <w:p w14:paraId="20C5E5E8">
      <w:pPr>
        <w:shd w:val="clear"/>
        <w:ind w:firstLine="420"/>
        <w:rPr>
          <w:color w:val="auto"/>
          <w:highlight w:val="none"/>
        </w:rPr>
      </w:pPr>
    </w:p>
    <w:p w14:paraId="31064B98">
      <w:pPr>
        <w:shd w:val="clear"/>
        <w:ind w:firstLine="420"/>
        <w:rPr>
          <w:color w:val="auto"/>
          <w:highlight w:val="none"/>
        </w:rPr>
        <w:sectPr>
          <w:footerReference r:id="rId12" w:type="firs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titlePg/>
          <w:docGrid w:type="lines" w:linePitch="312" w:charSpace="0"/>
        </w:sectPr>
      </w:pPr>
    </w:p>
    <w:sdt>
      <w:sdtPr>
        <w:rPr>
          <w:rFonts w:ascii="Times" w:hAnsi="Times" w:eastAsia="宋体" w:cstheme="minorBidi"/>
          <w:color w:val="auto"/>
          <w:kern w:val="2"/>
          <w:sz w:val="24"/>
          <w:szCs w:val="22"/>
          <w:highlight w:val="none"/>
          <w:lang w:val="zh-CN"/>
        </w:rPr>
        <w:id w:val="107171484"/>
        <w:docPartObj>
          <w:docPartGallery w:val="Table of Contents"/>
          <w:docPartUnique/>
        </w:docPartObj>
      </w:sdtPr>
      <w:sdtEndPr>
        <w:rPr>
          <w:rFonts w:ascii="Times" w:hAnsi="Times" w:eastAsia="宋体" w:cstheme="minorBidi"/>
          <w:color w:val="auto"/>
          <w:kern w:val="2"/>
          <w:sz w:val="21"/>
          <w:szCs w:val="22"/>
          <w:highlight w:val="none"/>
          <w:lang w:val="zh-CN"/>
        </w:rPr>
      </w:sdtEndPr>
      <w:sdtContent>
        <w:p w14:paraId="70C3E2D1">
          <w:pPr>
            <w:pStyle w:val="90"/>
            <w:shd w:val="clear"/>
            <w:jc w:val="center"/>
            <w:rPr>
              <w:b/>
              <w:bCs/>
              <w:color w:val="auto"/>
              <w:highlight w:val="none"/>
            </w:rPr>
          </w:pPr>
          <w:r>
            <w:rPr>
              <w:b/>
              <w:bCs/>
              <w:color w:val="auto"/>
              <w:highlight w:val="none"/>
              <w:lang w:val="zh-CN"/>
            </w:rPr>
            <w:t>目录</w:t>
          </w:r>
        </w:p>
        <w:p w14:paraId="485255F0">
          <w:pPr>
            <w:pStyle w:val="24"/>
            <w:tabs>
              <w:tab w:val="right" w:leader="dot" w:pos="9070"/>
              <w:tab w:val="clear" w:pos="8296"/>
            </w:tabs>
          </w:pPr>
          <w:r>
            <w:rPr>
              <w:color w:val="auto"/>
              <w:highlight w:val="none"/>
            </w:rPr>
            <w:fldChar w:fldCharType="begin"/>
          </w:r>
          <w:r>
            <w:rPr>
              <w:color w:val="auto"/>
              <w:highlight w:val="none"/>
            </w:rPr>
            <w:instrText xml:space="preserve"> TOC \o "1-2" \h \z \u </w:instrText>
          </w:r>
          <w:r>
            <w:rPr>
              <w:color w:val="auto"/>
              <w:highlight w:val="none"/>
            </w:rPr>
            <w:fldChar w:fldCharType="separate"/>
          </w:r>
          <w:r>
            <w:rPr>
              <w:color w:val="auto"/>
              <w:highlight w:val="none"/>
            </w:rPr>
            <w:fldChar w:fldCharType="begin"/>
          </w:r>
          <w:r>
            <w:rPr>
              <w:highlight w:val="none"/>
            </w:rPr>
            <w:instrText xml:space="preserve"> HYPERLINK \l _Toc13777 </w:instrText>
          </w:r>
          <w:r>
            <w:rPr>
              <w:highlight w:val="none"/>
            </w:rPr>
            <w:fldChar w:fldCharType="separate"/>
          </w:r>
          <w:r>
            <w:rPr>
              <w:rFonts w:hint="default"/>
            </w:rPr>
            <w:t xml:space="preserve">1. </w:t>
          </w:r>
          <w:r>
            <w:rPr>
              <w:rFonts w:hint="eastAsia"/>
              <w:highlight w:val="none"/>
              <w:lang w:val="en-US" w:eastAsia="zh-CN"/>
            </w:rPr>
            <w:t>项目背景</w:t>
          </w:r>
          <w:r>
            <w:tab/>
          </w:r>
          <w:r>
            <w:fldChar w:fldCharType="begin"/>
          </w:r>
          <w:r>
            <w:instrText xml:space="preserve"> PAGEREF _Toc13777 \h </w:instrText>
          </w:r>
          <w:r>
            <w:fldChar w:fldCharType="separate"/>
          </w:r>
          <w:r>
            <w:t>1</w:t>
          </w:r>
          <w:r>
            <w:fldChar w:fldCharType="end"/>
          </w:r>
          <w:r>
            <w:rPr>
              <w:color w:val="auto"/>
              <w:highlight w:val="none"/>
            </w:rPr>
            <w:fldChar w:fldCharType="end"/>
          </w:r>
        </w:p>
        <w:p w14:paraId="07973BCC">
          <w:pPr>
            <w:pStyle w:val="29"/>
            <w:tabs>
              <w:tab w:val="right" w:leader="dot" w:pos="9070"/>
              <w:tab w:val="clear" w:pos="8296"/>
            </w:tabs>
          </w:pPr>
          <w:r>
            <w:rPr>
              <w:color w:val="auto"/>
              <w:highlight w:val="none"/>
            </w:rPr>
            <w:fldChar w:fldCharType="begin"/>
          </w:r>
          <w:r>
            <w:rPr>
              <w:highlight w:val="none"/>
            </w:rPr>
            <w:instrText xml:space="preserve"> HYPERLINK \l _Toc21799 </w:instrText>
          </w:r>
          <w:r>
            <w:rPr>
              <w:highlight w:val="none"/>
            </w:rPr>
            <w:fldChar w:fldCharType="separate"/>
          </w:r>
          <w:r>
            <w:rPr>
              <w:rFonts w:hint="default" w:ascii="Times New Roman" w:hAnsi="Times New Roman" w:cs="Times New Roman"/>
            </w:rPr>
            <w:t xml:space="preserve">1.1. </w:t>
          </w:r>
          <w:r>
            <w:rPr>
              <w:rFonts w:hint="eastAsia"/>
              <w:highlight w:val="none"/>
              <w:lang w:eastAsia="zh-CN"/>
            </w:rPr>
            <w:t>任务来源</w:t>
          </w:r>
          <w:r>
            <w:tab/>
          </w:r>
          <w:r>
            <w:fldChar w:fldCharType="begin"/>
          </w:r>
          <w:r>
            <w:instrText xml:space="preserve"> PAGEREF _Toc21799 \h </w:instrText>
          </w:r>
          <w:r>
            <w:fldChar w:fldCharType="separate"/>
          </w:r>
          <w:r>
            <w:t>1</w:t>
          </w:r>
          <w:r>
            <w:fldChar w:fldCharType="end"/>
          </w:r>
          <w:r>
            <w:rPr>
              <w:color w:val="auto"/>
              <w:highlight w:val="none"/>
            </w:rPr>
            <w:fldChar w:fldCharType="end"/>
          </w:r>
        </w:p>
        <w:p w14:paraId="6C7ED44F">
          <w:pPr>
            <w:pStyle w:val="29"/>
            <w:tabs>
              <w:tab w:val="right" w:leader="dot" w:pos="9070"/>
              <w:tab w:val="clear" w:pos="8296"/>
            </w:tabs>
          </w:pPr>
          <w:r>
            <w:rPr>
              <w:color w:val="auto"/>
              <w:highlight w:val="none"/>
            </w:rPr>
            <w:fldChar w:fldCharType="begin"/>
          </w:r>
          <w:r>
            <w:rPr>
              <w:highlight w:val="none"/>
            </w:rPr>
            <w:instrText xml:space="preserve"> HYPERLINK \l _Toc23766 </w:instrText>
          </w:r>
          <w:r>
            <w:rPr>
              <w:highlight w:val="none"/>
            </w:rPr>
            <w:fldChar w:fldCharType="separate"/>
          </w:r>
          <w:r>
            <w:rPr>
              <w:rFonts w:hint="default" w:ascii="Times New Roman" w:hAnsi="Times New Roman" w:cs="Times New Roman"/>
              <w:lang w:eastAsia="zh-CN"/>
            </w:rPr>
            <w:t xml:space="preserve">1.2. </w:t>
          </w:r>
          <w:r>
            <w:rPr>
              <w:rFonts w:hint="eastAsia"/>
              <w:highlight w:val="none"/>
              <w:lang w:eastAsia="zh-CN"/>
            </w:rPr>
            <w:t>工作过程</w:t>
          </w:r>
          <w:r>
            <w:tab/>
          </w:r>
          <w:r>
            <w:fldChar w:fldCharType="begin"/>
          </w:r>
          <w:r>
            <w:instrText xml:space="preserve"> PAGEREF _Toc23766 \h </w:instrText>
          </w:r>
          <w:r>
            <w:fldChar w:fldCharType="separate"/>
          </w:r>
          <w:r>
            <w:t>1</w:t>
          </w:r>
          <w:r>
            <w:fldChar w:fldCharType="end"/>
          </w:r>
          <w:r>
            <w:rPr>
              <w:color w:val="auto"/>
              <w:highlight w:val="none"/>
            </w:rPr>
            <w:fldChar w:fldCharType="end"/>
          </w:r>
        </w:p>
        <w:p w14:paraId="4A449465">
          <w:pPr>
            <w:pStyle w:val="24"/>
            <w:tabs>
              <w:tab w:val="right" w:leader="dot" w:pos="9070"/>
              <w:tab w:val="clear" w:pos="8296"/>
            </w:tabs>
          </w:pPr>
          <w:r>
            <w:rPr>
              <w:color w:val="auto"/>
              <w:highlight w:val="none"/>
            </w:rPr>
            <w:fldChar w:fldCharType="begin"/>
          </w:r>
          <w:r>
            <w:rPr>
              <w:highlight w:val="none"/>
            </w:rPr>
            <w:instrText xml:space="preserve"> HYPERLINK \l _Toc15014 </w:instrText>
          </w:r>
          <w:r>
            <w:rPr>
              <w:highlight w:val="none"/>
            </w:rPr>
            <w:fldChar w:fldCharType="separate"/>
          </w:r>
          <w:r>
            <w:rPr>
              <w:rFonts w:hint="default"/>
            </w:rPr>
            <w:t xml:space="preserve">2. </w:t>
          </w:r>
          <w:r>
            <w:rPr>
              <w:rFonts w:hint="eastAsia"/>
              <w:highlight w:val="none"/>
              <w:lang w:eastAsia="zh-CN"/>
            </w:rPr>
            <w:t>湖南省工业企业</w:t>
          </w:r>
          <w:r>
            <w:rPr>
              <w:rFonts w:hint="eastAsia"/>
              <w:highlight w:val="none"/>
              <w:lang w:val="en-US" w:eastAsia="zh-CN"/>
            </w:rPr>
            <w:t>及挥发性有机物排放概况</w:t>
          </w:r>
          <w:r>
            <w:tab/>
          </w:r>
          <w:r>
            <w:fldChar w:fldCharType="begin"/>
          </w:r>
          <w:r>
            <w:instrText xml:space="preserve"> PAGEREF _Toc15014 \h </w:instrText>
          </w:r>
          <w:r>
            <w:fldChar w:fldCharType="separate"/>
          </w:r>
          <w:r>
            <w:t>2</w:t>
          </w:r>
          <w:r>
            <w:fldChar w:fldCharType="end"/>
          </w:r>
          <w:r>
            <w:rPr>
              <w:color w:val="auto"/>
              <w:highlight w:val="none"/>
            </w:rPr>
            <w:fldChar w:fldCharType="end"/>
          </w:r>
        </w:p>
        <w:p w14:paraId="3D360C2B">
          <w:pPr>
            <w:pStyle w:val="29"/>
            <w:tabs>
              <w:tab w:val="right" w:leader="dot" w:pos="9070"/>
              <w:tab w:val="clear" w:pos="8296"/>
            </w:tabs>
          </w:pPr>
          <w:r>
            <w:rPr>
              <w:color w:val="auto"/>
              <w:highlight w:val="none"/>
            </w:rPr>
            <w:fldChar w:fldCharType="begin"/>
          </w:r>
          <w:r>
            <w:rPr>
              <w:highlight w:val="none"/>
            </w:rPr>
            <w:instrText xml:space="preserve"> HYPERLINK \l _Toc4300 </w:instrText>
          </w:r>
          <w:r>
            <w:rPr>
              <w:highlight w:val="none"/>
            </w:rPr>
            <w:fldChar w:fldCharType="separate"/>
          </w:r>
          <w:r>
            <w:rPr>
              <w:rFonts w:hint="default" w:ascii="Times New Roman" w:hAnsi="Times New Roman" w:cs="Times New Roman"/>
            </w:rPr>
            <w:t xml:space="preserve">2.1. </w:t>
          </w:r>
          <w:r>
            <w:rPr>
              <w:rFonts w:hint="eastAsia"/>
              <w:highlight w:val="none"/>
              <w:lang w:eastAsia="zh-CN"/>
            </w:rPr>
            <w:t>工业企业</w:t>
          </w:r>
          <w:r>
            <w:rPr>
              <w:rFonts w:hint="eastAsia"/>
              <w:highlight w:val="none"/>
              <w:lang w:val="en-US" w:eastAsia="zh-CN"/>
            </w:rPr>
            <w:t>概况</w:t>
          </w:r>
          <w:r>
            <w:tab/>
          </w:r>
          <w:r>
            <w:fldChar w:fldCharType="begin"/>
          </w:r>
          <w:r>
            <w:instrText xml:space="preserve"> PAGEREF _Toc4300 \h </w:instrText>
          </w:r>
          <w:r>
            <w:fldChar w:fldCharType="separate"/>
          </w:r>
          <w:r>
            <w:t>2</w:t>
          </w:r>
          <w:r>
            <w:fldChar w:fldCharType="end"/>
          </w:r>
          <w:r>
            <w:rPr>
              <w:color w:val="auto"/>
              <w:highlight w:val="none"/>
            </w:rPr>
            <w:fldChar w:fldCharType="end"/>
          </w:r>
        </w:p>
        <w:p w14:paraId="0ADA0F5F">
          <w:pPr>
            <w:pStyle w:val="29"/>
            <w:tabs>
              <w:tab w:val="right" w:leader="dot" w:pos="9070"/>
              <w:tab w:val="clear" w:pos="8296"/>
            </w:tabs>
          </w:pPr>
          <w:r>
            <w:rPr>
              <w:color w:val="auto"/>
              <w:highlight w:val="none"/>
            </w:rPr>
            <w:fldChar w:fldCharType="begin"/>
          </w:r>
          <w:r>
            <w:rPr>
              <w:highlight w:val="none"/>
            </w:rPr>
            <w:instrText xml:space="preserve"> HYPERLINK \l _Toc5383 </w:instrText>
          </w:r>
          <w:r>
            <w:rPr>
              <w:highlight w:val="none"/>
            </w:rPr>
            <w:fldChar w:fldCharType="separate"/>
          </w:r>
          <w:r>
            <w:rPr>
              <w:rFonts w:hint="default" w:ascii="Times New Roman" w:hAnsi="Times New Roman" w:cs="Times New Roman"/>
            </w:rPr>
            <w:t xml:space="preserve">2.2. </w:t>
          </w:r>
          <w:r>
            <w:rPr>
              <w:rFonts w:hint="eastAsia"/>
              <w:highlight w:val="none"/>
              <w:lang w:eastAsia="zh-CN"/>
            </w:rPr>
            <w:t>挥发性有机物的</w:t>
          </w:r>
          <w:r>
            <w:rPr>
              <w:rFonts w:hint="eastAsia"/>
              <w:highlight w:val="none"/>
              <w:lang w:val="en-US" w:eastAsia="zh-CN"/>
            </w:rPr>
            <w:t>主要来源</w:t>
          </w:r>
          <w:r>
            <w:tab/>
          </w:r>
          <w:r>
            <w:fldChar w:fldCharType="begin"/>
          </w:r>
          <w:r>
            <w:instrText xml:space="preserve"> PAGEREF _Toc5383 \h </w:instrText>
          </w:r>
          <w:r>
            <w:fldChar w:fldCharType="separate"/>
          </w:r>
          <w:r>
            <w:t>5</w:t>
          </w:r>
          <w:r>
            <w:fldChar w:fldCharType="end"/>
          </w:r>
          <w:r>
            <w:rPr>
              <w:color w:val="auto"/>
              <w:highlight w:val="none"/>
            </w:rPr>
            <w:fldChar w:fldCharType="end"/>
          </w:r>
        </w:p>
        <w:p w14:paraId="0D6A4CF3">
          <w:pPr>
            <w:pStyle w:val="29"/>
            <w:tabs>
              <w:tab w:val="right" w:leader="dot" w:pos="9070"/>
              <w:tab w:val="clear" w:pos="8296"/>
            </w:tabs>
          </w:pPr>
          <w:r>
            <w:rPr>
              <w:color w:val="auto"/>
              <w:highlight w:val="none"/>
            </w:rPr>
            <w:fldChar w:fldCharType="begin"/>
          </w:r>
          <w:r>
            <w:rPr>
              <w:highlight w:val="none"/>
            </w:rPr>
            <w:instrText xml:space="preserve"> HYPERLINK \l _Toc13312 </w:instrText>
          </w:r>
          <w:r>
            <w:rPr>
              <w:highlight w:val="none"/>
            </w:rPr>
            <w:fldChar w:fldCharType="separate"/>
          </w:r>
          <w:r>
            <w:rPr>
              <w:rFonts w:hint="default" w:ascii="Times New Roman" w:hAnsi="Times New Roman" w:cs="Times New Roman"/>
            </w:rPr>
            <w:t xml:space="preserve">2.3. </w:t>
          </w:r>
          <w:r>
            <w:rPr>
              <w:rFonts w:hint="eastAsia"/>
              <w:highlight w:val="none"/>
              <w:lang w:val="en-US" w:eastAsia="zh-CN"/>
            </w:rPr>
            <w:t>工业企业</w:t>
          </w:r>
          <w:r>
            <w:rPr>
              <w:rFonts w:hint="eastAsia"/>
              <w:highlight w:val="none"/>
              <w:lang w:eastAsia="zh-CN"/>
            </w:rPr>
            <w:t>挥发性有机物</w:t>
          </w:r>
          <w:r>
            <w:rPr>
              <w:rFonts w:hint="eastAsia"/>
              <w:highlight w:val="none"/>
              <w:lang w:val="en-US" w:eastAsia="zh-CN"/>
            </w:rPr>
            <w:t>排放概况</w:t>
          </w:r>
          <w:r>
            <w:tab/>
          </w:r>
          <w:r>
            <w:fldChar w:fldCharType="begin"/>
          </w:r>
          <w:r>
            <w:instrText xml:space="preserve"> PAGEREF _Toc13312 \h </w:instrText>
          </w:r>
          <w:r>
            <w:fldChar w:fldCharType="separate"/>
          </w:r>
          <w:r>
            <w:t>6</w:t>
          </w:r>
          <w:r>
            <w:fldChar w:fldCharType="end"/>
          </w:r>
          <w:r>
            <w:rPr>
              <w:color w:val="auto"/>
              <w:highlight w:val="none"/>
            </w:rPr>
            <w:fldChar w:fldCharType="end"/>
          </w:r>
        </w:p>
        <w:p w14:paraId="4ECEB134">
          <w:pPr>
            <w:pStyle w:val="24"/>
            <w:tabs>
              <w:tab w:val="right" w:leader="dot" w:pos="9070"/>
              <w:tab w:val="clear" w:pos="8296"/>
            </w:tabs>
          </w:pPr>
          <w:r>
            <w:rPr>
              <w:color w:val="auto"/>
              <w:highlight w:val="none"/>
            </w:rPr>
            <w:fldChar w:fldCharType="begin"/>
          </w:r>
          <w:r>
            <w:rPr>
              <w:highlight w:val="none"/>
            </w:rPr>
            <w:instrText xml:space="preserve"> HYPERLINK \l _Toc21764 </w:instrText>
          </w:r>
          <w:r>
            <w:rPr>
              <w:highlight w:val="none"/>
            </w:rPr>
            <w:fldChar w:fldCharType="separate"/>
          </w:r>
          <w:r>
            <w:rPr>
              <w:rFonts w:hint="default"/>
            </w:rPr>
            <w:t xml:space="preserve">3. </w:t>
          </w:r>
          <w:r>
            <w:rPr>
              <w:rFonts w:hint="eastAsia"/>
              <w:highlight w:val="none"/>
              <w:lang w:eastAsia="zh-CN"/>
            </w:rPr>
            <w:t>标准编制必要性</w:t>
          </w:r>
          <w:r>
            <w:rPr>
              <w:rFonts w:hint="eastAsia"/>
              <w:highlight w:val="none"/>
              <w:lang w:val="en-US" w:eastAsia="zh-CN"/>
            </w:rPr>
            <w:t>与可行性</w:t>
          </w:r>
          <w:r>
            <w:rPr>
              <w:rFonts w:hint="eastAsia"/>
              <w:highlight w:val="none"/>
              <w:lang w:eastAsia="zh-CN"/>
            </w:rPr>
            <w:t>分析</w:t>
          </w:r>
          <w:r>
            <w:tab/>
          </w:r>
          <w:r>
            <w:fldChar w:fldCharType="begin"/>
          </w:r>
          <w:r>
            <w:instrText xml:space="preserve"> PAGEREF _Toc21764 \h </w:instrText>
          </w:r>
          <w:r>
            <w:fldChar w:fldCharType="separate"/>
          </w:r>
          <w:r>
            <w:t>7</w:t>
          </w:r>
          <w:r>
            <w:fldChar w:fldCharType="end"/>
          </w:r>
          <w:r>
            <w:rPr>
              <w:color w:val="auto"/>
              <w:highlight w:val="none"/>
            </w:rPr>
            <w:fldChar w:fldCharType="end"/>
          </w:r>
        </w:p>
        <w:p w14:paraId="3EF918F9">
          <w:pPr>
            <w:pStyle w:val="29"/>
            <w:tabs>
              <w:tab w:val="right" w:leader="dot" w:pos="9070"/>
              <w:tab w:val="clear" w:pos="8296"/>
            </w:tabs>
          </w:pPr>
          <w:r>
            <w:rPr>
              <w:color w:val="auto"/>
              <w:highlight w:val="none"/>
            </w:rPr>
            <w:fldChar w:fldCharType="begin"/>
          </w:r>
          <w:r>
            <w:rPr>
              <w:highlight w:val="none"/>
            </w:rPr>
            <w:instrText xml:space="preserve"> HYPERLINK \l _Toc13664 </w:instrText>
          </w:r>
          <w:r>
            <w:rPr>
              <w:highlight w:val="none"/>
            </w:rPr>
            <w:fldChar w:fldCharType="separate"/>
          </w:r>
          <w:r>
            <w:rPr>
              <w:rFonts w:hint="default" w:ascii="Times New Roman" w:hAnsi="Times New Roman" w:cs="Times New Roman"/>
            </w:rPr>
            <w:t xml:space="preserve">3.1. </w:t>
          </w:r>
          <w:r>
            <w:rPr>
              <w:rFonts w:hint="eastAsia"/>
              <w:highlight w:val="none"/>
              <w:lang w:eastAsia="zh-CN"/>
            </w:rPr>
            <w:t>深入打好蓝天保卫战的需要</w:t>
          </w:r>
          <w:r>
            <w:tab/>
          </w:r>
          <w:r>
            <w:fldChar w:fldCharType="begin"/>
          </w:r>
          <w:r>
            <w:instrText xml:space="preserve"> PAGEREF _Toc13664 \h </w:instrText>
          </w:r>
          <w:r>
            <w:fldChar w:fldCharType="separate"/>
          </w:r>
          <w:r>
            <w:t>7</w:t>
          </w:r>
          <w:r>
            <w:fldChar w:fldCharType="end"/>
          </w:r>
          <w:r>
            <w:rPr>
              <w:color w:val="auto"/>
              <w:highlight w:val="none"/>
            </w:rPr>
            <w:fldChar w:fldCharType="end"/>
          </w:r>
        </w:p>
        <w:p w14:paraId="0A917BD3">
          <w:pPr>
            <w:pStyle w:val="29"/>
            <w:tabs>
              <w:tab w:val="right" w:leader="dot" w:pos="9070"/>
              <w:tab w:val="clear" w:pos="8296"/>
            </w:tabs>
          </w:pPr>
          <w:r>
            <w:rPr>
              <w:color w:val="auto"/>
              <w:highlight w:val="none"/>
            </w:rPr>
            <w:fldChar w:fldCharType="begin"/>
          </w:r>
          <w:r>
            <w:rPr>
              <w:highlight w:val="none"/>
            </w:rPr>
            <w:instrText xml:space="preserve"> HYPERLINK \l _Toc21125 </w:instrText>
          </w:r>
          <w:r>
            <w:rPr>
              <w:highlight w:val="none"/>
            </w:rPr>
            <w:fldChar w:fldCharType="separate"/>
          </w:r>
          <w:r>
            <w:rPr>
              <w:rFonts w:hint="default" w:ascii="Times New Roman" w:hAnsi="Times New Roman" w:cs="Times New Roman"/>
            </w:rPr>
            <w:t xml:space="preserve">3.2. </w:t>
          </w:r>
          <w:r>
            <w:rPr>
              <w:rFonts w:hint="eastAsia"/>
              <w:highlight w:val="none"/>
              <w:lang w:val="en-US" w:eastAsia="zh-CN"/>
            </w:rPr>
            <w:t>建设美丽湖南</w:t>
          </w:r>
          <w:r>
            <w:rPr>
              <w:rFonts w:hint="eastAsia"/>
              <w:highlight w:val="none"/>
            </w:rPr>
            <w:t>促进</w:t>
          </w:r>
          <w:r>
            <w:rPr>
              <w:rFonts w:hint="eastAsia"/>
              <w:highlight w:val="none"/>
              <w:lang w:eastAsia="zh-CN"/>
            </w:rPr>
            <w:t>湖南</w:t>
          </w:r>
          <w:r>
            <w:rPr>
              <w:rFonts w:hint="eastAsia"/>
              <w:highlight w:val="none"/>
            </w:rPr>
            <w:t>省工业企业行业发展的需要</w:t>
          </w:r>
          <w:r>
            <w:tab/>
          </w:r>
          <w:r>
            <w:fldChar w:fldCharType="begin"/>
          </w:r>
          <w:r>
            <w:instrText xml:space="preserve"> PAGEREF _Toc21125 \h </w:instrText>
          </w:r>
          <w:r>
            <w:fldChar w:fldCharType="separate"/>
          </w:r>
          <w:r>
            <w:t>8</w:t>
          </w:r>
          <w:r>
            <w:fldChar w:fldCharType="end"/>
          </w:r>
          <w:r>
            <w:rPr>
              <w:color w:val="auto"/>
              <w:highlight w:val="none"/>
            </w:rPr>
            <w:fldChar w:fldCharType="end"/>
          </w:r>
        </w:p>
        <w:p w14:paraId="38E324EB">
          <w:pPr>
            <w:pStyle w:val="29"/>
            <w:tabs>
              <w:tab w:val="right" w:leader="dot" w:pos="9070"/>
              <w:tab w:val="clear" w:pos="8296"/>
            </w:tabs>
          </w:pPr>
          <w:r>
            <w:rPr>
              <w:color w:val="auto"/>
              <w:highlight w:val="none"/>
            </w:rPr>
            <w:fldChar w:fldCharType="begin"/>
          </w:r>
          <w:r>
            <w:rPr>
              <w:highlight w:val="none"/>
            </w:rPr>
            <w:instrText xml:space="preserve"> HYPERLINK \l _Toc26394 </w:instrText>
          </w:r>
          <w:r>
            <w:rPr>
              <w:highlight w:val="none"/>
            </w:rPr>
            <w:fldChar w:fldCharType="separate"/>
          </w:r>
          <w:r>
            <w:rPr>
              <w:rFonts w:hint="default" w:ascii="Times New Roman" w:hAnsi="Times New Roman" w:cs="Times New Roman"/>
            </w:rPr>
            <w:t xml:space="preserve">3.3. </w:t>
          </w:r>
          <w:r>
            <w:rPr>
              <w:rFonts w:hint="eastAsia"/>
              <w:highlight w:val="none"/>
            </w:rPr>
            <w:t>与现行国家和地方标准相协调的需要</w:t>
          </w:r>
          <w:r>
            <w:tab/>
          </w:r>
          <w:r>
            <w:fldChar w:fldCharType="begin"/>
          </w:r>
          <w:r>
            <w:instrText xml:space="preserve"> PAGEREF _Toc26394 \h </w:instrText>
          </w:r>
          <w:r>
            <w:fldChar w:fldCharType="separate"/>
          </w:r>
          <w:r>
            <w:t>8</w:t>
          </w:r>
          <w:r>
            <w:fldChar w:fldCharType="end"/>
          </w:r>
          <w:r>
            <w:rPr>
              <w:color w:val="auto"/>
              <w:highlight w:val="none"/>
            </w:rPr>
            <w:fldChar w:fldCharType="end"/>
          </w:r>
        </w:p>
        <w:p w14:paraId="297C7393">
          <w:pPr>
            <w:pStyle w:val="29"/>
            <w:tabs>
              <w:tab w:val="right" w:leader="dot" w:pos="9070"/>
              <w:tab w:val="clear" w:pos="8296"/>
            </w:tabs>
          </w:pPr>
          <w:r>
            <w:rPr>
              <w:color w:val="auto"/>
              <w:highlight w:val="none"/>
            </w:rPr>
            <w:fldChar w:fldCharType="begin"/>
          </w:r>
          <w:r>
            <w:rPr>
              <w:highlight w:val="none"/>
            </w:rPr>
            <w:instrText xml:space="preserve"> HYPERLINK \l _Toc12611 </w:instrText>
          </w:r>
          <w:r>
            <w:rPr>
              <w:highlight w:val="none"/>
            </w:rPr>
            <w:fldChar w:fldCharType="separate"/>
          </w:r>
          <w:r>
            <w:rPr>
              <w:rFonts w:hint="default" w:ascii="Times New Roman" w:hAnsi="Times New Roman" w:cs="Times New Roman"/>
            </w:rPr>
            <w:t xml:space="preserve">3.4. </w:t>
          </w:r>
          <w:r>
            <w:rPr>
              <w:rFonts w:hint="eastAsia"/>
              <w:highlight w:val="none"/>
            </w:rPr>
            <w:t>标准制定符合国家和湖南省标准化工作发展方向</w:t>
          </w:r>
          <w:r>
            <w:tab/>
          </w:r>
          <w:r>
            <w:fldChar w:fldCharType="begin"/>
          </w:r>
          <w:r>
            <w:instrText xml:space="preserve"> PAGEREF _Toc12611 \h </w:instrText>
          </w:r>
          <w:r>
            <w:fldChar w:fldCharType="separate"/>
          </w:r>
          <w:r>
            <w:t>9</w:t>
          </w:r>
          <w:r>
            <w:fldChar w:fldCharType="end"/>
          </w:r>
          <w:r>
            <w:rPr>
              <w:color w:val="auto"/>
              <w:highlight w:val="none"/>
            </w:rPr>
            <w:fldChar w:fldCharType="end"/>
          </w:r>
        </w:p>
        <w:p w14:paraId="298FBA24">
          <w:pPr>
            <w:pStyle w:val="24"/>
            <w:tabs>
              <w:tab w:val="right" w:leader="dot" w:pos="9070"/>
              <w:tab w:val="clear" w:pos="8296"/>
            </w:tabs>
          </w:pPr>
          <w:r>
            <w:rPr>
              <w:color w:val="auto"/>
              <w:highlight w:val="none"/>
            </w:rPr>
            <w:fldChar w:fldCharType="begin"/>
          </w:r>
          <w:r>
            <w:rPr>
              <w:highlight w:val="none"/>
            </w:rPr>
            <w:instrText xml:space="preserve"> HYPERLINK \l _Toc5948 </w:instrText>
          </w:r>
          <w:r>
            <w:rPr>
              <w:highlight w:val="none"/>
            </w:rPr>
            <w:fldChar w:fldCharType="separate"/>
          </w:r>
          <w:r>
            <w:rPr>
              <w:rFonts w:hint="default"/>
            </w:rPr>
            <w:t xml:space="preserve">4. </w:t>
          </w:r>
          <w:r>
            <w:rPr>
              <w:rFonts w:hint="eastAsia"/>
              <w:highlight w:val="none"/>
              <w:lang w:val="en-US" w:eastAsia="zh-CN"/>
            </w:rPr>
            <w:t>湖南省工业企业挥发性有机物排放</w:t>
          </w:r>
          <w:r>
            <w:rPr>
              <w:rFonts w:hint="eastAsia"/>
              <w:highlight w:val="none"/>
              <w:lang w:eastAsia="zh-CN"/>
            </w:rPr>
            <w:t>现状及污染防治技术分析</w:t>
          </w:r>
          <w:r>
            <w:tab/>
          </w:r>
          <w:r>
            <w:fldChar w:fldCharType="begin"/>
          </w:r>
          <w:r>
            <w:instrText xml:space="preserve"> PAGEREF _Toc5948 \h </w:instrText>
          </w:r>
          <w:r>
            <w:fldChar w:fldCharType="separate"/>
          </w:r>
          <w:r>
            <w:t>9</w:t>
          </w:r>
          <w:r>
            <w:fldChar w:fldCharType="end"/>
          </w:r>
          <w:r>
            <w:rPr>
              <w:color w:val="auto"/>
              <w:highlight w:val="none"/>
            </w:rPr>
            <w:fldChar w:fldCharType="end"/>
          </w:r>
        </w:p>
        <w:p w14:paraId="701C86D8">
          <w:pPr>
            <w:pStyle w:val="29"/>
            <w:tabs>
              <w:tab w:val="right" w:leader="dot" w:pos="9070"/>
              <w:tab w:val="clear" w:pos="8296"/>
            </w:tabs>
          </w:pPr>
          <w:r>
            <w:rPr>
              <w:color w:val="auto"/>
              <w:highlight w:val="none"/>
            </w:rPr>
            <w:fldChar w:fldCharType="begin"/>
          </w:r>
          <w:r>
            <w:rPr>
              <w:highlight w:val="none"/>
            </w:rPr>
            <w:instrText xml:space="preserve"> HYPERLINK \l _Toc17252 </w:instrText>
          </w:r>
          <w:r>
            <w:rPr>
              <w:highlight w:val="none"/>
            </w:rPr>
            <w:fldChar w:fldCharType="separate"/>
          </w:r>
          <w:r>
            <w:rPr>
              <w:rFonts w:hint="default" w:ascii="Times New Roman" w:hAnsi="Times New Roman" w:cs="Times New Roman"/>
            </w:rPr>
            <w:t xml:space="preserve">4.1. </w:t>
          </w:r>
          <w:r>
            <w:rPr>
              <w:rFonts w:hint="eastAsia"/>
              <w:highlight w:val="none"/>
            </w:rPr>
            <w:t>行业产排污</w:t>
          </w:r>
          <w:r>
            <w:rPr>
              <w:rFonts w:hint="eastAsia"/>
              <w:highlight w:val="none"/>
              <w:lang w:val="en-US" w:eastAsia="zh-CN"/>
            </w:rPr>
            <w:t>环节分析</w:t>
          </w:r>
          <w:r>
            <w:tab/>
          </w:r>
          <w:r>
            <w:fldChar w:fldCharType="begin"/>
          </w:r>
          <w:r>
            <w:instrText xml:space="preserve"> PAGEREF _Toc17252 \h </w:instrText>
          </w:r>
          <w:r>
            <w:fldChar w:fldCharType="separate"/>
          </w:r>
          <w:r>
            <w:t>9</w:t>
          </w:r>
          <w:r>
            <w:fldChar w:fldCharType="end"/>
          </w:r>
          <w:r>
            <w:rPr>
              <w:color w:val="auto"/>
              <w:highlight w:val="none"/>
            </w:rPr>
            <w:fldChar w:fldCharType="end"/>
          </w:r>
        </w:p>
        <w:p w14:paraId="01279A61">
          <w:pPr>
            <w:pStyle w:val="29"/>
            <w:tabs>
              <w:tab w:val="right" w:leader="dot" w:pos="9070"/>
              <w:tab w:val="clear" w:pos="8296"/>
            </w:tabs>
          </w:pPr>
          <w:r>
            <w:rPr>
              <w:color w:val="auto"/>
              <w:highlight w:val="none"/>
            </w:rPr>
            <w:fldChar w:fldCharType="begin"/>
          </w:r>
          <w:r>
            <w:rPr>
              <w:highlight w:val="none"/>
            </w:rPr>
            <w:instrText xml:space="preserve"> HYPERLINK \l _Toc25185 </w:instrText>
          </w:r>
          <w:r>
            <w:rPr>
              <w:highlight w:val="none"/>
            </w:rPr>
            <w:fldChar w:fldCharType="separate"/>
          </w:r>
          <w:r>
            <w:rPr>
              <w:rFonts w:hint="default" w:ascii="Times New Roman" w:hAnsi="Times New Roman" w:cs="Times New Roman"/>
            </w:rPr>
            <w:t xml:space="preserve">4.2. </w:t>
          </w:r>
          <w:r>
            <w:rPr>
              <w:rFonts w:hint="eastAsia"/>
              <w:highlight w:val="none"/>
            </w:rPr>
            <w:t>行业产排污现状</w:t>
          </w:r>
          <w:r>
            <w:tab/>
          </w:r>
          <w:r>
            <w:fldChar w:fldCharType="begin"/>
          </w:r>
          <w:r>
            <w:instrText xml:space="preserve"> PAGEREF _Toc25185 \h </w:instrText>
          </w:r>
          <w:r>
            <w:fldChar w:fldCharType="separate"/>
          </w:r>
          <w:r>
            <w:t>16</w:t>
          </w:r>
          <w:r>
            <w:fldChar w:fldCharType="end"/>
          </w:r>
          <w:r>
            <w:rPr>
              <w:color w:val="auto"/>
              <w:highlight w:val="none"/>
            </w:rPr>
            <w:fldChar w:fldCharType="end"/>
          </w:r>
        </w:p>
        <w:p w14:paraId="03460B88">
          <w:pPr>
            <w:pStyle w:val="29"/>
            <w:tabs>
              <w:tab w:val="right" w:leader="dot" w:pos="9070"/>
              <w:tab w:val="clear" w:pos="8296"/>
            </w:tabs>
          </w:pPr>
          <w:r>
            <w:rPr>
              <w:color w:val="auto"/>
              <w:highlight w:val="none"/>
            </w:rPr>
            <w:fldChar w:fldCharType="begin"/>
          </w:r>
          <w:r>
            <w:rPr>
              <w:highlight w:val="none"/>
            </w:rPr>
            <w:instrText xml:space="preserve"> HYPERLINK \l _Toc8699 </w:instrText>
          </w:r>
          <w:r>
            <w:rPr>
              <w:highlight w:val="none"/>
            </w:rPr>
            <w:fldChar w:fldCharType="separate"/>
          </w:r>
          <w:r>
            <w:rPr>
              <w:rFonts w:hint="default" w:ascii="Times New Roman" w:hAnsi="Times New Roman" w:cs="Times New Roman"/>
            </w:rPr>
            <w:t xml:space="preserve">4.3. </w:t>
          </w:r>
          <w:r>
            <w:rPr>
              <w:rFonts w:hint="eastAsia"/>
              <w:highlight w:val="none"/>
              <w:lang w:val="en-US" w:eastAsia="zh-CN"/>
            </w:rPr>
            <w:t>挥发性有机物</w:t>
          </w:r>
          <w:r>
            <w:rPr>
              <w:rFonts w:hint="eastAsia"/>
              <w:highlight w:val="none"/>
            </w:rPr>
            <w:t>污染防治技术</w:t>
          </w:r>
          <w:r>
            <w:tab/>
          </w:r>
          <w:r>
            <w:fldChar w:fldCharType="begin"/>
          </w:r>
          <w:r>
            <w:instrText xml:space="preserve"> PAGEREF _Toc8699 \h </w:instrText>
          </w:r>
          <w:r>
            <w:fldChar w:fldCharType="separate"/>
          </w:r>
          <w:r>
            <w:t>30</w:t>
          </w:r>
          <w:r>
            <w:fldChar w:fldCharType="end"/>
          </w:r>
          <w:r>
            <w:rPr>
              <w:color w:val="auto"/>
              <w:highlight w:val="none"/>
            </w:rPr>
            <w:fldChar w:fldCharType="end"/>
          </w:r>
        </w:p>
        <w:p w14:paraId="6CD375D2">
          <w:pPr>
            <w:pStyle w:val="24"/>
            <w:tabs>
              <w:tab w:val="right" w:leader="dot" w:pos="9070"/>
              <w:tab w:val="clear" w:pos="8296"/>
            </w:tabs>
          </w:pPr>
          <w:r>
            <w:rPr>
              <w:color w:val="auto"/>
              <w:highlight w:val="none"/>
            </w:rPr>
            <w:fldChar w:fldCharType="begin"/>
          </w:r>
          <w:r>
            <w:rPr>
              <w:highlight w:val="none"/>
            </w:rPr>
            <w:instrText xml:space="preserve"> HYPERLINK \l _Toc14506 </w:instrText>
          </w:r>
          <w:r>
            <w:rPr>
              <w:highlight w:val="none"/>
            </w:rPr>
            <w:fldChar w:fldCharType="separate"/>
          </w:r>
          <w:r>
            <w:rPr>
              <w:rFonts w:hint="default"/>
            </w:rPr>
            <w:t xml:space="preserve">5. </w:t>
          </w:r>
          <w:r>
            <w:rPr>
              <w:rFonts w:hint="eastAsia"/>
              <w:highlight w:val="none"/>
              <w:lang w:val="en-US" w:eastAsia="zh-CN"/>
            </w:rPr>
            <w:t>标准制订的基本原则和技术路线</w:t>
          </w:r>
          <w:r>
            <w:tab/>
          </w:r>
          <w:r>
            <w:fldChar w:fldCharType="begin"/>
          </w:r>
          <w:r>
            <w:instrText xml:space="preserve"> PAGEREF _Toc14506 \h </w:instrText>
          </w:r>
          <w:r>
            <w:fldChar w:fldCharType="separate"/>
          </w:r>
          <w:r>
            <w:t>32</w:t>
          </w:r>
          <w:r>
            <w:fldChar w:fldCharType="end"/>
          </w:r>
          <w:r>
            <w:rPr>
              <w:color w:val="auto"/>
              <w:highlight w:val="none"/>
            </w:rPr>
            <w:fldChar w:fldCharType="end"/>
          </w:r>
        </w:p>
        <w:p w14:paraId="1C545269">
          <w:pPr>
            <w:pStyle w:val="29"/>
            <w:tabs>
              <w:tab w:val="right" w:leader="dot" w:pos="9070"/>
              <w:tab w:val="clear" w:pos="8296"/>
            </w:tabs>
          </w:pPr>
          <w:r>
            <w:rPr>
              <w:color w:val="auto"/>
              <w:highlight w:val="none"/>
            </w:rPr>
            <w:fldChar w:fldCharType="begin"/>
          </w:r>
          <w:r>
            <w:rPr>
              <w:highlight w:val="none"/>
            </w:rPr>
            <w:instrText xml:space="preserve"> HYPERLINK \l _Toc12952 </w:instrText>
          </w:r>
          <w:r>
            <w:rPr>
              <w:highlight w:val="none"/>
            </w:rPr>
            <w:fldChar w:fldCharType="separate"/>
          </w:r>
          <w:r>
            <w:rPr>
              <w:rFonts w:hint="default" w:ascii="Times New Roman" w:hAnsi="Times New Roman" w:cs="Times New Roman"/>
            </w:rPr>
            <w:t xml:space="preserve">5.1. </w:t>
          </w:r>
          <w:r>
            <w:rPr>
              <w:rFonts w:hint="eastAsia"/>
              <w:highlight w:val="none"/>
            </w:rPr>
            <w:t>编制原则</w:t>
          </w:r>
          <w:r>
            <w:tab/>
          </w:r>
          <w:r>
            <w:fldChar w:fldCharType="begin"/>
          </w:r>
          <w:r>
            <w:instrText xml:space="preserve"> PAGEREF _Toc12952 \h </w:instrText>
          </w:r>
          <w:r>
            <w:fldChar w:fldCharType="separate"/>
          </w:r>
          <w:r>
            <w:t>32</w:t>
          </w:r>
          <w:r>
            <w:fldChar w:fldCharType="end"/>
          </w:r>
          <w:r>
            <w:rPr>
              <w:color w:val="auto"/>
              <w:highlight w:val="none"/>
            </w:rPr>
            <w:fldChar w:fldCharType="end"/>
          </w:r>
        </w:p>
        <w:p w14:paraId="478D1E77">
          <w:pPr>
            <w:pStyle w:val="29"/>
            <w:tabs>
              <w:tab w:val="right" w:leader="dot" w:pos="9070"/>
              <w:tab w:val="clear" w:pos="8296"/>
            </w:tabs>
          </w:pPr>
          <w:r>
            <w:rPr>
              <w:color w:val="auto"/>
              <w:highlight w:val="none"/>
            </w:rPr>
            <w:fldChar w:fldCharType="begin"/>
          </w:r>
          <w:r>
            <w:rPr>
              <w:highlight w:val="none"/>
            </w:rPr>
            <w:instrText xml:space="preserve"> HYPERLINK \l _Toc3985 </w:instrText>
          </w:r>
          <w:r>
            <w:rPr>
              <w:highlight w:val="none"/>
            </w:rPr>
            <w:fldChar w:fldCharType="separate"/>
          </w:r>
          <w:r>
            <w:rPr>
              <w:rFonts w:hint="default" w:ascii="Times New Roman" w:hAnsi="Times New Roman" w:cs="Times New Roman"/>
            </w:rPr>
            <w:t xml:space="preserve">5.2. </w:t>
          </w:r>
          <w:r>
            <w:rPr>
              <w:rFonts w:hint="eastAsia"/>
              <w:highlight w:val="none"/>
              <w:lang w:eastAsia="zh-CN"/>
            </w:rPr>
            <w:t>标准定位</w:t>
          </w:r>
          <w:r>
            <w:tab/>
          </w:r>
          <w:r>
            <w:fldChar w:fldCharType="begin"/>
          </w:r>
          <w:r>
            <w:instrText xml:space="preserve"> PAGEREF _Toc3985 \h </w:instrText>
          </w:r>
          <w:r>
            <w:fldChar w:fldCharType="separate"/>
          </w:r>
          <w:r>
            <w:t>33</w:t>
          </w:r>
          <w:r>
            <w:fldChar w:fldCharType="end"/>
          </w:r>
          <w:r>
            <w:rPr>
              <w:color w:val="auto"/>
              <w:highlight w:val="none"/>
            </w:rPr>
            <w:fldChar w:fldCharType="end"/>
          </w:r>
        </w:p>
        <w:p w14:paraId="619039FF">
          <w:pPr>
            <w:pStyle w:val="29"/>
            <w:tabs>
              <w:tab w:val="right" w:leader="dot" w:pos="9070"/>
              <w:tab w:val="clear" w:pos="8296"/>
            </w:tabs>
          </w:pPr>
          <w:r>
            <w:rPr>
              <w:color w:val="auto"/>
              <w:highlight w:val="none"/>
            </w:rPr>
            <w:fldChar w:fldCharType="begin"/>
          </w:r>
          <w:r>
            <w:rPr>
              <w:highlight w:val="none"/>
            </w:rPr>
            <w:instrText xml:space="preserve"> HYPERLINK \l _Toc19017 </w:instrText>
          </w:r>
          <w:r>
            <w:rPr>
              <w:highlight w:val="none"/>
            </w:rPr>
            <w:fldChar w:fldCharType="separate"/>
          </w:r>
          <w:r>
            <w:rPr>
              <w:rFonts w:hint="default" w:ascii="Times New Roman" w:hAnsi="Times New Roman" w:cs="Times New Roman"/>
            </w:rPr>
            <w:t xml:space="preserve">5.3. </w:t>
          </w:r>
          <w:r>
            <w:rPr>
              <w:rFonts w:hint="eastAsia"/>
              <w:highlight w:val="none"/>
            </w:rPr>
            <w:t>标准制修订技术路线</w:t>
          </w:r>
          <w:r>
            <w:tab/>
          </w:r>
          <w:r>
            <w:fldChar w:fldCharType="begin"/>
          </w:r>
          <w:r>
            <w:instrText xml:space="preserve"> PAGEREF _Toc19017 \h </w:instrText>
          </w:r>
          <w:r>
            <w:fldChar w:fldCharType="separate"/>
          </w:r>
          <w:r>
            <w:t>33</w:t>
          </w:r>
          <w:r>
            <w:fldChar w:fldCharType="end"/>
          </w:r>
          <w:r>
            <w:rPr>
              <w:color w:val="auto"/>
              <w:highlight w:val="none"/>
            </w:rPr>
            <w:fldChar w:fldCharType="end"/>
          </w:r>
        </w:p>
        <w:p w14:paraId="08B292A8">
          <w:pPr>
            <w:pStyle w:val="24"/>
            <w:tabs>
              <w:tab w:val="right" w:leader="dot" w:pos="9070"/>
              <w:tab w:val="clear" w:pos="8296"/>
            </w:tabs>
          </w:pPr>
          <w:r>
            <w:rPr>
              <w:color w:val="auto"/>
              <w:highlight w:val="none"/>
            </w:rPr>
            <w:fldChar w:fldCharType="begin"/>
          </w:r>
          <w:r>
            <w:rPr>
              <w:highlight w:val="none"/>
            </w:rPr>
            <w:instrText xml:space="preserve"> HYPERLINK \l _Toc20323 </w:instrText>
          </w:r>
          <w:r>
            <w:rPr>
              <w:highlight w:val="none"/>
            </w:rPr>
            <w:fldChar w:fldCharType="separate"/>
          </w:r>
          <w:r>
            <w:rPr>
              <w:rFonts w:hint="default"/>
            </w:rPr>
            <w:t xml:space="preserve">6. </w:t>
          </w:r>
          <w:r>
            <w:rPr>
              <w:rFonts w:hint="eastAsia"/>
              <w:highlight w:val="none"/>
              <w:lang w:eastAsia="zh-CN"/>
            </w:rPr>
            <w:t>标准</w:t>
          </w:r>
          <w:r>
            <w:rPr>
              <w:rFonts w:hint="eastAsia"/>
              <w:highlight w:val="none"/>
              <w:lang w:val="en-US" w:eastAsia="zh-CN"/>
            </w:rPr>
            <w:t>主要技术内容</w:t>
          </w:r>
          <w:r>
            <w:tab/>
          </w:r>
          <w:r>
            <w:fldChar w:fldCharType="begin"/>
          </w:r>
          <w:r>
            <w:instrText xml:space="preserve"> PAGEREF _Toc20323 \h </w:instrText>
          </w:r>
          <w:r>
            <w:fldChar w:fldCharType="separate"/>
          </w:r>
          <w:r>
            <w:t>34</w:t>
          </w:r>
          <w:r>
            <w:fldChar w:fldCharType="end"/>
          </w:r>
          <w:r>
            <w:rPr>
              <w:color w:val="auto"/>
              <w:highlight w:val="none"/>
            </w:rPr>
            <w:fldChar w:fldCharType="end"/>
          </w:r>
        </w:p>
        <w:p w14:paraId="62FC1088">
          <w:pPr>
            <w:pStyle w:val="29"/>
            <w:tabs>
              <w:tab w:val="right" w:leader="dot" w:pos="9070"/>
              <w:tab w:val="clear" w:pos="8296"/>
            </w:tabs>
          </w:pPr>
          <w:r>
            <w:rPr>
              <w:color w:val="auto"/>
              <w:highlight w:val="none"/>
            </w:rPr>
            <w:fldChar w:fldCharType="begin"/>
          </w:r>
          <w:r>
            <w:rPr>
              <w:highlight w:val="none"/>
            </w:rPr>
            <w:instrText xml:space="preserve"> HYPERLINK \l _Toc25024 </w:instrText>
          </w:r>
          <w:r>
            <w:rPr>
              <w:highlight w:val="none"/>
            </w:rPr>
            <w:fldChar w:fldCharType="separate"/>
          </w:r>
          <w:r>
            <w:rPr>
              <w:rFonts w:hint="default" w:ascii="Times New Roman" w:hAnsi="Times New Roman" w:cs="Times New Roman"/>
              <w:lang w:val="en-US" w:eastAsia="zh-CN"/>
            </w:rPr>
            <w:t xml:space="preserve">6.1. </w:t>
          </w:r>
          <w:r>
            <w:rPr>
              <w:rFonts w:hint="eastAsia"/>
              <w:highlight w:val="none"/>
              <w:lang w:val="en-US" w:eastAsia="zh-CN"/>
            </w:rPr>
            <w:t>标准适用范围</w:t>
          </w:r>
          <w:r>
            <w:tab/>
          </w:r>
          <w:r>
            <w:fldChar w:fldCharType="begin"/>
          </w:r>
          <w:r>
            <w:instrText xml:space="preserve"> PAGEREF _Toc25024 \h </w:instrText>
          </w:r>
          <w:r>
            <w:fldChar w:fldCharType="separate"/>
          </w:r>
          <w:r>
            <w:t>34</w:t>
          </w:r>
          <w:r>
            <w:fldChar w:fldCharType="end"/>
          </w:r>
          <w:r>
            <w:rPr>
              <w:color w:val="auto"/>
              <w:highlight w:val="none"/>
            </w:rPr>
            <w:fldChar w:fldCharType="end"/>
          </w:r>
        </w:p>
        <w:p w14:paraId="203EBDE5">
          <w:pPr>
            <w:pStyle w:val="29"/>
            <w:tabs>
              <w:tab w:val="right" w:leader="dot" w:pos="9070"/>
              <w:tab w:val="clear" w:pos="8296"/>
            </w:tabs>
          </w:pPr>
          <w:r>
            <w:rPr>
              <w:color w:val="auto"/>
              <w:highlight w:val="none"/>
            </w:rPr>
            <w:fldChar w:fldCharType="begin"/>
          </w:r>
          <w:r>
            <w:rPr>
              <w:highlight w:val="none"/>
            </w:rPr>
            <w:instrText xml:space="preserve"> HYPERLINK \l _Toc16729 </w:instrText>
          </w:r>
          <w:r>
            <w:rPr>
              <w:highlight w:val="none"/>
            </w:rPr>
            <w:fldChar w:fldCharType="separate"/>
          </w:r>
          <w:r>
            <w:rPr>
              <w:rFonts w:hint="default" w:ascii="Times New Roman" w:hAnsi="Times New Roman" w:cs="Times New Roman"/>
              <w:lang w:val="en-US" w:eastAsia="zh-CN"/>
            </w:rPr>
            <w:t xml:space="preserve">6.2. </w:t>
          </w:r>
          <w:r>
            <w:rPr>
              <w:rFonts w:hint="eastAsia"/>
              <w:highlight w:val="none"/>
              <w:lang w:val="en-US" w:eastAsia="zh-CN"/>
            </w:rPr>
            <w:t>标准结构框架</w:t>
          </w:r>
          <w:r>
            <w:tab/>
          </w:r>
          <w:r>
            <w:fldChar w:fldCharType="begin"/>
          </w:r>
          <w:r>
            <w:instrText xml:space="preserve"> PAGEREF _Toc16729 \h </w:instrText>
          </w:r>
          <w:r>
            <w:fldChar w:fldCharType="separate"/>
          </w:r>
          <w:r>
            <w:t>36</w:t>
          </w:r>
          <w:r>
            <w:fldChar w:fldCharType="end"/>
          </w:r>
          <w:r>
            <w:rPr>
              <w:color w:val="auto"/>
              <w:highlight w:val="none"/>
            </w:rPr>
            <w:fldChar w:fldCharType="end"/>
          </w:r>
        </w:p>
        <w:p w14:paraId="2D47AA4D">
          <w:pPr>
            <w:pStyle w:val="29"/>
            <w:tabs>
              <w:tab w:val="right" w:leader="dot" w:pos="9070"/>
              <w:tab w:val="clear" w:pos="8296"/>
            </w:tabs>
          </w:pPr>
          <w:r>
            <w:rPr>
              <w:color w:val="auto"/>
              <w:highlight w:val="none"/>
            </w:rPr>
            <w:fldChar w:fldCharType="begin"/>
          </w:r>
          <w:r>
            <w:rPr>
              <w:highlight w:val="none"/>
            </w:rPr>
            <w:instrText xml:space="preserve"> HYPERLINK \l _Toc11123 </w:instrText>
          </w:r>
          <w:r>
            <w:rPr>
              <w:highlight w:val="none"/>
            </w:rPr>
            <w:fldChar w:fldCharType="separate"/>
          </w:r>
          <w:r>
            <w:rPr>
              <w:rFonts w:hint="default" w:ascii="Times New Roman" w:hAnsi="Times New Roman" w:cs="Times New Roman"/>
            </w:rPr>
            <w:t xml:space="preserve">6.3. </w:t>
          </w:r>
          <w:r>
            <w:rPr>
              <w:rFonts w:hint="eastAsia"/>
              <w:highlight w:val="none"/>
              <w:lang w:val="en-US" w:eastAsia="zh-CN"/>
            </w:rPr>
            <w:t>规范性引用文件</w:t>
          </w:r>
          <w:r>
            <w:tab/>
          </w:r>
          <w:r>
            <w:fldChar w:fldCharType="begin"/>
          </w:r>
          <w:r>
            <w:instrText xml:space="preserve"> PAGEREF _Toc11123 \h </w:instrText>
          </w:r>
          <w:r>
            <w:fldChar w:fldCharType="separate"/>
          </w:r>
          <w:r>
            <w:t>37</w:t>
          </w:r>
          <w:r>
            <w:fldChar w:fldCharType="end"/>
          </w:r>
          <w:r>
            <w:rPr>
              <w:color w:val="auto"/>
              <w:highlight w:val="none"/>
            </w:rPr>
            <w:fldChar w:fldCharType="end"/>
          </w:r>
        </w:p>
        <w:p w14:paraId="12BF7586">
          <w:pPr>
            <w:pStyle w:val="29"/>
            <w:tabs>
              <w:tab w:val="right" w:leader="dot" w:pos="9070"/>
              <w:tab w:val="clear" w:pos="8296"/>
            </w:tabs>
          </w:pPr>
          <w:r>
            <w:rPr>
              <w:color w:val="auto"/>
              <w:highlight w:val="none"/>
            </w:rPr>
            <w:fldChar w:fldCharType="begin"/>
          </w:r>
          <w:r>
            <w:rPr>
              <w:highlight w:val="none"/>
            </w:rPr>
            <w:instrText xml:space="preserve"> HYPERLINK \l _Toc11176 </w:instrText>
          </w:r>
          <w:r>
            <w:rPr>
              <w:highlight w:val="none"/>
            </w:rPr>
            <w:fldChar w:fldCharType="separate"/>
          </w:r>
          <w:r>
            <w:rPr>
              <w:rFonts w:hint="default" w:ascii="Times New Roman" w:hAnsi="Times New Roman" w:cs="Times New Roman"/>
            </w:rPr>
            <w:t xml:space="preserve">6.4. </w:t>
          </w:r>
          <w:r>
            <w:rPr>
              <w:rFonts w:hint="eastAsia"/>
              <w:highlight w:val="none"/>
              <w:lang w:val="en-US" w:eastAsia="zh-CN"/>
            </w:rPr>
            <w:t>术语和定义</w:t>
          </w:r>
          <w:r>
            <w:tab/>
          </w:r>
          <w:r>
            <w:fldChar w:fldCharType="begin"/>
          </w:r>
          <w:r>
            <w:instrText xml:space="preserve"> PAGEREF _Toc11176 \h </w:instrText>
          </w:r>
          <w:r>
            <w:fldChar w:fldCharType="separate"/>
          </w:r>
          <w:r>
            <w:t>37</w:t>
          </w:r>
          <w:r>
            <w:fldChar w:fldCharType="end"/>
          </w:r>
          <w:r>
            <w:rPr>
              <w:color w:val="auto"/>
              <w:highlight w:val="none"/>
            </w:rPr>
            <w:fldChar w:fldCharType="end"/>
          </w:r>
        </w:p>
        <w:p w14:paraId="5BDA6666">
          <w:pPr>
            <w:pStyle w:val="29"/>
            <w:tabs>
              <w:tab w:val="right" w:leader="dot" w:pos="9070"/>
              <w:tab w:val="clear" w:pos="8296"/>
            </w:tabs>
          </w:pPr>
          <w:r>
            <w:rPr>
              <w:color w:val="auto"/>
              <w:highlight w:val="none"/>
            </w:rPr>
            <w:fldChar w:fldCharType="begin"/>
          </w:r>
          <w:r>
            <w:rPr>
              <w:highlight w:val="none"/>
            </w:rPr>
            <w:instrText xml:space="preserve"> HYPERLINK \l _Toc9201 </w:instrText>
          </w:r>
          <w:r>
            <w:rPr>
              <w:highlight w:val="none"/>
            </w:rPr>
            <w:fldChar w:fldCharType="separate"/>
          </w:r>
          <w:r>
            <w:rPr>
              <w:rFonts w:hint="default" w:ascii="Times New Roman" w:hAnsi="Times New Roman" w:cs="Times New Roman"/>
            </w:rPr>
            <w:t xml:space="preserve">6.5. </w:t>
          </w:r>
          <w:r>
            <w:rPr>
              <w:rFonts w:hint="eastAsia"/>
              <w:highlight w:val="none"/>
              <w:lang w:val="en-US" w:eastAsia="zh-CN"/>
            </w:rPr>
            <w:t>污染物项目的选择</w:t>
          </w:r>
          <w:r>
            <w:tab/>
          </w:r>
          <w:r>
            <w:fldChar w:fldCharType="begin"/>
          </w:r>
          <w:r>
            <w:instrText xml:space="preserve"> PAGEREF _Toc9201 \h </w:instrText>
          </w:r>
          <w:r>
            <w:fldChar w:fldCharType="separate"/>
          </w:r>
          <w:r>
            <w:t>38</w:t>
          </w:r>
          <w:r>
            <w:fldChar w:fldCharType="end"/>
          </w:r>
          <w:r>
            <w:rPr>
              <w:color w:val="auto"/>
              <w:highlight w:val="none"/>
            </w:rPr>
            <w:fldChar w:fldCharType="end"/>
          </w:r>
        </w:p>
        <w:p w14:paraId="751B1D13">
          <w:pPr>
            <w:pStyle w:val="29"/>
            <w:tabs>
              <w:tab w:val="right" w:leader="dot" w:pos="9070"/>
              <w:tab w:val="clear" w:pos="8296"/>
            </w:tabs>
          </w:pPr>
          <w:r>
            <w:rPr>
              <w:color w:val="auto"/>
              <w:highlight w:val="none"/>
            </w:rPr>
            <w:fldChar w:fldCharType="begin"/>
          </w:r>
          <w:r>
            <w:rPr>
              <w:highlight w:val="none"/>
            </w:rPr>
            <w:instrText xml:space="preserve"> HYPERLINK \l _Toc29452 </w:instrText>
          </w:r>
          <w:r>
            <w:rPr>
              <w:highlight w:val="none"/>
            </w:rPr>
            <w:fldChar w:fldCharType="separate"/>
          </w:r>
          <w:r>
            <w:rPr>
              <w:rFonts w:hint="default" w:ascii="Times New Roman" w:hAnsi="Times New Roman" w:cs="Times New Roman"/>
            </w:rPr>
            <w:t xml:space="preserve">6.6. </w:t>
          </w:r>
          <w:r>
            <w:rPr>
              <w:rFonts w:hint="eastAsia"/>
              <w:highlight w:val="none"/>
              <w:lang w:eastAsia="zh-CN"/>
            </w:rPr>
            <w:t>标准</w:t>
          </w:r>
          <w:r>
            <w:rPr>
              <w:rFonts w:hint="eastAsia"/>
              <w:highlight w:val="none"/>
              <w:lang w:val="en-US" w:eastAsia="zh-CN"/>
            </w:rPr>
            <w:t>有组织排放限值确定原则和依据</w:t>
          </w:r>
          <w:r>
            <w:tab/>
          </w:r>
          <w:r>
            <w:fldChar w:fldCharType="begin"/>
          </w:r>
          <w:r>
            <w:instrText xml:space="preserve"> PAGEREF _Toc29452 \h </w:instrText>
          </w:r>
          <w:r>
            <w:fldChar w:fldCharType="separate"/>
          </w:r>
          <w:r>
            <w:t>38</w:t>
          </w:r>
          <w:r>
            <w:fldChar w:fldCharType="end"/>
          </w:r>
          <w:r>
            <w:rPr>
              <w:color w:val="auto"/>
              <w:highlight w:val="none"/>
            </w:rPr>
            <w:fldChar w:fldCharType="end"/>
          </w:r>
        </w:p>
        <w:p w14:paraId="461B2662">
          <w:pPr>
            <w:pStyle w:val="29"/>
            <w:tabs>
              <w:tab w:val="right" w:leader="dot" w:pos="9070"/>
              <w:tab w:val="clear" w:pos="8296"/>
            </w:tabs>
          </w:pPr>
          <w:r>
            <w:rPr>
              <w:color w:val="auto"/>
              <w:highlight w:val="none"/>
            </w:rPr>
            <w:fldChar w:fldCharType="begin"/>
          </w:r>
          <w:r>
            <w:rPr>
              <w:highlight w:val="none"/>
            </w:rPr>
            <w:instrText xml:space="preserve"> HYPERLINK \l _Toc13770 </w:instrText>
          </w:r>
          <w:r>
            <w:rPr>
              <w:highlight w:val="none"/>
            </w:rPr>
            <w:fldChar w:fldCharType="separate"/>
          </w:r>
          <w:r>
            <w:rPr>
              <w:rFonts w:hint="default" w:ascii="Times New Roman" w:hAnsi="Times New Roman" w:cs="Times New Roman"/>
              <w:lang w:eastAsia="zh-CN"/>
            </w:rPr>
            <w:t xml:space="preserve">6.7. </w:t>
          </w:r>
          <w:r>
            <w:rPr>
              <w:rFonts w:hint="eastAsia"/>
              <w:highlight w:val="none"/>
              <w:lang w:val="en-US" w:eastAsia="zh-CN"/>
            </w:rPr>
            <w:t>家具及木制品行业</w:t>
          </w:r>
          <w:r>
            <w:tab/>
          </w:r>
          <w:r>
            <w:fldChar w:fldCharType="begin"/>
          </w:r>
          <w:r>
            <w:instrText xml:space="preserve"> PAGEREF _Toc13770 \h </w:instrText>
          </w:r>
          <w:r>
            <w:fldChar w:fldCharType="separate"/>
          </w:r>
          <w:r>
            <w:t>39</w:t>
          </w:r>
          <w:r>
            <w:fldChar w:fldCharType="end"/>
          </w:r>
          <w:r>
            <w:rPr>
              <w:color w:val="auto"/>
              <w:highlight w:val="none"/>
            </w:rPr>
            <w:fldChar w:fldCharType="end"/>
          </w:r>
        </w:p>
        <w:p w14:paraId="55F82738">
          <w:pPr>
            <w:pStyle w:val="29"/>
            <w:tabs>
              <w:tab w:val="right" w:leader="dot" w:pos="9070"/>
              <w:tab w:val="clear" w:pos="8296"/>
            </w:tabs>
          </w:pPr>
          <w:r>
            <w:rPr>
              <w:color w:val="auto"/>
              <w:highlight w:val="none"/>
            </w:rPr>
            <w:fldChar w:fldCharType="begin"/>
          </w:r>
          <w:r>
            <w:rPr>
              <w:highlight w:val="none"/>
            </w:rPr>
            <w:instrText xml:space="preserve"> HYPERLINK \l _Toc5518 </w:instrText>
          </w:r>
          <w:r>
            <w:rPr>
              <w:highlight w:val="none"/>
            </w:rPr>
            <w:fldChar w:fldCharType="separate"/>
          </w:r>
          <w:r>
            <w:rPr>
              <w:rFonts w:hint="default" w:ascii="Times New Roman" w:hAnsi="Times New Roman" w:cs="Times New Roman"/>
              <w:lang w:eastAsia="zh-CN"/>
            </w:rPr>
            <w:t xml:space="preserve">6.8. </w:t>
          </w:r>
          <w:r>
            <w:rPr>
              <w:rFonts w:hint="eastAsia"/>
              <w:highlight w:val="none"/>
              <w:lang w:val="en-US" w:eastAsia="zh-CN"/>
            </w:rPr>
            <w:t>汽车制造与汽车维修行业</w:t>
          </w:r>
          <w:r>
            <w:tab/>
          </w:r>
          <w:r>
            <w:fldChar w:fldCharType="begin"/>
          </w:r>
          <w:r>
            <w:instrText xml:space="preserve"> PAGEREF _Toc5518 \h </w:instrText>
          </w:r>
          <w:r>
            <w:fldChar w:fldCharType="separate"/>
          </w:r>
          <w:r>
            <w:t>40</w:t>
          </w:r>
          <w:r>
            <w:fldChar w:fldCharType="end"/>
          </w:r>
          <w:r>
            <w:rPr>
              <w:color w:val="auto"/>
              <w:highlight w:val="none"/>
            </w:rPr>
            <w:fldChar w:fldCharType="end"/>
          </w:r>
        </w:p>
        <w:p w14:paraId="0BB4E3BB">
          <w:pPr>
            <w:pStyle w:val="29"/>
            <w:tabs>
              <w:tab w:val="right" w:leader="dot" w:pos="9070"/>
              <w:tab w:val="clear" w:pos="8296"/>
            </w:tabs>
          </w:pPr>
          <w:r>
            <w:rPr>
              <w:color w:val="auto"/>
              <w:highlight w:val="none"/>
            </w:rPr>
            <w:fldChar w:fldCharType="begin"/>
          </w:r>
          <w:r>
            <w:rPr>
              <w:highlight w:val="none"/>
            </w:rPr>
            <w:instrText xml:space="preserve"> HYPERLINK \l _Toc5557 </w:instrText>
          </w:r>
          <w:r>
            <w:rPr>
              <w:highlight w:val="none"/>
            </w:rPr>
            <w:fldChar w:fldCharType="separate"/>
          </w:r>
          <w:r>
            <w:rPr>
              <w:rFonts w:hint="default" w:ascii="Times New Roman" w:hAnsi="Times New Roman" w:cs="Times New Roman"/>
              <w:lang w:eastAsia="zh-CN"/>
            </w:rPr>
            <w:t xml:space="preserve">6.9. </w:t>
          </w:r>
          <w:r>
            <w:rPr>
              <w:rFonts w:hint="eastAsia"/>
              <w:highlight w:val="none"/>
              <w:lang w:val="en-US" w:eastAsia="zh-CN"/>
            </w:rPr>
            <w:t>通用设备、专用设备和轨道交通制造业</w:t>
          </w:r>
          <w:r>
            <w:tab/>
          </w:r>
          <w:r>
            <w:fldChar w:fldCharType="begin"/>
          </w:r>
          <w:r>
            <w:instrText xml:space="preserve"> PAGEREF _Toc5557 \h </w:instrText>
          </w:r>
          <w:r>
            <w:fldChar w:fldCharType="separate"/>
          </w:r>
          <w:r>
            <w:t>42</w:t>
          </w:r>
          <w:r>
            <w:fldChar w:fldCharType="end"/>
          </w:r>
          <w:r>
            <w:rPr>
              <w:color w:val="auto"/>
              <w:highlight w:val="none"/>
            </w:rPr>
            <w:fldChar w:fldCharType="end"/>
          </w:r>
        </w:p>
        <w:p w14:paraId="66F71A19">
          <w:pPr>
            <w:pStyle w:val="29"/>
            <w:tabs>
              <w:tab w:val="right" w:leader="dot" w:pos="9070"/>
              <w:tab w:val="clear" w:pos="8296"/>
            </w:tabs>
          </w:pPr>
          <w:r>
            <w:rPr>
              <w:color w:val="auto"/>
              <w:highlight w:val="none"/>
            </w:rPr>
            <w:fldChar w:fldCharType="begin"/>
          </w:r>
          <w:r>
            <w:rPr>
              <w:highlight w:val="none"/>
            </w:rPr>
            <w:instrText xml:space="preserve"> HYPERLINK \l _Toc12441 </w:instrText>
          </w:r>
          <w:r>
            <w:rPr>
              <w:highlight w:val="none"/>
            </w:rPr>
            <w:fldChar w:fldCharType="separate"/>
          </w:r>
          <w:r>
            <w:rPr>
              <w:rFonts w:hint="default" w:ascii="Times New Roman" w:hAnsi="Times New Roman" w:cs="Times New Roman"/>
              <w:lang w:val="en-US" w:eastAsia="zh-CN"/>
            </w:rPr>
            <w:t xml:space="preserve">6.10. </w:t>
          </w:r>
          <w:r>
            <w:rPr>
              <w:rFonts w:hint="eastAsia"/>
              <w:highlight w:val="none"/>
              <w:lang w:val="en-US" w:eastAsia="zh-CN"/>
            </w:rPr>
            <w:t>金属制品制造业</w:t>
          </w:r>
          <w:r>
            <w:tab/>
          </w:r>
          <w:r>
            <w:fldChar w:fldCharType="begin"/>
          </w:r>
          <w:r>
            <w:instrText xml:space="preserve"> PAGEREF _Toc12441 \h </w:instrText>
          </w:r>
          <w:r>
            <w:fldChar w:fldCharType="separate"/>
          </w:r>
          <w:r>
            <w:t>43</w:t>
          </w:r>
          <w:r>
            <w:fldChar w:fldCharType="end"/>
          </w:r>
          <w:r>
            <w:rPr>
              <w:color w:val="auto"/>
              <w:highlight w:val="none"/>
            </w:rPr>
            <w:fldChar w:fldCharType="end"/>
          </w:r>
        </w:p>
        <w:p w14:paraId="6C809844">
          <w:pPr>
            <w:pStyle w:val="29"/>
            <w:tabs>
              <w:tab w:val="right" w:leader="dot" w:pos="9070"/>
              <w:tab w:val="clear" w:pos="8296"/>
            </w:tabs>
          </w:pPr>
          <w:r>
            <w:rPr>
              <w:color w:val="auto"/>
              <w:highlight w:val="none"/>
            </w:rPr>
            <w:fldChar w:fldCharType="begin"/>
          </w:r>
          <w:r>
            <w:rPr>
              <w:highlight w:val="none"/>
            </w:rPr>
            <w:instrText xml:space="preserve"> HYPERLINK \l _Toc24789 </w:instrText>
          </w:r>
          <w:r>
            <w:rPr>
              <w:highlight w:val="none"/>
            </w:rPr>
            <w:fldChar w:fldCharType="separate"/>
          </w:r>
          <w:r>
            <w:rPr>
              <w:rFonts w:hint="default" w:ascii="Times New Roman" w:hAnsi="Times New Roman" w:cs="Times New Roman"/>
              <w:lang w:eastAsia="zh-CN"/>
            </w:rPr>
            <w:t xml:space="preserve">6.11. </w:t>
          </w:r>
          <w:r>
            <w:rPr>
              <w:rFonts w:hint="eastAsia"/>
              <w:highlight w:val="none"/>
              <w:lang w:val="en-US" w:eastAsia="zh-CN"/>
            </w:rPr>
            <w:t>印刷行业</w:t>
          </w:r>
          <w:r>
            <w:tab/>
          </w:r>
          <w:r>
            <w:fldChar w:fldCharType="begin"/>
          </w:r>
          <w:r>
            <w:instrText xml:space="preserve"> PAGEREF _Toc24789 \h </w:instrText>
          </w:r>
          <w:r>
            <w:fldChar w:fldCharType="separate"/>
          </w:r>
          <w:r>
            <w:t>44</w:t>
          </w:r>
          <w:r>
            <w:fldChar w:fldCharType="end"/>
          </w:r>
          <w:r>
            <w:rPr>
              <w:color w:val="auto"/>
              <w:highlight w:val="none"/>
            </w:rPr>
            <w:fldChar w:fldCharType="end"/>
          </w:r>
        </w:p>
        <w:p w14:paraId="6280D609">
          <w:pPr>
            <w:pStyle w:val="29"/>
            <w:tabs>
              <w:tab w:val="right" w:leader="dot" w:pos="9070"/>
              <w:tab w:val="clear" w:pos="8296"/>
            </w:tabs>
          </w:pPr>
          <w:r>
            <w:rPr>
              <w:color w:val="auto"/>
              <w:highlight w:val="none"/>
            </w:rPr>
            <w:fldChar w:fldCharType="begin"/>
          </w:r>
          <w:r>
            <w:rPr>
              <w:highlight w:val="none"/>
            </w:rPr>
            <w:instrText xml:space="preserve"> HYPERLINK \l _Toc5274 </w:instrText>
          </w:r>
          <w:r>
            <w:rPr>
              <w:highlight w:val="none"/>
            </w:rPr>
            <w:fldChar w:fldCharType="separate"/>
          </w:r>
          <w:r>
            <w:rPr>
              <w:rFonts w:hint="default" w:ascii="Times New Roman" w:hAnsi="Times New Roman" w:cs="Times New Roman"/>
              <w:lang w:val="en-US" w:eastAsia="zh-CN"/>
            </w:rPr>
            <w:t xml:space="preserve">6.12. </w:t>
          </w:r>
          <w:r>
            <w:rPr>
              <w:rFonts w:hint="eastAsia"/>
              <w:highlight w:val="none"/>
              <w:lang w:val="en-US" w:eastAsia="zh-CN"/>
            </w:rPr>
            <w:t>计算机、通信和其他电子设备制造业</w:t>
          </w:r>
          <w:r>
            <w:tab/>
          </w:r>
          <w:r>
            <w:fldChar w:fldCharType="begin"/>
          </w:r>
          <w:r>
            <w:instrText xml:space="preserve"> PAGEREF _Toc5274 \h </w:instrText>
          </w:r>
          <w:r>
            <w:fldChar w:fldCharType="separate"/>
          </w:r>
          <w:r>
            <w:t>45</w:t>
          </w:r>
          <w:r>
            <w:fldChar w:fldCharType="end"/>
          </w:r>
          <w:r>
            <w:rPr>
              <w:color w:val="auto"/>
              <w:highlight w:val="none"/>
            </w:rPr>
            <w:fldChar w:fldCharType="end"/>
          </w:r>
        </w:p>
        <w:p w14:paraId="2BAD2454">
          <w:pPr>
            <w:pStyle w:val="29"/>
            <w:tabs>
              <w:tab w:val="right" w:leader="dot" w:pos="9070"/>
              <w:tab w:val="clear" w:pos="8296"/>
            </w:tabs>
          </w:pPr>
          <w:r>
            <w:rPr>
              <w:color w:val="auto"/>
              <w:highlight w:val="none"/>
            </w:rPr>
            <w:fldChar w:fldCharType="begin"/>
          </w:r>
          <w:r>
            <w:rPr>
              <w:highlight w:val="none"/>
            </w:rPr>
            <w:instrText xml:space="preserve"> HYPERLINK \l _Toc5715 </w:instrText>
          </w:r>
          <w:r>
            <w:rPr>
              <w:highlight w:val="none"/>
            </w:rPr>
            <w:fldChar w:fldCharType="separate"/>
          </w:r>
          <w:r>
            <w:rPr>
              <w:rFonts w:hint="default" w:ascii="Times New Roman" w:hAnsi="Times New Roman" w:cs="Times New Roman"/>
              <w:lang w:val="en-US" w:eastAsia="zh-CN"/>
            </w:rPr>
            <w:t xml:space="preserve">6.13. </w:t>
          </w:r>
          <w:r>
            <w:rPr>
              <w:rFonts w:hint="eastAsia"/>
              <w:highlight w:val="none"/>
              <w:lang w:val="en-US" w:eastAsia="zh-CN"/>
            </w:rPr>
            <w:t>纺织业</w:t>
          </w:r>
          <w:r>
            <w:tab/>
          </w:r>
          <w:r>
            <w:fldChar w:fldCharType="begin"/>
          </w:r>
          <w:r>
            <w:instrText xml:space="preserve"> PAGEREF _Toc5715 \h </w:instrText>
          </w:r>
          <w:r>
            <w:fldChar w:fldCharType="separate"/>
          </w:r>
          <w:r>
            <w:t>46</w:t>
          </w:r>
          <w:r>
            <w:fldChar w:fldCharType="end"/>
          </w:r>
          <w:r>
            <w:rPr>
              <w:color w:val="auto"/>
              <w:highlight w:val="none"/>
            </w:rPr>
            <w:fldChar w:fldCharType="end"/>
          </w:r>
        </w:p>
        <w:p w14:paraId="792F08CE">
          <w:pPr>
            <w:pStyle w:val="29"/>
            <w:tabs>
              <w:tab w:val="right" w:leader="dot" w:pos="9070"/>
              <w:tab w:val="clear" w:pos="8296"/>
            </w:tabs>
          </w:pPr>
          <w:r>
            <w:rPr>
              <w:color w:val="auto"/>
              <w:highlight w:val="none"/>
            </w:rPr>
            <w:fldChar w:fldCharType="begin"/>
          </w:r>
          <w:r>
            <w:rPr>
              <w:highlight w:val="none"/>
            </w:rPr>
            <w:instrText xml:space="preserve"> HYPERLINK \l _Toc15037 </w:instrText>
          </w:r>
          <w:r>
            <w:rPr>
              <w:highlight w:val="none"/>
            </w:rPr>
            <w:fldChar w:fldCharType="separate"/>
          </w:r>
          <w:r>
            <w:rPr>
              <w:rFonts w:hint="default" w:ascii="Times New Roman" w:hAnsi="Times New Roman" w:cs="Times New Roman"/>
              <w:lang w:val="en-US" w:eastAsia="zh-CN"/>
            </w:rPr>
            <w:t xml:space="preserve">6.14. </w:t>
          </w:r>
          <w:r>
            <w:rPr>
              <w:rFonts w:hint="eastAsia"/>
              <w:highlight w:val="none"/>
              <w:lang w:val="en-US" w:eastAsia="zh-CN"/>
            </w:rPr>
            <w:t>制鞋行业</w:t>
          </w:r>
          <w:r>
            <w:tab/>
          </w:r>
          <w:r>
            <w:fldChar w:fldCharType="begin"/>
          </w:r>
          <w:r>
            <w:instrText xml:space="preserve"> PAGEREF _Toc15037 \h </w:instrText>
          </w:r>
          <w:r>
            <w:fldChar w:fldCharType="separate"/>
          </w:r>
          <w:r>
            <w:t>46</w:t>
          </w:r>
          <w:r>
            <w:fldChar w:fldCharType="end"/>
          </w:r>
          <w:r>
            <w:rPr>
              <w:color w:val="auto"/>
              <w:highlight w:val="none"/>
            </w:rPr>
            <w:fldChar w:fldCharType="end"/>
          </w:r>
        </w:p>
        <w:p w14:paraId="756AA8BF">
          <w:pPr>
            <w:pStyle w:val="29"/>
            <w:tabs>
              <w:tab w:val="right" w:leader="dot" w:pos="9070"/>
              <w:tab w:val="clear" w:pos="8296"/>
            </w:tabs>
          </w:pPr>
          <w:r>
            <w:rPr>
              <w:color w:val="auto"/>
              <w:highlight w:val="none"/>
            </w:rPr>
            <w:fldChar w:fldCharType="begin"/>
          </w:r>
          <w:r>
            <w:rPr>
              <w:highlight w:val="none"/>
            </w:rPr>
            <w:instrText xml:space="preserve"> HYPERLINK \l _Toc3755 </w:instrText>
          </w:r>
          <w:r>
            <w:rPr>
              <w:highlight w:val="none"/>
            </w:rPr>
            <w:fldChar w:fldCharType="separate"/>
          </w:r>
          <w:r>
            <w:rPr>
              <w:rFonts w:hint="default" w:ascii="Times New Roman" w:hAnsi="Times New Roman" w:cs="Times New Roman"/>
              <w:lang w:val="en-US" w:eastAsia="zh-CN"/>
            </w:rPr>
            <w:t xml:space="preserve">6.15. </w:t>
          </w:r>
          <w:r>
            <w:rPr>
              <w:rFonts w:hint="eastAsia"/>
              <w:highlight w:val="none"/>
              <w:lang w:val="en-US" w:eastAsia="zh-CN"/>
            </w:rPr>
            <w:t>其他行业</w:t>
          </w:r>
          <w:r>
            <w:tab/>
          </w:r>
          <w:r>
            <w:fldChar w:fldCharType="begin"/>
          </w:r>
          <w:r>
            <w:instrText xml:space="preserve"> PAGEREF _Toc3755 \h </w:instrText>
          </w:r>
          <w:r>
            <w:fldChar w:fldCharType="separate"/>
          </w:r>
          <w:r>
            <w:t>47</w:t>
          </w:r>
          <w:r>
            <w:fldChar w:fldCharType="end"/>
          </w:r>
          <w:r>
            <w:rPr>
              <w:color w:val="auto"/>
              <w:highlight w:val="none"/>
            </w:rPr>
            <w:fldChar w:fldCharType="end"/>
          </w:r>
        </w:p>
        <w:p w14:paraId="6E8670AE">
          <w:pPr>
            <w:pStyle w:val="29"/>
            <w:tabs>
              <w:tab w:val="right" w:leader="dot" w:pos="9070"/>
              <w:tab w:val="clear" w:pos="8296"/>
            </w:tabs>
          </w:pPr>
          <w:r>
            <w:rPr>
              <w:color w:val="auto"/>
              <w:highlight w:val="none"/>
            </w:rPr>
            <w:fldChar w:fldCharType="begin"/>
          </w:r>
          <w:r>
            <w:rPr>
              <w:highlight w:val="none"/>
            </w:rPr>
            <w:instrText xml:space="preserve"> HYPERLINK \l _Toc21901 </w:instrText>
          </w:r>
          <w:r>
            <w:rPr>
              <w:highlight w:val="none"/>
            </w:rPr>
            <w:fldChar w:fldCharType="separate"/>
          </w:r>
          <w:r>
            <w:rPr>
              <w:rFonts w:hint="default" w:ascii="Times New Roman" w:hAnsi="Times New Roman" w:cs="Times New Roman"/>
              <w:lang w:eastAsia="zh-CN"/>
            </w:rPr>
            <w:t xml:space="preserve">6.16. </w:t>
          </w:r>
          <w:r>
            <w:rPr>
              <w:rFonts w:hint="eastAsia"/>
              <w:highlight w:val="none"/>
              <w:lang w:val="en-US" w:eastAsia="zh-CN"/>
            </w:rPr>
            <w:t>无组织控制要求</w:t>
          </w:r>
          <w:r>
            <w:tab/>
          </w:r>
          <w:r>
            <w:fldChar w:fldCharType="begin"/>
          </w:r>
          <w:r>
            <w:instrText xml:space="preserve"> PAGEREF _Toc21901 \h </w:instrText>
          </w:r>
          <w:r>
            <w:fldChar w:fldCharType="separate"/>
          </w:r>
          <w:r>
            <w:t>47</w:t>
          </w:r>
          <w:r>
            <w:fldChar w:fldCharType="end"/>
          </w:r>
          <w:r>
            <w:rPr>
              <w:color w:val="auto"/>
              <w:highlight w:val="none"/>
            </w:rPr>
            <w:fldChar w:fldCharType="end"/>
          </w:r>
        </w:p>
        <w:p w14:paraId="0C8B61BB">
          <w:pPr>
            <w:pStyle w:val="29"/>
            <w:tabs>
              <w:tab w:val="right" w:leader="dot" w:pos="9070"/>
              <w:tab w:val="clear" w:pos="8296"/>
            </w:tabs>
          </w:pPr>
          <w:r>
            <w:rPr>
              <w:color w:val="auto"/>
              <w:highlight w:val="none"/>
            </w:rPr>
            <w:fldChar w:fldCharType="begin"/>
          </w:r>
          <w:r>
            <w:rPr>
              <w:highlight w:val="none"/>
            </w:rPr>
            <w:instrText xml:space="preserve"> HYPERLINK \l _Toc26193 </w:instrText>
          </w:r>
          <w:r>
            <w:rPr>
              <w:highlight w:val="none"/>
            </w:rPr>
            <w:fldChar w:fldCharType="separate"/>
          </w:r>
          <w:r>
            <w:rPr>
              <w:rFonts w:hint="default" w:ascii="Times New Roman" w:hAnsi="Times New Roman" w:cs="Times New Roman"/>
              <w:lang w:eastAsia="zh-CN"/>
            </w:rPr>
            <w:t xml:space="preserve">6.17. </w:t>
          </w:r>
          <w:r>
            <w:rPr>
              <w:rFonts w:hint="eastAsia"/>
              <w:highlight w:val="none"/>
              <w:lang w:val="en-US" w:eastAsia="zh-CN"/>
            </w:rPr>
            <w:t>企业边界监控要求</w:t>
          </w:r>
          <w:r>
            <w:tab/>
          </w:r>
          <w:r>
            <w:fldChar w:fldCharType="begin"/>
          </w:r>
          <w:r>
            <w:instrText xml:space="preserve"> PAGEREF _Toc26193 \h </w:instrText>
          </w:r>
          <w:r>
            <w:fldChar w:fldCharType="separate"/>
          </w:r>
          <w:r>
            <w:t>47</w:t>
          </w:r>
          <w:r>
            <w:fldChar w:fldCharType="end"/>
          </w:r>
          <w:r>
            <w:rPr>
              <w:color w:val="auto"/>
              <w:highlight w:val="none"/>
            </w:rPr>
            <w:fldChar w:fldCharType="end"/>
          </w:r>
        </w:p>
        <w:p w14:paraId="2B69A9C6">
          <w:pPr>
            <w:pStyle w:val="29"/>
            <w:tabs>
              <w:tab w:val="right" w:leader="dot" w:pos="9070"/>
              <w:tab w:val="clear" w:pos="8296"/>
            </w:tabs>
          </w:pPr>
          <w:r>
            <w:rPr>
              <w:color w:val="auto"/>
              <w:highlight w:val="none"/>
            </w:rPr>
            <w:fldChar w:fldCharType="begin"/>
          </w:r>
          <w:r>
            <w:rPr>
              <w:highlight w:val="none"/>
            </w:rPr>
            <w:instrText xml:space="preserve"> HYPERLINK \l _Toc15223 </w:instrText>
          </w:r>
          <w:r>
            <w:rPr>
              <w:highlight w:val="none"/>
            </w:rPr>
            <w:fldChar w:fldCharType="separate"/>
          </w:r>
          <w:r>
            <w:rPr>
              <w:rFonts w:hint="default" w:ascii="Times New Roman" w:hAnsi="Times New Roman" w:cs="Times New Roman"/>
              <w:lang w:eastAsia="zh-CN"/>
            </w:rPr>
            <w:t xml:space="preserve">6.18. </w:t>
          </w:r>
          <w:r>
            <w:rPr>
              <w:rFonts w:hint="eastAsia"/>
              <w:highlight w:val="none"/>
              <w:lang w:val="en-US" w:eastAsia="zh-CN"/>
            </w:rPr>
            <w:t>台账和监测要求</w:t>
          </w:r>
          <w:r>
            <w:tab/>
          </w:r>
          <w:r>
            <w:fldChar w:fldCharType="begin"/>
          </w:r>
          <w:r>
            <w:instrText xml:space="preserve"> PAGEREF _Toc15223 \h </w:instrText>
          </w:r>
          <w:r>
            <w:fldChar w:fldCharType="separate"/>
          </w:r>
          <w:r>
            <w:t>48</w:t>
          </w:r>
          <w:r>
            <w:fldChar w:fldCharType="end"/>
          </w:r>
          <w:r>
            <w:rPr>
              <w:color w:val="auto"/>
              <w:highlight w:val="none"/>
            </w:rPr>
            <w:fldChar w:fldCharType="end"/>
          </w:r>
        </w:p>
        <w:p w14:paraId="6E4EE0E1">
          <w:pPr>
            <w:pStyle w:val="24"/>
            <w:tabs>
              <w:tab w:val="right" w:leader="dot" w:pos="9070"/>
              <w:tab w:val="clear" w:pos="8296"/>
            </w:tabs>
          </w:pPr>
          <w:r>
            <w:rPr>
              <w:color w:val="auto"/>
              <w:highlight w:val="none"/>
            </w:rPr>
            <w:fldChar w:fldCharType="begin"/>
          </w:r>
          <w:r>
            <w:rPr>
              <w:highlight w:val="none"/>
            </w:rPr>
            <w:instrText xml:space="preserve"> HYPERLINK \l _Toc16033 </w:instrText>
          </w:r>
          <w:r>
            <w:rPr>
              <w:highlight w:val="none"/>
            </w:rPr>
            <w:fldChar w:fldCharType="separate"/>
          </w:r>
          <w:r>
            <w:rPr>
              <w:rFonts w:hint="default"/>
            </w:rPr>
            <w:t xml:space="preserve">7. </w:t>
          </w:r>
          <w:r>
            <w:rPr>
              <w:rFonts w:hint="eastAsia"/>
              <w:highlight w:val="none"/>
            </w:rPr>
            <w:t>主要国家、地区、国际组织和其他省份</w:t>
          </w:r>
          <w:r>
            <w:rPr>
              <w:rFonts w:hint="eastAsia"/>
              <w:highlight w:val="none"/>
              <w:lang w:val="en-US" w:eastAsia="zh-CN"/>
            </w:rPr>
            <w:t>相关标准研究</w:t>
          </w:r>
          <w:r>
            <w:tab/>
          </w:r>
          <w:r>
            <w:fldChar w:fldCharType="begin"/>
          </w:r>
          <w:r>
            <w:instrText xml:space="preserve"> PAGEREF _Toc16033 \h </w:instrText>
          </w:r>
          <w:r>
            <w:fldChar w:fldCharType="separate"/>
          </w:r>
          <w:r>
            <w:t>48</w:t>
          </w:r>
          <w:r>
            <w:fldChar w:fldCharType="end"/>
          </w:r>
          <w:r>
            <w:rPr>
              <w:color w:val="auto"/>
              <w:highlight w:val="none"/>
            </w:rPr>
            <w:fldChar w:fldCharType="end"/>
          </w:r>
        </w:p>
        <w:p w14:paraId="4914F05A">
          <w:pPr>
            <w:pStyle w:val="29"/>
            <w:tabs>
              <w:tab w:val="right" w:leader="dot" w:pos="9070"/>
              <w:tab w:val="clear" w:pos="8296"/>
            </w:tabs>
          </w:pPr>
          <w:r>
            <w:rPr>
              <w:color w:val="auto"/>
              <w:highlight w:val="none"/>
            </w:rPr>
            <w:fldChar w:fldCharType="begin"/>
          </w:r>
          <w:r>
            <w:rPr>
              <w:highlight w:val="none"/>
            </w:rPr>
            <w:instrText xml:space="preserve"> HYPERLINK \l _Toc8833 </w:instrText>
          </w:r>
          <w:r>
            <w:rPr>
              <w:highlight w:val="none"/>
            </w:rPr>
            <w:fldChar w:fldCharType="separate"/>
          </w:r>
          <w:r>
            <w:rPr>
              <w:rFonts w:hint="default" w:ascii="Times New Roman" w:hAnsi="Times New Roman" w:cs="Times New Roman"/>
              <w:lang w:eastAsia="zh-CN"/>
            </w:rPr>
            <w:t xml:space="preserve">7.1. </w:t>
          </w:r>
          <w:r>
            <w:rPr>
              <w:rFonts w:hint="default"/>
              <w:highlight w:val="none"/>
              <w:lang w:eastAsia="zh-CN"/>
            </w:rPr>
            <w:t>美国EPA相关标准法规</w:t>
          </w:r>
          <w:r>
            <w:tab/>
          </w:r>
          <w:r>
            <w:fldChar w:fldCharType="begin"/>
          </w:r>
          <w:r>
            <w:instrText xml:space="preserve"> PAGEREF _Toc8833 \h </w:instrText>
          </w:r>
          <w:r>
            <w:fldChar w:fldCharType="separate"/>
          </w:r>
          <w:r>
            <w:t>48</w:t>
          </w:r>
          <w:r>
            <w:fldChar w:fldCharType="end"/>
          </w:r>
          <w:r>
            <w:rPr>
              <w:color w:val="auto"/>
              <w:highlight w:val="none"/>
            </w:rPr>
            <w:fldChar w:fldCharType="end"/>
          </w:r>
        </w:p>
        <w:p w14:paraId="60F3EBDE">
          <w:pPr>
            <w:pStyle w:val="29"/>
            <w:tabs>
              <w:tab w:val="right" w:leader="dot" w:pos="9070"/>
              <w:tab w:val="clear" w:pos="8296"/>
            </w:tabs>
          </w:pPr>
          <w:r>
            <w:rPr>
              <w:color w:val="auto"/>
              <w:highlight w:val="none"/>
            </w:rPr>
            <w:fldChar w:fldCharType="begin"/>
          </w:r>
          <w:r>
            <w:rPr>
              <w:highlight w:val="none"/>
            </w:rPr>
            <w:instrText xml:space="preserve"> HYPERLINK \l _Toc3896 </w:instrText>
          </w:r>
          <w:r>
            <w:rPr>
              <w:highlight w:val="none"/>
            </w:rPr>
            <w:fldChar w:fldCharType="separate"/>
          </w:r>
          <w:r>
            <w:rPr>
              <w:rFonts w:hint="default" w:ascii="Times New Roman" w:hAnsi="Times New Roman" w:cs="Times New Roman"/>
            </w:rPr>
            <w:t xml:space="preserve">7.2. </w:t>
          </w:r>
          <w:r>
            <w:rPr>
              <w:rFonts w:hint="eastAsia"/>
              <w:highlight w:val="none"/>
            </w:rPr>
            <w:t>欧盟</w:t>
          </w:r>
          <w:r>
            <w:tab/>
          </w:r>
          <w:r>
            <w:fldChar w:fldCharType="begin"/>
          </w:r>
          <w:r>
            <w:instrText xml:space="preserve"> PAGEREF _Toc3896 \h </w:instrText>
          </w:r>
          <w:r>
            <w:fldChar w:fldCharType="separate"/>
          </w:r>
          <w:r>
            <w:t>49</w:t>
          </w:r>
          <w:r>
            <w:fldChar w:fldCharType="end"/>
          </w:r>
          <w:r>
            <w:rPr>
              <w:color w:val="auto"/>
              <w:highlight w:val="none"/>
            </w:rPr>
            <w:fldChar w:fldCharType="end"/>
          </w:r>
        </w:p>
        <w:p w14:paraId="39DCF96D">
          <w:pPr>
            <w:pStyle w:val="29"/>
            <w:tabs>
              <w:tab w:val="right" w:leader="dot" w:pos="9070"/>
              <w:tab w:val="clear" w:pos="8296"/>
            </w:tabs>
          </w:pPr>
          <w:r>
            <w:rPr>
              <w:color w:val="auto"/>
              <w:highlight w:val="none"/>
            </w:rPr>
            <w:fldChar w:fldCharType="begin"/>
          </w:r>
          <w:r>
            <w:rPr>
              <w:highlight w:val="none"/>
            </w:rPr>
            <w:instrText xml:space="preserve"> HYPERLINK \l _Toc7869 </w:instrText>
          </w:r>
          <w:r>
            <w:rPr>
              <w:highlight w:val="none"/>
            </w:rPr>
            <w:fldChar w:fldCharType="separate"/>
          </w:r>
          <w:r>
            <w:rPr>
              <w:rFonts w:hint="default" w:ascii="Times New Roman" w:hAnsi="Times New Roman" w:cs="Times New Roman"/>
            </w:rPr>
            <w:t xml:space="preserve">7.3. </w:t>
          </w:r>
          <w:r>
            <w:rPr>
              <w:rFonts w:hint="eastAsia"/>
              <w:highlight w:val="none"/>
            </w:rPr>
            <w:t>世界银行相关标准法规</w:t>
          </w:r>
          <w:r>
            <w:tab/>
          </w:r>
          <w:r>
            <w:fldChar w:fldCharType="begin"/>
          </w:r>
          <w:r>
            <w:instrText xml:space="preserve"> PAGEREF _Toc7869 \h </w:instrText>
          </w:r>
          <w:r>
            <w:fldChar w:fldCharType="separate"/>
          </w:r>
          <w:r>
            <w:t>50</w:t>
          </w:r>
          <w:r>
            <w:fldChar w:fldCharType="end"/>
          </w:r>
          <w:r>
            <w:rPr>
              <w:color w:val="auto"/>
              <w:highlight w:val="none"/>
            </w:rPr>
            <w:fldChar w:fldCharType="end"/>
          </w:r>
        </w:p>
        <w:p w14:paraId="66FDD29A">
          <w:pPr>
            <w:pStyle w:val="29"/>
            <w:tabs>
              <w:tab w:val="right" w:leader="dot" w:pos="9070"/>
              <w:tab w:val="clear" w:pos="8296"/>
            </w:tabs>
          </w:pPr>
          <w:r>
            <w:rPr>
              <w:color w:val="auto"/>
              <w:highlight w:val="none"/>
            </w:rPr>
            <w:fldChar w:fldCharType="begin"/>
          </w:r>
          <w:r>
            <w:rPr>
              <w:highlight w:val="none"/>
            </w:rPr>
            <w:instrText xml:space="preserve"> HYPERLINK \l _Toc21285 </w:instrText>
          </w:r>
          <w:r>
            <w:rPr>
              <w:highlight w:val="none"/>
            </w:rPr>
            <w:fldChar w:fldCharType="separate"/>
          </w:r>
          <w:r>
            <w:rPr>
              <w:rFonts w:hint="default" w:ascii="Times New Roman" w:hAnsi="Times New Roman" w:cs="Times New Roman"/>
            </w:rPr>
            <w:t xml:space="preserve">7.4. </w:t>
          </w:r>
          <w:r>
            <w:rPr>
              <w:rFonts w:hint="eastAsia"/>
              <w:highlight w:val="none"/>
            </w:rPr>
            <w:t>日本相关标准法规</w:t>
          </w:r>
          <w:r>
            <w:tab/>
          </w:r>
          <w:r>
            <w:fldChar w:fldCharType="begin"/>
          </w:r>
          <w:r>
            <w:instrText xml:space="preserve"> PAGEREF _Toc21285 \h </w:instrText>
          </w:r>
          <w:r>
            <w:fldChar w:fldCharType="separate"/>
          </w:r>
          <w:r>
            <w:t>51</w:t>
          </w:r>
          <w:r>
            <w:fldChar w:fldCharType="end"/>
          </w:r>
          <w:r>
            <w:rPr>
              <w:color w:val="auto"/>
              <w:highlight w:val="none"/>
            </w:rPr>
            <w:fldChar w:fldCharType="end"/>
          </w:r>
        </w:p>
        <w:p w14:paraId="1708B174">
          <w:pPr>
            <w:pStyle w:val="29"/>
            <w:tabs>
              <w:tab w:val="right" w:leader="dot" w:pos="9070"/>
              <w:tab w:val="clear" w:pos="8296"/>
            </w:tabs>
          </w:pPr>
          <w:r>
            <w:rPr>
              <w:color w:val="auto"/>
              <w:highlight w:val="none"/>
            </w:rPr>
            <w:fldChar w:fldCharType="begin"/>
          </w:r>
          <w:r>
            <w:rPr>
              <w:highlight w:val="none"/>
            </w:rPr>
            <w:instrText xml:space="preserve"> HYPERLINK \l _Toc8501 </w:instrText>
          </w:r>
          <w:r>
            <w:rPr>
              <w:highlight w:val="none"/>
            </w:rPr>
            <w:fldChar w:fldCharType="separate"/>
          </w:r>
          <w:r>
            <w:rPr>
              <w:rFonts w:hint="default" w:ascii="Times New Roman" w:hAnsi="Times New Roman" w:cs="Times New Roman"/>
            </w:rPr>
            <w:t xml:space="preserve">7.5. </w:t>
          </w:r>
          <w:r>
            <w:rPr>
              <w:rFonts w:hint="eastAsia"/>
              <w:highlight w:val="none"/>
              <w:lang w:eastAsia="zh-CN"/>
            </w:rPr>
            <w:t>国内标准</w:t>
          </w:r>
          <w:r>
            <w:tab/>
          </w:r>
          <w:r>
            <w:fldChar w:fldCharType="begin"/>
          </w:r>
          <w:r>
            <w:instrText xml:space="preserve"> PAGEREF _Toc8501 \h </w:instrText>
          </w:r>
          <w:r>
            <w:fldChar w:fldCharType="separate"/>
          </w:r>
          <w:r>
            <w:t>51</w:t>
          </w:r>
          <w:r>
            <w:fldChar w:fldCharType="end"/>
          </w:r>
          <w:r>
            <w:rPr>
              <w:color w:val="auto"/>
              <w:highlight w:val="none"/>
            </w:rPr>
            <w:fldChar w:fldCharType="end"/>
          </w:r>
        </w:p>
        <w:p w14:paraId="6E413222">
          <w:pPr>
            <w:pStyle w:val="24"/>
            <w:tabs>
              <w:tab w:val="right" w:leader="dot" w:pos="9070"/>
              <w:tab w:val="clear" w:pos="8296"/>
            </w:tabs>
          </w:pPr>
          <w:r>
            <w:rPr>
              <w:color w:val="auto"/>
              <w:highlight w:val="none"/>
            </w:rPr>
            <w:fldChar w:fldCharType="begin"/>
          </w:r>
          <w:r>
            <w:rPr>
              <w:highlight w:val="none"/>
            </w:rPr>
            <w:instrText xml:space="preserve"> HYPERLINK \l _Toc30871 </w:instrText>
          </w:r>
          <w:r>
            <w:rPr>
              <w:highlight w:val="none"/>
            </w:rPr>
            <w:fldChar w:fldCharType="separate"/>
          </w:r>
          <w:r>
            <w:rPr>
              <w:rFonts w:hint="default"/>
            </w:rPr>
            <w:t xml:space="preserve">8. </w:t>
          </w:r>
          <w:r>
            <w:rPr>
              <w:rFonts w:hint="eastAsia"/>
              <w:highlight w:val="none"/>
              <w:lang w:val="en-US" w:eastAsia="zh-CN"/>
            </w:rPr>
            <w:t>实施本文件的成本效益分析</w:t>
          </w:r>
          <w:r>
            <w:tab/>
          </w:r>
          <w:r>
            <w:fldChar w:fldCharType="begin"/>
          </w:r>
          <w:r>
            <w:instrText xml:space="preserve"> PAGEREF _Toc30871 \h </w:instrText>
          </w:r>
          <w:r>
            <w:fldChar w:fldCharType="separate"/>
          </w:r>
          <w:r>
            <w:t>54</w:t>
          </w:r>
          <w:r>
            <w:fldChar w:fldCharType="end"/>
          </w:r>
          <w:r>
            <w:rPr>
              <w:color w:val="auto"/>
              <w:highlight w:val="none"/>
            </w:rPr>
            <w:fldChar w:fldCharType="end"/>
          </w:r>
        </w:p>
        <w:p w14:paraId="4CA85AEB">
          <w:pPr>
            <w:pStyle w:val="29"/>
            <w:tabs>
              <w:tab w:val="right" w:leader="dot" w:pos="9070"/>
              <w:tab w:val="clear" w:pos="8296"/>
            </w:tabs>
          </w:pPr>
          <w:r>
            <w:rPr>
              <w:color w:val="auto"/>
              <w:highlight w:val="none"/>
            </w:rPr>
            <w:fldChar w:fldCharType="begin"/>
          </w:r>
          <w:r>
            <w:rPr>
              <w:highlight w:val="none"/>
            </w:rPr>
            <w:instrText xml:space="preserve"> HYPERLINK \l _Toc25453 </w:instrText>
          </w:r>
          <w:r>
            <w:rPr>
              <w:highlight w:val="none"/>
            </w:rPr>
            <w:fldChar w:fldCharType="separate"/>
          </w:r>
          <w:r>
            <w:rPr>
              <w:rFonts w:hint="default" w:ascii="Times New Roman" w:hAnsi="Times New Roman" w:cs="Times New Roman"/>
              <w:lang w:val="en-US" w:eastAsia="zh-CN"/>
            </w:rPr>
            <w:t xml:space="preserve">8.1. </w:t>
          </w:r>
          <w:r>
            <w:rPr>
              <w:rFonts w:hint="eastAsia"/>
              <w:highlight w:val="none"/>
              <w:lang w:val="en-US" w:eastAsia="zh-CN"/>
            </w:rPr>
            <w:t>实施本文件的环境效益</w:t>
          </w:r>
          <w:r>
            <w:tab/>
          </w:r>
          <w:r>
            <w:fldChar w:fldCharType="begin"/>
          </w:r>
          <w:r>
            <w:instrText xml:space="preserve"> PAGEREF _Toc25453 \h </w:instrText>
          </w:r>
          <w:r>
            <w:fldChar w:fldCharType="separate"/>
          </w:r>
          <w:r>
            <w:t>54</w:t>
          </w:r>
          <w:r>
            <w:fldChar w:fldCharType="end"/>
          </w:r>
          <w:r>
            <w:rPr>
              <w:color w:val="auto"/>
              <w:highlight w:val="none"/>
            </w:rPr>
            <w:fldChar w:fldCharType="end"/>
          </w:r>
        </w:p>
        <w:p w14:paraId="533AE9D6">
          <w:pPr>
            <w:pStyle w:val="29"/>
            <w:tabs>
              <w:tab w:val="right" w:leader="dot" w:pos="9070"/>
              <w:tab w:val="clear" w:pos="8296"/>
            </w:tabs>
          </w:pPr>
          <w:r>
            <w:rPr>
              <w:color w:val="auto"/>
              <w:highlight w:val="none"/>
            </w:rPr>
            <w:fldChar w:fldCharType="begin"/>
          </w:r>
          <w:r>
            <w:rPr>
              <w:highlight w:val="none"/>
            </w:rPr>
            <w:instrText xml:space="preserve"> HYPERLINK \l _Toc28394 </w:instrText>
          </w:r>
          <w:r>
            <w:rPr>
              <w:highlight w:val="none"/>
            </w:rPr>
            <w:fldChar w:fldCharType="separate"/>
          </w:r>
          <w:r>
            <w:rPr>
              <w:rFonts w:hint="default" w:ascii="Times New Roman" w:hAnsi="Times New Roman" w:cs="Times New Roman"/>
              <w:lang w:val="en-US" w:eastAsia="zh-CN"/>
            </w:rPr>
            <w:t xml:space="preserve">8.2. </w:t>
          </w:r>
          <w:r>
            <w:rPr>
              <w:rFonts w:hint="eastAsia"/>
              <w:highlight w:val="none"/>
              <w:lang w:val="en-US" w:eastAsia="zh-CN"/>
            </w:rPr>
            <w:t>本文件的达标情况分析</w:t>
          </w:r>
          <w:r>
            <w:tab/>
          </w:r>
          <w:r>
            <w:fldChar w:fldCharType="begin"/>
          </w:r>
          <w:r>
            <w:instrText xml:space="preserve"> PAGEREF _Toc28394 \h </w:instrText>
          </w:r>
          <w:r>
            <w:fldChar w:fldCharType="separate"/>
          </w:r>
          <w:r>
            <w:t>54</w:t>
          </w:r>
          <w:r>
            <w:fldChar w:fldCharType="end"/>
          </w:r>
          <w:r>
            <w:rPr>
              <w:color w:val="auto"/>
              <w:highlight w:val="none"/>
            </w:rPr>
            <w:fldChar w:fldCharType="end"/>
          </w:r>
        </w:p>
        <w:p w14:paraId="5FA636B9">
          <w:pPr>
            <w:pStyle w:val="24"/>
            <w:tabs>
              <w:tab w:val="right" w:leader="dot" w:pos="9070"/>
              <w:tab w:val="clear" w:pos="8296"/>
            </w:tabs>
          </w:pPr>
          <w:r>
            <w:rPr>
              <w:color w:val="auto"/>
              <w:highlight w:val="none"/>
            </w:rPr>
            <w:fldChar w:fldCharType="begin"/>
          </w:r>
          <w:r>
            <w:rPr>
              <w:highlight w:val="none"/>
            </w:rPr>
            <w:instrText xml:space="preserve"> HYPERLINK \l _Toc19366 </w:instrText>
          </w:r>
          <w:r>
            <w:rPr>
              <w:highlight w:val="none"/>
            </w:rPr>
            <w:fldChar w:fldCharType="separate"/>
          </w:r>
          <w:r>
            <w:rPr>
              <w:rFonts w:hint="default"/>
              <w:lang w:val="en-US" w:eastAsia="zh-CN"/>
            </w:rPr>
            <w:t xml:space="preserve">9. </w:t>
          </w:r>
          <w:r>
            <w:rPr>
              <w:rFonts w:hint="eastAsia"/>
              <w:highlight w:val="none"/>
              <w:lang w:val="en-US" w:eastAsia="zh-CN"/>
            </w:rPr>
            <w:t>标准实施建议</w:t>
          </w:r>
          <w:r>
            <w:tab/>
          </w:r>
          <w:r>
            <w:fldChar w:fldCharType="begin"/>
          </w:r>
          <w:r>
            <w:instrText xml:space="preserve"> PAGEREF _Toc19366 \h </w:instrText>
          </w:r>
          <w:r>
            <w:fldChar w:fldCharType="separate"/>
          </w:r>
          <w:r>
            <w:t>56</w:t>
          </w:r>
          <w:r>
            <w:fldChar w:fldCharType="end"/>
          </w:r>
          <w:r>
            <w:rPr>
              <w:color w:val="auto"/>
              <w:highlight w:val="none"/>
            </w:rPr>
            <w:fldChar w:fldCharType="end"/>
          </w:r>
        </w:p>
        <w:p w14:paraId="1B1878AD">
          <w:pPr>
            <w:pStyle w:val="24"/>
            <w:shd w:val="clear"/>
            <w:tabs>
              <w:tab w:val="right" w:leader="dot" w:pos="9070"/>
              <w:tab w:val="clear" w:pos="8296"/>
            </w:tabs>
            <w:rPr>
              <w:color w:val="auto"/>
              <w:highlight w:val="none"/>
            </w:rPr>
          </w:pPr>
          <w:r>
            <w:rPr>
              <w:color w:val="auto"/>
              <w:highlight w:val="none"/>
            </w:rPr>
            <w:fldChar w:fldCharType="end"/>
          </w:r>
        </w:p>
      </w:sdtContent>
    </w:sdt>
    <w:p w14:paraId="65DEA1CD">
      <w:pPr>
        <w:shd w:val="clear"/>
        <w:ind w:firstLine="420"/>
        <w:rPr>
          <w:color w:val="auto"/>
          <w:highlight w:val="none"/>
        </w:rPr>
        <w:sectPr>
          <w:footerReference r:id="rId13" w:type="default"/>
          <w:pgSz w:w="11906" w:h="16838"/>
          <w:pgMar w:top="1440" w:right="1418" w:bottom="1440" w:left="1418"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48552950">
      <w:pPr>
        <w:pStyle w:val="2"/>
        <w:shd w:val="clear"/>
        <w:bidi w:val="0"/>
        <w:ind w:left="432" w:leftChars="0" w:hanging="432" w:firstLineChars="0"/>
        <w:rPr>
          <w:color w:val="auto"/>
          <w:highlight w:val="none"/>
        </w:rPr>
      </w:pPr>
      <w:bookmarkStart w:id="0" w:name="_Toc179"/>
      <w:bookmarkStart w:id="1" w:name="_Toc22373"/>
      <w:bookmarkStart w:id="2" w:name="_Toc24258"/>
      <w:bookmarkStart w:id="3" w:name="_Toc20292"/>
      <w:bookmarkStart w:id="4" w:name="_Toc4756"/>
      <w:bookmarkStart w:id="5" w:name="_Toc13777"/>
      <w:r>
        <w:rPr>
          <w:rFonts w:hint="eastAsia"/>
          <w:color w:val="auto"/>
          <w:highlight w:val="none"/>
          <w:lang w:val="en-US" w:eastAsia="zh-CN"/>
        </w:rPr>
        <w:t>项目背景</w:t>
      </w:r>
      <w:bookmarkEnd w:id="0"/>
      <w:bookmarkEnd w:id="1"/>
      <w:bookmarkEnd w:id="2"/>
      <w:bookmarkEnd w:id="3"/>
      <w:bookmarkEnd w:id="4"/>
      <w:bookmarkEnd w:id="5"/>
    </w:p>
    <w:p w14:paraId="53AB54D7">
      <w:pPr>
        <w:pStyle w:val="3"/>
        <w:shd w:val="clear"/>
        <w:bidi w:val="0"/>
        <w:rPr>
          <w:color w:val="auto"/>
          <w:highlight w:val="none"/>
        </w:rPr>
      </w:pPr>
      <w:bookmarkStart w:id="6" w:name="_Toc21799"/>
      <w:bookmarkStart w:id="7" w:name="_Toc15790"/>
      <w:bookmarkStart w:id="8" w:name="_Toc2267"/>
      <w:bookmarkStart w:id="9" w:name="_Toc19472"/>
      <w:bookmarkStart w:id="10" w:name="_Toc14533"/>
      <w:bookmarkStart w:id="11" w:name="_Toc14927"/>
      <w:r>
        <w:rPr>
          <w:rFonts w:hint="eastAsia"/>
          <w:color w:val="auto"/>
          <w:highlight w:val="none"/>
          <w:lang w:eastAsia="zh-CN"/>
        </w:rPr>
        <w:t>任务来源</w:t>
      </w:r>
      <w:bookmarkEnd w:id="6"/>
      <w:bookmarkEnd w:id="7"/>
      <w:bookmarkEnd w:id="8"/>
      <w:bookmarkEnd w:id="9"/>
      <w:bookmarkEnd w:id="10"/>
      <w:bookmarkEnd w:id="11"/>
    </w:p>
    <w:p w14:paraId="225FCA30">
      <w:pPr>
        <w:shd w:val="clear"/>
        <w:spacing w:after="0"/>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202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30日</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湖南省市场监督管理局以《关于下达</w:t>
      </w:r>
      <w:r>
        <w:rPr>
          <w:rFonts w:hint="default" w:ascii="Times New Roman" w:hAnsi="Times New Roman" w:cs="Times New Roman"/>
          <w:color w:val="auto"/>
          <w:highlight w:val="none"/>
          <w:lang w:val="en-US" w:eastAsia="zh-CN"/>
        </w:rPr>
        <w:t>2024年度第1批地方标准制定项目计划的通知</w:t>
      </w:r>
      <w:r>
        <w:rPr>
          <w:rFonts w:hint="default" w:ascii="Times New Roman" w:hAnsi="Times New Roman" w:cs="Times New Roman"/>
          <w:color w:val="auto"/>
          <w:highlight w:val="none"/>
          <w:lang w:eastAsia="zh-CN"/>
        </w:rPr>
        <w:t>》（湘市监标函</w:t>
      </w:r>
      <w:r>
        <w:rPr>
          <w:rFonts w:hint="default" w:ascii="Times New Roman" w:hAnsi="Times New Roman" w:eastAsia="宋体" w:cs="Times New Roman"/>
          <w:color w:val="auto"/>
          <w:highlight w:val="none"/>
          <w:lang w:eastAsia="zh-CN"/>
        </w:rPr>
        <w:t>〔</w:t>
      </w:r>
      <w:r>
        <w:rPr>
          <w:rFonts w:hint="default" w:ascii="Times New Roman" w:hAnsi="Times New Roman" w:cs="Times New Roman"/>
          <w:color w:val="auto"/>
          <w:highlight w:val="none"/>
          <w:lang w:val="en-US" w:eastAsia="zh-CN"/>
        </w:rPr>
        <w:t>2024</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25号</w:t>
      </w:r>
      <w:r>
        <w:rPr>
          <w:rFonts w:hint="default" w:ascii="Times New Roman" w:hAnsi="Times New Roman" w:cs="Times New Roman"/>
          <w:color w:val="auto"/>
          <w:highlight w:val="none"/>
          <w:lang w:eastAsia="zh-CN"/>
        </w:rPr>
        <w:t>）的形式下达了湖南省《工业企业挥发性有机物排放标准》的编制任务</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项目行业主管部门和归口单位均为湖南省生态环境厅</w:t>
      </w:r>
      <w:r>
        <w:rPr>
          <w:rFonts w:hint="eastAsia" w:cs="Times New Roman"/>
          <w:color w:val="auto"/>
          <w:highlight w:val="none"/>
          <w:lang w:eastAsia="zh-CN"/>
        </w:rPr>
        <w:t>，</w:t>
      </w:r>
      <w:r>
        <w:rPr>
          <w:rFonts w:hint="default" w:ascii="Times New Roman" w:hAnsi="Times New Roman" w:cs="Times New Roman"/>
          <w:color w:val="auto"/>
          <w:highlight w:val="none"/>
          <w:lang w:eastAsia="zh-CN"/>
        </w:rPr>
        <w:t>项目承担单位为中国环境科学研究院</w:t>
      </w:r>
      <w:r>
        <w:rPr>
          <w:rFonts w:hint="eastAsia" w:cs="Times New Roman"/>
          <w:color w:val="auto"/>
          <w:highlight w:val="none"/>
          <w:lang w:eastAsia="zh-CN"/>
        </w:rPr>
        <w:t>。本</w:t>
      </w:r>
      <w:r>
        <w:rPr>
          <w:rFonts w:hint="eastAsia" w:ascii="Times New Roman" w:hAnsi="Times New Roman" w:cs="Times New Roman"/>
          <w:color w:val="auto"/>
          <w:highlight w:val="none"/>
          <w:lang w:eastAsia="zh-CN"/>
        </w:rPr>
        <w:t>项目参与单位为</w:t>
      </w:r>
      <w:r>
        <w:rPr>
          <w:rFonts w:hint="default" w:ascii="Times New Roman" w:hAnsi="Times New Roman" w:cs="Times New Roman"/>
          <w:color w:val="auto"/>
          <w:highlight w:val="none"/>
          <w:lang w:eastAsia="zh-CN"/>
        </w:rPr>
        <w:t>湖南省生态环境监测中心</w:t>
      </w:r>
      <w:r>
        <w:rPr>
          <w:rFonts w:hint="eastAsia" w:cs="Times New Roman"/>
          <w:color w:val="auto"/>
          <w:highlight w:val="none"/>
          <w:lang w:eastAsia="zh-CN"/>
        </w:rPr>
        <w:t>、</w:t>
      </w:r>
      <w:r>
        <w:rPr>
          <w:rFonts w:hint="eastAsia" w:ascii="Times New Roman" w:hAnsi="Times New Roman" w:cs="Times New Roman"/>
          <w:color w:val="auto"/>
          <w:highlight w:val="none"/>
          <w:lang w:eastAsia="zh-CN"/>
        </w:rPr>
        <w:t>湖南省生态环境事务中心</w:t>
      </w:r>
      <w:r>
        <w:rPr>
          <w:rFonts w:hint="eastAsia" w:cs="Times New Roman"/>
          <w:color w:val="auto"/>
          <w:highlight w:val="none"/>
          <w:lang w:val="en-US" w:eastAsia="zh-CN"/>
        </w:rPr>
        <w:t>和</w:t>
      </w:r>
      <w:r>
        <w:rPr>
          <w:rFonts w:hint="eastAsia" w:ascii="Times New Roman" w:hAnsi="Times New Roman" w:cs="Times New Roman"/>
          <w:color w:val="auto"/>
          <w:highlight w:val="none"/>
          <w:lang w:eastAsia="zh-CN"/>
        </w:rPr>
        <w:t>国检测试控股集团湖南华科科技有限公司</w:t>
      </w:r>
      <w:r>
        <w:rPr>
          <w:rFonts w:hint="default" w:ascii="Times New Roman" w:hAnsi="Times New Roman" w:cs="Times New Roman"/>
          <w:color w:val="auto"/>
          <w:highlight w:val="none"/>
        </w:rPr>
        <w:t>。</w:t>
      </w:r>
    </w:p>
    <w:p w14:paraId="3A5BACC3">
      <w:pPr>
        <w:pStyle w:val="3"/>
        <w:shd w:val="clear"/>
        <w:bidi w:val="0"/>
        <w:rPr>
          <w:rFonts w:hint="eastAsia"/>
          <w:color w:val="auto"/>
          <w:highlight w:val="none"/>
          <w:lang w:eastAsia="zh-CN"/>
        </w:rPr>
      </w:pPr>
      <w:bookmarkStart w:id="12" w:name="_Toc2350"/>
      <w:bookmarkStart w:id="13" w:name="_Toc23766"/>
      <w:bookmarkStart w:id="14" w:name="_Toc18115"/>
      <w:bookmarkStart w:id="15" w:name="_Toc10849"/>
      <w:bookmarkStart w:id="16" w:name="_Toc26681"/>
      <w:bookmarkStart w:id="17" w:name="_Toc27986"/>
      <w:r>
        <w:rPr>
          <w:rFonts w:hint="eastAsia"/>
          <w:color w:val="auto"/>
          <w:highlight w:val="none"/>
          <w:lang w:eastAsia="zh-CN"/>
        </w:rPr>
        <w:t>工作过程</w:t>
      </w:r>
      <w:bookmarkEnd w:id="12"/>
      <w:bookmarkEnd w:id="13"/>
      <w:bookmarkEnd w:id="14"/>
      <w:bookmarkEnd w:id="15"/>
      <w:bookmarkEnd w:id="16"/>
      <w:bookmarkEnd w:id="17"/>
    </w:p>
    <w:p w14:paraId="6A2621F8">
      <w:pPr>
        <w:pStyle w:val="4"/>
        <w:shd w:val="clear"/>
        <w:bidi w:val="0"/>
        <w:rPr>
          <w:rFonts w:hint="eastAsia"/>
          <w:color w:val="auto"/>
          <w:highlight w:val="none"/>
          <w:lang w:eastAsia="zh-CN"/>
        </w:rPr>
      </w:pPr>
      <w:r>
        <w:rPr>
          <w:rFonts w:hint="eastAsia"/>
          <w:color w:val="auto"/>
          <w:highlight w:val="none"/>
          <w:lang w:eastAsia="zh-CN"/>
        </w:rPr>
        <w:t>调研</w:t>
      </w:r>
    </w:p>
    <w:p w14:paraId="1E51A2E3">
      <w:pPr>
        <w:shd w:val="clear"/>
        <w:tabs>
          <w:tab w:val="left" w:pos="3402"/>
        </w:tabs>
        <w:ind w:firstLine="420"/>
        <w:rPr>
          <w:rFonts w:hint="eastAsia"/>
          <w:color w:val="auto"/>
          <w:highlight w:val="none"/>
        </w:rPr>
      </w:pPr>
      <w:r>
        <w:rPr>
          <w:rFonts w:hint="eastAsia"/>
          <w:color w:val="auto"/>
          <w:highlight w:val="none"/>
        </w:rPr>
        <w:t>2</w:t>
      </w:r>
      <w:r>
        <w:rPr>
          <w:color w:val="auto"/>
          <w:highlight w:val="none"/>
        </w:rPr>
        <w:t>02</w:t>
      </w:r>
      <w:r>
        <w:rPr>
          <w:rFonts w:hint="eastAsia"/>
          <w:color w:val="auto"/>
          <w:highlight w:val="none"/>
          <w:lang w:val="en-US" w:eastAsia="zh-CN"/>
        </w:rPr>
        <w:t>3</w:t>
      </w:r>
      <w:r>
        <w:rPr>
          <w:rFonts w:hint="eastAsia"/>
          <w:color w:val="auto"/>
          <w:highlight w:val="none"/>
        </w:rPr>
        <w:t>年</w:t>
      </w:r>
      <w:r>
        <w:rPr>
          <w:rFonts w:hint="eastAsia"/>
          <w:color w:val="auto"/>
          <w:highlight w:val="none"/>
          <w:lang w:val="en-US" w:eastAsia="zh-CN"/>
        </w:rPr>
        <w:t>10</w:t>
      </w:r>
      <w:r>
        <w:rPr>
          <w:rFonts w:hint="eastAsia"/>
          <w:color w:val="auto"/>
          <w:highlight w:val="none"/>
        </w:rPr>
        <w:t>月，</w:t>
      </w:r>
      <w:r>
        <w:rPr>
          <w:rFonts w:hint="eastAsia"/>
          <w:color w:val="auto"/>
          <w:highlight w:val="none"/>
          <w:lang w:eastAsia="zh-CN"/>
        </w:rPr>
        <w:t>标准编制组</w:t>
      </w:r>
      <w:r>
        <w:rPr>
          <w:rFonts w:hint="eastAsia"/>
          <w:color w:val="auto"/>
          <w:highlight w:val="none"/>
        </w:rPr>
        <w:t>在查阅国内外标准及文献的基础上，起草了标准编制草案及开题论证报告初稿，初步确定了本标准制订工作技术路线。</w:t>
      </w:r>
    </w:p>
    <w:p w14:paraId="44725BBE">
      <w:pPr>
        <w:shd w:val="clear"/>
        <w:ind w:firstLine="420"/>
        <w:rPr>
          <w:rFonts w:hint="eastAsia"/>
          <w:color w:val="auto"/>
          <w:highlight w:val="none"/>
        </w:rPr>
      </w:pPr>
      <w:r>
        <w:rPr>
          <w:rFonts w:hint="eastAsia"/>
          <w:color w:val="auto"/>
          <w:highlight w:val="none"/>
        </w:rPr>
        <w:t>2</w:t>
      </w:r>
      <w:r>
        <w:rPr>
          <w:color w:val="auto"/>
          <w:highlight w:val="none"/>
        </w:rPr>
        <w:t>02</w:t>
      </w:r>
      <w:r>
        <w:rPr>
          <w:rFonts w:hint="eastAsia"/>
          <w:color w:val="auto"/>
          <w:highlight w:val="none"/>
          <w:lang w:val="en-US" w:eastAsia="zh-CN"/>
        </w:rPr>
        <w:t>4</w:t>
      </w:r>
      <w:r>
        <w:rPr>
          <w:rFonts w:hint="eastAsia"/>
          <w:color w:val="auto"/>
          <w:highlight w:val="none"/>
        </w:rPr>
        <w:t>年</w:t>
      </w:r>
      <w:r>
        <w:rPr>
          <w:rFonts w:hint="eastAsia"/>
          <w:color w:val="auto"/>
          <w:highlight w:val="none"/>
          <w:lang w:val="en-US" w:eastAsia="zh-CN"/>
        </w:rPr>
        <w:t>4</w:t>
      </w:r>
      <w:r>
        <w:rPr>
          <w:rFonts w:hint="eastAsia"/>
          <w:color w:val="auto"/>
          <w:highlight w:val="none"/>
        </w:rPr>
        <w:t>月，编制组在</w:t>
      </w:r>
      <w:r>
        <w:rPr>
          <w:rFonts w:hint="eastAsia"/>
          <w:color w:val="auto"/>
          <w:highlight w:val="none"/>
          <w:lang w:eastAsia="zh-CN"/>
        </w:rPr>
        <w:t>湖南</w:t>
      </w:r>
      <w:r>
        <w:rPr>
          <w:rFonts w:hint="eastAsia"/>
          <w:color w:val="auto"/>
          <w:highlight w:val="none"/>
        </w:rPr>
        <w:t>省生态环境厅支持下，前往</w:t>
      </w:r>
      <w:r>
        <w:rPr>
          <w:rFonts w:hint="eastAsia"/>
          <w:color w:val="auto"/>
          <w:highlight w:val="none"/>
          <w:lang w:val="en-US" w:eastAsia="zh-CN"/>
        </w:rPr>
        <w:t>长沙、株洲、湘潭</w:t>
      </w:r>
      <w:r>
        <w:rPr>
          <w:rFonts w:hint="eastAsia"/>
          <w:color w:val="auto"/>
          <w:highlight w:val="none"/>
        </w:rPr>
        <w:t>等地典型企业开展现场</w:t>
      </w:r>
      <w:r>
        <w:rPr>
          <w:rFonts w:hint="eastAsia"/>
          <w:color w:val="auto"/>
          <w:highlight w:val="none"/>
          <w:lang w:val="en-US" w:eastAsia="zh-CN"/>
        </w:rPr>
        <w:t>调研，听取VOCs工业园区相关管理人员、涉VOCs排放和从事VOCs治理的环保公司代表关于标准工作的意见，并实地调研工业企业生产工艺及VOCs治理工艺</w:t>
      </w:r>
      <w:r>
        <w:rPr>
          <w:rFonts w:hint="eastAsia"/>
          <w:color w:val="auto"/>
          <w:highlight w:val="none"/>
        </w:rPr>
        <w:t>。在相关调研、监测以及资料收集的基础上，形成本标准开题论证报告及标准草案。</w:t>
      </w:r>
    </w:p>
    <w:p w14:paraId="329EADFA">
      <w:pPr>
        <w:pStyle w:val="4"/>
        <w:shd w:val="clear"/>
        <w:bidi w:val="0"/>
        <w:rPr>
          <w:rFonts w:hint="eastAsia"/>
          <w:color w:val="auto"/>
          <w:highlight w:val="none"/>
          <w:lang w:eastAsia="zh-CN"/>
        </w:rPr>
      </w:pPr>
      <w:r>
        <w:rPr>
          <w:rFonts w:hint="eastAsia"/>
          <w:color w:val="auto"/>
          <w:highlight w:val="none"/>
          <w:lang w:val="en-US" w:eastAsia="zh-CN"/>
        </w:rPr>
        <w:t>开题论证</w:t>
      </w:r>
    </w:p>
    <w:p w14:paraId="1A498296">
      <w:pPr>
        <w:shd w:val="clear"/>
        <w:ind w:firstLine="420"/>
        <w:rPr>
          <w:rFonts w:hint="eastAsia"/>
          <w:color w:val="auto"/>
          <w:highlight w:val="none"/>
          <w:lang w:val="en-US" w:eastAsia="zh-CN"/>
        </w:rPr>
      </w:pPr>
      <w:r>
        <w:rPr>
          <w:rFonts w:hint="eastAsia"/>
          <w:color w:val="auto"/>
          <w:highlight w:val="none"/>
          <w:lang w:val="en-US" w:eastAsia="zh-CN"/>
        </w:rPr>
        <w:t>2025年2月27日，湖南省生态环境厅在长沙组织召开了《工业企业挥发性有机物排放标准》开题论证会。与会领导和5位专家听取了标准主编单位中国环境科学研究院对标准开题报告及草案的汇报，一致认为编制单位开展了大量的前期工作，技术路线合理、开题报告内容全面、格式规范，符合开题论证的要求。</w:t>
      </w:r>
    </w:p>
    <w:p w14:paraId="16B24FE6">
      <w:pPr>
        <w:pStyle w:val="4"/>
        <w:shd w:val="clear"/>
        <w:bidi w:val="0"/>
        <w:rPr>
          <w:rFonts w:hint="eastAsia"/>
          <w:color w:val="auto"/>
          <w:highlight w:val="none"/>
          <w:lang w:eastAsia="zh-CN"/>
        </w:rPr>
      </w:pPr>
      <w:r>
        <w:rPr>
          <w:rFonts w:hint="eastAsia"/>
          <w:color w:val="auto"/>
          <w:highlight w:val="none"/>
          <w:lang w:val="en-US" w:eastAsia="zh-CN"/>
        </w:rPr>
        <w:t>征求意见稿技术审查会</w:t>
      </w:r>
    </w:p>
    <w:p w14:paraId="3280BA8F">
      <w:pPr>
        <w:shd w:val="clear"/>
        <w:ind w:firstLine="420"/>
        <w:rPr>
          <w:rFonts w:hint="default"/>
          <w:color w:val="auto"/>
          <w:highlight w:val="none"/>
          <w:lang w:val="en-US" w:eastAsia="zh-CN"/>
        </w:rPr>
      </w:pPr>
      <w:r>
        <w:rPr>
          <w:rFonts w:hint="default"/>
          <w:color w:val="auto"/>
          <w:highlight w:val="none"/>
          <w:lang w:val="en-US" w:eastAsia="zh-CN"/>
        </w:rPr>
        <w:t>2025年8月8日，湖南省生态环境厅组织专家在长沙召开了《工业企业挥发性有机物排放标准》技术审查会。与会领导和专家听取了标准牵头单位中国环境科学研究院所做的标准编制说明，对标准征求意见稿进行了认真审查，经质询和讨论，一致同意通过对《工业企业挥发性有机物排放标准》的技术审查，</w:t>
      </w:r>
      <w:r>
        <w:rPr>
          <w:rFonts w:hint="eastAsia"/>
          <w:color w:val="auto"/>
          <w:highlight w:val="none"/>
          <w:lang w:val="en-US" w:eastAsia="zh-CN"/>
        </w:rPr>
        <w:t>建议</w:t>
      </w:r>
      <w:r>
        <w:rPr>
          <w:rFonts w:hint="default"/>
          <w:color w:val="auto"/>
          <w:highlight w:val="none"/>
          <w:lang w:val="en-US" w:eastAsia="zh-CN"/>
        </w:rPr>
        <w:t>按程序公开征求意见</w:t>
      </w:r>
      <w:r>
        <w:rPr>
          <w:rFonts w:hint="eastAsia"/>
          <w:color w:val="auto"/>
          <w:highlight w:val="none"/>
          <w:lang w:val="en-US" w:eastAsia="zh-CN"/>
        </w:rPr>
        <w:t>。</w:t>
      </w:r>
    </w:p>
    <w:p w14:paraId="3FCB701F">
      <w:pPr>
        <w:pStyle w:val="2"/>
        <w:shd w:val="clear"/>
        <w:bidi w:val="0"/>
        <w:rPr>
          <w:color w:val="auto"/>
          <w:highlight w:val="none"/>
        </w:rPr>
      </w:pPr>
      <w:bookmarkStart w:id="18" w:name="_Toc26901"/>
      <w:bookmarkStart w:id="19" w:name="_Toc4412"/>
      <w:bookmarkStart w:id="20" w:name="_Toc17602"/>
      <w:bookmarkStart w:id="21" w:name="_Toc16082"/>
      <w:bookmarkStart w:id="22" w:name="_Toc32495"/>
      <w:bookmarkStart w:id="23" w:name="_Toc15014"/>
      <w:r>
        <w:rPr>
          <w:rFonts w:hint="eastAsia"/>
          <w:color w:val="auto"/>
          <w:highlight w:val="none"/>
          <w:lang w:eastAsia="zh-CN"/>
        </w:rPr>
        <w:t>湖南省工业企业</w:t>
      </w:r>
      <w:r>
        <w:rPr>
          <w:rFonts w:hint="eastAsia"/>
          <w:color w:val="auto"/>
          <w:highlight w:val="none"/>
          <w:lang w:val="en-US" w:eastAsia="zh-CN"/>
        </w:rPr>
        <w:t>及挥发性有机物排放概况</w:t>
      </w:r>
      <w:bookmarkEnd w:id="18"/>
      <w:bookmarkEnd w:id="19"/>
      <w:bookmarkEnd w:id="20"/>
      <w:bookmarkEnd w:id="21"/>
      <w:bookmarkEnd w:id="22"/>
      <w:bookmarkEnd w:id="23"/>
    </w:p>
    <w:p w14:paraId="23FCAF4B">
      <w:pPr>
        <w:pStyle w:val="3"/>
        <w:shd w:val="clear"/>
        <w:bidi w:val="0"/>
        <w:ind w:left="575" w:leftChars="0" w:hanging="575" w:firstLineChars="0"/>
        <w:rPr>
          <w:color w:val="auto"/>
          <w:highlight w:val="none"/>
        </w:rPr>
      </w:pPr>
      <w:bookmarkStart w:id="24" w:name="_Toc27904"/>
      <w:bookmarkStart w:id="25" w:name="_Toc11402"/>
      <w:bookmarkStart w:id="26" w:name="_Toc31491"/>
      <w:bookmarkStart w:id="27" w:name="_Toc11309"/>
      <w:bookmarkStart w:id="28" w:name="_Toc4300"/>
      <w:bookmarkStart w:id="29" w:name="_Toc5585"/>
      <w:r>
        <w:rPr>
          <w:rFonts w:hint="eastAsia"/>
          <w:color w:val="auto"/>
          <w:highlight w:val="none"/>
          <w:lang w:eastAsia="zh-CN"/>
        </w:rPr>
        <w:t>工业企业</w:t>
      </w:r>
      <w:r>
        <w:rPr>
          <w:rFonts w:hint="eastAsia"/>
          <w:color w:val="auto"/>
          <w:highlight w:val="none"/>
          <w:lang w:val="en-US" w:eastAsia="zh-CN"/>
        </w:rPr>
        <w:t>概况</w:t>
      </w:r>
      <w:bookmarkEnd w:id="24"/>
      <w:bookmarkEnd w:id="25"/>
      <w:bookmarkEnd w:id="26"/>
      <w:bookmarkEnd w:id="27"/>
      <w:bookmarkEnd w:id="28"/>
      <w:bookmarkEnd w:id="29"/>
    </w:p>
    <w:p w14:paraId="032E2355">
      <w:pPr>
        <w:shd w:val="clear"/>
        <w:ind w:firstLine="420"/>
        <w:rPr>
          <w:rFonts w:hint="eastAsia"/>
          <w:color w:val="auto"/>
          <w:highlight w:val="none"/>
          <w:lang w:val="en-US" w:eastAsia="zh-CN"/>
        </w:rPr>
      </w:pPr>
      <w:r>
        <w:rPr>
          <w:rFonts w:hint="eastAsia"/>
          <w:color w:val="auto"/>
          <w:highlight w:val="none"/>
          <w:shd w:val="clear"/>
        </w:rPr>
        <w:t>根据《湖南统计年鉴（202</w:t>
      </w:r>
      <w:r>
        <w:rPr>
          <w:rFonts w:hint="eastAsia"/>
          <w:color w:val="auto"/>
          <w:highlight w:val="none"/>
          <w:shd w:val="clear"/>
          <w:lang w:val="en-US" w:eastAsia="zh-CN"/>
        </w:rPr>
        <w:t>4</w:t>
      </w:r>
      <w:r>
        <w:rPr>
          <w:rFonts w:hint="eastAsia"/>
          <w:color w:val="auto"/>
          <w:highlight w:val="none"/>
          <w:shd w:val="clear"/>
        </w:rPr>
        <w:t>）》，湖南省规模以上工业企业</w:t>
      </w:r>
      <w:r>
        <w:rPr>
          <w:rFonts w:hint="eastAsia"/>
          <w:color w:val="auto"/>
          <w:highlight w:val="none"/>
          <w:shd w:val="clear"/>
          <w:lang w:val="en-US" w:eastAsia="zh-CN"/>
        </w:rPr>
        <w:t>有21491</w:t>
      </w:r>
      <w:r>
        <w:rPr>
          <w:rFonts w:hint="eastAsia"/>
          <w:color w:val="auto"/>
          <w:highlight w:val="none"/>
          <w:shd w:val="clear"/>
        </w:rPr>
        <w:t>个，</w:t>
      </w:r>
      <w:r>
        <w:rPr>
          <w:rFonts w:hint="eastAsia"/>
          <w:color w:val="auto"/>
          <w:highlight w:val="none"/>
          <w:shd w:val="clear"/>
          <w:lang w:val="en-US" w:eastAsia="zh-CN"/>
        </w:rPr>
        <w:t>其中小型企业仍然占企业数量的主体，</w:t>
      </w:r>
      <w:r>
        <w:rPr>
          <w:rFonts w:hint="eastAsia"/>
          <w:color w:val="auto"/>
          <w:highlight w:val="none"/>
          <w:shd w:val="clear"/>
        </w:rPr>
        <w:t>分布在14个地市州</w:t>
      </w:r>
      <w:r>
        <w:rPr>
          <w:rFonts w:hint="eastAsia"/>
          <w:color w:val="auto"/>
          <w:highlight w:val="none"/>
          <w:shd w:val="clear"/>
          <w:lang w:eastAsia="zh-CN"/>
        </w:rPr>
        <w:t>，</w:t>
      </w:r>
      <w:r>
        <w:rPr>
          <w:rFonts w:hint="eastAsia"/>
          <w:color w:val="auto"/>
          <w:highlight w:val="none"/>
          <w:shd w:val="clear"/>
          <w:lang w:val="en-US" w:eastAsia="zh-CN"/>
        </w:rPr>
        <w:t>见</w:t>
      </w:r>
      <w:r>
        <w:rPr>
          <w:rFonts w:hint="eastAsia"/>
          <w:color w:val="auto"/>
          <w:highlight w:val="none"/>
          <w:shd w:val="clear"/>
          <w:lang w:val="en-US" w:eastAsia="zh-CN"/>
        </w:rPr>
        <w:fldChar w:fldCharType="begin"/>
      </w:r>
      <w:r>
        <w:rPr>
          <w:rFonts w:hint="eastAsia"/>
          <w:color w:val="auto"/>
          <w:highlight w:val="none"/>
          <w:shd w:val="clear"/>
          <w:lang w:val="en-US" w:eastAsia="zh-CN"/>
        </w:rPr>
        <w:instrText xml:space="preserve"> REF _Ref15778 \h </w:instrText>
      </w:r>
      <w:r>
        <w:rPr>
          <w:rFonts w:hint="eastAsia"/>
          <w:color w:val="auto"/>
          <w:highlight w:val="none"/>
          <w:shd w:val="clear"/>
          <w:lang w:val="en-US" w:eastAsia="zh-CN"/>
        </w:rPr>
        <w:fldChar w:fldCharType="separate"/>
      </w:r>
      <w:r>
        <w:rPr>
          <w:rFonts w:hint="default" w:ascii="Times New Roman" w:hAnsi="Times New Roman" w:cs="Times New Roman"/>
          <w:color w:val="auto"/>
          <w:highlight w:val="none"/>
        </w:rPr>
        <w:t>图1</w:t>
      </w:r>
      <w:r>
        <w:rPr>
          <w:rFonts w:hint="eastAsia"/>
          <w:color w:val="auto"/>
          <w:highlight w:val="none"/>
          <w:shd w:val="clear"/>
          <w:lang w:val="en-US" w:eastAsia="zh-CN"/>
        </w:rPr>
        <w:fldChar w:fldCharType="end"/>
      </w:r>
      <w:r>
        <w:rPr>
          <w:rFonts w:hint="eastAsia"/>
          <w:color w:val="auto"/>
          <w:highlight w:val="none"/>
          <w:shd w:val="clear"/>
        </w:rPr>
        <w:t>。2017年以来，湖南工业企业</w:t>
      </w:r>
      <w:r>
        <w:rPr>
          <w:rFonts w:hint="eastAsia"/>
          <w:color w:val="auto"/>
          <w:highlight w:val="none"/>
        </w:rPr>
        <w:t>年营业收入和增速情况较好。工业产值年收入在35086.89亿元</w:t>
      </w:r>
      <w:r>
        <w:rPr>
          <w:rFonts w:hint="eastAsia"/>
          <w:color w:val="auto"/>
          <w:highlight w:val="none"/>
          <w:lang w:eastAsia="zh-CN"/>
        </w:rPr>
        <w:t>～</w:t>
      </w:r>
      <w:r>
        <w:rPr>
          <w:rFonts w:hint="eastAsia"/>
          <w:color w:val="auto"/>
          <w:highlight w:val="none"/>
        </w:rPr>
        <w:t>43408.68亿元，年增长率为4.8%</w:t>
      </w:r>
      <w:r>
        <w:rPr>
          <w:rFonts w:hint="eastAsia"/>
          <w:color w:val="auto"/>
          <w:highlight w:val="none"/>
          <w:lang w:eastAsia="zh-CN"/>
        </w:rPr>
        <w:t>～</w:t>
      </w:r>
      <w:r>
        <w:rPr>
          <w:rFonts w:hint="eastAsia"/>
          <w:color w:val="auto"/>
          <w:highlight w:val="none"/>
        </w:rPr>
        <w:t>8.4%</w:t>
      </w:r>
      <w:r>
        <w:rPr>
          <w:rFonts w:hint="eastAsia"/>
          <w:color w:val="auto"/>
          <w:highlight w:val="none"/>
          <w:lang w:eastAsia="zh-CN"/>
        </w:rPr>
        <w:t>。按照VOCs排放来源，涉及挥发性有机物排放的规模以上工业企业</w:t>
      </w:r>
      <w:r>
        <w:rPr>
          <w:rFonts w:hint="eastAsia"/>
          <w:color w:val="auto"/>
          <w:highlight w:val="none"/>
          <w:shd w:val="clear"/>
          <w:lang w:val="en-US" w:eastAsia="zh-CN"/>
        </w:rPr>
        <w:t>有</w:t>
      </w:r>
      <w:r>
        <w:rPr>
          <w:rFonts w:hint="eastAsia"/>
          <w:color w:val="auto"/>
          <w:highlight w:val="none"/>
          <w:lang w:val="en-US" w:eastAsia="zh-CN"/>
        </w:rPr>
        <w:t>15894个，</w:t>
      </w:r>
      <w:r>
        <w:rPr>
          <w:rFonts w:hint="eastAsia"/>
          <w:color w:val="auto"/>
          <w:highlight w:val="none"/>
          <w:lang w:eastAsia="zh-CN"/>
        </w:rPr>
        <w:t>大致分为石化行业、化工行业、工业涂装和其他溶剂使用行业等4类，</w:t>
      </w:r>
      <w:r>
        <w:rPr>
          <w:rFonts w:hint="eastAsia"/>
          <w:color w:val="auto"/>
          <w:highlight w:val="none"/>
          <w:lang w:val="en-US" w:eastAsia="zh-CN"/>
        </w:rPr>
        <w:t>见</w:t>
      </w:r>
      <w:r>
        <w:rPr>
          <w:rFonts w:hint="eastAsia"/>
          <w:color w:val="auto"/>
          <w:highlight w:val="none"/>
          <w:lang w:val="en-US" w:eastAsia="zh-CN"/>
        </w:rPr>
        <w:fldChar w:fldCharType="begin"/>
      </w:r>
      <w:r>
        <w:rPr>
          <w:rFonts w:hint="eastAsia"/>
          <w:color w:val="auto"/>
          <w:highlight w:val="none"/>
          <w:lang w:val="en-US" w:eastAsia="zh-CN"/>
        </w:rPr>
        <w:instrText xml:space="preserve"> REF _Ref15827 \h </w:instrText>
      </w:r>
      <w:r>
        <w:rPr>
          <w:rFonts w:hint="eastAsia"/>
          <w:color w:val="auto"/>
          <w:highlight w:val="none"/>
          <w:lang w:val="en-US" w:eastAsia="zh-CN"/>
        </w:rPr>
        <w:fldChar w:fldCharType="separate"/>
      </w:r>
      <w:r>
        <w:rPr>
          <w:rFonts w:hint="default" w:ascii="Times New Roman" w:hAnsi="Times New Roman" w:cs="Times New Roman"/>
          <w:color w:val="auto"/>
          <w:highlight w:val="none"/>
        </w:rPr>
        <w:t>图2</w:t>
      </w:r>
      <w:r>
        <w:rPr>
          <w:rFonts w:hint="eastAsia"/>
          <w:color w:val="auto"/>
          <w:highlight w:val="none"/>
          <w:lang w:val="en-US" w:eastAsia="zh-CN"/>
        </w:rPr>
        <w:fldChar w:fldCharType="end"/>
      </w:r>
      <w:r>
        <w:rPr>
          <w:rFonts w:hint="eastAsia"/>
          <w:color w:val="auto"/>
          <w:highlight w:val="none"/>
          <w:lang w:eastAsia="zh-CN"/>
        </w:rPr>
        <w:t>。</w:t>
      </w:r>
      <w:r>
        <w:rPr>
          <w:rFonts w:hint="eastAsia"/>
          <w:color w:val="auto"/>
          <w:highlight w:val="none"/>
          <w:lang w:val="en-US" w:eastAsia="zh-CN"/>
        </w:rPr>
        <w:t>截止2024年12月31日，湖南核发排污许可证管理的工业企业</w:t>
      </w:r>
      <w:r>
        <w:rPr>
          <w:rFonts w:hint="eastAsia"/>
          <w:color w:val="auto"/>
          <w:highlight w:val="none"/>
          <w:shd w:val="clear"/>
          <w:lang w:val="en-US" w:eastAsia="zh-CN"/>
        </w:rPr>
        <w:t>有</w:t>
      </w:r>
      <w:r>
        <w:rPr>
          <w:rFonts w:hint="eastAsia"/>
          <w:color w:val="auto"/>
          <w:highlight w:val="none"/>
          <w:lang w:val="en-US" w:eastAsia="zh-CN"/>
        </w:rPr>
        <w:t>12063个，登记管理单位</w:t>
      </w:r>
      <w:r>
        <w:rPr>
          <w:rFonts w:hint="eastAsia"/>
          <w:color w:val="auto"/>
          <w:highlight w:val="none"/>
          <w:shd w:val="clear"/>
          <w:lang w:val="en-US" w:eastAsia="zh-CN"/>
        </w:rPr>
        <w:t>有</w:t>
      </w:r>
      <w:r>
        <w:rPr>
          <w:rFonts w:hint="eastAsia"/>
          <w:color w:val="auto"/>
          <w:highlight w:val="none"/>
          <w:lang w:val="en-US" w:eastAsia="zh-CN"/>
        </w:rPr>
        <w:t>78380个。其中，对于涉VOCs排放的石化、化工、工业涂装及其他溶剂使用行业，核发排污许可证管理企业5573个，登记管理企业</w:t>
      </w:r>
      <w:r>
        <w:rPr>
          <w:rFonts w:hint="eastAsia"/>
          <w:color w:val="auto"/>
          <w:highlight w:val="none"/>
          <w:shd w:val="clear"/>
          <w:lang w:val="en-US" w:eastAsia="zh-CN"/>
        </w:rPr>
        <w:t>有</w:t>
      </w:r>
      <w:r>
        <w:rPr>
          <w:rFonts w:hint="eastAsia"/>
          <w:color w:val="auto"/>
          <w:highlight w:val="none"/>
          <w:lang w:val="en-US" w:eastAsia="zh-CN"/>
        </w:rPr>
        <w:t>29250余个。</w:t>
      </w:r>
      <w:r>
        <w:rPr>
          <w:rFonts w:hint="eastAsia"/>
          <w:color w:val="auto"/>
          <w:highlight w:val="none"/>
          <w:lang w:eastAsia="zh-CN"/>
        </w:rPr>
        <w:t>涉VOCs排放</w:t>
      </w:r>
      <w:r>
        <w:rPr>
          <w:rFonts w:hint="eastAsia"/>
          <w:color w:val="auto"/>
          <w:highlight w:val="none"/>
          <w:lang w:val="en-US" w:eastAsia="zh-CN"/>
        </w:rPr>
        <w:t>各</w:t>
      </w:r>
      <w:r>
        <w:rPr>
          <w:rFonts w:hint="eastAsia"/>
          <w:color w:val="auto"/>
          <w:highlight w:val="none"/>
          <w:lang w:eastAsia="zh-CN"/>
        </w:rPr>
        <w:t>行业</w:t>
      </w:r>
      <w:r>
        <w:rPr>
          <w:rFonts w:hint="eastAsia"/>
          <w:color w:val="auto"/>
          <w:highlight w:val="none"/>
          <w:lang w:val="en-US" w:eastAsia="zh-CN"/>
        </w:rPr>
        <w:t>规模以上</w:t>
      </w:r>
      <w:r>
        <w:rPr>
          <w:rFonts w:hint="eastAsia"/>
          <w:color w:val="auto"/>
          <w:highlight w:val="none"/>
          <w:lang w:eastAsia="zh-CN"/>
        </w:rPr>
        <w:t>企业、</w:t>
      </w:r>
      <w:r>
        <w:rPr>
          <w:rFonts w:hint="eastAsia"/>
          <w:color w:val="auto"/>
          <w:highlight w:val="none"/>
          <w:lang w:val="en-US" w:eastAsia="zh-CN"/>
        </w:rPr>
        <w:t>排污许可证管理企业数量及占比见</w:t>
      </w:r>
      <w:r>
        <w:rPr>
          <w:rFonts w:hint="eastAsia"/>
          <w:color w:val="auto"/>
          <w:highlight w:val="none"/>
          <w:lang w:val="en-US" w:eastAsia="zh-CN"/>
        </w:rPr>
        <w:fldChar w:fldCharType="begin"/>
      </w:r>
      <w:r>
        <w:rPr>
          <w:rFonts w:hint="eastAsia"/>
          <w:color w:val="auto"/>
          <w:highlight w:val="none"/>
          <w:lang w:val="en-US" w:eastAsia="zh-CN"/>
        </w:rPr>
        <w:instrText xml:space="preserve"> REF _Ref15859 \h </w:instrText>
      </w:r>
      <w:r>
        <w:rPr>
          <w:rFonts w:hint="eastAsia"/>
          <w:color w:val="auto"/>
          <w:highlight w:val="none"/>
          <w:lang w:val="en-US" w:eastAsia="zh-CN"/>
        </w:rPr>
        <w:fldChar w:fldCharType="separate"/>
      </w:r>
      <w:r>
        <w:rPr>
          <w:rFonts w:hint="default" w:ascii="Times New Roman" w:hAnsi="Times New Roman" w:cs="Times New Roman"/>
          <w:color w:val="auto"/>
          <w:highlight w:val="none"/>
        </w:rPr>
        <w:t>图3</w:t>
      </w:r>
      <w:r>
        <w:rPr>
          <w:rFonts w:hint="eastAsia"/>
          <w:color w:val="auto"/>
          <w:highlight w:val="none"/>
          <w:lang w:val="en-US" w:eastAsia="zh-CN"/>
        </w:rPr>
        <w:fldChar w:fldCharType="end"/>
      </w:r>
      <w:r>
        <w:rPr>
          <w:rFonts w:hint="eastAsia"/>
          <w:color w:val="auto"/>
          <w:highlight w:val="none"/>
          <w:lang w:val="en-US" w:eastAsia="zh-CN"/>
        </w:rPr>
        <w:t>。</w:t>
      </w:r>
    </w:p>
    <w:p w14:paraId="4253B302">
      <w:pPr>
        <w:shd w:val="clear"/>
        <w:ind w:firstLine="420"/>
        <w:rPr>
          <w:rFonts w:hint="eastAsia"/>
          <w:color w:val="auto"/>
          <w:highlight w:val="none"/>
          <w:lang w:val="en-US" w:eastAsia="zh-CN"/>
        </w:rPr>
      </w:pPr>
    </w:p>
    <w:p w14:paraId="3ED39F90">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color w:val="auto"/>
          <w:highlight w:val="none"/>
        </w:rPr>
      </w:pPr>
      <w:r>
        <w:drawing>
          <wp:inline distT="0" distB="0" distL="114300" distR="114300">
            <wp:extent cx="5729605" cy="3249930"/>
            <wp:effectExtent l="0" t="0" r="4445" b="762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1DFC79">
      <w:pPr>
        <w:pStyle w:val="130"/>
        <w:rPr>
          <w:rFonts w:hint="default"/>
          <w:lang w:val="en-US" w:eastAsia="zh-CN"/>
        </w:rPr>
      </w:pPr>
      <w:bookmarkStart w:id="30" w:name="_Ref15778"/>
      <w:r>
        <w:rPr>
          <w:rFonts w:hint="default"/>
        </w:rPr>
        <w:t>图</w:t>
      </w:r>
      <w:r>
        <w:rPr>
          <w:rFonts w:hint="default"/>
        </w:rPr>
        <w:fldChar w:fldCharType="begin"/>
      </w:r>
      <w:r>
        <w:rPr>
          <w:rFonts w:hint="default"/>
        </w:rPr>
        <w:instrText xml:space="preserve"> SEQ 图 \* ARABIC </w:instrText>
      </w:r>
      <w:r>
        <w:rPr>
          <w:rFonts w:hint="default"/>
        </w:rPr>
        <w:fldChar w:fldCharType="separate"/>
      </w:r>
      <w:r>
        <w:rPr>
          <w:rFonts w:hint="default"/>
        </w:rPr>
        <w:t>1</w:t>
      </w:r>
      <w:r>
        <w:rPr>
          <w:rFonts w:hint="default"/>
        </w:rPr>
        <w:fldChar w:fldCharType="end"/>
      </w:r>
      <w:bookmarkEnd w:id="30"/>
      <w:r>
        <w:rPr>
          <w:rFonts w:hint="default"/>
          <w:lang w:val="en-US" w:eastAsia="zh-CN"/>
        </w:rPr>
        <w:t xml:space="preserve"> 湖南省规模以上工业企业分布情况</w:t>
      </w:r>
    </w:p>
    <w:p w14:paraId="0FE6730B">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pPr>
    </w:p>
    <w:p w14:paraId="673B7138">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5382895" cy="3215640"/>
            <wp:effectExtent l="4445" t="4445" r="22860" b="18415"/>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C76789F">
      <w:pPr>
        <w:pStyle w:val="130"/>
        <w:shd w:val="clear"/>
        <w:bidi w:val="0"/>
        <w:ind w:leftChars="0"/>
        <w:jc w:val="center"/>
        <w:outlineLvl w:val="4"/>
        <w:rPr>
          <w:rFonts w:hint="default" w:ascii="Times New Roman" w:hAnsi="Times New Roman" w:cs="Times New Roman"/>
          <w:color w:val="000000" w:themeColor="text1"/>
          <w:highlight w:val="none"/>
          <w:lang w:val="en-US" w:eastAsia="zh-CN"/>
          <w14:textFill>
            <w14:solidFill>
              <w14:schemeClr w14:val="tx1"/>
            </w14:solidFill>
          </w14:textFill>
        </w:rPr>
      </w:pPr>
      <w:bookmarkStart w:id="31" w:name="_Ref15827"/>
      <w:r>
        <w:rPr>
          <w:rFonts w:hint="default" w:ascii="Times New Roman" w:hAnsi="Times New Roman" w:cs="Times New Roman"/>
          <w:color w:val="000000" w:themeColor="text1"/>
          <w:highlight w:val="none"/>
          <w14:textFill>
            <w14:solidFill>
              <w14:schemeClr w14:val="tx1"/>
            </w14:solidFill>
          </w14:textFill>
        </w:rPr>
        <w:t>图</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SEQ 图 \* ARABIC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fldChar w:fldCharType="end"/>
      </w:r>
      <w:bookmarkEnd w:id="31"/>
      <w:r>
        <w:rPr>
          <w:rFonts w:hint="default" w:ascii="Times New Roman" w:hAnsi="Times New Roman" w:cs="Times New Roman"/>
          <w:color w:val="000000" w:themeColor="text1"/>
          <w:highlight w:val="none"/>
          <w:lang w:val="en-US" w:eastAsia="zh-CN"/>
          <w14:textFill>
            <w14:solidFill>
              <w14:schemeClr w14:val="tx1"/>
            </w14:solidFill>
          </w14:textFill>
        </w:rPr>
        <w:t xml:space="preserve"> 湖南省工业企业各类VOCs排放企业占比</w:t>
      </w:r>
    </w:p>
    <w:p w14:paraId="5BB37844">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pPr>
    </w:p>
    <w:p w14:paraId="36B69B8F">
      <w:pPr>
        <w:shd w:val="clear"/>
        <w:bidi w:val="0"/>
        <w:rPr>
          <w:color w:val="auto"/>
          <w:highlight w:val="none"/>
        </w:rPr>
      </w:pPr>
    </w:p>
    <w:p w14:paraId="6F47E487">
      <w:pPr>
        <w:shd w:val="clear"/>
        <w:bidi w:val="0"/>
        <w:rPr>
          <w:color w:val="auto"/>
          <w:highlight w:val="none"/>
        </w:rPr>
        <w:sectPr>
          <w:headerReference r:id="rId14" w:type="default"/>
          <w:footerReference r:id="rId15" w:type="default"/>
          <w:pgSz w:w="11906" w:h="16838"/>
          <w:pgMar w:top="1080" w:right="1440" w:bottom="1080" w:left="144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63B1FA53">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textAlignment w:val="auto"/>
        <w:rPr>
          <w:color w:val="auto"/>
          <w:highlight w:val="none"/>
        </w:rPr>
      </w:pPr>
      <w:r>
        <w:rPr>
          <w:color w:val="auto"/>
          <w:highlight w:val="none"/>
        </w:rPr>
        <w:drawing>
          <wp:inline distT="0" distB="0" distL="114300" distR="114300">
            <wp:extent cx="9311640" cy="5065395"/>
            <wp:effectExtent l="4445" t="5080" r="8890" b="6350"/>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29DE0B3">
      <w:pPr>
        <w:pStyle w:val="130"/>
        <w:shd w:val="clear"/>
        <w:bidi w:val="0"/>
        <w:ind w:leftChars="0"/>
        <w:jc w:val="center"/>
        <w:outlineLvl w:val="4"/>
        <w:rPr>
          <w:rFonts w:hint="default" w:ascii="Times New Roman" w:hAnsi="Times New Roman" w:cs="Times New Roman"/>
          <w:color w:val="000000" w:themeColor="text1"/>
          <w:highlight w:val="none"/>
          <w14:textFill>
            <w14:solidFill>
              <w14:schemeClr w14:val="tx1"/>
            </w14:solidFill>
          </w14:textFill>
        </w:rPr>
      </w:pPr>
      <w:bookmarkStart w:id="32" w:name="_Ref15859"/>
      <w:r>
        <w:rPr>
          <w:rFonts w:hint="default" w:ascii="Times New Roman" w:hAnsi="Times New Roman" w:cs="Times New Roman"/>
          <w:color w:val="000000" w:themeColor="text1"/>
          <w:highlight w:val="none"/>
          <w14:textFill>
            <w14:solidFill>
              <w14:schemeClr w14:val="tx1"/>
            </w14:solidFill>
          </w14:textFill>
        </w:rPr>
        <w:t>图</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SEQ 图 \* ARABIC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fldChar w:fldCharType="end"/>
      </w:r>
      <w:bookmarkEnd w:id="32"/>
      <w:r>
        <w:rPr>
          <w:rFonts w:hint="default" w:ascii="Times New Roman" w:hAnsi="Times New Roman" w:cs="Times New Roman"/>
          <w:color w:val="000000" w:themeColor="text1"/>
          <w:highlight w:val="none"/>
          <w:lang w:val="en-US" w:eastAsia="zh-CN"/>
          <w14:textFill>
            <w14:solidFill>
              <w14:schemeClr w14:val="tx1"/>
            </w14:solidFill>
          </w14:textFill>
        </w:rPr>
        <w:t xml:space="preserve"> 湖南省涉VOCs排放各行业规模以上企业及核发排污许可证企业数量</w:t>
      </w:r>
    </w:p>
    <w:p w14:paraId="6C2EB233">
      <w:pPr>
        <w:pStyle w:val="13"/>
        <w:numPr>
          <w:ilvl w:val="0"/>
          <w:numId w:val="0"/>
        </w:numPr>
        <w:shd w:val="clear"/>
        <w:tabs>
          <w:tab w:val="left" w:pos="0"/>
        </w:tabs>
        <w:bidi w:val="0"/>
        <w:ind w:leftChars="0"/>
        <w:jc w:val="center"/>
        <w:outlineLvl w:val="4"/>
        <w:rPr>
          <w:rFonts w:hint="default" w:ascii="Times New Roman" w:hAnsi="Times New Roman" w:cs="Times New Roman"/>
          <w:color w:val="auto"/>
          <w:highlight w:val="none"/>
        </w:rPr>
        <w:sectPr>
          <w:pgSz w:w="16838" w:h="11906" w:orient="landscape"/>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C862C4F">
      <w:pPr>
        <w:pStyle w:val="3"/>
        <w:shd w:val="clear"/>
        <w:bidi w:val="0"/>
        <w:ind w:left="575" w:leftChars="0" w:hanging="575" w:firstLineChars="0"/>
        <w:rPr>
          <w:color w:val="auto"/>
          <w:highlight w:val="none"/>
        </w:rPr>
      </w:pPr>
      <w:bookmarkStart w:id="33" w:name="_Toc1480"/>
      <w:bookmarkStart w:id="34" w:name="_Toc28075"/>
      <w:bookmarkStart w:id="35" w:name="_Toc30594"/>
      <w:bookmarkStart w:id="36" w:name="_Toc10992"/>
      <w:bookmarkStart w:id="37" w:name="_Toc5383"/>
      <w:bookmarkStart w:id="38" w:name="_Toc18462"/>
      <w:r>
        <w:rPr>
          <w:rFonts w:hint="eastAsia"/>
          <w:color w:val="auto"/>
          <w:highlight w:val="none"/>
          <w:lang w:eastAsia="zh-CN"/>
        </w:rPr>
        <w:t>挥发性有机物的</w:t>
      </w:r>
      <w:r>
        <w:rPr>
          <w:rFonts w:hint="eastAsia"/>
          <w:color w:val="auto"/>
          <w:highlight w:val="none"/>
          <w:lang w:val="en-US" w:eastAsia="zh-CN"/>
        </w:rPr>
        <w:t>主要来源</w:t>
      </w:r>
      <w:bookmarkEnd w:id="33"/>
      <w:bookmarkEnd w:id="34"/>
      <w:bookmarkEnd w:id="35"/>
      <w:bookmarkEnd w:id="36"/>
      <w:bookmarkEnd w:id="37"/>
      <w:bookmarkEnd w:id="38"/>
    </w:p>
    <w:p w14:paraId="1AD45F1F">
      <w:pPr>
        <w:shd w:val="clear"/>
        <w:rPr>
          <w:rFonts w:hint="default"/>
          <w:color w:val="auto"/>
          <w:highlight w:val="none"/>
          <w:lang w:val="en-US" w:eastAsia="zh-CN"/>
        </w:rPr>
      </w:pPr>
      <w:r>
        <w:rPr>
          <w:rFonts w:hint="eastAsia" w:ascii="Times New Roman" w:eastAsia="宋体"/>
          <w:color w:val="auto"/>
          <w:highlight w:val="none"/>
          <w:lang w:val="en-US" w:eastAsia="zh-CN"/>
        </w:rPr>
        <w:t>挥发性有机物（Volatile</w:t>
      </w:r>
      <w:r>
        <w:rPr>
          <w:rFonts w:hint="eastAsia"/>
          <w:color w:val="auto"/>
          <w:highlight w:val="none"/>
          <w:lang w:val="en-US" w:eastAsia="zh-CN"/>
        </w:rPr>
        <w:t xml:space="preserve"> </w:t>
      </w:r>
      <w:r>
        <w:rPr>
          <w:rFonts w:hint="eastAsia" w:ascii="Times New Roman" w:eastAsia="宋体"/>
          <w:color w:val="auto"/>
          <w:highlight w:val="none"/>
          <w:lang w:val="en-US" w:eastAsia="zh-CN"/>
        </w:rPr>
        <w:t>Organic</w:t>
      </w:r>
      <w:r>
        <w:rPr>
          <w:rFonts w:hint="eastAsia"/>
          <w:color w:val="auto"/>
          <w:highlight w:val="none"/>
          <w:lang w:val="en-US" w:eastAsia="zh-CN"/>
        </w:rPr>
        <w:t xml:space="preserve"> </w:t>
      </w:r>
      <w:r>
        <w:rPr>
          <w:rFonts w:hint="eastAsia" w:ascii="Times New Roman" w:eastAsia="宋体"/>
          <w:color w:val="auto"/>
          <w:highlight w:val="none"/>
          <w:lang w:val="en-US" w:eastAsia="zh-CN"/>
        </w:rPr>
        <w:t>Compounds</w:t>
      </w:r>
      <w:r>
        <w:rPr>
          <w:rFonts w:hint="eastAsia"/>
          <w:color w:val="auto"/>
          <w:highlight w:val="none"/>
          <w:lang w:val="en-US" w:eastAsia="zh-CN"/>
        </w:rPr>
        <w:t>，</w:t>
      </w:r>
      <w:r>
        <w:rPr>
          <w:rFonts w:hint="eastAsia" w:ascii="Times New Roman" w:eastAsia="宋体"/>
          <w:color w:val="auto"/>
          <w:highlight w:val="none"/>
          <w:lang w:val="en-US" w:eastAsia="zh-CN"/>
        </w:rPr>
        <w:t>VOCs），是指室温下沸点在50℃</w:t>
      </w:r>
      <w:r>
        <w:rPr>
          <w:rFonts w:hint="eastAsia"/>
          <w:color w:val="auto"/>
          <w:highlight w:val="none"/>
          <w:lang w:val="en-US" w:eastAsia="zh-CN"/>
        </w:rPr>
        <w:t>～</w:t>
      </w:r>
      <w:r>
        <w:rPr>
          <w:rFonts w:hint="eastAsia" w:ascii="Times New Roman" w:eastAsia="宋体"/>
          <w:color w:val="auto"/>
          <w:highlight w:val="none"/>
          <w:lang w:val="en-US" w:eastAsia="zh-CN"/>
        </w:rPr>
        <w:t>250℃，饱和蒸气压超过133.32</w:t>
      </w:r>
      <w:r>
        <w:rPr>
          <w:rFonts w:hint="eastAsia"/>
          <w:color w:val="auto"/>
          <w:highlight w:val="none"/>
          <w:lang w:val="en-US" w:eastAsia="zh-CN"/>
        </w:rPr>
        <w:t xml:space="preserve"> </w:t>
      </w:r>
      <w:r>
        <w:rPr>
          <w:rFonts w:hint="eastAsia" w:ascii="Times New Roman" w:eastAsia="宋体"/>
          <w:color w:val="auto"/>
          <w:highlight w:val="none"/>
          <w:lang w:val="en-US" w:eastAsia="zh-CN"/>
        </w:rPr>
        <w:t>Pa，并在常温下以蒸汽形式存在的有机化合物总称，是形成细颗粒物（PM</w:t>
      </w:r>
      <w:r>
        <w:rPr>
          <w:rFonts w:hint="eastAsia" w:ascii="Times New Roman" w:eastAsia="宋体"/>
          <w:color w:val="auto"/>
          <w:highlight w:val="none"/>
          <w:vertAlign w:val="subscript"/>
          <w:lang w:val="en-US" w:eastAsia="zh-CN"/>
        </w:rPr>
        <w:t>2.5</w:t>
      </w:r>
      <w:r>
        <w:rPr>
          <w:rFonts w:hint="eastAsia" w:ascii="Times New Roman" w:eastAsia="宋体"/>
          <w:color w:val="auto"/>
          <w:highlight w:val="none"/>
          <w:lang w:val="en-US" w:eastAsia="zh-CN"/>
        </w:rPr>
        <w:t>）和臭氧（O</w:t>
      </w:r>
      <w:r>
        <w:rPr>
          <w:rFonts w:hint="eastAsia" w:ascii="Times New Roman" w:eastAsia="宋体"/>
          <w:color w:val="auto"/>
          <w:highlight w:val="none"/>
          <w:vertAlign w:val="subscript"/>
          <w:lang w:val="en-US" w:eastAsia="zh-CN"/>
        </w:rPr>
        <w:t>3</w:t>
      </w:r>
      <w:r>
        <w:rPr>
          <w:rFonts w:hint="eastAsia" w:ascii="Times New Roman" w:eastAsia="宋体"/>
          <w:color w:val="auto"/>
          <w:highlight w:val="none"/>
          <w:lang w:val="en-US" w:eastAsia="zh-CN"/>
        </w:rPr>
        <w:t>）两者共同的前体物。从环境角度上考虑，此类有机化合物主要指参与大气光化学反应的各类物质，包括非甲烷烃类（烷烃、烯烃、炔烃、芳香烃等）、含氧有机化合物（醛、酮、醇等）、含氮有机物、含硫有机物等。</w:t>
      </w:r>
    </w:p>
    <w:p w14:paraId="29FF30E5">
      <w:pPr>
        <w:shd w:val="clear"/>
        <w:rPr>
          <w:rFonts w:hint="default"/>
          <w:color w:val="auto"/>
          <w:highlight w:val="none"/>
          <w:lang w:val="en-US" w:eastAsia="zh-CN"/>
        </w:rPr>
      </w:pPr>
      <w:r>
        <w:rPr>
          <w:rFonts w:hint="eastAsia"/>
          <w:color w:val="auto"/>
          <w:highlight w:val="none"/>
          <w:lang w:eastAsia="zh-CN"/>
        </w:rPr>
        <w:t>工业行业的挥发性有机物来源主要包括溶剂使用源和</w:t>
      </w:r>
      <w:r>
        <w:rPr>
          <w:rFonts w:hint="eastAsia"/>
          <w:color w:val="auto"/>
          <w:highlight w:val="none"/>
          <w:lang w:val="en-US" w:eastAsia="zh-CN"/>
        </w:rPr>
        <w:t>工业源</w:t>
      </w:r>
      <w:r>
        <w:rPr>
          <w:rFonts w:hint="eastAsia"/>
          <w:color w:val="auto"/>
          <w:highlight w:val="none"/>
          <w:lang w:eastAsia="zh-CN"/>
        </w:rPr>
        <w:t>。溶剂使用源包含较为广泛的行业类别，主要包括喷涂工艺行业（如家具喷涂、汽车喷涂、设备制造业喷涂）和非喷涂工艺（如印刷、</w:t>
      </w:r>
      <w:r>
        <w:rPr>
          <w:rFonts w:hint="eastAsia"/>
          <w:color w:val="auto"/>
          <w:highlight w:val="none"/>
          <w:lang w:val="en-US" w:eastAsia="zh-CN"/>
        </w:rPr>
        <w:t>纺织、</w:t>
      </w:r>
      <w:r>
        <w:rPr>
          <w:rFonts w:hint="eastAsia"/>
          <w:color w:val="auto"/>
          <w:highlight w:val="none"/>
          <w:lang w:eastAsia="zh-CN"/>
        </w:rPr>
        <w:t>制鞋、</w:t>
      </w:r>
      <w:r>
        <w:rPr>
          <w:rFonts w:hint="eastAsia"/>
          <w:color w:val="auto"/>
          <w:highlight w:val="none"/>
          <w:lang w:val="en-US" w:eastAsia="zh-CN"/>
        </w:rPr>
        <w:t>电子工业等</w:t>
      </w:r>
      <w:r>
        <w:rPr>
          <w:rFonts w:hint="eastAsia"/>
          <w:color w:val="auto"/>
          <w:highlight w:val="none"/>
          <w:lang w:eastAsia="zh-CN"/>
        </w:rPr>
        <w:t>）</w:t>
      </w:r>
      <w:r>
        <w:rPr>
          <w:rStyle w:val="42"/>
          <w:rFonts w:hint="eastAsia"/>
          <w:color w:val="auto"/>
          <w:highlight w:val="none"/>
          <w:lang w:eastAsia="zh-CN"/>
        </w:rPr>
        <w:footnoteReference w:id="0"/>
      </w:r>
      <w:r>
        <w:rPr>
          <w:rFonts w:hint="eastAsia"/>
          <w:color w:val="auto"/>
          <w:highlight w:val="none"/>
          <w:lang w:eastAsia="zh-CN"/>
        </w:rPr>
        <w:t>。很多研究都表明苯系物（苯、甲苯、二甲苯、乙苯）是溶剂使用源最重要的特征</w:t>
      </w:r>
      <w:r>
        <w:rPr>
          <w:rFonts w:hint="eastAsia"/>
          <w:color w:val="auto"/>
          <w:highlight w:val="none"/>
          <w:lang w:val="en-US" w:eastAsia="zh-CN"/>
        </w:rPr>
        <w:t>VOCs，比例超过80%。家具喷涂和金属表面涂装中芳香烃类物质所占比例最大，占50%以上，其次是含氧VOCs，占30%以上，以乙酸乙酯、乙酸丁酯等为主。徐彬</w:t>
      </w:r>
      <w:r>
        <w:rPr>
          <w:rStyle w:val="42"/>
          <w:rFonts w:hint="eastAsia"/>
          <w:color w:val="auto"/>
          <w:highlight w:val="none"/>
          <w:lang w:val="en-US" w:eastAsia="zh-CN"/>
        </w:rPr>
        <w:footnoteReference w:id="1"/>
      </w:r>
      <w:r>
        <w:rPr>
          <w:rFonts w:hint="eastAsia"/>
          <w:color w:val="auto"/>
          <w:highlight w:val="none"/>
          <w:lang w:val="en-US" w:eastAsia="zh-CN"/>
        </w:rPr>
        <w:t>对长沙市城市中心区大气挥发性有机物污染特征及来源解析表明，不同VOCs排放源贡献排序大致相同，平均贡献排名前两位分别为溶剂使用源和移动源，溶剂使用源贡献率在夏季相对较高，秋季最低，贡献率在25.06%～33.68%，长沙市城市中心区纺织服装、喷涂、印刷等行业较为密集，对VOCs贡献较大。工业源变化幅度较大，其四季贡献率在7.54%～25.22%，夏季占比最高，春秋季较低。长沙市中心区大气环境中VOCs主要来源有：溶剂使用源37.2%</w:t>
      </w:r>
      <w:r>
        <w:rPr>
          <w:rFonts w:hint="eastAsia"/>
          <w:color w:val="auto"/>
          <w:highlight w:val="none"/>
        </w:rPr>
        <w:t>（34%）</w:t>
      </w:r>
      <w:r>
        <w:rPr>
          <w:rFonts w:hint="eastAsia"/>
          <w:color w:val="auto"/>
          <w:highlight w:val="none"/>
          <w:lang w:val="en-US" w:eastAsia="zh-CN"/>
        </w:rPr>
        <w:t>＞移动源28.8%</w:t>
      </w:r>
      <w:r>
        <w:rPr>
          <w:rFonts w:hint="eastAsia"/>
          <w:color w:val="auto"/>
          <w:highlight w:val="none"/>
        </w:rPr>
        <w:t>（31%）</w:t>
      </w:r>
      <w:r>
        <w:rPr>
          <w:rFonts w:hint="eastAsia"/>
          <w:color w:val="auto"/>
          <w:highlight w:val="none"/>
          <w:lang w:val="en-US" w:eastAsia="zh-CN"/>
        </w:rPr>
        <w:t>＞燃烧源19.0%</w:t>
      </w:r>
      <w:r>
        <w:rPr>
          <w:rFonts w:hint="eastAsia"/>
          <w:color w:val="auto"/>
          <w:highlight w:val="none"/>
        </w:rPr>
        <w:t>（23%）</w:t>
      </w:r>
      <w:r>
        <w:rPr>
          <w:rFonts w:hint="eastAsia"/>
          <w:color w:val="auto"/>
          <w:highlight w:val="none"/>
          <w:lang w:val="en-US" w:eastAsia="zh-CN"/>
        </w:rPr>
        <w:t>＞储存运输源7.6%</w:t>
      </w:r>
      <w:r>
        <w:rPr>
          <w:rFonts w:hint="eastAsia"/>
          <w:color w:val="auto"/>
          <w:highlight w:val="none"/>
        </w:rPr>
        <w:t>（7%）</w:t>
      </w:r>
      <w:r>
        <w:rPr>
          <w:rFonts w:hint="eastAsia"/>
          <w:color w:val="auto"/>
          <w:highlight w:val="none"/>
          <w:lang w:val="en-US" w:eastAsia="zh-CN"/>
        </w:rPr>
        <w:t>＞工业源7.4%</w:t>
      </w:r>
      <w:r>
        <w:rPr>
          <w:rFonts w:hint="eastAsia"/>
          <w:color w:val="auto"/>
          <w:highlight w:val="none"/>
        </w:rPr>
        <w:t>（5%）</w:t>
      </w:r>
      <w:r>
        <w:rPr>
          <w:rFonts w:hint="eastAsia"/>
          <w:color w:val="auto"/>
          <w:highlight w:val="none"/>
          <w:lang w:val="en-US" w:eastAsia="zh-CN"/>
        </w:rPr>
        <w:t>；（括号外为PMF模型，括号内为CMB模型）。该文献中的溶剂使用源主要是指涂料等溶剂，包括铸造、喷涂和印刷行业中溶剂的使用，其主要污染物为苯、甲苯、乙苯、丙烷、正丁烷、间-二甲苯、对-二甲苯等。工业源主要指工业工艺过程中排放的挥发性有机物，主要包括间-二甲苯、正十二烷、苯乙烯、正癸烷、乙烯和甲苯等物种，将苯乙烯、乙烯和甲苯等物种识别为焦化行业排放的代表性物种。</w:t>
      </w:r>
    </w:p>
    <w:p w14:paraId="04A3241E">
      <w:pPr>
        <w:shd w:val="clear"/>
        <w:ind w:firstLine="420"/>
        <w:rPr>
          <w:rFonts w:hint="eastAsia"/>
          <w:color w:val="auto"/>
          <w:highlight w:val="none"/>
        </w:rPr>
      </w:pPr>
      <w:r>
        <w:rPr>
          <w:rFonts w:hint="eastAsia"/>
          <w:color w:val="auto"/>
          <w:highlight w:val="none"/>
          <w:u w:val="none"/>
        </w:rPr>
        <w:t>范茂清</w:t>
      </w:r>
      <w:r>
        <w:rPr>
          <w:rFonts w:hint="eastAsia"/>
          <w:color w:val="auto"/>
          <w:highlight w:val="none"/>
          <w:u w:val="none"/>
          <w:lang w:val="en-US" w:eastAsia="zh-CN"/>
        </w:rPr>
        <w:t>等对</w:t>
      </w:r>
      <w:r>
        <w:rPr>
          <w:rFonts w:hint="eastAsia"/>
          <w:color w:val="auto"/>
          <w:highlight w:val="none"/>
          <w:u w:val="none"/>
          <w:lang w:eastAsia="zh-CN"/>
        </w:rPr>
        <w:t>长沙市马坡岭、环保学院、高新区环保局</w:t>
      </w:r>
      <w:r>
        <w:rPr>
          <w:rFonts w:hint="eastAsia"/>
          <w:color w:val="auto"/>
          <w:highlight w:val="none"/>
          <w:u w:val="none"/>
          <w:lang w:val="en-US" w:eastAsia="zh-CN"/>
        </w:rPr>
        <w:t>3</w:t>
      </w:r>
      <w:r>
        <w:rPr>
          <w:rFonts w:hint="eastAsia"/>
          <w:color w:val="auto"/>
          <w:highlight w:val="none"/>
          <w:u w:val="none"/>
          <w:lang w:eastAsia="zh-CN"/>
        </w:rPr>
        <w:t>个</w:t>
      </w:r>
      <w:r>
        <w:rPr>
          <w:rFonts w:hint="eastAsia"/>
          <w:color w:val="auto"/>
          <w:highlight w:val="none"/>
          <w:u w:val="none"/>
          <w:lang w:val="en-US" w:eastAsia="zh-CN"/>
        </w:rPr>
        <w:t>VOCs</w:t>
      </w:r>
      <w:r>
        <w:rPr>
          <w:rFonts w:hint="eastAsia"/>
          <w:color w:val="auto"/>
          <w:highlight w:val="none"/>
          <w:u w:val="none"/>
          <w:lang w:eastAsia="zh-CN"/>
        </w:rPr>
        <w:t>组分站点的</w:t>
      </w:r>
      <w:r>
        <w:rPr>
          <w:rFonts w:hint="eastAsia"/>
          <w:color w:val="auto"/>
          <w:highlight w:val="none"/>
          <w:u w:val="none"/>
          <w:lang w:val="en-US" w:eastAsia="zh-CN"/>
        </w:rPr>
        <w:t>监测表明，涂料溶剂的制造和使用是长沙市重点的VOCs控制行业，其VOCs组分以烷烃为主（占56.7%～66.3%），其次为芳香烃（22.4%～27.8%）和烯烃（8.2%～16.5%）</w:t>
      </w:r>
      <w:r>
        <w:rPr>
          <w:rStyle w:val="42"/>
          <w:rFonts w:hint="eastAsia"/>
          <w:color w:val="auto"/>
          <w:highlight w:val="none"/>
          <w:u w:val="none"/>
          <w:lang w:eastAsia="zh-CN"/>
        </w:rPr>
        <w:footnoteReference w:id="2"/>
      </w:r>
      <w:r>
        <w:rPr>
          <w:rFonts w:hint="eastAsia"/>
          <w:color w:val="auto"/>
          <w:highlight w:val="none"/>
          <w:u w:val="none"/>
          <w:lang w:val="en-US" w:eastAsia="zh-CN"/>
        </w:rPr>
        <w:t>。刘欣等对长株潭地区大气芳香烃特征和来源的分析表明，工业过程和溶剂使用源贡献了21.08%的芳香烃</w:t>
      </w:r>
      <w:r>
        <w:rPr>
          <w:rStyle w:val="42"/>
          <w:rFonts w:hint="eastAsia"/>
          <w:color w:val="auto"/>
          <w:highlight w:val="none"/>
          <w:u w:val="none"/>
          <w:lang w:val="en-US" w:eastAsia="zh-CN"/>
        </w:rPr>
        <w:footnoteReference w:id="3"/>
      </w:r>
      <w:r>
        <w:rPr>
          <w:rFonts w:hint="eastAsia"/>
          <w:color w:val="auto"/>
          <w:highlight w:val="none"/>
          <w:u w:val="none"/>
          <w:lang w:val="en-US" w:eastAsia="zh-CN"/>
        </w:rPr>
        <w:t>。采用美国EPA正定矩阵因子分解（PMF）5.0模型对长株潭地区BTEX进行了定量来源识别，分析结果表明，化学工业和溶剂使用挥发性有机物的特点为：甲苯、乙苯、间/对二甲苯、邻二甲苯、三氯甲烷和丙酮含量突出，甲苯、乙苯、间/对-</w:t>
      </w:r>
      <w:r>
        <w:rPr>
          <w:rFonts w:hint="eastAsia"/>
          <w:color w:val="auto"/>
          <w:highlight w:val="none"/>
          <w:lang w:val="en-US" w:eastAsia="zh-CN"/>
        </w:rPr>
        <w:t>二甲苯和邻二甲苯主要来源于溶剂涂料的适用；丙酮及三氯甲烷（氯仿）主要来源于有机溶剂或萃取剂，而苯乙烯则是工业过程的示踪剂，并且1-丁烯、乙烯、丙烷和正庚烷是重要的化工原料，其含量相对较高。甲苯是长株潭地区BTEX中平均占比最大的组分，夏季、秋季甲苯平均占比均为40%；其次是苯，平均占比分别为27%和28%。</w:t>
      </w:r>
    </w:p>
    <w:p w14:paraId="67FAF248">
      <w:pPr>
        <w:pStyle w:val="3"/>
        <w:shd w:val="clear"/>
        <w:bidi w:val="0"/>
        <w:ind w:left="575" w:leftChars="0" w:hanging="575" w:firstLineChars="0"/>
        <w:rPr>
          <w:color w:val="auto"/>
          <w:highlight w:val="none"/>
        </w:rPr>
      </w:pPr>
      <w:bookmarkStart w:id="39" w:name="_Toc13312"/>
      <w:bookmarkStart w:id="40" w:name="_Toc19704"/>
      <w:bookmarkStart w:id="41" w:name="_Toc14490"/>
      <w:bookmarkStart w:id="42" w:name="_Toc25531"/>
      <w:bookmarkStart w:id="43" w:name="_Toc22108"/>
      <w:bookmarkStart w:id="44" w:name="_Toc26308"/>
      <w:r>
        <w:rPr>
          <w:rFonts w:hint="eastAsia"/>
          <w:color w:val="auto"/>
          <w:highlight w:val="none"/>
          <w:lang w:val="en-US" w:eastAsia="zh-CN"/>
        </w:rPr>
        <w:t>工业企业</w:t>
      </w:r>
      <w:r>
        <w:rPr>
          <w:rFonts w:hint="eastAsia"/>
          <w:color w:val="auto"/>
          <w:highlight w:val="none"/>
          <w:lang w:eastAsia="zh-CN"/>
        </w:rPr>
        <w:t>挥发性有机物</w:t>
      </w:r>
      <w:r>
        <w:rPr>
          <w:rFonts w:hint="eastAsia"/>
          <w:color w:val="auto"/>
          <w:highlight w:val="none"/>
          <w:lang w:val="en-US" w:eastAsia="zh-CN"/>
        </w:rPr>
        <w:t>排放概况</w:t>
      </w:r>
      <w:bookmarkEnd w:id="39"/>
      <w:bookmarkEnd w:id="40"/>
      <w:bookmarkEnd w:id="41"/>
      <w:bookmarkEnd w:id="42"/>
      <w:bookmarkEnd w:id="43"/>
      <w:bookmarkEnd w:id="44"/>
    </w:p>
    <w:p w14:paraId="79569CEA">
      <w:pPr>
        <w:shd w:val="clear"/>
        <w:ind w:firstLine="420"/>
        <w:rPr>
          <w:rFonts w:hint="eastAsia"/>
          <w:color w:val="auto"/>
          <w:highlight w:val="none"/>
          <w:lang w:val="en-US" w:eastAsia="zh-CN"/>
        </w:rPr>
      </w:pPr>
      <w:r>
        <w:rPr>
          <w:rFonts w:hint="eastAsia"/>
          <w:color w:val="auto"/>
          <w:highlight w:val="none"/>
        </w:rPr>
        <w:t>根据湖南省第二次全国污染源普查公报，</w:t>
      </w:r>
      <w:r>
        <w:rPr>
          <w:rFonts w:hint="eastAsia"/>
          <w:color w:val="auto"/>
          <w:highlight w:val="none"/>
          <w:lang w:val="en-US" w:eastAsia="zh-CN"/>
        </w:rPr>
        <w:t>2017年</w:t>
      </w:r>
      <w:r>
        <w:rPr>
          <w:rFonts w:hint="eastAsia"/>
          <w:color w:val="auto"/>
          <w:highlight w:val="none"/>
        </w:rPr>
        <w:t>湖南省</w:t>
      </w:r>
      <w:r>
        <w:rPr>
          <w:rFonts w:hint="eastAsia"/>
          <w:color w:val="auto"/>
          <w:highlight w:val="none"/>
          <w:lang w:eastAsia="zh-CN"/>
        </w:rPr>
        <w:t>工业企业</w:t>
      </w:r>
      <w:r>
        <w:rPr>
          <w:rFonts w:hint="eastAsia"/>
          <w:color w:val="auto"/>
          <w:highlight w:val="none"/>
          <w:lang w:val="en-US" w:eastAsia="zh-CN"/>
        </w:rPr>
        <w:t>共排放</w:t>
      </w:r>
      <w:r>
        <w:rPr>
          <w:rFonts w:hint="eastAsia"/>
          <w:color w:val="auto"/>
          <w:highlight w:val="none"/>
        </w:rPr>
        <w:t>挥发性有机物</w:t>
      </w:r>
      <w:r>
        <w:rPr>
          <w:rFonts w:hint="eastAsia"/>
          <w:color w:val="auto"/>
          <w:highlight w:val="none"/>
          <w:lang w:val="en-US" w:eastAsia="zh-CN"/>
        </w:rPr>
        <w:t>8.5万吨，其中</w:t>
      </w:r>
      <w:r>
        <w:rPr>
          <w:rFonts w:hint="eastAsia"/>
          <w:color w:val="auto"/>
          <w:highlight w:val="none"/>
        </w:rPr>
        <w:t>排放量位居前3位的行业为：印刷和记录媒介复制业（1.12万吨），石油、煤炭及其他燃料加工业（1.07万吨），汽车制造业（0.71万吨）</w:t>
      </w:r>
      <w:r>
        <w:rPr>
          <w:rFonts w:hint="eastAsia"/>
          <w:color w:val="auto"/>
          <w:highlight w:val="none"/>
          <w:lang w:eastAsia="zh-CN"/>
        </w:rPr>
        <w:t>，</w:t>
      </w:r>
      <w:r>
        <w:rPr>
          <w:rFonts w:hint="eastAsia"/>
          <w:color w:val="auto"/>
          <w:highlight w:val="none"/>
        </w:rPr>
        <w:t>3个行业合计占工业源挥发性有机物排放量的34.12%。</w:t>
      </w:r>
      <w:r>
        <w:rPr>
          <w:rFonts w:hint="eastAsia"/>
          <w:color w:val="auto"/>
          <w:highlight w:val="none"/>
          <w:lang w:eastAsia="zh-CN"/>
        </w:rPr>
        <w:t>根据《</w:t>
      </w:r>
      <w:r>
        <w:rPr>
          <w:rFonts w:hint="eastAsia"/>
          <w:color w:val="auto"/>
          <w:highlight w:val="none"/>
          <w:lang w:val="en-US" w:eastAsia="zh-CN"/>
        </w:rPr>
        <w:t>湖南省环境统计公报</w:t>
      </w:r>
      <w:r>
        <w:rPr>
          <w:rFonts w:hint="eastAsia"/>
          <w:color w:val="auto"/>
          <w:highlight w:val="none"/>
          <w:lang w:eastAsia="zh-CN"/>
        </w:rPr>
        <w:t>》，</w:t>
      </w:r>
      <w:r>
        <w:rPr>
          <w:rFonts w:hint="eastAsia"/>
          <w:color w:val="auto"/>
          <w:highlight w:val="none"/>
          <w:lang w:val="en-US" w:eastAsia="zh-CN"/>
        </w:rPr>
        <w:t>2020年、2021年、2022年和2023年，</w:t>
      </w:r>
      <w:r>
        <w:rPr>
          <w:rFonts w:hint="eastAsia"/>
          <w:color w:val="auto"/>
          <w:highlight w:val="none"/>
        </w:rPr>
        <w:t>工业源挥发性有机物排放量</w:t>
      </w:r>
      <w:r>
        <w:rPr>
          <w:rFonts w:hint="eastAsia"/>
          <w:color w:val="auto"/>
          <w:highlight w:val="none"/>
          <w:lang w:val="en-US" w:eastAsia="zh-CN"/>
        </w:rPr>
        <w:t>分别为</w:t>
      </w:r>
      <w:r>
        <w:rPr>
          <w:rFonts w:hint="eastAsia"/>
          <w:color w:val="auto"/>
          <w:highlight w:val="none"/>
        </w:rPr>
        <w:t>4.80万吨</w:t>
      </w:r>
      <w:r>
        <w:rPr>
          <w:rFonts w:hint="eastAsia"/>
          <w:color w:val="auto"/>
          <w:highlight w:val="none"/>
          <w:lang w:eastAsia="zh-CN"/>
        </w:rPr>
        <w:t>，</w:t>
      </w:r>
      <w:r>
        <w:rPr>
          <w:rFonts w:hint="eastAsia"/>
          <w:color w:val="auto"/>
          <w:highlight w:val="none"/>
        </w:rPr>
        <w:t>3.18</w:t>
      </w:r>
      <w:r>
        <w:rPr>
          <w:rFonts w:hint="eastAsia"/>
          <w:color w:val="auto"/>
          <w:highlight w:val="none"/>
          <w:lang w:val="en-US" w:eastAsia="zh-CN"/>
        </w:rPr>
        <w:t>万吨，</w:t>
      </w:r>
      <w:r>
        <w:rPr>
          <w:rFonts w:hint="eastAsia"/>
          <w:color w:val="auto"/>
          <w:highlight w:val="none"/>
        </w:rPr>
        <w:t>3.03</w:t>
      </w:r>
      <w:r>
        <w:rPr>
          <w:rFonts w:hint="eastAsia"/>
          <w:color w:val="auto"/>
          <w:highlight w:val="none"/>
          <w:lang w:val="en-US" w:eastAsia="zh-CN"/>
        </w:rPr>
        <w:t>万吨和3.69万吨</w:t>
      </w:r>
      <w:r>
        <w:rPr>
          <w:rFonts w:hint="eastAsia"/>
          <w:color w:val="auto"/>
          <w:highlight w:val="none"/>
        </w:rPr>
        <w:t>，</w:t>
      </w:r>
      <w:r>
        <w:rPr>
          <w:rFonts w:hint="eastAsia"/>
          <w:color w:val="auto"/>
          <w:highlight w:val="none"/>
          <w:lang w:val="en-US" w:eastAsia="zh-CN"/>
        </w:rPr>
        <w:t>分别占挥发性有机物排放总量的</w:t>
      </w:r>
      <w:r>
        <w:rPr>
          <w:rFonts w:hint="eastAsia"/>
          <w:color w:val="auto"/>
          <w:highlight w:val="none"/>
          <w:lang w:eastAsia="zh-CN"/>
        </w:rPr>
        <w:t>24.8%，</w:t>
      </w:r>
      <w:r>
        <w:rPr>
          <w:rFonts w:hint="eastAsia"/>
          <w:color w:val="auto"/>
          <w:highlight w:val="none"/>
          <w:lang w:val="en-US" w:eastAsia="zh-CN"/>
        </w:rPr>
        <w:t>17.6%，17.5%和16.6%（2018年和2019年未统计挥发性有机物排放量）。</w:t>
      </w:r>
    </w:p>
    <w:p w14:paraId="0072A99A">
      <w:pPr>
        <w:shd w:val="clear"/>
        <w:ind w:firstLine="420"/>
        <w:rPr>
          <w:rFonts w:hint="eastAsia"/>
          <w:color w:val="auto"/>
          <w:highlight w:val="none"/>
          <w:lang w:val="en-US" w:eastAsia="zh-CN"/>
        </w:rPr>
      </w:pPr>
      <w:r>
        <w:rPr>
          <w:rFonts w:hint="eastAsia"/>
          <w:color w:val="auto"/>
          <w:highlight w:val="none"/>
          <w:lang w:val="en-US" w:eastAsia="zh-CN"/>
        </w:rPr>
        <w:t>工业企业营业收入与挥发性有机物排放情况见</w:t>
      </w:r>
      <w:r>
        <w:rPr>
          <w:rFonts w:hint="eastAsia"/>
          <w:color w:val="auto"/>
          <w:highlight w:val="none"/>
          <w:lang w:val="en-US" w:eastAsia="zh-CN"/>
        </w:rPr>
        <w:fldChar w:fldCharType="begin"/>
      </w:r>
      <w:r>
        <w:rPr>
          <w:rFonts w:hint="eastAsia"/>
          <w:color w:val="auto"/>
          <w:highlight w:val="none"/>
          <w:lang w:val="en-US" w:eastAsia="zh-CN"/>
        </w:rPr>
        <w:instrText xml:space="preserve"> REF _Ref17685 \h </w:instrText>
      </w:r>
      <w:r>
        <w:rPr>
          <w:rFonts w:hint="eastAsia"/>
          <w:color w:val="auto"/>
          <w:highlight w:val="none"/>
          <w:lang w:val="en-US" w:eastAsia="zh-CN"/>
        </w:rPr>
        <w:fldChar w:fldCharType="separate"/>
      </w:r>
      <w:r>
        <w:rPr>
          <w:rFonts w:hint="default" w:ascii="Times New Roman" w:hAnsi="Times New Roman" w:cs="Times New Roman"/>
        </w:rPr>
        <w:t>表1</w:t>
      </w:r>
      <w:r>
        <w:rPr>
          <w:rFonts w:hint="eastAsia"/>
          <w:color w:val="auto"/>
          <w:highlight w:val="none"/>
          <w:lang w:val="en-US" w:eastAsia="zh-CN"/>
        </w:rPr>
        <w:fldChar w:fldCharType="end"/>
      </w:r>
      <w:r>
        <w:rPr>
          <w:rFonts w:hint="eastAsia"/>
          <w:color w:val="auto"/>
          <w:highlight w:val="none"/>
          <w:lang w:val="en-US" w:eastAsia="zh-CN"/>
        </w:rPr>
        <w:t>及</w:t>
      </w:r>
      <w:r>
        <w:rPr>
          <w:rFonts w:hint="eastAsia"/>
          <w:color w:val="auto"/>
          <w:highlight w:val="none"/>
          <w:lang w:val="en-US" w:eastAsia="zh-CN"/>
        </w:rPr>
        <w:fldChar w:fldCharType="begin"/>
      </w:r>
      <w:r>
        <w:rPr>
          <w:rFonts w:hint="eastAsia"/>
          <w:color w:val="auto"/>
          <w:highlight w:val="none"/>
          <w:lang w:val="en-US" w:eastAsia="zh-CN"/>
        </w:rPr>
        <w:instrText xml:space="preserve"> REF _Ref16013 \h </w:instrText>
      </w:r>
      <w:r>
        <w:rPr>
          <w:rFonts w:hint="eastAsia"/>
          <w:color w:val="auto"/>
          <w:highlight w:val="none"/>
          <w:lang w:val="en-US" w:eastAsia="zh-CN"/>
        </w:rPr>
        <w:fldChar w:fldCharType="separate"/>
      </w:r>
      <w:r>
        <w:rPr>
          <w:rFonts w:hint="default" w:ascii="Times New Roman" w:hAnsi="Times New Roman" w:cs="Times New Roman"/>
          <w:color w:val="auto"/>
          <w:highlight w:val="none"/>
        </w:rPr>
        <w:t>图4</w:t>
      </w:r>
      <w:r>
        <w:rPr>
          <w:rFonts w:hint="eastAsia"/>
          <w:color w:val="auto"/>
          <w:highlight w:val="none"/>
          <w:lang w:val="en-US" w:eastAsia="zh-CN"/>
        </w:rPr>
        <w:fldChar w:fldCharType="end"/>
      </w:r>
      <w:r>
        <w:rPr>
          <w:rFonts w:hint="eastAsia"/>
          <w:color w:val="auto"/>
          <w:highlight w:val="none"/>
          <w:lang w:val="en-US" w:eastAsia="zh-CN"/>
        </w:rPr>
        <w:t>。</w:t>
      </w:r>
    </w:p>
    <w:p w14:paraId="7989DE05">
      <w:pPr>
        <w:pStyle w:val="129"/>
        <w:rPr>
          <w:rFonts w:hint="default"/>
          <w:lang w:val="en-US" w:eastAsia="zh-CN"/>
        </w:rPr>
      </w:pPr>
      <w:bookmarkStart w:id="45" w:name="_Ref17685"/>
      <w:r>
        <w:rPr>
          <w:rFonts w:hint="default"/>
        </w:rPr>
        <w:t>表</w:t>
      </w:r>
      <w:r>
        <w:rPr>
          <w:rFonts w:hint="default"/>
        </w:rPr>
        <w:fldChar w:fldCharType="begin"/>
      </w:r>
      <w:r>
        <w:rPr>
          <w:rFonts w:hint="default"/>
        </w:rPr>
        <w:instrText xml:space="preserve"> SEQ 表 \* ARABIC </w:instrText>
      </w:r>
      <w:r>
        <w:rPr>
          <w:rFonts w:hint="default"/>
        </w:rPr>
        <w:fldChar w:fldCharType="separate"/>
      </w:r>
      <w:r>
        <w:rPr>
          <w:rFonts w:hint="default" w:ascii="Times New Roman" w:hAnsi="Times New Roman" w:cs="Times New Roman"/>
        </w:rPr>
        <w:t>1</w:t>
      </w:r>
      <w:r>
        <w:rPr>
          <w:rFonts w:hint="default"/>
        </w:rPr>
        <w:fldChar w:fldCharType="end"/>
      </w:r>
      <w:bookmarkEnd w:id="45"/>
      <w:r>
        <w:rPr>
          <w:rFonts w:hint="default"/>
          <w:lang w:val="en-US" w:eastAsia="zh-CN"/>
        </w:rPr>
        <w:t xml:space="preserve"> 2017年以来湖南省工业企业营业收入与增长情况</w:t>
      </w:r>
    </w:p>
    <w:tbl>
      <w:tblPr>
        <w:tblStyle w:val="34"/>
        <w:tblW w:w="570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978"/>
        <w:gridCol w:w="1330"/>
        <w:gridCol w:w="1260"/>
        <w:gridCol w:w="1128"/>
        <w:gridCol w:w="1128"/>
        <w:gridCol w:w="1128"/>
        <w:gridCol w:w="1128"/>
        <w:gridCol w:w="1130"/>
        <w:gridCol w:w="1130"/>
      </w:tblGrid>
      <w:tr w14:paraId="11B815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1116" w:type="pct"/>
            <w:gridSpan w:val="2"/>
            <w:tcBorders>
              <w:tl2br w:val="nil"/>
              <w:tr2bl w:val="nil"/>
            </w:tcBorders>
            <w:shd w:val="clear" w:color="auto" w:fill="FFFFFF"/>
            <w:tcMar>
              <w:top w:w="12" w:type="dxa"/>
              <w:left w:w="12" w:type="dxa"/>
              <w:right w:w="12" w:type="dxa"/>
            </w:tcMar>
            <w:vAlign w:val="center"/>
          </w:tcPr>
          <w:p w14:paraId="72EC5B31">
            <w:pPr>
              <w:pStyle w:val="62"/>
              <w:shd w:val="clear"/>
              <w:bidi w:val="0"/>
              <w:rPr>
                <w:rFonts w:hint="default"/>
                <w:b w:val="0"/>
                <w:color w:val="auto"/>
                <w:highlight w:val="none"/>
              </w:rPr>
            </w:pPr>
            <w:r>
              <w:rPr>
                <w:rFonts w:hint="eastAsia"/>
                <w:b w:val="0"/>
                <w:color w:val="auto"/>
                <w:highlight w:val="none"/>
                <w:lang w:val="en-US" w:eastAsia="zh-CN"/>
              </w:rPr>
              <w:t>分类</w:t>
            </w:r>
          </w:p>
        </w:tc>
        <w:tc>
          <w:tcPr>
            <w:tcW w:w="609" w:type="pct"/>
            <w:tcBorders>
              <w:tl2br w:val="nil"/>
              <w:tr2bl w:val="nil"/>
            </w:tcBorders>
            <w:shd w:val="clear" w:color="auto" w:fill="FFFFFF"/>
            <w:tcMar>
              <w:top w:w="12" w:type="dxa"/>
              <w:left w:w="12" w:type="dxa"/>
              <w:right w:w="12" w:type="dxa"/>
            </w:tcMar>
            <w:vAlign w:val="center"/>
          </w:tcPr>
          <w:p w14:paraId="37F8EEA8">
            <w:pPr>
              <w:pStyle w:val="62"/>
              <w:shd w:val="clear"/>
              <w:bidi w:val="0"/>
              <w:jc w:val="center"/>
              <w:rPr>
                <w:rFonts w:hint="default"/>
                <w:b w:val="0"/>
                <w:color w:val="auto"/>
                <w:highlight w:val="none"/>
              </w:rPr>
            </w:pPr>
            <w:r>
              <w:rPr>
                <w:rFonts w:hint="eastAsia"/>
                <w:b w:val="0"/>
                <w:color w:val="auto"/>
                <w:highlight w:val="none"/>
              </w:rPr>
              <w:t>2017年</w:t>
            </w:r>
          </w:p>
        </w:tc>
        <w:tc>
          <w:tcPr>
            <w:tcW w:w="545" w:type="pct"/>
            <w:tcBorders>
              <w:tl2br w:val="nil"/>
              <w:tr2bl w:val="nil"/>
            </w:tcBorders>
            <w:shd w:val="clear" w:color="auto" w:fill="FFFFFF"/>
            <w:tcMar>
              <w:top w:w="12" w:type="dxa"/>
              <w:left w:w="12" w:type="dxa"/>
              <w:right w:w="12" w:type="dxa"/>
            </w:tcMar>
            <w:vAlign w:val="center"/>
          </w:tcPr>
          <w:p w14:paraId="3BA1E695">
            <w:pPr>
              <w:pStyle w:val="62"/>
              <w:shd w:val="clear"/>
              <w:bidi w:val="0"/>
              <w:jc w:val="center"/>
              <w:rPr>
                <w:rFonts w:hint="default"/>
                <w:b w:val="0"/>
                <w:color w:val="auto"/>
                <w:highlight w:val="none"/>
              </w:rPr>
            </w:pPr>
            <w:r>
              <w:rPr>
                <w:rFonts w:hint="eastAsia"/>
                <w:b w:val="0"/>
                <w:color w:val="auto"/>
                <w:highlight w:val="none"/>
              </w:rPr>
              <w:t>2018年</w:t>
            </w:r>
          </w:p>
        </w:tc>
        <w:tc>
          <w:tcPr>
            <w:tcW w:w="545" w:type="pct"/>
            <w:tcBorders>
              <w:tl2br w:val="nil"/>
              <w:tr2bl w:val="nil"/>
            </w:tcBorders>
            <w:shd w:val="clear" w:color="auto" w:fill="FFFFFF"/>
            <w:tcMar>
              <w:top w:w="12" w:type="dxa"/>
              <w:left w:w="12" w:type="dxa"/>
              <w:right w:w="12" w:type="dxa"/>
            </w:tcMar>
            <w:vAlign w:val="center"/>
          </w:tcPr>
          <w:p w14:paraId="39CDFB8F">
            <w:pPr>
              <w:pStyle w:val="62"/>
              <w:shd w:val="clear"/>
              <w:bidi w:val="0"/>
              <w:jc w:val="center"/>
              <w:rPr>
                <w:rFonts w:hint="default"/>
                <w:b w:val="0"/>
                <w:color w:val="auto"/>
                <w:highlight w:val="none"/>
              </w:rPr>
            </w:pPr>
            <w:r>
              <w:rPr>
                <w:rFonts w:hint="eastAsia"/>
                <w:b w:val="0"/>
                <w:color w:val="auto"/>
                <w:highlight w:val="none"/>
              </w:rPr>
              <w:t>2019年</w:t>
            </w:r>
          </w:p>
        </w:tc>
        <w:tc>
          <w:tcPr>
            <w:tcW w:w="545" w:type="pct"/>
            <w:tcBorders>
              <w:tl2br w:val="nil"/>
              <w:tr2bl w:val="nil"/>
            </w:tcBorders>
            <w:shd w:val="clear" w:color="auto" w:fill="FFFFFF"/>
            <w:tcMar>
              <w:top w:w="12" w:type="dxa"/>
              <w:left w:w="12" w:type="dxa"/>
              <w:right w:w="12" w:type="dxa"/>
            </w:tcMar>
            <w:vAlign w:val="center"/>
          </w:tcPr>
          <w:p w14:paraId="0E825E61">
            <w:pPr>
              <w:pStyle w:val="62"/>
              <w:shd w:val="clear"/>
              <w:bidi w:val="0"/>
              <w:jc w:val="center"/>
              <w:rPr>
                <w:rFonts w:hint="default"/>
                <w:b w:val="0"/>
                <w:color w:val="auto"/>
                <w:highlight w:val="none"/>
              </w:rPr>
            </w:pPr>
            <w:r>
              <w:rPr>
                <w:rFonts w:hint="eastAsia"/>
                <w:b w:val="0"/>
                <w:color w:val="auto"/>
                <w:highlight w:val="none"/>
              </w:rPr>
              <w:t>2020年</w:t>
            </w:r>
          </w:p>
        </w:tc>
        <w:tc>
          <w:tcPr>
            <w:tcW w:w="545" w:type="pct"/>
            <w:tcBorders>
              <w:tl2br w:val="nil"/>
              <w:tr2bl w:val="nil"/>
            </w:tcBorders>
            <w:shd w:val="clear" w:color="auto" w:fill="FFFFFF"/>
            <w:tcMar>
              <w:top w:w="12" w:type="dxa"/>
              <w:left w:w="12" w:type="dxa"/>
              <w:right w:w="12" w:type="dxa"/>
            </w:tcMar>
            <w:vAlign w:val="center"/>
          </w:tcPr>
          <w:p w14:paraId="32AA3F89">
            <w:pPr>
              <w:pStyle w:val="62"/>
              <w:shd w:val="clear"/>
              <w:bidi w:val="0"/>
              <w:jc w:val="center"/>
              <w:rPr>
                <w:rFonts w:hint="default"/>
                <w:b w:val="0"/>
                <w:color w:val="auto"/>
                <w:highlight w:val="none"/>
              </w:rPr>
            </w:pPr>
            <w:r>
              <w:rPr>
                <w:rFonts w:hint="eastAsia"/>
                <w:b w:val="0"/>
                <w:color w:val="auto"/>
                <w:highlight w:val="none"/>
              </w:rPr>
              <w:t>2021年</w:t>
            </w:r>
          </w:p>
        </w:tc>
        <w:tc>
          <w:tcPr>
            <w:tcW w:w="546" w:type="pct"/>
            <w:tcBorders>
              <w:tl2br w:val="nil"/>
              <w:tr2bl w:val="nil"/>
            </w:tcBorders>
            <w:shd w:val="clear" w:color="auto" w:fill="FFFFFF"/>
            <w:tcMar>
              <w:top w:w="12" w:type="dxa"/>
              <w:left w:w="12" w:type="dxa"/>
              <w:right w:w="12" w:type="dxa"/>
            </w:tcMar>
            <w:vAlign w:val="center"/>
          </w:tcPr>
          <w:p w14:paraId="70590199">
            <w:pPr>
              <w:pStyle w:val="62"/>
              <w:shd w:val="clear"/>
              <w:bidi w:val="0"/>
              <w:jc w:val="center"/>
              <w:rPr>
                <w:rFonts w:hint="default"/>
                <w:b w:val="0"/>
                <w:color w:val="auto"/>
                <w:highlight w:val="none"/>
              </w:rPr>
            </w:pPr>
            <w:r>
              <w:rPr>
                <w:rFonts w:hint="eastAsia"/>
                <w:b w:val="0"/>
                <w:color w:val="auto"/>
                <w:highlight w:val="none"/>
              </w:rPr>
              <w:t>2022年</w:t>
            </w:r>
          </w:p>
        </w:tc>
        <w:tc>
          <w:tcPr>
            <w:tcW w:w="546" w:type="pct"/>
            <w:tcBorders>
              <w:tl2br w:val="nil"/>
              <w:tr2bl w:val="nil"/>
            </w:tcBorders>
            <w:shd w:val="clear" w:color="auto" w:fill="FFFFFF"/>
            <w:tcMar>
              <w:top w:w="12" w:type="dxa"/>
              <w:left w:w="12" w:type="dxa"/>
              <w:right w:w="12" w:type="dxa"/>
            </w:tcMar>
            <w:vAlign w:val="center"/>
          </w:tcPr>
          <w:p w14:paraId="674B2FB7">
            <w:pPr>
              <w:pStyle w:val="62"/>
              <w:shd w:val="clear"/>
              <w:bidi w:val="0"/>
              <w:jc w:val="center"/>
              <w:rPr>
                <w:rFonts w:hint="default" w:eastAsiaTheme="minorEastAsia"/>
                <w:b w:val="0"/>
                <w:color w:val="auto"/>
                <w:highlight w:val="none"/>
                <w:lang w:val="en-US" w:eastAsia="zh-CN"/>
              </w:rPr>
            </w:pPr>
            <w:r>
              <w:rPr>
                <w:rFonts w:hint="eastAsia"/>
                <w:b w:val="0"/>
                <w:color w:val="auto"/>
                <w:highlight w:val="none"/>
                <w:lang w:val="en-US" w:eastAsia="zh-CN"/>
              </w:rPr>
              <w:t>2023年</w:t>
            </w:r>
          </w:p>
        </w:tc>
      </w:tr>
      <w:tr w14:paraId="5336E5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473" w:type="pct"/>
            <w:vMerge w:val="restart"/>
            <w:tcBorders>
              <w:tl2br w:val="nil"/>
              <w:tr2bl w:val="nil"/>
            </w:tcBorders>
            <w:shd w:val="clear" w:color="auto" w:fill="FFFFFF"/>
            <w:tcMar>
              <w:top w:w="12" w:type="dxa"/>
              <w:left w:w="12" w:type="dxa"/>
              <w:right w:w="12" w:type="dxa"/>
            </w:tcMar>
            <w:vAlign w:val="center"/>
          </w:tcPr>
          <w:p w14:paraId="6A029327">
            <w:pPr>
              <w:pStyle w:val="62"/>
              <w:shd w:val="clear"/>
              <w:bidi w:val="0"/>
              <w:rPr>
                <w:rFonts w:hint="default" w:eastAsiaTheme="minorEastAsia"/>
                <w:b w:val="0"/>
                <w:color w:val="auto"/>
                <w:highlight w:val="none"/>
                <w:lang w:val="en-US" w:eastAsia="zh-CN"/>
              </w:rPr>
            </w:pPr>
            <w:r>
              <w:rPr>
                <w:rFonts w:hint="eastAsia"/>
                <w:b w:val="0"/>
                <w:color w:val="auto"/>
                <w:highlight w:val="none"/>
                <w:lang w:val="en-US" w:eastAsia="zh-CN"/>
              </w:rPr>
              <w:t>营业收入</w:t>
            </w:r>
          </w:p>
        </w:tc>
        <w:tc>
          <w:tcPr>
            <w:tcW w:w="643" w:type="pct"/>
            <w:tcBorders>
              <w:tl2br w:val="nil"/>
              <w:tr2bl w:val="nil"/>
            </w:tcBorders>
            <w:shd w:val="clear" w:color="auto" w:fill="FFFFFF"/>
            <w:tcMar>
              <w:top w:w="12" w:type="dxa"/>
              <w:left w:w="12" w:type="dxa"/>
              <w:right w:w="12" w:type="dxa"/>
            </w:tcMar>
            <w:vAlign w:val="center"/>
          </w:tcPr>
          <w:p w14:paraId="70FFF79E">
            <w:pPr>
              <w:pStyle w:val="62"/>
              <w:shd w:val="clear"/>
              <w:bidi w:val="0"/>
              <w:rPr>
                <w:rFonts w:hint="eastAsia" w:eastAsiaTheme="minorEastAsia"/>
                <w:b w:val="0"/>
                <w:color w:val="auto"/>
                <w:highlight w:val="none"/>
                <w:lang w:val="en-US" w:eastAsia="zh-CN"/>
              </w:rPr>
            </w:pPr>
            <w:r>
              <w:rPr>
                <w:rFonts w:hint="eastAsia"/>
                <w:b w:val="0"/>
                <w:color w:val="auto"/>
                <w:highlight w:val="none"/>
                <w:lang w:val="en-US" w:eastAsia="zh-CN"/>
              </w:rPr>
              <w:t>金额（亿元）</w:t>
            </w:r>
          </w:p>
        </w:tc>
        <w:tc>
          <w:tcPr>
            <w:tcW w:w="609" w:type="pct"/>
            <w:tcBorders>
              <w:tl2br w:val="nil"/>
              <w:tr2bl w:val="nil"/>
            </w:tcBorders>
            <w:shd w:val="clear" w:color="auto" w:fill="FFFFFF"/>
            <w:tcMar>
              <w:top w:w="12" w:type="dxa"/>
              <w:left w:w="12" w:type="dxa"/>
              <w:right w:w="12" w:type="dxa"/>
            </w:tcMar>
            <w:vAlign w:val="center"/>
          </w:tcPr>
          <w:p w14:paraId="163A5C3E">
            <w:pPr>
              <w:pStyle w:val="62"/>
              <w:shd w:val="clear"/>
              <w:bidi w:val="0"/>
              <w:jc w:val="center"/>
              <w:rPr>
                <w:rFonts w:hint="default"/>
                <w:b w:val="0"/>
                <w:color w:val="auto"/>
                <w:highlight w:val="none"/>
              </w:rPr>
            </w:pPr>
            <w:r>
              <w:rPr>
                <w:rFonts w:hint="eastAsia"/>
                <w:b w:val="0"/>
                <w:color w:val="auto"/>
                <w:highlight w:val="none"/>
              </w:rPr>
              <w:t>38934.23</w:t>
            </w:r>
          </w:p>
        </w:tc>
        <w:tc>
          <w:tcPr>
            <w:tcW w:w="545" w:type="pct"/>
            <w:tcBorders>
              <w:tl2br w:val="nil"/>
              <w:tr2bl w:val="nil"/>
            </w:tcBorders>
            <w:shd w:val="clear" w:color="auto" w:fill="FFFFFF"/>
            <w:tcMar>
              <w:top w:w="12" w:type="dxa"/>
              <w:left w:w="12" w:type="dxa"/>
              <w:right w:w="12" w:type="dxa"/>
            </w:tcMar>
            <w:vAlign w:val="center"/>
          </w:tcPr>
          <w:p w14:paraId="0E6EA41C">
            <w:pPr>
              <w:pStyle w:val="62"/>
              <w:shd w:val="clear"/>
              <w:bidi w:val="0"/>
              <w:jc w:val="center"/>
              <w:rPr>
                <w:rFonts w:hint="default"/>
                <w:b w:val="0"/>
                <w:color w:val="auto"/>
                <w:highlight w:val="none"/>
              </w:rPr>
            </w:pPr>
            <w:r>
              <w:rPr>
                <w:rFonts w:hint="eastAsia"/>
                <w:b w:val="0"/>
                <w:color w:val="auto"/>
                <w:highlight w:val="none"/>
              </w:rPr>
              <w:t>35086.89</w:t>
            </w:r>
          </w:p>
        </w:tc>
        <w:tc>
          <w:tcPr>
            <w:tcW w:w="545" w:type="pct"/>
            <w:tcBorders>
              <w:tl2br w:val="nil"/>
              <w:tr2bl w:val="nil"/>
            </w:tcBorders>
            <w:shd w:val="clear" w:color="auto" w:fill="FFFFFF"/>
            <w:tcMar>
              <w:top w:w="12" w:type="dxa"/>
              <w:left w:w="12" w:type="dxa"/>
              <w:right w:w="12" w:type="dxa"/>
            </w:tcMar>
            <w:vAlign w:val="center"/>
          </w:tcPr>
          <w:p w14:paraId="1944EB79">
            <w:pPr>
              <w:pStyle w:val="62"/>
              <w:shd w:val="clear"/>
              <w:bidi w:val="0"/>
              <w:jc w:val="center"/>
              <w:rPr>
                <w:rFonts w:hint="default"/>
                <w:b w:val="0"/>
                <w:color w:val="auto"/>
                <w:highlight w:val="none"/>
              </w:rPr>
            </w:pPr>
            <w:r>
              <w:rPr>
                <w:rFonts w:hint="eastAsia"/>
                <w:b w:val="0"/>
                <w:color w:val="auto"/>
                <w:highlight w:val="none"/>
              </w:rPr>
              <w:t>37919.6</w:t>
            </w:r>
          </w:p>
        </w:tc>
        <w:tc>
          <w:tcPr>
            <w:tcW w:w="545" w:type="pct"/>
            <w:tcBorders>
              <w:tl2br w:val="nil"/>
              <w:tr2bl w:val="nil"/>
            </w:tcBorders>
            <w:shd w:val="clear" w:color="auto" w:fill="FFFFFF"/>
            <w:tcMar>
              <w:top w:w="12" w:type="dxa"/>
              <w:left w:w="12" w:type="dxa"/>
              <w:right w:w="12" w:type="dxa"/>
            </w:tcMar>
            <w:vAlign w:val="center"/>
          </w:tcPr>
          <w:p w14:paraId="3AA23978">
            <w:pPr>
              <w:pStyle w:val="62"/>
              <w:shd w:val="clear"/>
              <w:bidi w:val="0"/>
              <w:jc w:val="center"/>
              <w:rPr>
                <w:rFonts w:hint="default"/>
                <w:b w:val="0"/>
                <w:color w:val="auto"/>
                <w:highlight w:val="none"/>
              </w:rPr>
            </w:pPr>
            <w:r>
              <w:rPr>
                <w:rFonts w:hint="eastAsia"/>
                <w:b w:val="0"/>
                <w:color w:val="auto"/>
                <w:highlight w:val="none"/>
              </w:rPr>
              <w:t>38914.75</w:t>
            </w:r>
          </w:p>
        </w:tc>
        <w:tc>
          <w:tcPr>
            <w:tcW w:w="545" w:type="pct"/>
            <w:tcBorders>
              <w:tl2br w:val="nil"/>
              <w:tr2bl w:val="nil"/>
            </w:tcBorders>
            <w:shd w:val="clear" w:color="auto" w:fill="FFFFFF"/>
            <w:tcMar>
              <w:top w:w="12" w:type="dxa"/>
              <w:left w:w="12" w:type="dxa"/>
              <w:right w:w="12" w:type="dxa"/>
            </w:tcMar>
            <w:vAlign w:val="center"/>
          </w:tcPr>
          <w:p w14:paraId="1994ACB4">
            <w:pPr>
              <w:pStyle w:val="62"/>
              <w:shd w:val="clear"/>
              <w:bidi w:val="0"/>
              <w:jc w:val="center"/>
              <w:rPr>
                <w:rFonts w:hint="default"/>
                <w:b w:val="0"/>
                <w:color w:val="auto"/>
                <w:highlight w:val="none"/>
              </w:rPr>
            </w:pPr>
            <w:r>
              <w:rPr>
                <w:rFonts w:hint="eastAsia"/>
                <w:b w:val="0"/>
                <w:color w:val="auto"/>
                <w:highlight w:val="none"/>
              </w:rPr>
              <w:t>43408.68</w:t>
            </w:r>
          </w:p>
        </w:tc>
        <w:tc>
          <w:tcPr>
            <w:tcW w:w="546" w:type="pct"/>
            <w:tcBorders>
              <w:tl2br w:val="nil"/>
              <w:tr2bl w:val="nil"/>
            </w:tcBorders>
            <w:shd w:val="clear" w:color="auto" w:fill="FFFFFF"/>
            <w:tcMar>
              <w:top w:w="12" w:type="dxa"/>
              <w:left w:w="12" w:type="dxa"/>
              <w:right w:w="12" w:type="dxa"/>
            </w:tcMar>
            <w:vAlign w:val="center"/>
          </w:tcPr>
          <w:p w14:paraId="0E3B3801">
            <w:pPr>
              <w:pStyle w:val="62"/>
              <w:shd w:val="clear"/>
              <w:bidi w:val="0"/>
              <w:jc w:val="center"/>
              <w:rPr>
                <w:rFonts w:hint="default"/>
                <w:b w:val="0"/>
                <w:color w:val="auto"/>
                <w:highlight w:val="none"/>
              </w:rPr>
            </w:pPr>
            <w:r>
              <w:rPr>
                <w:rFonts w:hint="eastAsia"/>
                <w:b w:val="0"/>
                <w:color w:val="auto"/>
                <w:highlight w:val="none"/>
              </w:rPr>
              <w:t>39760.49</w:t>
            </w:r>
          </w:p>
        </w:tc>
        <w:tc>
          <w:tcPr>
            <w:tcW w:w="546" w:type="pct"/>
            <w:tcBorders>
              <w:tl2br w:val="nil"/>
              <w:tr2bl w:val="nil"/>
            </w:tcBorders>
            <w:shd w:val="clear" w:color="auto" w:fill="FFFFFF"/>
            <w:tcMar>
              <w:top w:w="12" w:type="dxa"/>
              <w:left w:w="12" w:type="dxa"/>
              <w:right w:w="12" w:type="dxa"/>
            </w:tcMar>
            <w:vAlign w:val="center"/>
          </w:tcPr>
          <w:p w14:paraId="2203BCD2">
            <w:pPr>
              <w:pStyle w:val="62"/>
              <w:shd w:val="clear"/>
              <w:bidi w:val="0"/>
              <w:jc w:val="center"/>
              <w:rPr>
                <w:rFonts w:hint="default" w:eastAsiaTheme="minorEastAsia"/>
                <w:b w:val="0"/>
                <w:color w:val="auto"/>
                <w:highlight w:val="none"/>
                <w:lang w:val="en-US" w:eastAsia="zh-CN"/>
              </w:rPr>
            </w:pPr>
            <w:r>
              <w:rPr>
                <w:rFonts w:hint="eastAsia"/>
                <w:b w:val="0"/>
                <w:color w:val="auto"/>
                <w:highlight w:val="none"/>
                <w:lang w:val="en-US" w:eastAsia="zh-CN"/>
              </w:rPr>
              <w:t>39813.98</w:t>
            </w:r>
          </w:p>
        </w:tc>
      </w:tr>
      <w:tr w14:paraId="7EFFC6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jc w:val="center"/>
        </w:trPr>
        <w:tc>
          <w:tcPr>
            <w:tcW w:w="473" w:type="pct"/>
            <w:vMerge w:val="continue"/>
            <w:tcBorders>
              <w:tl2br w:val="nil"/>
              <w:tr2bl w:val="nil"/>
            </w:tcBorders>
            <w:shd w:val="clear" w:color="auto" w:fill="FFFFFF"/>
            <w:tcMar>
              <w:top w:w="12" w:type="dxa"/>
              <w:left w:w="12" w:type="dxa"/>
              <w:right w:w="12" w:type="dxa"/>
            </w:tcMar>
            <w:vAlign w:val="center"/>
          </w:tcPr>
          <w:p w14:paraId="74A2078B">
            <w:pPr>
              <w:pStyle w:val="62"/>
              <w:shd w:val="clear"/>
              <w:bidi w:val="0"/>
              <w:rPr>
                <w:rFonts w:hint="eastAsia"/>
                <w:b w:val="0"/>
                <w:color w:val="auto"/>
                <w:highlight w:val="none"/>
              </w:rPr>
            </w:pPr>
          </w:p>
        </w:tc>
        <w:tc>
          <w:tcPr>
            <w:tcW w:w="643" w:type="pct"/>
            <w:tcBorders>
              <w:tl2br w:val="nil"/>
              <w:tr2bl w:val="nil"/>
            </w:tcBorders>
            <w:shd w:val="clear" w:color="auto" w:fill="FFFFFF"/>
            <w:tcMar>
              <w:top w:w="12" w:type="dxa"/>
              <w:left w:w="12" w:type="dxa"/>
              <w:right w:w="12" w:type="dxa"/>
            </w:tcMar>
            <w:vAlign w:val="center"/>
          </w:tcPr>
          <w:p w14:paraId="20E10413">
            <w:pPr>
              <w:pStyle w:val="62"/>
              <w:shd w:val="clear"/>
              <w:bidi w:val="0"/>
              <w:rPr>
                <w:rFonts w:hint="default"/>
                <w:b w:val="0"/>
                <w:color w:val="auto"/>
                <w:highlight w:val="none"/>
              </w:rPr>
            </w:pPr>
            <w:r>
              <w:rPr>
                <w:rFonts w:hint="eastAsia"/>
                <w:b w:val="0"/>
                <w:color w:val="auto"/>
                <w:highlight w:val="none"/>
              </w:rPr>
              <w:t>增长百分比</w:t>
            </w:r>
          </w:p>
        </w:tc>
        <w:tc>
          <w:tcPr>
            <w:tcW w:w="609" w:type="pct"/>
            <w:tcBorders>
              <w:tl2br w:val="nil"/>
              <w:tr2bl w:val="nil"/>
            </w:tcBorders>
            <w:shd w:val="clear" w:color="auto" w:fill="FFFFFF"/>
            <w:tcMar>
              <w:top w:w="12" w:type="dxa"/>
              <w:left w:w="12" w:type="dxa"/>
              <w:right w:w="12" w:type="dxa"/>
            </w:tcMar>
            <w:vAlign w:val="center"/>
          </w:tcPr>
          <w:p w14:paraId="480E2E13">
            <w:pPr>
              <w:pStyle w:val="62"/>
              <w:shd w:val="clear"/>
              <w:bidi w:val="0"/>
              <w:jc w:val="center"/>
              <w:rPr>
                <w:rFonts w:hint="default"/>
                <w:b w:val="0"/>
                <w:color w:val="auto"/>
                <w:highlight w:val="none"/>
              </w:rPr>
            </w:pPr>
            <w:r>
              <w:rPr>
                <w:rFonts w:hint="eastAsia"/>
                <w:b w:val="0"/>
                <w:color w:val="auto"/>
                <w:highlight w:val="none"/>
              </w:rPr>
              <w:t>7.30%</w:t>
            </w:r>
          </w:p>
        </w:tc>
        <w:tc>
          <w:tcPr>
            <w:tcW w:w="545" w:type="pct"/>
            <w:tcBorders>
              <w:tl2br w:val="nil"/>
              <w:tr2bl w:val="nil"/>
            </w:tcBorders>
            <w:shd w:val="clear" w:color="auto" w:fill="FFFFFF"/>
            <w:tcMar>
              <w:top w:w="12" w:type="dxa"/>
              <w:left w:w="12" w:type="dxa"/>
              <w:right w:w="12" w:type="dxa"/>
            </w:tcMar>
            <w:vAlign w:val="center"/>
          </w:tcPr>
          <w:p w14:paraId="2E4AFB16">
            <w:pPr>
              <w:pStyle w:val="62"/>
              <w:shd w:val="clear"/>
              <w:bidi w:val="0"/>
              <w:jc w:val="center"/>
              <w:rPr>
                <w:rFonts w:hint="default"/>
                <w:b w:val="0"/>
                <w:color w:val="auto"/>
                <w:highlight w:val="none"/>
              </w:rPr>
            </w:pPr>
            <w:r>
              <w:rPr>
                <w:rFonts w:hint="eastAsia"/>
                <w:b w:val="0"/>
                <w:color w:val="auto"/>
                <w:highlight w:val="none"/>
              </w:rPr>
              <w:t>7.40%</w:t>
            </w:r>
          </w:p>
        </w:tc>
        <w:tc>
          <w:tcPr>
            <w:tcW w:w="545" w:type="pct"/>
            <w:tcBorders>
              <w:tl2br w:val="nil"/>
              <w:tr2bl w:val="nil"/>
            </w:tcBorders>
            <w:shd w:val="clear" w:color="auto" w:fill="FFFFFF"/>
            <w:tcMar>
              <w:top w:w="12" w:type="dxa"/>
              <w:left w:w="12" w:type="dxa"/>
              <w:right w:w="12" w:type="dxa"/>
            </w:tcMar>
            <w:vAlign w:val="center"/>
          </w:tcPr>
          <w:p w14:paraId="176DEC88">
            <w:pPr>
              <w:pStyle w:val="62"/>
              <w:shd w:val="clear"/>
              <w:bidi w:val="0"/>
              <w:jc w:val="center"/>
              <w:rPr>
                <w:rFonts w:hint="default"/>
                <w:b w:val="0"/>
                <w:color w:val="auto"/>
                <w:highlight w:val="none"/>
              </w:rPr>
            </w:pPr>
            <w:r>
              <w:rPr>
                <w:rFonts w:hint="eastAsia"/>
                <w:b w:val="0"/>
                <w:color w:val="auto"/>
                <w:highlight w:val="none"/>
              </w:rPr>
              <w:t>8.30%</w:t>
            </w:r>
          </w:p>
        </w:tc>
        <w:tc>
          <w:tcPr>
            <w:tcW w:w="545" w:type="pct"/>
            <w:tcBorders>
              <w:tl2br w:val="nil"/>
              <w:tr2bl w:val="nil"/>
            </w:tcBorders>
            <w:shd w:val="clear" w:color="auto" w:fill="FFFFFF"/>
            <w:tcMar>
              <w:top w:w="12" w:type="dxa"/>
              <w:left w:w="12" w:type="dxa"/>
              <w:right w:w="12" w:type="dxa"/>
            </w:tcMar>
            <w:vAlign w:val="center"/>
          </w:tcPr>
          <w:p w14:paraId="197F0B3D">
            <w:pPr>
              <w:pStyle w:val="62"/>
              <w:shd w:val="clear"/>
              <w:bidi w:val="0"/>
              <w:jc w:val="center"/>
              <w:rPr>
                <w:rFonts w:hint="default"/>
                <w:b w:val="0"/>
                <w:color w:val="auto"/>
                <w:highlight w:val="none"/>
              </w:rPr>
            </w:pPr>
            <w:r>
              <w:rPr>
                <w:rFonts w:hint="eastAsia"/>
                <w:b w:val="0"/>
                <w:color w:val="auto"/>
                <w:highlight w:val="none"/>
              </w:rPr>
              <w:t>4.80%</w:t>
            </w:r>
          </w:p>
        </w:tc>
        <w:tc>
          <w:tcPr>
            <w:tcW w:w="545" w:type="pct"/>
            <w:tcBorders>
              <w:tl2br w:val="nil"/>
              <w:tr2bl w:val="nil"/>
            </w:tcBorders>
            <w:shd w:val="clear" w:color="auto" w:fill="FFFFFF"/>
            <w:tcMar>
              <w:top w:w="12" w:type="dxa"/>
              <w:left w:w="12" w:type="dxa"/>
              <w:right w:w="12" w:type="dxa"/>
            </w:tcMar>
            <w:vAlign w:val="center"/>
          </w:tcPr>
          <w:p w14:paraId="2F402560">
            <w:pPr>
              <w:pStyle w:val="62"/>
              <w:shd w:val="clear"/>
              <w:bidi w:val="0"/>
              <w:jc w:val="center"/>
              <w:rPr>
                <w:rFonts w:hint="default"/>
                <w:b w:val="0"/>
                <w:color w:val="auto"/>
                <w:highlight w:val="none"/>
              </w:rPr>
            </w:pPr>
            <w:r>
              <w:rPr>
                <w:rFonts w:hint="eastAsia"/>
                <w:b w:val="0"/>
                <w:color w:val="auto"/>
                <w:highlight w:val="none"/>
              </w:rPr>
              <w:t>8.40%</w:t>
            </w:r>
          </w:p>
        </w:tc>
        <w:tc>
          <w:tcPr>
            <w:tcW w:w="546" w:type="pct"/>
            <w:tcBorders>
              <w:tl2br w:val="nil"/>
              <w:tr2bl w:val="nil"/>
            </w:tcBorders>
            <w:shd w:val="clear" w:color="auto" w:fill="FFFFFF"/>
            <w:tcMar>
              <w:top w:w="12" w:type="dxa"/>
              <w:left w:w="12" w:type="dxa"/>
              <w:right w:w="12" w:type="dxa"/>
            </w:tcMar>
            <w:vAlign w:val="center"/>
          </w:tcPr>
          <w:p w14:paraId="60413EDF">
            <w:pPr>
              <w:pStyle w:val="62"/>
              <w:shd w:val="clear"/>
              <w:bidi w:val="0"/>
              <w:jc w:val="center"/>
              <w:rPr>
                <w:rFonts w:hint="default"/>
                <w:b w:val="0"/>
                <w:color w:val="auto"/>
                <w:highlight w:val="none"/>
              </w:rPr>
            </w:pPr>
            <w:r>
              <w:rPr>
                <w:rFonts w:hint="eastAsia"/>
                <w:b w:val="0"/>
                <w:color w:val="auto"/>
                <w:highlight w:val="none"/>
              </w:rPr>
              <w:t>7.20%</w:t>
            </w:r>
          </w:p>
        </w:tc>
        <w:tc>
          <w:tcPr>
            <w:tcW w:w="546" w:type="pct"/>
            <w:tcBorders>
              <w:tl2br w:val="nil"/>
              <w:tr2bl w:val="nil"/>
            </w:tcBorders>
            <w:shd w:val="clear" w:color="auto" w:fill="FFFFFF"/>
            <w:tcMar>
              <w:top w:w="12" w:type="dxa"/>
              <w:left w:w="12" w:type="dxa"/>
              <w:right w:w="12" w:type="dxa"/>
            </w:tcMar>
            <w:vAlign w:val="center"/>
          </w:tcPr>
          <w:p w14:paraId="2C655F80">
            <w:pPr>
              <w:pStyle w:val="62"/>
              <w:shd w:val="clear"/>
              <w:bidi w:val="0"/>
              <w:jc w:val="center"/>
              <w:rPr>
                <w:rFonts w:hint="default" w:eastAsiaTheme="minorEastAsia"/>
                <w:b w:val="0"/>
                <w:color w:val="auto"/>
                <w:highlight w:val="none"/>
                <w:lang w:val="en-US" w:eastAsia="zh-CN"/>
              </w:rPr>
            </w:pPr>
            <w:r>
              <w:rPr>
                <w:rFonts w:hint="eastAsia"/>
                <w:b w:val="0"/>
                <w:color w:val="auto"/>
                <w:highlight w:val="none"/>
                <w:lang w:val="en-US" w:eastAsia="zh-CN"/>
              </w:rPr>
              <w:t>5.1%</w:t>
            </w:r>
          </w:p>
        </w:tc>
      </w:tr>
      <w:tr w14:paraId="0A3C61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473" w:type="pct"/>
            <w:vMerge w:val="restart"/>
            <w:tcBorders>
              <w:tl2br w:val="nil"/>
              <w:tr2bl w:val="nil"/>
            </w:tcBorders>
            <w:shd w:val="clear" w:color="auto" w:fill="FFFFFF"/>
            <w:tcMar>
              <w:top w:w="12" w:type="dxa"/>
              <w:left w:w="12" w:type="dxa"/>
              <w:right w:w="12" w:type="dxa"/>
            </w:tcMar>
            <w:vAlign w:val="center"/>
          </w:tcPr>
          <w:p w14:paraId="63C98BCC">
            <w:pPr>
              <w:pStyle w:val="62"/>
              <w:shd w:val="clear"/>
              <w:bidi w:val="0"/>
              <w:rPr>
                <w:rFonts w:hint="eastAsia"/>
                <w:b w:val="0"/>
                <w:color w:val="auto"/>
                <w:highlight w:val="none"/>
                <w:lang w:val="en-US" w:eastAsia="zh-CN"/>
              </w:rPr>
            </w:pPr>
            <w:r>
              <w:rPr>
                <w:rFonts w:hint="eastAsia"/>
                <w:b w:val="0"/>
                <w:color w:val="auto"/>
                <w:highlight w:val="none"/>
                <w:lang w:val="en-US" w:eastAsia="zh-CN"/>
              </w:rPr>
              <w:t>挥发性有机物排放</w:t>
            </w:r>
          </w:p>
        </w:tc>
        <w:tc>
          <w:tcPr>
            <w:tcW w:w="643" w:type="pct"/>
            <w:tcBorders>
              <w:tl2br w:val="nil"/>
              <w:tr2bl w:val="nil"/>
            </w:tcBorders>
            <w:shd w:val="clear" w:color="auto" w:fill="FFFFFF"/>
            <w:tcMar>
              <w:top w:w="12" w:type="dxa"/>
              <w:left w:w="12" w:type="dxa"/>
              <w:right w:w="12" w:type="dxa"/>
            </w:tcMar>
            <w:vAlign w:val="center"/>
          </w:tcPr>
          <w:p w14:paraId="28643A9F">
            <w:pPr>
              <w:pStyle w:val="62"/>
              <w:shd w:val="clear"/>
              <w:bidi w:val="0"/>
              <w:rPr>
                <w:rFonts w:hint="default" w:eastAsiaTheme="minorEastAsia"/>
                <w:b w:val="0"/>
                <w:color w:val="auto"/>
                <w:highlight w:val="none"/>
                <w:lang w:val="en-US" w:eastAsia="zh-CN"/>
              </w:rPr>
            </w:pPr>
            <w:r>
              <w:rPr>
                <w:rFonts w:hint="eastAsia"/>
                <w:b w:val="0"/>
                <w:color w:val="auto"/>
                <w:highlight w:val="none"/>
                <w:lang w:val="en-US" w:eastAsia="zh-CN"/>
              </w:rPr>
              <w:t>排放量（万吨）</w:t>
            </w:r>
          </w:p>
        </w:tc>
        <w:tc>
          <w:tcPr>
            <w:tcW w:w="609" w:type="pct"/>
            <w:tcBorders>
              <w:tl2br w:val="nil"/>
              <w:tr2bl w:val="nil"/>
            </w:tcBorders>
            <w:shd w:val="clear" w:color="auto" w:fill="FFFFFF"/>
            <w:tcMar>
              <w:top w:w="12" w:type="dxa"/>
              <w:left w:w="12" w:type="dxa"/>
              <w:right w:w="12" w:type="dxa"/>
            </w:tcMar>
            <w:vAlign w:val="center"/>
          </w:tcPr>
          <w:p w14:paraId="5F9320F1">
            <w:pPr>
              <w:pStyle w:val="62"/>
              <w:shd w:val="clear"/>
              <w:bidi w:val="0"/>
              <w:jc w:val="center"/>
              <w:rPr>
                <w:rFonts w:hint="default" w:eastAsiaTheme="minorEastAsia"/>
                <w:b w:val="0"/>
                <w:color w:val="auto"/>
                <w:highlight w:val="none"/>
                <w:lang w:val="en-US" w:eastAsia="zh-CN"/>
              </w:rPr>
            </w:pPr>
            <w:r>
              <w:rPr>
                <w:rFonts w:hint="eastAsia"/>
                <w:b w:val="0"/>
                <w:color w:val="auto"/>
                <w:highlight w:val="none"/>
                <w:lang w:val="en-US" w:eastAsia="zh-CN"/>
              </w:rPr>
              <w:t>8.5</w:t>
            </w:r>
          </w:p>
        </w:tc>
        <w:tc>
          <w:tcPr>
            <w:tcW w:w="545" w:type="pct"/>
            <w:tcBorders>
              <w:tl2br w:val="nil"/>
              <w:tr2bl w:val="nil"/>
            </w:tcBorders>
            <w:shd w:val="clear" w:color="auto" w:fill="FFFFFF"/>
            <w:tcMar>
              <w:top w:w="12" w:type="dxa"/>
              <w:left w:w="12" w:type="dxa"/>
              <w:right w:w="12" w:type="dxa"/>
            </w:tcMar>
            <w:vAlign w:val="center"/>
          </w:tcPr>
          <w:p w14:paraId="6290972A">
            <w:pPr>
              <w:pStyle w:val="62"/>
              <w:shd w:val="clear"/>
              <w:bidi w:val="0"/>
              <w:jc w:val="center"/>
              <w:rPr>
                <w:rFonts w:hint="default" w:eastAsiaTheme="minorEastAsia"/>
                <w:b w:val="0"/>
                <w:color w:val="auto"/>
                <w:highlight w:val="none"/>
                <w:lang w:val="en-US" w:eastAsia="zh-CN"/>
              </w:rPr>
            </w:pPr>
            <w:r>
              <w:rPr>
                <w:rFonts w:hint="eastAsia"/>
                <w:b w:val="0"/>
                <w:color w:val="auto"/>
                <w:highlight w:val="none"/>
                <w:lang w:val="en-US" w:eastAsia="zh-CN"/>
              </w:rPr>
              <w:t>/</w:t>
            </w:r>
          </w:p>
        </w:tc>
        <w:tc>
          <w:tcPr>
            <w:tcW w:w="545" w:type="pct"/>
            <w:tcBorders>
              <w:tl2br w:val="nil"/>
              <w:tr2bl w:val="nil"/>
            </w:tcBorders>
            <w:shd w:val="clear" w:color="auto" w:fill="FFFFFF"/>
            <w:tcMar>
              <w:top w:w="12" w:type="dxa"/>
              <w:left w:w="12" w:type="dxa"/>
              <w:right w:w="12" w:type="dxa"/>
            </w:tcMar>
            <w:vAlign w:val="center"/>
          </w:tcPr>
          <w:p w14:paraId="2247BDCA">
            <w:pPr>
              <w:pStyle w:val="62"/>
              <w:shd w:val="clear"/>
              <w:bidi w:val="0"/>
              <w:jc w:val="center"/>
              <w:rPr>
                <w:rFonts w:hint="default" w:eastAsiaTheme="minorEastAsia"/>
                <w:b w:val="0"/>
                <w:color w:val="auto"/>
                <w:highlight w:val="none"/>
                <w:lang w:val="en-US" w:eastAsia="zh-CN"/>
              </w:rPr>
            </w:pPr>
            <w:r>
              <w:rPr>
                <w:rFonts w:hint="eastAsia"/>
                <w:b w:val="0"/>
                <w:color w:val="auto"/>
                <w:highlight w:val="none"/>
                <w:lang w:val="en-US" w:eastAsia="zh-CN"/>
              </w:rPr>
              <w:t>/</w:t>
            </w:r>
          </w:p>
        </w:tc>
        <w:tc>
          <w:tcPr>
            <w:tcW w:w="545" w:type="pct"/>
            <w:tcBorders>
              <w:tl2br w:val="nil"/>
              <w:tr2bl w:val="nil"/>
            </w:tcBorders>
            <w:shd w:val="clear" w:color="auto" w:fill="FFFFFF"/>
            <w:tcMar>
              <w:top w:w="12" w:type="dxa"/>
              <w:left w:w="12" w:type="dxa"/>
              <w:right w:w="12" w:type="dxa"/>
            </w:tcMar>
            <w:vAlign w:val="center"/>
          </w:tcPr>
          <w:p w14:paraId="7A45E290">
            <w:pPr>
              <w:pStyle w:val="62"/>
              <w:shd w:val="clear"/>
              <w:bidi w:val="0"/>
              <w:jc w:val="center"/>
              <w:rPr>
                <w:rFonts w:hint="default" w:eastAsiaTheme="minorEastAsia"/>
                <w:b w:val="0"/>
                <w:color w:val="auto"/>
                <w:highlight w:val="none"/>
                <w:lang w:val="en-US" w:eastAsia="zh-CN"/>
              </w:rPr>
            </w:pPr>
            <w:r>
              <w:rPr>
                <w:rFonts w:hint="eastAsia"/>
                <w:b w:val="0"/>
                <w:color w:val="auto"/>
                <w:highlight w:val="none"/>
                <w:lang w:val="en-US" w:eastAsia="zh-CN"/>
              </w:rPr>
              <w:t>4.80</w:t>
            </w:r>
          </w:p>
        </w:tc>
        <w:tc>
          <w:tcPr>
            <w:tcW w:w="545" w:type="pct"/>
            <w:tcBorders>
              <w:tl2br w:val="nil"/>
              <w:tr2bl w:val="nil"/>
            </w:tcBorders>
            <w:shd w:val="clear" w:color="auto" w:fill="FFFFFF"/>
            <w:tcMar>
              <w:top w:w="12" w:type="dxa"/>
              <w:left w:w="12" w:type="dxa"/>
              <w:right w:w="12" w:type="dxa"/>
            </w:tcMar>
            <w:vAlign w:val="center"/>
          </w:tcPr>
          <w:p w14:paraId="1F992BF0">
            <w:pPr>
              <w:pStyle w:val="62"/>
              <w:shd w:val="clear"/>
              <w:bidi w:val="0"/>
              <w:jc w:val="center"/>
              <w:rPr>
                <w:rFonts w:hint="default" w:eastAsiaTheme="minorEastAsia"/>
                <w:b w:val="0"/>
                <w:color w:val="auto"/>
                <w:highlight w:val="none"/>
                <w:lang w:val="en-US" w:eastAsia="zh-CN"/>
              </w:rPr>
            </w:pPr>
            <w:r>
              <w:rPr>
                <w:rFonts w:hint="eastAsia"/>
                <w:b w:val="0"/>
                <w:color w:val="auto"/>
                <w:highlight w:val="none"/>
                <w:lang w:val="en-US" w:eastAsia="zh-CN"/>
              </w:rPr>
              <w:t>3.18</w:t>
            </w:r>
          </w:p>
        </w:tc>
        <w:tc>
          <w:tcPr>
            <w:tcW w:w="546" w:type="pct"/>
            <w:tcBorders>
              <w:tl2br w:val="nil"/>
              <w:tr2bl w:val="nil"/>
            </w:tcBorders>
            <w:shd w:val="clear" w:color="auto" w:fill="FFFFFF"/>
            <w:tcMar>
              <w:top w:w="12" w:type="dxa"/>
              <w:left w:w="12" w:type="dxa"/>
              <w:right w:w="12" w:type="dxa"/>
            </w:tcMar>
            <w:vAlign w:val="center"/>
          </w:tcPr>
          <w:p w14:paraId="2C02E4FA">
            <w:pPr>
              <w:pStyle w:val="62"/>
              <w:shd w:val="clear"/>
              <w:bidi w:val="0"/>
              <w:jc w:val="center"/>
              <w:rPr>
                <w:rFonts w:hint="default" w:eastAsiaTheme="minorEastAsia"/>
                <w:b w:val="0"/>
                <w:color w:val="auto"/>
                <w:highlight w:val="none"/>
                <w:lang w:val="en-US" w:eastAsia="zh-CN"/>
              </w:rPr>
            </w:pPr>
            <w:r>
              <w:rPr>
                <w:rFonts w:hint="eastAsia"/>
                <w:b w:val="0"/>
                <w:color w:val="auto"/>
                <w:highlight w:val="none"/>
                <w:lang w:val="en-US" w:eastAsia="zh-CN"/>
              </w:rPr>
              <w:t>3.03</w:t>
            </w:r>
          </w:p>
        </w:tc>
        <w:tc>
          <w:tcPr>
            <w:tcW w:w="546" w:type="pct"/>
            <w:tcBorders>
              <w:tl2br w:val="nil"/>
              <w:tr2bl w:val="nil"/>
            </w:tcBorders>
            <w:shd w:val="clear" w:color="auto" w:fill="FFFFFF"/>
            <w:tcMar>
              <w:top w:w="12" w:type="dxa"/>
              <w:left w:w="12" w:type="dxa"/>
              <w:right w:w="12" w:type="dxa"/>
            </w:tcMar>
            <w:vAlign w:val="center"/>
          </w:tcPr>
          <w:p w14:paraId="70716D0D">
            <w:pPr>
              <w:pStyle w:val="62"/>
              <w:shd w:val="clear"/>
              <w:bidi w:val="0"/>
              <w:jc w:val="center"/>
              <w:rPr>
                <w:rFonts w:hint="default"/>
                <w:b w:val="0"/>
                <w:color w:val="auto"/>
                <w:highlight w:val="none"/>
                <w:lang w:val="en-US" w:eastAsia="zh-CN"/>
              </w:rPr>
            </w:pPr>
            <w:r>
              <w:rPr>
                <w:rFonts w:hint="eastAsia"/>
                <w:b w:val="0"/>
                <w:color w:val="auto"/>
                <w:highlight w:val="none"/>
                <w:lang w:val="en-US" w:eastAsia="zh-CN"/>
              </w:rPr>
              <w:t>3.69</w:t>
            </w:r>
          </w:p>
        </w:tc>
      </w:tr>
      <w:tr w14:paraId="212AF5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jc w:val="center"/>
        </w:trPr>
        <w:tc>
          <w:tcPr>
            <w:tcW w:w="473" w:type="pct"/>
            <w:vMerge w:val="continue"/>
            <w:tcBorders>
              <w:tl2br w:val="nil"/>
              <w:tr2bl w:val="nil"/>
            </w:tcBorders>
            <w:shd w:val="clear" w:color="auto" w:fill="FFFFFF"/>
            <w:tcMar>
              <w:top w:w="12" w:type="dxa"/>
              <w:left w:w="12" w:type="dxa"/>
              <w:right w:w="12" w:type="dxa"/>
            </w:tcMar>
            <w:vAlign w:val="center"/>
          </w:tcPr>
          <w:p w14:paraId="3AC65180">
            <w:pPr>
              <w:pStyle w:val="62"/>
              <w:shd w:val="clear"/>
              <w:bidi w:val="0"/>
              <w:rPr>
                <w:rFonts w:hint="eastAsia"/>
                <w:b w:val="0"/>
                <w:color w:val="auto"/>
                <w:highlight w:val="none"/>
                <w:lang w:val="en-US" w:eastAsia="zh-CN"/>
              </w:rPr>
            </w:pPr>
          </w:p>
        </w:tc>
        <w:tc>
          <w:tcPr>
            <w:tcW w:w="643" w:type="pct"/>
            <w:tcBorders>
              <w:tl2br w:val="nil"/>
              <w:tr2bl w:val="nil"/>
            </w:tcBorders>
            <w:shd w:val="clear" w:color="auto" w:fill="FFFFFF"/>
            <w:tcMar>
              <w:top w:w="12" w:type="dxa"/>
              <w:left w:w="12" w:type="dxa"/>
              <w:right w:w="12" w:type="dxa"/>
            </w:tcMar>
            <w:vAlign w:val="center"/>
          </w:tcPr>
          <w:p w14:paraId="59ED0556">
            <w:pPr>
              <w:pStyle w:val="62"/>
              <w:shd w:val="clear"/>
              <w:bidi w:val="0"/>
              <w:rPr>
                <w:rFonts w:hint="eastAsia"/>
                <w:b w:val="0"/>
                <w:color w:val="auto"/>
                <w:highlight w:val="none"/>
              </w:rPr>
            </w:pPr>
            <w:r>
              <w:rPr>
                <w:rFonts w:hint="eastAsia"/>
                <w:b w:val="0"/>
                <w:color w:val="auto"/>
                <w:highlight w:val="none"/>
                <w:lang w:val="en-US" w:eastAsia="zh-CN"/>
              </w:rPr>
              <w:t>占比（%）</w:t>
            </w:r>
          </w:p>
        </w:tc>
        <w:tc>
          <w:tcPr>
            <w:tcW w:w="609" w:type="pct"/>
            <w:tcBorders>
              <w:tl2br w:val="nil"/>
              <w:tr2bl w:val="nil"/>
            </w:tcBorders>
            <w:shd w:val="clear" w:color="auto" w:fill="FFFFFF"/>
            <w:tcMar>
              <w:top w:w="12" w:type="dxa"/>
              <w:left w:w="12" w:type="dxa"/>
              <w:right w:w="12" w:type="dxa"/>
            </w:tcMar>
            <w:vAlign w:val="center"/>
          </w:tcPr>
          <w:p w14:paraId="44588C52">
            <w:pPr>
              <w:pStyle w:val="62"/>
              <w:shd w:val="clear"/>
              <w:bidi w:val="0"/>
              <w:jc w:val="center"/>
              <w:rPr>
                <w:rFonts w:hint="default" w:eastAsiaTheme="minorEastAsia"/>
                <w:b w:val="0"/>
                <w:color w:val="auto"/>
                <w:highlight w:val="none"/>
                <w:lang w:val="en-US" w:eastAsia="zh-CN"/>
              </w:rPr>
            </w:pPr>
            <w:r>
              <w:rPr>
                <w:rFonts w:hint="eastAsia"/>
                <w:b w:val="0"/>
                <w:color w:val="auto"/>
                <w:highlight w:val="none"/>
                <w:lang w:val="en-US" w:eastAsia="zh-CN"/>
              </w:rPr>
              <w:t>/</w:t>
            </w:r>
          </w:p>
        </w:tc>
        <w:tc>
          <w:tcPr>
            <w:tcW w:w="545" w:type="pct"/>
            <w:tcBorders>
              <w:tl2br w:val="nil"/>
              <w:tr2bl w:val="nil"/>
            </w:tcBorders>
            <w:shd w:val="clear" w:color="auto" w:fill="FFFFFF"/>
            <w:tcMar>
              <w:top w:w="12" w:type="dxa"/>
              <w:left w:w="12" w:type="dxa"/>
              <w:right w:w="12" w:type="dxa"/>
            </w:tcMar>
            <w:vAlign w:val="center"/>
          </w:tcPr>
          <w:p w14:paraId="65427633">
            <w:pPr>
              <w:pStyle w:val="62"/>
              <w:shd w:val="clear"/>
              <w:bidi w:val="0"/>
              <w:jc w:val="center"/>
              <w:rPr>
                <w:rFonts w:hint="eastAsia" w:eastAsiaTheme="minorEastAsia"/>
                <w:b w:val="0"/>
                <w:color w:val="auto"/>
                <w:highlight w:val="none"/>
                <w:lang w:val="en-US" w:eastAsia="zh-CN"/>
              </w:rPr>
            </w:pPr>
            <w:r>
              <w:rPr>
                <w:rFonts w:hint="eastAsia"/>
                <w:b w:val="0"/>
                <w:color w:val="auto"/>
                <w:highlight w:val="none"/>
                <w:lang w:val="en-US" w:eastAsia="zh-CN"/>
              </w:rPr>
              <w:t>/</w:t>
            </w:r>
          </w:p>
        </w:tc>
        <w:tc>
          <w:tcPr>
            <w:tcW w:w="545" w:type="pct"/>
            <w:tcBorders>
              <w:tl2br w:val="nil"/>
              <w:tr2bl w:val="nil"/>
            </w:tcBorders>
            <w:shd w:val="clear" w:color="auto" w:fill="FFFFFF"/>
            <w:tcMar>
              <w:top w:w="12" w:type="dxa"/>
              <w:left w:w="12" w:type="dxa"/>
              <w:right w:w="12" w:type="dxa"/>
            </w:tcMar>
            <w:vAlign w:val="center"/>
          </w:tcPr>
          <w:p w14:paraId="5DDE2322">
            <w:pPr>
              <w:pStyle w:val="62"/>
              <w:shd w:val="clear"/>
              <w:bidi w:val="0"/>
              <w:jc w:val="center"/>
              <w:rPr>
                <w:rFonts w:hint="eastAsia" w:eastAsiaTheme="minorEastAsia"/>
                <w:b w:val="0"/>
                <w:color w:val="auto"/>
                <w:highlight w:val="none"/>
                <w:lang w:val="en-US" w:eastAsia="zh-CN"/>
              </w:rPr>
            </w:pPr>
            <w:r>
              <w:rPr>
                <w:rFonts w:hint="eastAsia"/>
                <w:b w:val="0"/>
                <w:color w:val="auto"/>
                <w:highlight w:val="none"/>
                <w:lang w:val="en-US" w:eastAsia="zh-CN"/>
              </w:rPr>
              <w:t>/</w:t>
            </w:r>
          </w:p>
        </w:tc>
        <w:tc>
          <w:tcPr>
            <w:tcW w:w="545" w:type="pct"/>
            <w:tcBorders>
              <w:tl2br w:val="nil"/>
              <w:tr2bl w:val="nil"/>
            </w:tcBorders>
            <w:shd w:val="clear" w:color="auto" w:fill="FFFFFF"/>
            <w:tcMar>
              <w:top w:w="12" w:type="dxa"/>
              <w:left w:w="12" w:type="dxa"/>
              <w:right w:w="12" w:type="dxa"/>
            </w:tcMar>
            <w:vAlign w:val="center"/>
          </w:tcPr>
          <w:p w14:paraId="34952955">
            <w:pPr>
              <w:pStyle w:val="62"/>
              <w:shd w:val="clear"/>
              <w:bidi w:val="0"/>
              <w:jc w:val="center"/>
              <w:rPr>
                <w:rFonts w:hint="default" w:eastAsiaTheme="minorEastAsia"/>
                <w:b w:val="0"/>
                <w:color w:val="auto"/>
                <w:highlight w:val="none"/>
                <w:lang w:val="en-US" w:eastAsia="zh-CN"/>
              </w:rPr>
            </w:pPr>
            <w:r>
              <w:rPr>
                <w:rFonts w:hint="eastAsia"/>
                <w:b w:val="0"/>
                <w:color w:val="auto"/>
                <w:highlight w:val="none"/>
                <w:lang w:val="en-US" w:eastAsia="zh-CN"/>
              </w:rPr>
              <w:t>24.8%</w:t>
            </w:r>
          </w:p>
        </w:tc>
        <w:tc>
          <w:tcPr>
            <w:tcW w:w="545" w:type="pct"/>
            <w:tcBorders>
              <w:tl2br w:val="nil"/>
              <w:tr2bl w:val="nil"/>
            </w:tcBorders>
            <w:shd w:val="clear" w:color="auto" w:fill="FFFFFF"/>
            <w:tcMar>
              <w:top w:w="12" w:type="dxa"/>
              <w:left w:w="12" w:type="dxa"/>
              <w:right w:w="12" w:type="dxa"/>
            </w:tcMar>
            <w:vAlign w:val="center"/>
          </w:tcPr>
          <w:p w14:paraId="04D26C51">
            <w:pPr>
              <w:pStyle w:val="62"/>
              <w:shd w:val="clear"/>
              <w:bidi w:val="0"/>
              <w:jc w:val="center"/>
              <w:rPr>
                <w:rFonts w:hint="default" w:eastAsiaTheme="minorEastAsia"/>
                <w:b w:val="0"/>
                <w:color w:val="auto"/>
                <w:highlight w:val="none"/>
                <w:lang w:val="en-US" w:eastAsia="zh-CN"/>
              </w:rPr>
            </w:pPr>
            <w:r>
              <w:rPr>
                <w:rFonts w:hint="eastAsia"/>
                <w:b w:val="0"/>
                <w:color w:val="auto"/>
                <w:highlight w:val="none"/>
                <w:lang w:val="en-US" w:eastAsia="zh-CN"/>
              </w:rPr>
              <w:t>17.6%</w:t>
            </w:r>
          </w:p>
        </w:tc>
        <w:tc>
          <w:tcPr>
            <w:tcW w:w="546" w:type="pct"/>
            <w:tcBorders>
              <w:tl2br w:val="nil"/>
              <w:tr2bl w:val="nil"/>
            </w:tcBorders>
            <w:shd w:val="clear" w:color="auto" w:fill="FFFFFF"/>
            <w:tcMar>
              <w:top w:w="12" w:type="dxa"/>
              <w:left w:w="12" w:type="dxa"/>
              <w:right w:w="12" w:type="dxa"/>
            </w:tcMar>
            <w:vAlign w:val="center"/>
          </w:tcPr>
          <w:p w14:paraId="7B40553C">
            <w:pPr>
              <w:pStyle w:val="62"/>
              <w:shd w:val="clear"/>
              <w:bidi w:val="0"/>
              <w:jc w:val="center"/>
              <w:rPr>
                <w:rFonts w:hint="default" w:eastAsiaTheme="minorEastAsia"/>
                <w:b w:val="0"/>
                <w:color w:val="auto"/>
                <w:highlight w:val="none"/>
                <w:lang w:val="en-US" w:eastAsia="zh-CN"/>
              </w:rPr>
            </w:pPr>
            <w:r>
              <w:rPr>
                <w:rFonts w:hint="eastAsia"/>
                <w:b w:val="0"/>
                <w:color w:val="auto"/>
                <w:highlight w:val="none"/>
                <w:lang w:val="en-US" w:eastAsia="zh-CN"/>
              </w:rPr>
              <w:t>17.5%</w:t>
            </w:r>
          </w:p>
        </w:tc>
        <w:tc>
          <w:tcPr>
            <w:tcW w:w="546" w:type="pct"/>
            <w:tcBorders>
              <w:tl2br w:val="nil"/>
              <w:tr2bl w:val="nil"/>
            </w:tcBorders>
            <w:shd w:val="clear" w:color="auto" w:fill="FFFFFF"/>
            <w:tcMar>
              <w:top w:w="12" w:type="dxa"/>
              <w:left w:w="12" w:type="dxa"/>
              <w:right w:w="12" w:type="dxa"/>
            </w:tcMar>
            <w:vAlign w:val="center"/>
          </w:tcPr>
          <w:p w14:paraId="0BF7E299">
            <w:pPr>
              <w:pStyle w:val="62"/>
              <w:shd w:val="clear"/>
              <w:bidi w:val="0"/>
              <w:jc w:val="center"/>
              <w:rPr>
                <w:rFonts w:hint="default"/>
                <w:b w:val="0"/>
                <w:color w:val="auto"/>
                <w:highlight w:val="none"/>
                <w:lang w:val="en-US" w:eastAsia="zh-CN"/>
              </w:rPr>
            </w:pPr>
            <w:r>
              <w:rPr>
                <w:rFonts w:hint="eastAsia"/>
                <w:b w:val="0"/>
                <w:color w:val="auto"/>
                <w:highlight w:val="none"/>
                <w:lang w:val="en-US" w:eastAsia="zh-CN"/>
              </w:rPr>
              <w:t>16.6%</w:t>
            </w:r>
          </w:p>
        </w:tc>
      </w:tr>
    </w:tbl>
    <w:p w14:paraId="04EE1BD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pPr>
    </w:p>
    <w:p w14:paraId="041F20A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pPr>
      <w:r>
        <w:drawing>
          <wp:inline distT="0" distB="0" distL="114300" distR="114300">
            <wp:extent cx="5340350" cy="2945765"/>
            <wp:effectExtent l="4445" t="4445" r="8255" b="21590"/>
            <wp:docPr id="1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3A3421">
      <w:pPr>
        <w:pStyle w:val="130"/>
        <w:shd w:val="clear"/>
        <w:bidi w:val="0"/>
        <w:ind w:leftChars="0"/>
        <w:jc w:val="center"/>
        <w:outlineLvl w:val="4"/>
        <w:rPr>
          <w:rFonts w:hint="default" w:ascii="Times New Roman" w:hAnsi="Times New Roman" w:cs="Times New Roman"/>
          <w:color w:val="000000" w:themeColor="text1"/>
          <w:highlight w:val="none"/>
          <w:lang w:val="en-US"/>
          <w14:textFill>
            <w14:solidFill>
              <w14:schemeClr w14:val="tx1"/>
            </w14:solidFill>
          </w14:textFill>
        </w:rPr>
      </w:pPr>
      <w:bookmarkStart w:id="46" w:name="_Ref16013"/>
      <w:r>
        <w:rPr>
          <w:rFonts w:hint="default" w:ascii="Times New Roman" w:hAnsi="Times New Roman" w:cs="Times New Roman"/>
          <w:color w:val="000000" w:themeColor="text1"/>
          <w:highlight w:val="none"/>
          <w14:textFill>
            <w14:solidFill>
              <w14:schemeClr w14:val="tx1"/>
            </w14:solidFill>
          </w14:textFill>
        </w:rPr>
        <w:t>图</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SEQ 图 \* ARABIC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fldChar w:fldCharType="end"/>
      </w:r>
      <w:bookmarkEnd w:id="46"/>
      <w:r>
        <w:rPr>
          <w:rFonts w:hint="default" w:ascii="Times New Roman" w:hAnsi="Times New Roman" w:cs="Times New Roman"/>
          <w:color w:val="000000" w:themeColor="text1"/>
          <w:highlight w:val="none"/>
          <w:lang w:val="en-US" w:eastAsia="zh-CN"/>
          <w14:textFill>
            <w14:solidFill>
              <w14:schemeClr w14:val="tx1"/>
            </w14:solidFill>
          </w14:textFill>
        </w:rPr>
        <w:t xml:space="preserve"> 湖南省工业企业挥发性有机物排放情况</w:t>
      </w:r>
    </w:p>
    <w:p w14:paraId="63C259C6">
      <w:pPr>
        <w:pStyle w:val="2"/>
        <w:shd w:val="clear"/>
        <w:bidi w:val="0"/>
        <w:ind w:left="432" w:leftChars="0" w:hanging="432" w:firstLineChars="0"/>
        <w:rPr>
          <w:color w:val="auto"/>
          <w:highlight w:val="none"/>
        </w:rPr>
      </w:pPr>
      <w:bookmarkStart w:id="47" w:name="_Toc1515"/>
      <w:bookmarkStart w:id="48" w:name="_Toc18606"/>
      <w:bookmarkStart w:id="49" w:name="_Toc6016"/>
      <w:bookmarkStart w:id="50" w:name="_Toc21764"/>
      <w:bookmarkStart w:id="51" w:name="_Toc20300"/>
      <w:bookmarkStart w:id="52" w:name="_Toc25923"/>
      <w:r>
        <w:rPr>
          <w:rFonts w:hint="eastAsia"/>
          <w:color w:val="auto"/>
          <w:highlight w:val="none"/>
          <w:lang w:eastAsia="zh-CN"/>
        </w:rPr>
        <w:t>标准编制必要性</w:t>
      </w:r>
      <w:r>
        <w:rPr>
          <w:rFonts w:hint="eastAsia"/>
          <w:color w:val="auto"/>
          <w:highlight w:val="none"/>
          <w:lang w:val="en-US" w:eastAsia="zh-CN"/>
        </w:rPr>
        <w:t>与可行性</w:t>
      </w:r>
      <w:r>
        <w:rPr>
          <w:rFonts w:hint="eastAsia"/>
          <w:color w:val="auto"/>
          <w:highlight w:val="none"/>
          <w:lang w:eastAsia="zh-CN"/>
        </w:rPr>
        <w:t>分析</w:t>
      </w:r>
      <w:bookmarkEnd w:id="47"/>
      <w:bookmarkEnd w:id="48"/>
      <w:bookmarkEnd w:id="49"/>
      <w:bookmarkEnd w:id="50"/>
      <w:bookmarkEnd w:id="51"/>
      <w:bookmarkEnd w:id="52"/>
    </w:p>
    <w:p w14:paraId="46CF497F">
      <w:pPr>
        <w:pStyle w:val="3"/>
        <w:shd w:val="clear"/>
        <w:bidi w:val="0"/>
        <w:rPr>
          <w:color w:val="auto"/>
          <w:highlight w:val="none"/>
        </w:rPr>
      </w:pPr>
      <w:bookmarkStart w:id="53" w:name="_Toc13605"/>
      <w:bookmarkStart w:id="54" w:name="_Toc6547"/>
      <w:bookmarkStart w:id="55" w:name="_Toc13664"/>
      <w:bookmarkStart w:id="56" w:name="_Toc32666"/>
      <w:bookmarkStart w:id="57" w:name="_Toc19864"/>
      <w:bookmarkStart w:id="58" w:name="_Toc15309"/>
      <w:r>
        <w:rPr>
          <w:rFonts w:hint="eastAsia"/>
          <w:color w:val="auto"/>
          <w:highlight w:val="none"/>
          <w:lang w:eastAsia="zh-CN"/>
        </w:rPr>
        <w:t>深入打好蓝天保卫战的需要</w:t>
      </w:r>
      <w:bookmarkEnd w:id="53"/>
      <w:bookmarkEnd w:id="54"/>
      <w:bookmarkEnd w:id="55"/>
      <w:bookmarkEnd w:id="56"/>
      <w:bookmarkEnd w:id="57"/>
      <w:bookmarkEnd w:id="58"/>
    </w:p>
    <w:p w14:paraId="12885027">
      <w:pPr>
        <w:shd w:val="clear"/>
        <w:ind w:firstLine="420"/>
        <w:rPr>
          <w:rFonts w:hint="eastAsia"/>
          <w:color w:val="auto"/>
          <w:highlight w:val="none"/>
          <w:lang w:eastAsia="zh-CN"/>
        </w:rPr>
      </w:pPr>
      <w:r>
        <w:rPr>
          <w:rFonts w:hint="eastAsia"/>
          <w:color w:val="auto"/>
          <w:highlight w:val="none"/>
          <w:lang w:val="en-US" w:eastAsia="zh-CN"/>
        </w:rPr>
        <w:t>国务院及湖南省出台了大量文件，要求持续改善环境空气质量，大力推动</w:t>
      </w:r>
      <w:r>
        <w:rPr>
          <w:rFonts w:hint="eastAsia"/>
          <w:color w:val="auto"/>
          <w:highlight w:val="none"/>
          <w:lang w:eastAsia="zh-CN"/>
        </w:rPr>
        <w:t>挥发性有机物（VOCs）</w:t>
      </w:r>
      <w:r>
        <w:rPr>
          <w:rFonts w:hint="eastAsia"/>
          <w:color w:val="auto"/>
          <w:highlight w:val="none"/>
          <w:lang w:val="en-US" w:eastAsia="zh-CN"/>
        </w:rPr>
        <w:t>减排</w:t>
      </w:r>
      <w:r>
        <w:rPr>
          <w:rFonts w:hint="eastAsia"/>
          <w:color w:val="auto"/>
          <w:highlight w:val="none"/>
          <w:lang w:eastAsia="zh-CN"/>
        </w:rPr>
        <w:t>，</w:t>
      </w:r>
      <w:r>
        <w:rPr>
          <w:rFonts w:hint="eastAsia"/>
          <w:color w:val="auto"/>
          <w:highlight w:val="none"/>
        </w:rPr>
        <w:t>制定修订涉挥发性有机物重点行业大气污染物排放标准</w:t>
      </w:r>
      <w:r>
        <w:rPr>
          <w:rFonts w:hint="eastAsia"/>
          <w:color w:val="auto"/>
          <w:highlight w:val="none"/>
          <w:lang w:eastAsia="zh-CN"/>
        </w:rPr>
        <w:t>，</w:t>
      </w:r>
      <w:r>
        <w:rPr>
          <w:rFonts w:hint="eastAsia"/>
          <w:color w:val="auto"/>
          <w:highlight w:val="none"/>
        </w:rPr>
        <w:t>鼓励有条件的地方制定出台更加严格的标准</w:t>
      </w:r>
      <w:r>
        <w:rPr>
          <w:rFonts w:hint="eastAsia"/>
          <w:color w:val="auto"/>
          <w:highlight w:val="none"/>
          <w:lang w:eastAsia="zh-CN"/>
        </w:rPr>
        <w:t>。</w:t>
      </w:r>
    </w:p>
    <w:p w14:paraId="66AFB4D5">
      <w:pPr>
        <w:shd w:val="clear"/>
        <w:ind w:firstLine="420"/>
        <w:rPr>
          <w:rFonts w:hint="eastAsia"/>
          <w:color w:val="auto"/>
          <w:highlight w:val="none"/>
          <w:lang w:eastAsia="zh-CN"/>
        </w:rPr>
      </w:pPr>
      <w:r>
        <w:rPr>
          <w:rFonts w:hint="eastAsia"/>
          <w:color w:val="auto"/>
          <w:highlight w:val="none"/>
          <w:lang w:eastAsia="zh-CN"/>
        </w:rPr>
        <w:t>国务院《关于印发</w:t>
      </w:r>
      <w:r>
        <w:rPr>
          <w:rFonts w:hint="eastAsia"/>
          <w:color w:val="auto"/>
          <w:highlight w:val="none"/>
          <w:lang w:val="en-US" w:eastAsia="zh-CN"/>
        </w:rPr>
        <w:t>&lt;</w:t>
      </w:r>
      <w:r>
        <w:rPr>
          <w:rFonts w:hint="eastAsia"/>
          <w:color w:val="auto"/>
          <w:highlight w:val="none"/>
          <w:lang w:eastAsia="zh-CN"/>
        </w:rPr>
        <w:t>空气质量持续改善行动计划</w:t>
      </w:r>
      <w:r>
        <w:rPr>
          <w:rFonts w:hint="eastAsia"/>
          <w:color w:val="auto"/>
          <w:highlight w:val="none"/>
          <w:lang w:val="en-US" w:eastAsia="zh-CN"/>
        </w:rPr>
        <w:t>&gt;</w:t>
      </w:r>
      <w:r>
        <w:rPr>
          <w:rFonts w:hint="eastAsia"/>
          <w:color w:val="auto"/>
          <w:highlight w:val="none"/>
          <w:lang w:eastAsia="zh-CN"/>
        </w:rPr>
        <w:t>的通知》（国发〔2023〕24号）要求持续深入打好蓝天保卫战，大力推动氮氧化物和挥发性有机物（VOCs）减排。</w:t>
      </w:r>
      <w:r>
        <w:rPr>
          <w:rFonts w:hint="eastAsia"/>
          <w:color w:val="auto"/>
          <w:highlight w:val="none"/>
        </w:rPr>
        <w:t>《中共中央、国务院关于深入打好污染防治攻坚战的意见》（20</w:t>
      </w:r>
      <w:r>
        <w:rPr>
          <w:rFonts w:hint="eastAsia"/>
          <w:color w:val="auto"/>
          <w:highlight w:val="none"/>
          <w:lang w:val="en-US" w:eastAsia="zh-CN"/>
        </w:rPr>
        <w:t>21</w:t>
      </w:r>
      <w:r>
        <w:rPr>
          <w:rFonts w:hint="eastAsia"/>
          <w:color w:val="auto"/>
          <w:highlight w:val="none"/>
        </w:rPr>
        <w:t>年11月）中</w:t>
      </w:r>
      <w:r>
        <w:rPr>
          <w:rFonts w:hint="eastAsia"/>
          <w:color w:val="auto"/>
          <w:highlight w:val="none"/>
          <w:lang w:eastAsia="zh-CN"/>
        </w:rPr>
        <w:t>要求</w:t>
      </w:r>
      <w:r>
        <w:rPr>
          <w:rFonts w:hint="eastAsia"/>
          <w:color w:val="auto"/>
          <w:highlight w:val="none"/>
        </w:rPr>
        <w:t>“完善生态环境标准体系，鼓励有条件的地方制定出台更加严格的标准</w:t>
      </w:r>
      <w:r>
        <w:rPr>
          <w:rFonts w:hint="eastAsia"/>
          <w:color w:val="auto"/>
          <w:highlight w:val="none"/>
          <w:lang w:eastAsia="zh-CN"/>
        </w:rPr>
        <w:t>”</w:t>
      </w:r>
      <w:r>
        <w:rPr>
          <w:rFonts w:hint="eastAsia"/>
          <w:color w:val="auto"/>
          <w:highlight w:val="none"/>
        </w:rPr>
        <w:t>。《国务院关于印发“十四五”节能减排综合工作方案的通知》（国发〔2021〕33号）中</w:t>
      </w:r>
      <w:r>
        <w:rPr>
          <w:rFonts w:hint="eastAsia"/>
          <w:color w:val="auto"/>
          <w:highlight w:val="none"/>
          <w:lang w:eastAsia="zh-CN"/>
        </w:rPr>
        <w:t>要求</w:t>
      </w:r>
      <w:r>
        <w:rPr>
          <w:rFonts w:hint="eastAsia"/>
          <w:color w:val="auto"/>
          <w:highlight w:val="none"/>
        </w:rPr>
        <w:t>制定修订涉挥发性有机物重点行业大气污染物排放标准</w:t>
      </w:r>
      <w:r>
        <w:rPr>
          <w:rFonts w:hint="eastAsia"/>
          <w:color w:val="auto"/>
          <w:highlight w:val="none"/>
          <w:lang w:eastAsia="zh-CN"/>
        </w:rPr>
        <w:t>。</w:t>
      </w:r>
    </w:p>
    <w:p w14:paraId="7D59B020">
      <w:pPr>
        <w:shd w:val="clear"/>
        <w:ind w:firstLine="420"/>
        <w:rPr>
          <w:rFonts w:hint="eastAsia"/>
          <w:color w:val="auto"/>
          <w:highlight w:val="none"/>
          <w:lang w:val="en-US" w:eastAsia="zh-CN"/>
        </w:rPr>
      </w:pPr>
      <w:r>
        <w:rPr>
          <w:rFonts w:hint="eastAsia"/>
          <w:color w:val="auto"/>
          <w:highlight w:val="none"/>
          <w:lang w:eastAsia="zh-CN"/>
        </w:rPr>
        <w:t>《湖南省空气质量持续改善行动计划实施方案》（湘政办发〔2024〕33号）</w:t>
      </w:r>
      <w:r>
        <w:rPr>
          <w:rFonts w:hint="eastAsia"/>
          <w:color w:val="auto"/>
          <w:highlight w:val="none"/>
          <w:lang w:val="en-US" w:eastAsia="zh-CN"/>
        </w:rPr>
        <w:t>要求</w:t>
      </w:r>
      <w:r>
        <w:rPr>
          <w:rFonts w:hint="eastAsia"/>
          <w:color w:val="auto"/>
          <w:highlight w:val="none"/>
          <w:lang w:eastAsia="zh-CN"/>
        </w:rPr>
        <w:t>以氮氧化物和挥发性有机物（VOCs）减排为抓手，推动低VOCs含量原辅材料和产品源头替代。严格执行VOCs含量限值标准，严格控制生产和使用高VOCs含量原辅材料建设项目。以工业涂装、包装印刷、家具制造和电子行业等为重点，指导企业制定低（无）VOCs含量原辅材料替代计划，大力推动“应替尽替”。</w:t>
      </w:r>
      <w:r>
        <w:rPr>
          <w:rFonts w:hint="eastAsia"/>
          <w:color w:val="auto"/>
          <w:highlight w:val="none"/>
          <w:lang w:val="en-US" w:eastAsia="zh-CN"/>
        </w:rPr>
        <w:t>湖南省人民政府办公厅《湖南省大气污染防治“守护蓝天”攻坚行动计划（2023—2025年）》，强调</w:t>
      </w:r>
      <w:r>
        <w:rPr>
          <w:rFonts w:hint="default"/>
          <w:color w:val="auto"/>
          <w:highlight w:val="none"/>
          <w:lang w:val="en-US" w:eastAsia="zh-CN"/>
        </w:rPr>
        <w:t>以工业涂装、包装印刷和胶粘剂使用等为重点，加大低VOCs原辅材料替代力度，强化无组织和非正常工况废气排放管控。</w:t>
      </w:r>
      <w:r>
        <w:rPr>
          <w:rFonts w:hint="eastAsia"/>
          <w:color w:val="auto"/>
          <w:highlight w:val="none"/>
          <w:lang w:val="en-US" w:eastAsia="zh-CN"/>
        </w:rPr>
        <w:t>湖南省生态环境保护委员会《关于贯彻落实省委省政府主要领导调研大气污染防治工作有关指示精神坚决打好大气污染防治五个标志性战役的通知》（湘生环委发〔2024〕3号）要求，聚焦地方排放标准制定、工业企业深度治理改造和涉VOCs产业集群整治，着力推进完善和实施工业企业地方排放标准，全面推动清洁能源和低（无）VOCs含量原辅材料替代。</w:t>
      </w:r>
    </w:p>
    <w:p w14:paraId="0A05256F">
      <w:pPr>
        <w:pStyle w:val="3"/>
        <w:shd w:val="clear"/>
        <w:bidi w:val="0"/>
        <w:rPr>
          <w:color w:val="auto"/>
          <w:highlight w:val="none"/>
        </w:rPr>
      </w:pPr>
      <w:bookmarkStart w:id="59" w:name="_Toc27227"/>
      <w:bookmarkStart w:id="60" w:name="_Toc21125"/>
      <w:bookmarkStart w:id="61" w:name="_Toc29522"/>
      <w:bookmarkStart w:id="62" w:name="_Toc491"/>
      <w:bookmarkStart w:id="63" w:name="_Toc26501"/>
      <w:bookmarkStart w:id="64" w:name="_Toc17822"/>
      <w:r>
        <w:rPr>
          <w:rFonts w:hint="eastAsia"/>
          <w:color w:val="auto"/>
          <w:highlight w:val="none"/>
          <w:lang w:val="en-US" w:eastAsia="zh-CN"/>
        </w:rPr>
        <w:t>建设美丽湖南</w:t>
      </w:r>
      <w:r>
        <w:rPr>
          <w:rFonts w:hint="eastAsia"/>
          <w:color w:val="auto"/>
          <w:highlight w:val="none"/>
        </w:rPr>
        <w:t>促进</w:t>
      </w:r>
      <w:r>
        <w:rPr>
          <w:rFonts w:hint="eastAsia"/>
          <w:color w:val="auto"/>
          <w:highlight w:val="none"/>
          <w:lang w:eastAsia="zh-CN"/>
        </w:rPr>
        <w:t>湖南</w:t>
      </w:r>
      <w:r>
        <w:rPr>
          <w:rFonts w:hint="eastAsia"/>
          <w:color w:val="auto"/>
          <w:highlight w:val="none"/>
        </w:rPr>
        <w:t>省工业企业行业发展的需要</w:t>
      </w:r>
      <w:bookmarkEnd w:id="59"/>
      <w:bookmarkEnd w:id="60"/>
      <w:bookmarkEnd w:id="61"/>
      <w:bookmarkEnd w:id="62"/>
      <w:bookmarkEnd w:id="63"/>
      <w:bookmarkEnd w:id="64"/>
    </w:p>
    <w:p w14:paraId="203AB91B">
      <w:pPr>
        <w:shd w:val="clear"/>
        <w:ind w:firstLine="420"/>
        <w:rPr>
          <w:rFonts w:hint="eastAsia"/>
          <w:color w:val="auto"/>
          <w:highlight w:val="none"/>
          <w:lang w:val="en-US" w:eastAsia="zh-CN"/>
        </w:rPr>
      </w:pPr>
      <w:r>
        <w:rPr>
          <w:rFonts w:hint="eastAsia"/>
          <w:color w:val="auto"/>
          <w:highlight w:val="none"/>
          <w:lang w:val="en-US" w:eastAsia="zh-CN"/>
        </w:rPr>
        <w:t>湖南省人民政府要求要求强化美丽湖南建设法治保障，推动生态环境保护地方性法规标准体系建设，并要求制订修订一批地方排放标准，以标准牵引推动大规模设备更新和消费品以旧换新。中共湖南省委 湖南省人民政府《关于全面推进美丽湖南建设的实施意见》（湘发〔2024〕8号）要求强化美丽湖南建设法治保障，推动生态环境保护地方性法规标准体系建设。湖南省人民政府关于《湖南省推动大规模设备更新和消费品以旧换新实施方案》（湘政发〔2024〕5号）要求突出标准牵引，制订修订一批地方标准，对标国际国内先进水平，严格落实国家重点用能产品设备能效先进水平、节能水平和准入水平的规定，组织制修订一批涉及能耗、排放、技术、安全等相关地方标准。</w:t>
      </w:r>
    </w:p>
    <w:p w14:paraId="064AB513">
      <w:pPr>
        <w:pStyle w:val="3"/>
        <w:shd w:val="clear"/>
        <w:bidi w:val="0"/>
        <w:rPr>
          <w:color w:val="auto"/>
          <w:highlight w:val="none"/>
        </w:rPr>
      </w:pPr>
      <w:bookmarkStart w:id="65" w:name="_Toc5804"/>
      <w:bookmarkStart w:id="66" w:name="_Toc15725"/>
      <w:bookmarkStart w:id="67" w:name="_Toc844"/>
      <w:bookmarkStart w:id="68" w:name="_Toc21921"/>
      <w:bookmarkStart w:id="69" w:name="_Toc26394"/>
      <w:bookmarkStart w:id="70" w:name="_Toc4039"/>
      <w:r>
        <w:rPr>
          <w:rFonts w:hint="eastAsia"/>
          <w:color w:val="auto"/>
          <w:highlight w:val="none"/>
        </w:rPr>
        <w:t>与现行国家和地方标准相协调的需要</w:t>
      </w:r>
      <w:bookmarkEnd w:id="65"/>
      <w:bookmarkEnd w:id="66"/>
      <w:bookmarkEnd w:id="67"/>
      <w:bookmarkEnd w:id="68"/>
      <w:bookmarkEnd w:id="69"/>
      <w:bookmarkEnd w:id="70"/>
    </w:p>
    <w:p w14:paraId="57E8DC59">
      <w:pPr>
        <w:shd w:val="clear"/>
        <w:ind w:firstLine="420"/>
        <w:rPr>
          <w:rFonts w:hint="eastAsia"/>
          <w:color w:val="auto"/>
          <w:highlight w:val="none"/>
        </w:rPr>
      </w:pPr>
      <w:r>
        <w:rPr>
          <w:rFonts w:hint="eastAsia"/>
          <w:color w:val="auto"/>
          <w:highlight w:val="none"/>
          <w:lang w:val="en-US" w:eastAsia="zh-CN"/>
        </w:rPr>
        <w:t>2017年，</w:t>
      </w:r>
      <w:r>
        <w:rPr>
          <w:rFonts w:hint="eastAsia"/>
          <w:color w:val="auto"/>
          <w:highlight w:val="none"/>
        </w:rPr>
        <w:t>湖南省</w:t>
      </w:r>
      <w:r>
        <w:rPr>
          <w:rFonts w:hint="eastAsia"/>
          <w:color w:val="auto"/>
          <w:highlight w:val="none"/>
          <w:lang w:eastAsia="zh-CN"/>
        </w:rPr>
        <w:t>发布了</w:t>
      </w:r>
      <w:r>
        <w:rPr>
          <w:rFonts w:hint="eastAsia"/>
          <w:color w:val="auto"/>
          <w:highlight w:val="none"/>
        </w:rPr>
        <w:t>《家具制造行业挥发性有机物排放标准》（DB43/</w:t>
      </w:r>
      <w:r>
        <w:rPr>
          <w:rFonts w:hint="eastAsia"/>
          <w:color w:val="auto"/>
          <w:highlight w:val="none"/>
          <w:lang w:val="en-US" w:eastAsia="zh-CN"/>
        </w:rPr>
        <w:t xml:space="preserve"> </w:t>
      </w:r>
      <w:r>
        <w:rPr>
          <w:rFonts w:hint="eastAsia"/>
          <w:color w:val="auto"/>
          <w:highlight w:val="none"/>
        </w:rPr>
        <w:t>135</w:t>
      </w:r>
      <w:r>
        <w:rPr>
          <w:rFonts w:hint="eastAsia"/>
          <w:color w:val="auto"/>
          <w:highlight w:val="none"/>
          <w:lang w:val="en-US" w:eastAsia="zh-CN"/>
        </w:rPr>
        <w:t>5</w:t>
      </w:r>
      <w:r>
        <w:rPr>
          <w:rFonts w:hint="eastAsia"/>
          <w:color w:val="auto"/>
          <w:highlight w:val="none"/>
        </w:rPr>
        <w:t>—2017）、《表面涂装（汽车制造及维修）挥发性有机物、镍排放标准》（DB43/</w:t>
      </w:r>
      <w:r>
        <w:rPr>
          <w:rFonts w:hint="eastAsia"/>
          <w:color w:val="auto"/>
          <w:highlight w:val="none"/>
          <w:lang w:val="en-US" w:eastAsia="zh-CN"/>
        </w:rPr>
        <w:t xml:space="preserve"> </w:t>
      </w:r>
      <w:r>
        <w:rPr>
          <w:rFonts w:hint="eastAsia"/>
          <w:color w:val="auto"/>
          <w:highlight w:val="none"/>
        </w:rPr>
        <w:t>1356—2017）、《印刷业挥发性有机物排放标准》（DB43/</w:t>
      </w:r>
      <w:r>
        <w:rPr>
          <w:rFonts w:hint="eastAsia"/>
          <w:color w:val="auto"/>
          <w:highlight w:val="none"/>
          <w:lang w:val="en-US" w:eastAsia="zh-CN"/>
        </w:rPr>
        <w:t xml:space="preserve"> </w:t>
      </w:r>
      <w:r>
        <w:rPr>
          <w:rFonts w:hint="eastAsia"/>
          <w:color w:val="auto"/>
          <w:highlight w:val="none"/>
        </w:rPr>
        <w:t>1357—2017）</w:t>
      </w:r>
      <w:r>
        <w:rPr>
          <w:rFonts w:hint="eastAsia"/>
          <w:color w:val="auto"/>
          <w:highlight w:val="none"/>
          <w:lang w:eastAsia="zh-CN"/>
        </w:rPr>
        <w:t>等</w:t>
      </w:r>
      <w:r>
        <w:rPr>
          <w:rFonts w:hint="eastAsia"/>
          <w:color w:val="auto"/>
          <w:highlight w:val="none"/>
        </w:rPr>
        <w:t>三项挥发性有机物排放标准，</w:t>
      </w:r>
      <w:r>
        <w:rPr>
          <w:rFonts w:hint="eastAsia"/>
          <w:color w:val="auto"/>
          <w:highlight w:val="none"/>
          <w:lang w:eastAsia="zh-CN"/>
        </w:rPr>
        <w:t>三项标准</w:t>
      </w:r>
      <w:r>
        <w:rPr>
          <w:rFonts w:hint="eastAsia"/>
          <w:color w:val="auto"/>
          <w:highlight w:val="none"/>
          <w:lang w:val="en-US" w:eastAsia="zh-CN"/>
        </w:rPr>
        <w:t>在</w:t>
      </w:r>
      <w:r>
        <w:rPr>
          <w:rFonts w:hint="eastAsia"/>
          <w:color w:val="auto"/>
          <w:highlight w:val="none"/>
        </w:rPr>
        <w:t>促进主要污染物减排</w:t>
      </w:r>
      <w:r>
        <w:rPr>
          <w:rFonts w:hint="eastAsia"/>
          <w:color w:val="auto"/>
          <w:highlight w:val="none"/>
          <w:lang w:eastAsia="zh-CN"/>
        </w:rPr>
        <w:t>、</w:t>
      </w:r>
      <w:r>
        <w:rPr>
          <w:rFonts w:hint="eastAsia"/>
          <w:color w:val="auto"/>
          <w:highlight w:val="none"/>
          <w:lang w:val="en-US" w:eastAsia="zh-CN"/>
        </w:rPr>
        <w:t>促进产业治理技术进步</w:t>
      </w:r>
      <w:r>
        <w:rPr>
          <w:rFonts w:hint="eastAsia"/>
          <w:color w:val="auto"/>
          <w:highlight w:val="none"/>
        </w:rPr>
        <w:t>等方面发挥</w:t>
      </w:r>
      <w:r>
        <w:rPr>
          <w:rFonts w:hint="eastAsia"/>
          <w:color w:val="auto"/>
          <w:highlight w:val="none"/>
          <w:lang w:eastAsia="zh-CN"/>
        </w:rPr>
        <w:t>了重要作用</w:t>
      </w:r>
      <w:r>
        <w:rPr>
          <w:rFonts w:hint="eastAsia"/>
          <w:color w:val="auto"/>
          <w:highlight w:val="none"/>
        </w:rPr>
        <w:t>。</w:t>
      </w:r>
    </w:p>
    <w:p w14:paraId="17925167">
      <w:pPr>
        <w:shd w:val="clear"/>
        <w:rPr>
          <w:rFonts w:hint="default" w:eastAsia="宋体"/>
          <w:color w:val="auto"/>
          <w:highlight w:val="none"/>
          <w:lang w:val="en-US" w:eastAsia="zh-CN"/>
        </w:rPr>
      </w:pPr>
      <w:r>
        <w:rPr>
          <w:rFonts w:hint="eastAsia"/>
          <w:color w:val="auto"/>
          <w:highlight w:val="none"/>
        </w:rPr>
        <w:t>自2017年家具、印刷、汽车制造等三项地方标准发布实施以来，国家</w:t>
      </w:r>
      <w:r>
        <w:rPr>
          <w:rFonts w:hint="eastAsia"/>
          <w:color w:val="auto"/>
          <w:highlight w:val="none"/>
          <w:lang w:val="en-US" w:eastAsia="zh-CN"/>
        </w:rPr>
        <w:t>经过不断实践，挥发性有机物排放控制标准体系进一步发展完善。一是</w:t>
      </w:r>
      <w:r>
        <w:rPr>
          <w:rFonts w:hint="eastAsia"/>
          <w:color w:val="auto"/>
          <w:highlight w:val="none"/>
        </w:rPr>
        <w:t>在VOCs原辅材料含量限值方面，发布了胶黏剂、油墨、清洗剂、木器涂料、车辆涂料等5项含量限值标准以及低挥发性有机物含量涂料产品技术要求</w:t>
      </w:r>
      <w:r>
        <w:rPr>
          <w:rFonts w:hint="eastAsia"/>
          <w:color w:val="auto"/>
          <w:highlight w:val="none"/>
          <w:lang w:eastAsia="zh-CN"/>
        </w:rPr>
        <w:t>，</w:t>
      </w:r>
      <w:r>
        <w:rPr>
          <w:rFonts w:hint="eastAsia"/>
          <w:color w:val="auto"/>
          <w:highlight w:val="none"/>
          <w:lang w:val="en-US" w:eastAsia="zh-CN"/>
        </w:rPr>
        <w:t>对挥发性有机物原辅料控制要求得到了发展完善。二是</w:t>
      </w:r>
      <w:r>
        <w:rPr>
          <w:rFonts w:hint="eastAsia"/>
          <w:color w:val="auto"/>
          <w:highlight w:val="none"/>
        </w:rPr>
        <w:t>构建</w:t>
      </w:r>
      <w:r>
        <w:rPr>
          <w:rFonts w:hint="eastAsia"/>
          <w:color w:val="auto"/>
          <w:highlight w:val="none"/>
          <w:lang w:val="en-US" w:eastAsia="zh-CN"/>
        </w:rPr>
        <w:t>了</w:t>
      </w:r>
      <w:r>
        <w:rPr>
          <w:rFonts w:hint="eastAsia"/>
          <w:color w:val="auto"/>
          <w:highlight w:val="none"/>
        </w:rPr>
        <w:t>1+N的国家VOCs排放控制标准体系，</w:t>
      </w:r>
      <w:r>
        <w:rPr>
          <w:rFonts w:hint="eastAsia"/>
          <w:color w:val="auto"/>
          <w:highlight w:val="none"/>
          <w:lang w:val="en-US" w:eastAsia="zh-CN"/>
        </w:rPr>
        <w:t>发布了12项大气污染物排放控制标准，涵盖挥发性有机物的生产、输送、转运、</w:t>
      </w:r>
      <w:r>
        <w:rPr>
          <w:rFonts w:hint="eastAsia"/>
          <w:color w:val="auto"/>
          <w:highlight w:val="none"/>
        </w:rPr>
        <w:t>使用</w:t>
      </w:r>
      <w:r>
        <w:rPr>
          <w:rFonts w:hint="eastAsia"/>
          <w:color w:val="auto"/>
          <w:highlight w:val="none"/>
          <w:lang w:val="en-US" w:eastAsia="zh-CN"/>
        </w:rPr>
        <w:t>等</w:t>
      </w:r>
      <w:r>
        <w:rPr>
          <w:rFonts w:hint="eastAsia"/>
          <w:color w:val="auto"/>
          <w:highlight w:val="none"/>
        </w:rPr>
        <w:t>全流程控制</w:t>
      </w:r>
      <w:r>
        <w:rPr>
          <w:rFonts w:hint="eastAsia"/>
          <w:color w:val="auto"/>
          <w:highlight w:val="none"/>
          <w:lang w:val="en-US" w:eastAsia="zh-CN"/>
        </w:rPr>
        <w:t>要求，下一步将进一步完善工业涂装等挥发性有机溶剂使用行业控制要求</w:t>
      </w:r>
      <w:r>
        <w:rPr>
          <w:rFonts w:hint="eastAsia"/>
          <w:color w:val="auto"/>
          <w:highlight w:val="none"/>
        </w:rPr>
        <w:t>。</w:t>
      </w:r>
    </w:p>
    <w:p w14:paraId="518967AF">
      <w:pPr>
        <w:shd w:val="clear"/>
        <w:rPr>
          <w:rFonts w:hint="eastAsia"/>
          <w:color w:val="auto"/>
          <w:highlight w:val="none"/>
        </w:rPr>
      </w:pPr>
      <w:r>
        <w:rPr>
          <w:rFonts w:hint="eastAsia"/>
          <w:color w:val="auto"/>
          <w:highlight w:val="none"/>
          <w:lang w:val="en-US" w:eastAsia="zh-CN"/>
        </w:rPr>
        <w:t>与此同时，</w:t>
      </w:r>
      <w:r>
        <w:rPr>
          <w:rFonts w:hint="eastAsia"/>
          <w:color w:val="auto"/>
          <w:highlight w:val="none"/>
        </w:rPr>
        <w:t>我国各省市和重点区域也针对挥发性有机物的排放控制，发布了地方排放标准，细化和加严挥发性有机物的排放管控</w:t>
      </w:r>
      <w:r>
        <w:rPr>
          <w:rFonts w:hint="eastAsia"/>
          <w:color w:val="auto"/>
          <w:highlight w:val="none"/>
          <w:lang w:val="en-US" w:eastAsia="zh-CN"/>
        </w:rPr>
        <w:t>要求</w:t>
      </w:r>
      <w:r>
        <w:rPr>
          <w:rFonts w:hint="eastAsia"/>
          <w:color w:val="auto"/>
          <w:highlight w:val="none"/>
        </w:rPr>
        <w:t>。</w:t>
      </w:r>
      <w:r>
        <w:rPr>
          <w:rFonts w:hint="eastAsia"/>
          <w:color w:val="auto"/>
          <w:highlight w:val="none"/>
          <w:lang w:val="en-US" w:eastAsia="zh-CN"/>
        </w:rPr>
        <w:t>目前，</w:t>
      </w:r>
      <w:r>
        <w:rPr>
          <w:rFonts w:hint="eastAsia"/>
          <w:color w:val="auto"/>
          <w:highlight w:val="none"/>
          <w:lang w:eastAsia="zh-CN"/>
        </w:rPr>
        <w:t>全国已有</w:t>
      </w:r>
      <w:r>
        <w:rPr>
          <w:rFonts w:hint="eastAsia"/>
          <w:color w:val="auto"/>
          <w:highlight w:val="none"/>
          <w:lang w:val="en-US" w:eastAsia="zh-CN"/>
        </w:rPr>
        <w:t>26个省级行政区</w:t>
      </w:r>
      <w:r>
        <w:rPr>
          <w:rFonts w:hint="eastAsia"/>
          <w:color w:val="auto"/>
          <w:highlight w:val="none"/>
        </w:rPr>
        <w:t>发布了</w:t>
      </w:r>
      <w:r>
        <w:rPr>
          <w:rFonts w:hint="eastAsia"/>
          <w:color w:val="auto"/>
          <w:highlight w:val="none"/>
          <w:lang w:val="en-US" w:eastAsia="zh-CN"/>
        </w:rPr>
        <w:t>99项涉及</w:t>
      </w:r>
      <w:r>
        <w:rPr>
          <w:rFonts w:hint="eastAsia"/>
          <w:color w:val="auto"/>
          <w:highlight w:val="none"/>
          <w:lang w:eastAsia="zh-CN"/>
        </w:rPr>
        <w:t>挥发性有机物排放控制的</w:t>
      </w:r>
      <w:r>
        <w:rPr>
          <w:rFonts w:hint="eastAsia"/>
          <w:color w:val="auto"/>
          <w:highlight w:val="none"/>
        </w:rPr>
        <w:t>地方标准</w:t>
      </w:r>
      <w:r>
        <w:rPr>
          <w:rFonts w:hint="eastAsia"/>
          <w:color w:val="auto"/>
          <w:highlight w:val="none"/>
          <w:lang w:eastAsia="zh-CN"/>
        </w:rPr>
        <w:t>，</w:t>
      </w:r>
      <w:r>
        <w:rPr>
          <w:rFonts w:hint="eastAsia"/>
          <w:color w:val="auto"/>
          <w:highlight w:val="none"/>
          <w:lang w:val="en-US" w:eastAsia="zh-CN"/>
        </w:rPr>
        <w:t>构建了以行业标准为主，通用标准和综合标准共同支撑的地方挥发性有机物排放标准体系。</w:t>
      </w:r>
      <w:r>
        <w:rPr>
          <w:rFonts w:hint="eastAsia"/>
          <w:color w:val="auto"/>
          <w:highlight w:val="none"/>
          <w:lang w:eastAsia="zh-CN"/>
        </w:rPr>
        <w:t>地方标准填补了国家大气污染物排放标准对于工业涂装工序</w:t>
      </w:r>
      <w:r>
        <w:rPr>
          <w:rFonts w:hint="eastAsia"/>
          <w:color w:val="auto"/>
          <w:highlight w:val="none"/>
          <w:lang w:val="en-US" w:eastAsia="zh-CN"/>
        </w:rPr>
        <w:t>的</w:t>
      </w:r>
      <w:r>
        <w:rPr>
          <w:rFonts w:hint="eastAsia"/>
          <w:color w:val="auto"/>
          <w:highlight w:val="none"/>
          <w:lang w:eastAsia="zh-CN"/>
        </w:rPr>
        <w:t>挥发性有机物排放控制要求，湖南省作为金属制品和工业设备制造大省，有必要出台相应的地方大气污染物排放标准，为加强对</w:t>
      </w:r>
      <w:r>
        <w:rPr>
          <w:rFonts w:hint="eastAsia"/>
          <w:color w:val="auto"/>
          <w:highlight w:val="none"/>
          <w:lang w:val="en-US" w:eastAsia="zh-CN"/>
        </w:rPr>
        <w:t>有机溶剂使用行业</w:t>
      </w:r>
      <w:r>
        <w:rPr>
          <w:rFonts w:hint="eastAsia"/>
          <w:color w:val="auto"/>
          <w:highlight w:val="none"/>
          <w:lang w:eastAsia="zh-CN"/>
        </w:rPr>
        <w:t>等挥发性有机物的排放控制提供支撑</w:t>
      </w:r>
      <w:r>
        <w:rPr>
          <w:rFonts w:hint="eastAsia"/>
          <w:color w:val="auto"/>
          <w:highlight w:val="none"/>
        </w:rPr>
        <w:t>。</w:t>
      </w:r>
    </w:p>
    <w:p w14:paraId="49813A41">
      <w:pPr>
        <w:pStyle w:val="3"/>
        <w:shd w:val="clear"/>
        <w:bidi w:val="0"/>
        <w:rPr>
          <w:color w:val="auto"/>
          <w:highlight w:val="none"/>
        </w:rPr>
      </w:pPr>
      <w:bookmarkStart w:id="71" w:name="_Toc18838"/>
      <w:bookmarkStart w:id="72" w:name="_Toc11431"/>
      <w:bookmarkStart w:id="73" w:name="_Toc14942"/>
      <w:bookmarkStart w:id="74" w:name="_Toc12611"/>
      <w:bookmarkStart w:id="75" w:name="_Toc17961"/>
      <w:bookmarkStart w:id="76" w:name="_Toc14137"/>
      <w:r>
        <w:rPr>
          <w:rFonts w:hint="eastAsia"/>
          <w:color w:val="auto"/>
          <w:highlight w:val="none"/>
        </w:rPr>
        <w:t>标准制定符合国家和湖南省标准化工作发展方向</w:t>
      </w:r>
      <w:bookmarkEnd w:id="71"/>
      <w:bookmarkEnd w:id="72"/>
      <w:bookmarkEnd w:id="73"/>
      <w:bookmarkEnd w:id="74"/>
      <w:bookmarkEnd w:id="75"/>
      <w:bookmarkEnd w:id="76"/>
    </w:p>
    <w:p w14:paraId="6B85B63A">
      <w:pPr>
        <w:shd w:val="clear"/>
        <w:ind w:firstLine="420"/>
        <w:rPr>
          <w:rFonts w:hint="eastAsia"/>
          <w:color w:val="auto"/>
          <w:highlight w:val="none"/>
        </w:rPr>
      </w:pPr>
      <w:r>
        <w:rPr>
          <w:rFonts w:hint="eastAsia"/>
          <w:color w:val="auto"/>
          <w:highlight w:val="none"/>
        </w:rPr>
        <w:t>《湖南省工业企业挥发性有机物排放标准》属于湖南省生态环境厅支持的“2024年地方标准制修订重点任务”，同时符合《国家标准化发展纲要》要求以及《湖南省人民政府办公厅关于贯彻落实〈国家标准化发展纲要〉的实施意见》（湘政办发〔2022〕38号）“7.持续优化生态系统建设和保护标准”中“制修订大气地方污染物排放标准”的重点支持方向。因此本标准的制定符合国家及湖南省标准化工作发展方向。</w:t>
      </w:r>
    </w:p>
    <w:p w14:paraId="7C559459">
      <w:pPr>
        <w:pStyle w:val="2"/>
        <w:shd w:val="clear"/>
        <w:bidi w:val="0"/>
        <w:ind w:left="432" w:leftChars="0" w:hanging="432" w:firstLineChars="0"/>
        <w:rPr>
          <w:color w:val="auto"/>
          <w:highlight w:val="none"/>
        </w:rPr>
      </w:pPr>
      <w:bookmarkStart w:id="77" w:name="_Toc25704"/>
      <w:bookmarkStart w:id="78" w:name="_Toc15336"/>
      <w:bookmarkStart w:id="79" w:name="_Toc5948"/>
      <w:bookmarkStart w:id="80" w:name="_Toc29236"/>
      <w:bookmarkStart w:id="81" w:name="_Toc830"/>
      <w:bookmarkStart w:id="82" w:name="_Toc5794"/>
      <w:r>
        <w:rPr>
          <w:rFonts w:hint="eastAsia"/>
          <w:color w:val="auto"/>
          <w:highlight w:val="none"/>
          <w:lang w:val="en-US" w:eastAsia="zh-CN"/>
        </w:rPr>
        <w:t>湖南省工业企业挥发性有机物排放</w:t>
      </w:r>
      <w:r>
        <w:rPr>
          <w:rFonts w:hint="eastAsia"/>
          <w:color w:val="auto"/>
          <w:highlight w:val="none"/>
          <w:lang w:eastAsia="zh-CN"/>
        </w:rPr>
        <w:t>现状及污染防治技术分析</w:t>
      </w:r>
      <w:bookmarkEnd w:id="77"/>
      <w:bookmarkEnd w:id="78"/>
      <w:bookmarkEnd w:id="79"/>
      <w:bookmarkEnd w:id="80"/>
      <w:bookmarkEnd w:id="81"/>
      <w:bookmarkEnd w:id="82"/>
    </w:p>
    <w:p w14:paraId="53615E39">
      <w:pPr>
        <w:pStyle w:val="3"/>
        <w:shd w:val="clear"/>
        <w:bidi w:val="0"/>
        <w:ind w:left="575" w:leftChars="0" w:hanging="575" w:firstLineChars="0"/>
        <w:rPr>
          <w:color w:val="auto"/>
          <w:highlight w:val="none"/>
        </w:rPr>
      </w:pPr>
      <w:bookmarkStart w:id="83" w:name="_Toc16449"/>
      <w:bookmarkStart w:id="84" w:name="_Toc17252"/>
      <w:bookmarkStart w:id="85" w:name="_Toc26164"/>
      <w:bookmarkStart w:id="86" w:name="_Toc13742"/>
      <w:bookmarkStart w:id="87" w:name="_Toc23763"/>
      <w:bookmarkStart w:id="88" w:name="_Toc31649"/>
      <w:r>
        <w:rPr>
          <w:rFonts w:hint="eastAsia"/>
          <w:color w:val="auto"/>
          <w:highlight w:val="none"/>
        </w:rPr>
        <w:t>行业产排污</w:t>
      </w:r>
      <w:r>
        <w:rPr>
          <w:rFonts w:hint="eastAsia"/>
          <w:color w:val="auto"/>
          <w:highlight w:val="none"/>
          <w:lang w:val="en-US" w:eastAsia="zh-CN"/>
        </w:rPr>
        <w:t>环节分析</w:t>
      </w:r>
      <w:bookmarkEnd w:id="83"/>
      <w:bookmarkEnd w:id="84"/>
      <w:bookmarkEnd w:id="85"/>
      <w:bookmarkEnd w:id="86"/>
      <w:bookmarkEnd w:id="87"/>
      <w:bookmarkEnd w:id="88"/>
    </w:p>
    <w:p w14:paraId="0DA255F0">
      <w:pPr>
        <w:pStyle w:val="4"/>
        <w:shd w:val="clear"/>
        <w:bidi w:val="0"/>
        <w:rPr>
          <w:color w:val="auto"/>
          <w:highlight w:val="none"/>
        </w:rPr>
      </w:pPr>
      <w:r>
        <w:rPr>
          <w:rFonts w:hint="eastAsia"/>
          <w:color w:val="auto"/>
          <w:highlight w:val="none"/>
          <w:lang w:val="en-US" w:eastAsia="zh-CN"/>
        </w:rPr>
        <w:t>工业涂装概述</w:t>
      </w:r>
    </w:p>
    <w:p w14:paraId="1DA2AA15">
      <w:pPr>
        <w:shd w:val="clear"/>
        <w:rPr>
          <w:rFonts w:hint="eastAsia"/>
          <w:color w:val="auto"/>
          <w:highlight w:val="none"/>
        </w:rPr>
      </w:pPr>
      <w:r>
        <w:rPr>
          <w:rFonts w:hint="eastAsia"/>
          <w:color w:val="auto"/>
          <w:highlight w:val="none"/>
          <w:lang w:val="en-US" w:eastAsia="zh-CN"/>
        </w:rPr>
        <w:t>工业涂装工序一般由涂装表面预处理、涂料涂覆、干燥（空气中干燥或烘干设备中烘干）三道基本工序组成。涂料涂覆是主要的挥发性有机物产生环节，通常的施工工序包括涂底漆、刮腻子、涂中间层、打磨、涂面漆和清漆，以及抛光上蜡、维护保养。所使用的涂料是由成膜物质（树脂或纤维素）、颜料、有机溶剂以及各类添加剂所组成，加上涂装前的清洗脱脂、稀释剂的调配、涂装后设备的清洗等步骤都需要使用有机溶剂。一般溶剂型涂料中有机溶剂的质量分数为40%～80%。</w:t>
      </w:r>
      <w:r>
        <w:rPr>
          <w:rFonts w:hint="eastAsia"/>
          <w:color w:val="auto"/>
          <w:highlight w:val="none"/>
        </w:rPr>
        <w:t>工业涂装</w:t>
      </w:r>
      <w:r>
        <w:rPr>
          <w:rFonts w:hint="eastAsia"/>
          <w:color w:val="auto"/>
          <w:highlight w:val="none"/>
          <w:lang w:val="en-US" w:eastAsia="zh-CN"/>
        </w:rPr>
        <w:t>涂料成膜过程是溶剂全部挥发的成分，因此废气来自涂料成膜过程，主要是喷漆室、流平室和烘干室。其排出气体中的有害物质是苯类、酯类、酮类、醇类、醚类、溶剂及胺类和醛类等。废气来源不同，其成分和含量均有差异。</w:t>
      </w:r>
    </w:p>
    <w:p w14:paraId="0BDEB5A7">
      <w:pPr>
        <w:pStyle w:val="4"/>
        <w:shd w:val="clear"/>
        <w:bidi w:val="0"/>
        <w:rPr>
          <w:color w:val="auto"/>
          <w:highlight w:val="none"/>
        </w:rPr>
      </w:pPr>
      <w:r>
        <w:rPr>
          <w:rFonts w:hint="eastAsia"/>
          <w:color w:val="auto"/>
          <w:highlight w:val="none"/>
          <w:lang w:val="en-US" w:eastAsia="zh-CN"/>
        </w:rPr>
        <w:t>木制品加工和家具制造</w:t>
      </w:r>
    </w:p>
    <w:p w14:paraId="74DF524F">
      <w:pPr>
        <w:shd w:val="clear"/>
        <w:rPr>
          <w:rFonts w:hint="default"/>
          <w:color w:val="auto"/>
          <w:highlight w:val="none"/>
          <w:lang w:val="en-US" w:eastAsia="zh-CN"/>
        </w:rPr>
      </w:pPr>
      <w:r>
        <w:rPr>
          <w:rFonts w:hint="eastAsia"/>
          <w:color w:val="auto"/>
          <w:highlight w:val="none"/>
          <w:lang w:val="en-US" w:eastAsia="zh-CN"/>
        </w:rPr>
        <w:t>家具制造行业是用木材、金属、竹、藤等材料制作的，具有坐卧、凭倚、储藏、间隔等功能的各种家具制造的工业包括木质家具制造、竹藤家具制造、金属家具制造和其他家具制造。家具制造业VOCs排放主要来自涂料、稀释剂、固化剂、胶粘剂、清洗剂等含VOCs原辅材料的储存、调配、转移输送，以及施胶（拼接、封边、贴皮等）、发泡、涂饰、流平、干燥、清洗等工序和含VOCs危险废物的贮存。家具制造行业主要生产单元、生产设施、废气产污环节、污染物种类和常见污染防治技术见</w:t>
      </w:r>
      <w:r>
        <w:rPr>
          <w:rFonts w:hint="eastAsia"/>
          <w:color w:val="auto"/>
          <w:highlight w:val="none"/>
          <w:lang w:val="en-US" w:eastAsia="zh-CN"/>
        </w:rPr>
        <w:fldChar w:fldCharType="begin"/>
      </w:r>
      <w:r>
        <w:rPr>
          <w:rFonts w:hint="eastAsia"/>
          <w:color w:val="auto"/>
          <w:highlight w:val="none"/>
          <w:lang w:val="en-US" w:eastAsia="zh-CN"/>
        </w:rPr>
        <w:instrText xml:space="preserve"> REF _Ref32449 \h </w:instrText>
      </w:r>
      <w:r>
        <w:rPr>
          <w:rFonts w:hint="eastAsia"/>
          <w:color w:val="auto"/>
          <w:highlight w:val="none"/>
          <w:lang w:val="en-US" w:eastAsia="zh-CN"/>
        </w:rPr>
        <w:fldChar w:fldCharType="separate"/>
      </w:r>
      <w:r>
        <w:rPr>
          <w:rFonts w:ascii="Times New Roman" w:hAnsi="Times New Roman" w:cs="Times New Roman"/>
        </w:rPr>
        <w:t>表2</w:t>
      </w:r>
      <w:r>
        <w:rPr>
          <w:rFonts w:hint="eastAsia"/>
          <w:color w:val="auto"/>
          <w:highlight w:val="none"/>
          <w:lang w:val="en-US" w:eastAsia="zh-CN"/>
        </w:rPr>
        <w:fldChar w:fldCharType="end"/>
      </w:r>
      <w:r>
        <w:rPr>
          <w:rFonts w:hint="eastAsia"/>
          <w:color w:val="auto"/>
          <w:highlight w:val="none"/>
          <w:lang w:val="en-US" w:eastAsia="zh-CN"/>
        </w:rPr>
        <w:t>。</w:t>
      </w:r>
    </w:p>
    <w:p w14:paraId="21BC8BBD">
      <w:pPr>
        <w:pStyle w:val="129"/>
        <w:shd w:val="clear"/>
        <w:bidi w:val="0"/>
        <w:outlineLvl w:val="4"/>
        <w:rPr>
          <w:rFonts w:hint="default"/>
          <w:lang w:val="en-US" w:eastAsia="zh-CN"/>
        </w:rPr>
      </w:pPr>
      <w:bookmarkStart w:id="89" w:name="_Ref32449"/>
      <w:r>
        <w:t>表</w:t>
      </w:r>
      <w:r>
        <w:fldChar w:fldCharType="begin"/>
      </w:r>
      <w:r>
        <w:instrText xml:space="preserve"> SEQ 表 \* ARABIC </w:instrText>
      </w:r>
      <w:r>
        <w:fldChar w:fldCharType="separate"/>
      </w:r>
      <w:r>
        <w:rPr>
          <w:rFonts w:ascii="Times New Roman" w:hAnsi="Times New Roman" w:cs="Times New Roman"/>
        </w:rPr>
        <w:t>2</w:t>
      </w:r>
      <w:r>
        <w:fldChar w:fldCharType="end"/>
      </w:r>
      <w:bookmarkEnd w:id="89"/>
      <w:r>
        <w:rPr>
          <w:rFonts w:hint="default"/>
          <w:lang w:val="en-US" w:eastAsia="zh-CN"/>
        </w:rPr>
        <w:t xml:space="preserve"> 家具制造业挥发性有机物产排污环节和治理技术</w:t>
      </w:r>
    </w:p>
    <w:tbl>
      <w:tblPr>
        <w:tblStyle w:val="132"/>
        <w:tblW w:w="529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99"/>
        <w:gridCol w:w="874"/>
        <w:gridCol w:w="2065"/>
        <w:gridCol w:w="1228"/>
        <w:gridCol w:w="1354"/>
        <w:gridCol w:w="868"/>
        <w:gridCol w:w="2102"/>
      </w:tblGrid>
      <w:tr w14:paraId="591B3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blHeader/>
          <w:jc w:val="center"/>
        </w:trPr>
        <w:tc>
          <w:tcPr>
            <w:tcW w:w="663" w:type="pct"/>
            <w:tcBorders>
              <w:top w:val="single" w:color="000000" w:sz="12" w:space="0"/>
              <w:left w:val="single" w:color="000000" w:sz="12" w:space="0"/>
              <w:bottom w:val="single" w:color="000000" w:sz="4" w:space="0"/>
              <w:tl2br w:val="nil"/>
            </w:tcBorders>
            <w:shd w:val="clear" w:color="auto" w:fill="FFFFFF"/>
            <w:tcMar>
              <w:top w:w="0" w:type="dxa"/>
              <w:left w:w="113" w:type="dxa"/>
              <w:bottom w:w="0" w:type="dxa"/>
              <w:right w:w="113" w:type="dxa"/>
            </w:tcMar>
            <w:vAlign w:val="center"/>
          </w:tcPr>
          <w:p w14:paraId="189F89BE">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leftChars="0" w:firstLine="0" w:firstLineChars="0"/>
              <w:textAlignment w:val="baseline"/>
              <w:rPr>
                <w:rFonts w:ascii="宋体" w:hAnsi="宋体" w:eastAsia="宋体" w:cs="宋体"/>
                <w:b w:val="0"/>
                <w:snapToGrid w:val="0"/>
                <w:color w:val="auto"/>
                <w:kern w:val="0"/>
                <w:sz w:val="18"/>
                <w:szCs w:val="18"/>
                <w:highlight w:val="none"/>
                <w:lang w:val="en-US" w:eastAsia="en-US" w:bidi="ar-SA"/>
              </w:rPr>
            </w:pPr>
            <w:r>
              <w:rPr>
                <w:b w:val="0"/>
                <w:bCs/>
                <w:color w:val="auto"/>
                <w:sz w:val="18"/>
                <w:szCs w:val="18"/>
                <w:highlight w:val="none"/>
              </w:rPr>
              <w:t>行业类别</w:t>
            </w:r>
          </w:p>
        </w:tc>
        <w:tc>
          <w:tcPr>
            <w:tcW w:w="446" w:type="pct"/>
            <w:tcBorders>
              <w:top w:val="single" w:color="000000" w:sz="12" w:space="0"/>
              <w:bottom w:val="single" w:color="000000" w:sz="4" w:space="0"/>
            </w:tcBorders>
            <w:shd w:val="clear" w:color="auto" w:fill="FFFFFF"/>
            <w:tcMar>
              <w:top w:w="0" w:type="dxa"/>
              <w:left w:w="113" w:type="dxa"/>
              <w:bottom w:w="0" w:type="dxa"/>
              <w:right w:w="113" w:type="dxa"/>
            </w:tcMar>
            <w:vAlign w:val="center"/>
          </w:tcPr>
          <w:p w14:paraId="72FD8E81">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leftChars="0" w:firstLine="0" w:firstLineChars="0"/>
              <w:textAlignment w:val="baseline"/>
              <w:rPr>
                <w:rFonts w:ascii="宋体" w:hAnsi="宋体" w:eastAsia="宋体" w:cs="宋体"/>
                <w:b w:val="0"/>
                <w:snapToGrid w:val="0"/>
                <w:color w:val="auto"/>
                <w:kern w:val="0"/>
                <w:sz w:val="18"/>
                <w:szCs w:val="18"/>
                <w:highlight w:val="none"/>
                <w:lang w:val="en-US" w:eastAsia="en-US" w:bidi="ar-SA"/>
              </w:rPr>
            </w:pPr>
            <w:r>
              <w:rPr>
                <w:b w:val="0"/>
                <w:bCs/>
                <w:color w:val="auto"/>
                <w:spacing w:val="-5"/>
                <w:sz w:val="18"/>
                <w:szCs w:val="18"/>
                <w:highlight w:val="none"/>
              </w:rPr>
              <w:t>生产单元</w:t>
            </w:r>
          </w:p>
        </w:tc>
        <w:tc>
          <w:tcPr>
            <w:tcW w:w="1054" w:type="pct"/>
            <w:tcBorders>
              <w:top w:val="single" w:color="000000" w:sz="12" w:space="0"/>
            </w:tcBorders>
            <w:shd w:val="clear" w:color="auto" w:fill="FFFFFF"/>
            <w:tcMar>
              <w:top w:w="0" w:type="dxa"/>
              <w:left w:w="113" w:type="dxa"/>
              <w:bottom w:w="0" w:type="dxa"/>
              <w:right w:w="113" w:type="dxa"/>
            </w:tcMar>
            <w:vAlign w:val="center"/>
          </w:tcPr>
          <w:p w14:paraId="0F7C18C3">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leftChars="0" w:firstLine="0" w:firstLineChars="0"/>
              <w:textAlignment w:val="baseline"/>
              <w:rPr>
                <w:rFonts w:ascii="宋体" w:hAnsi="宋体" w:eastAsia="宋体" w:cs="宋体"/>
                <w:b w:val="0"/>
                <w:snapToGrid w:val="0"/>
                <w:color w:val="auto"/>
                <w:kern w:val="0"/>
                <w:sz w:val="18"/>
                <w:szCs w:val="18"/>
                <w:highlight w:val="none"/>
                <w:lang w:val="en-US" w:eastAsia="en-US" w:bidi="ar-SA"/>
              </w:rPr>
            </w:pPr>
            <w:r>
              <w:rPr>
                <w:b w:val="0"/>
                <w:bCs/>
                <w:color w:val="auto"/>
                <w:spacing w:val="-5"/>
                <w:sz w:val="18"/>
                <w:szCs w:val="18"/>
                <w:highlight w:val="none"/>
              </w:rPr>
              <w:t>生产设施</w:t>
            </w:r>
          </w:p>
        </w:tc>
        <w:tc>
          <w:tcPr>
            <w:tcW w:w="627" w:type="pct"/>
            <w:tcBorders>
              <w:top w:val="single" w:color="000000" w:sz="12" w:space="0"/>
              <w:bottom w:val="single" w:color="000000" w:sz="4" w:space="0"/>
            </w:tcBorders>
            <w:shd w:val="clear" w:color="auto" w:fill="FFFFFF"/>
            <w:tcMar>
              <w:top w:w="0" w:type="dxa"/>
              <w:left w:w="113" w:type="dxa"/>
              <w:bottom w:w="0" w:type="dxa"/>
              <w:right w:w="113" w:type="dxa"/>
            </w:tcMar>
            <w:vAlign w:val="center"/>
          </w:tcPr>
          <w:p w14:paraId="739E22B9">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leftChars="0" w:firstLine="0" w:firstLineChars="0"/>
              <w:textAlignment w:val="baseline"/>
              <w:rPr>
                <w:rFonts w:ascii="宋体" w:hAnsi="宋体" w:eastAsia="宋体" w:cs="宋体"/>
                <w:b w:val="0"/>
                <w:snapToGrid w:val="0"/>
                <w:color w:val="auto"/>
                <w:kern w:val="0"/>
                <w:sz w:val="18"/>
                <w:szCs w:val="18"/>
                <w:highlight w:val="none"/>
                <w:lang w:val="en-US" w:eastAsia="en-US" w:bidi="ar-SA"/>
              </w:rPr>
            </w:pPr>
            <w:r>
              <w:rPr>
                <w:b w:val="0"/>
                <w:bCs/>
                <w:color w:val="auto"/>
                <w:spacing w:val="-4"/>
                <w:sz w:val="18"/>
                <w:szCs w:val="18"/>
                <w:highlight w:val="none"/>
              </w:rPr>
              <w:t>废气产污环节</w:t>
            </w:r>
          </w:p>
        </w:tc>
        <w:tc>
          <w:tcPr>
            <w:tcW w:w="691" w:type="pct"/>
            <w:tcBorders>
              <w:top w:val="single" w:color="000000" w:sz="12" w:space="0"/>
            </w:tcBorders>
            <w:shd w:val="clear" w:color="auto" w:fill="FFFFFF"/>
            <w:tcMar>
              <w:top w:w="0" w:type="dxa"/>
              <w:left w:w="113" w:type="dxa"/>
              <w:bottom w:w="0" w:type="dxa"/>
              <w:right w:w="113" w:type="dxa"/>
            </w:tcMar>
            <w:vAlign w:val="center"/>
          </w:tcPr>
          <w:p w14:paraId="0AF25C66">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leftChars="0" w:firstLine="0" w:firstLineChars="0"/>
              <w:textAlignment w:val="baseline"/>
              <w:rPr>
                <w:rFonts w:ascii="宋体" w:hAnsi="宋体" w:eastAsia="宋体" w:cs="宋体"/>
                <w:b w:val="0"/>
                <w:snapToGrid w:val="0"/>
                <w:color w:val="auto"/>
                <w:kern w:val="0"/>
                <w:sz w:val="18"/>
                <w:szCs w:val="18"/>
                <w:highlight w:val="none"/>
                <w:lang w:val="en-US" w:eastAsia="en-US" w:bidi="ar-SA"/>
              </w:rPr>
            </w:pPr>
            <w:r>
              <w:rPr>
                <w:b w:val="0"/>
                <w:bCs/>
                <w:color w:val="auto"/>
                <w:spacing w:val="-5"/>
                <w:sz w:val="18"/>
                <w:szCs w:val="18"/>
                <w:highlight w:val="none"/>
              </w:rPr>
              <w:t>污染物种类</w:t>
            </w:r>
          </w:p>
        </w:tc>
        <w:tc>
          <w:tcPr>
            <w:tcW w:w="443" w:type="pct"/>
            <w:tcBorders>
              <w:top w:val="single" w:color="000000" w:sz="12" w:space="0"/>
            </w:tcBorders>
            <w:shd w:val="clear" w:color="auto" w:fill="FFFFFF"/>
            <w:tcMar>
              <w:top w:w="0" w:type="dxa"/>
              <w:left w:w="113" w:type="dxa"/>
              <w:bottom w:w="0" w:type="dxa"/>
              <w:right w:w="113" w:type="dxa"/>
            </w:tcMar>
            <w:vAlign w:val="center"/>
          </w:tcPr>
          <w:p w14:paraId="57F5B02A">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leftChars="0" w:firstLine="0" w:firstLineChars="0"/>
              <w:textAlignment w:val="baseline"/>
              <w:rPr>
                <w:rFonts w:ascii="宋体" w:hAnsi="宋体" w:eastAsia="宋体" w:cs="宋体"/>
                <w:b w:val="0"/>
                <w:snapToGrid w:val="0"/>
                <w:color w:val="auto"/>
                <w:kern w:val="0"/>
                <w:sz w:val="18"/>
                <w:szCs w:val="18"/>
                <w:highlight w:val="none"/>
                <w:lang w:val="en-US" w:eastAsia="en-US" w:bidi="ar-SA"/>
              </w:rPr>
            </w:pPr>
            <w:r>
              <w:rPr>
                <w:b w:val="0"/>
                <w:bCs/>
                <w:color w:val="auto"/>
                <w:spacing w:val="-5"/>
                <w:sz w:val="18"/>
                <w:szCs w:val="18"/>
                <w:highlight w:val="none"/>
              </w:rPr>
              <w:t>排放形式</w:t>
            </w:r>
          </w:p>
        </w:tc>
        <w:tc>
          <w:tcPr>
            <w:tcW w:w="1073" w:type="pct"/>
            <w:tcBorders>
              <w:top w:val="single" w:color="000000" w:sz="12" w:space="0"/>
              <w:right w:val="single" w:color="000000" w:sz="12" w:space="0"/>
            </w:tcBorders>
            <w:shd w:val="clear" w:color="auto" w:fill="FFFFFF"/>
            <w:tcMar>
              <w:top w:w="0" w:type="dxa"/>
              <w:left w:w="113" w:type="dxa"/>
              <w:bottom w:w="0" w:type="dxa"/>
              <w:right w:w="113" w:type="dxa"/>
            </w:tcMar>
            <w:vAlign w:val="center"/>
          </w:tcPr>
          <w:p w14:paraId="23A47A9A">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right="279" w:firstLine="0" w:firstLineChars="0"/>
              <w:textAlignment w:val="baseline"/>
              <w:rPr>
                <w:b w:val="0"/>
                <w:bCs/>
                <w:color w:val="auto"/>
                <w:spacing w:val="-5"/>
                <w:sz w:val="18"/>
                <w:szCs w:val="18"/>
                <w:highlight w:val="none"/>
              </w:rPr>
            </w:pPr>
            <w:r>
              <w:rPr>
                <w:b w:val="0"/>
                <w:bCs/>
                <w:color w:val="auto"/>
                <w:spacing w:val="-5"/>
                <w:sz w:val="18"/>
                <w:szCs w:val="18"/>
                <w:highlight w:val="none"/>
              </w:rPr>
              <w:t>污染防治设施名称及工艺</w:t>
            </w:r>
          </w:p>
        </w:tc>
      </w:tr>
      <w:tr w14:paraId="4B3EE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63" w:type="pct"/>
            <w:vMerge w:val="restart"/>
            <w:tcBorders>
              <w:top w:val="single" w:color="000000" w:sz="4" w:space="0"/>
              <w:left w:val="single" w:color="000000" w:sz="12" w:space="0"/>
            </w:tcBorders>
            <w:shd w:val="clear" w:color="auto" w:fill="FFFFFF"/>
            <w:tcMar>
              <w:top w:w="0" w:type="dxa"/>
              <w:left w:w="113" w:type="dxa"/>
              <w:bottom w:w="0" w:type="dxa"/>
              <w:right w:w="113" w:type="dxa"/>
            </w:tcMar>
            <w:vAlign w:val="center"/>
          </w:tcPr>
          <w:p w14:paraId="0983106F">
            <w:pPr>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rFonts w:ascii="Arial"/>
                <w:b w:val="0"/>
                <w:color w:val="auto"/>
                <w:sz w:val="18"/>
                <w:szCs w:val="18"/>
                <w:highlight w:val="none"/>
              </w:rPr>
            </w:pPr>
            <w:r>
              <w:rPr>
                <w:b w:val="0"/>
                <w:color w:val="auto"/>
                <w:spacing w:val="25"/>
                <w:sz w:val="18"/>
                <w:szCs w:val="18"/>
                <w:highlight w:val="none"/>
              </w:rPr>
              <w:t>木质家具、竹藤家具、其他家具、</w:t>
            </w:r>
            <w:r>
              <w:rPr>
                <w:b w:val="0"/>
                <w:color w:val="auto"/>
                <w:spacing w:val="3"/>
                <w:sz w:val="18"/>
                <w:szCs w:val="18"/>
                <w:highlight w:val="none"/>
              </w:rPr>
              <w:t>木门窗、定</w:t>
            </w:r>
            <w:r>
              <w:rPr>
                <w:b w:val="0"/>
                <w:color w:val="auto"/>
                <w:spacing w:val="2"/>
                <w:sz w:val="18"/>
                <w:szCs w:val="18"/>
                <w:highlight w:val="none"/>
              </w:rPr>
              <w:t>制家具、木</w:t>
            </w:r>
            <w:r>
              <w:rPr>
                <w:b w:val="0"/>
                <w:color w:val="auto"/>
                <w:spacing w:val="-9"/>
                <w:sz w:val="18"/>
                <w:szCs w:val="18"/>
                <w:highlight w:val="none"/>
              </w:rPr>
              <w:t>玩具及有</w:t>
            </w:r>
            <w:r>
              <w:rPr>
                <w:b w:val="0"/>
                <w:color w:val="auto"/>
                <w:spacing w:val="-11"/>
                <w:sz w:val="18"/>
                <w:szCs w:val="18"/>
                <w:highlight w:val="none"/>
              </w:rPr>
              <w:t>喷漆工艺</w:t>
            </w:r>
            <w:r>
              <w:rPr>
                <w:b w:val="0"/>
                <w:color w:val="auto"/>
                <w:spacing w:val="6"/>
                <w:sz w:val="18"/>
                <w:szCs w:val="18"/>
                <w:highlight w:val="none"/>
              </w:rPr>
              <w:t>的木质、竹</w:t>
            </w:r>
            <w:r>
              <w:rPr>
                <w:b w:val="0"/>
                <w:color w:val="auto"/>
                <w:spacing w:val="-14"/>
                <w:sz w:val="18"/>
                <w:szCs w:val="18"/>
                <w:highlight w:val="none"/>
              </w:rPr>
              <w:t>质工艺品</w:t>
            </w:r>
            <w:r>
              <w:rPr>
                <w:b w:val="0"/>
                <w:color w:val="auto"/>
                <w:spacing w:val="-8"/>
                <w:sz w:val="18"/>
                <w:szCs w:val="18"/>
                <w:highlight w:val="none"/>
              </w:rPr>
              <w:t>制造排污</w:t>
            </w:r>
            <w:r>
              <w:rPr>
                <w:b w:val="0"/>
                <w:color w:val="auto"/>
                <w:spacing w:val="4"/>
                <w:sz w:val="18"/>
                <w:szCs w:val="18"/>
                <w:highlight w:val="none"/>
              </w:rPr>
              <w:t>单位</w:t>
            </w:r>
          </w:p>
        </w:tc>
        <w:tc>
          <w:tcPr>
            <w:tcW w:w="446" w:type="pct"/>
            <w:tcBorders>
              <w:top w:val="single" w:color="000000" w:sz="4" w:space="0"/>
            </w:tcBorders>
            <w:shd w:val="clear" w:color="auto" w:fill="FFFFFF"/>
            <w:tcMar>
              <w:top w:w="0" w:type="dxa"/>
              <w:left w:w="113" w:type="dxa"/>
              <w:bottom w:w="0" w:type="dxa"/>
              <w:right w:w="113" w:type="dxa"/>
            </w:tcMar>
            <w:vAlign w:val="center"/>
          </w:tcPr>
          <w:p w14:paraId="7506FE01">
            <w:pPr>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rFonts w:ascii="Arial"/>
                <w:b w:val="0"/>
                <w:color w:val="auto"/>
                <w:sz w:val="18"/>
                <w:szCs w:val="18"/>
                <w:highlight w:val="none"/>
              </w:rPr>
            </w:pPr>
            <w:r>
              <w:rPr>
                <w:b w:val="0"/>
                <w:color w:val="auto"/>
                <w:spacing w:val="6"/>
                <w:sz w:val="18"/>
                <w:szCs w:val="18"/>
                <w:highlight w:val="none"/>
              </w:rPr>
              <w:t>木工车间</w:t>
            </w:r>
          </w:p>
        </w:tc>
        <w:tc>
          <w:tcPr>
            <w:tcW w:w="1054" w:type="pct"/>
            <w:shd w:val="clear" w:color="auto" w:fill="FFFFFF"/>
            <w:tcMar>
              <w:top w:w="0" w:type="dxa"/>
              <w:left w:w="113" w:type="dxa"/>
              <w:bottom w:w="0" w:type="dxa"/>
              <w:right w:w="113" w:type="dxa"/>
            </w:tcMar>
            <w:vAlign w:val="center"/>
          </w:tcPr>
          <w:p w14:paraId="501F4474">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right="114" w:firstLine="0" w:firstLineChars="0"/>
              <w:textAlignment w:val="baseline"/>
              <w:rPr>
                <w:b w:val="0"/>
                <w:color w:val="auto"/>
                <w:spacing w:val="-1"/>
                <w:sz w:val="18"/>
                <w:szCs w:val="18"/>
                <w:highlight w:val="none"/>
              </w:rPr>
            </w:pPr>
            <w:r>
              <w:rPr>
                <w:b w:val="0"/>
                <w:color w:val="auto"/>
                <w:spacing w:val="-1"/>
                <w:sz w:val="18"/>
                <w:szCs w:val="18"/>
                <w:highlight w:val="none"/>
              </w:rPr>
              <w:t>封边机、指接机、拼板机、其</w:t>
            </w:r>
            <w:r>
              <w:rPr>
                <w:b w:val="0"/>
                <w:color w:val="auto"/>
                <w:sz w:val="18"/>
                <w:szCs w:val="18"/>
                <w:highlight w:val="none"/>
              </w:rPr>
              <w:t>他</w:t>
            </w:r>
          </w:p>
        </w:tc>
        <w:tc>
          <w:tcPr>
            <w:tcW w:w="627" w:type="pct"/>
            <w:tcBorders>
              <w:top w:val="single" w:color="000000" w:sz="4" w:space="0"/>
            </w:tcBorders>
            <w:shd w:val="clear" w:color="auto" w:fill="FFFFFF"/>
            <w:tcMar>
              <w:top w:w="0" w:type="dxa"/>
              <w:left w:w="113" w:type="dxa"/>
              <w:bottom w:w="0" w:type="dxa"/>
              <w:right w:w="113" w:type="dxa"/>
            </w:tcMar>
            <w:vAlign w:val="center"/>
          </w:tcPr>
          <w:p w14:paraId="4953AA45">
            <w:pPr>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rFonts w:ascii="Arial"/>
                <w:b w:val="0"/>
                <w:color w:val="auto"/>
                <w:sz w:val="18"/>
                <w:szCs w:val="18"/>
                <w:highlight w:val="none"/>
              </w:rPr>
            </w:pPr>
            <w:r>
              <w:rPr>
                <w:b w:val="0"/>
                <w:color w:val="auto"/>
                <w:spacing w:val="2"/>
                <w:sz w:val="18"/>
                <w:szCs w:val="18"/>
                <w:highlight w:val="none"/>
              </w:rPr>
              <w:t>木工车间废气</w:t>
            </w:r>
          </w:p>
        </w:tc>
        <w:tc>
          <w:tcPr>
            <w:tcW w:w="691" w:type="pct"/>
            <w:shd w:val="clear" w:color="auto" w:fill="FFFFFF"/>
            <w:tcMar>
              <w:top w:w="0" w:type="dxa"/>
              <w:left w:w="113" w:type="dxa"/>
              <w:bottom w:w="0" w:type="dxa"/>
              <w:right w:w="113" w:type="dxa"/>
            </w:tcMar>
            <w:vAlign w:val="center"/>
          </w:tcPr>
          <w:p w14:paraId="0CB636D7">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pacing w:val="-2"/>
                <w:sz w:val="18"/>
                <w:szCs w:val="18"/>
                <w:highlight w:val="none"/>
              </w:rPr>
            </w:pPr>
            <w:r>
              <w:rPr>
                <w:b w:val="0"/>
                <w:color w:val="auto"/>
                <w:spacing w:val="-2"/>
                <w:sz w:val="18"/>
                <w:szCs w:val="18"/>
                <w:highlight w:val="none"/>
              </w:rPr>
              <w:t>挥发性有机物</w:t>
            </w:r>
          </w:p>
        </w:tc>
        <w:tc>
          <w:tcPr>
            <w:tcW w:w="443" w:type="pct"/>
            <w:shd w:val="clear" w:color="auto" w:fill="FFFFFF"/>
            <w:tcMar>
              <w:top w:w="0" w:type="dxa"/>
              <w:left w:w="113" w:type="dxa"/>
              <w:bottom w:w="0" w:type="dxa"/>
              <w:right w:w="113" w:type="dxa"/>
            </w:tcMar>
            <w:vAlign w:val="center"/>
          </w:tcPr>
          <w:p w14:paraId="4B60475A">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pacing w:val="4"/>
                <w:sz w:val="18"/>
                <w:szCs w:val="18"/>
                <w:highlight w:val="none"/>
              </w:rPr>
            </w:pPr>
            <w:r>
              <w:rPr>
                <w:b w:val="0"/>
                <w:color w:val="auto"/>
                <w:spacing w:val="4"/>
                <w:sz w:val="18"/>
                <w:szCs w:val="18"/>
                <w:highlight w:val="none"/>
              </w:rPr>
              <w:t>有组织</w:t>
            </w:r>
            <w:r>
              <w:rPr>
                <w:rFonts w:hint="eastAsia"/>
                <w:b w:val="0"/>
                <w:color w:val="auto"/>
                <w:spacing w:val="4"/>
                <w:sz w:val="18"/>
                <w:szCs w:val="18"/>
                <w:highlight w:val="none"/>
                <w:lang w:eastAsia="zh-CN"/>
              </w:rPr>
              <w:t>、</w:t>
            </w:r>
            <w:r>
              <w:rPr>
                <w:b w:val="0"/>
                <w:color w:val="auto"/>
                <w:spacing w:val="4"/>
                <w:sz w:val="18"/>
                <w:szCs w:val="18"/>
                <w:highlight w:val="none"/>
              </w:rPr>
              <w:t>无组织</w:t>
            </w:r>
          </w:p>
        </w:tc>
        <w:tc>
          <w:tcPr>
            <w:tcW w:w="1073" w:type="pct"/>
            <w:tcBorders>
              <w:right w:val="single" w:color="000000" w:sz="12" w:space="0"/>
            </w:tcBorders>
            <w:shd w:val="clear" w:color="auto" w:fill="FFFFFF"/>
            <w:tcMar>
              <w:top w:w="0" w:type="dxa"/>
              <w:left w:w="113" w:type="dxa"/>
              <w:bottom w:w="0" w:type="dxa"/>
              <w:right w:w="113" w:type="dxa"/>
            </w:tcMar>
            <w:vAlign w:val="center"/>
          </w:tcPr>
          <w:p w14:paraId="7AAA4FE9">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pacing w:val="4"/>
                <w:sz w:val="18"/>
                <w:szCs w:val="18"/>
                <w:highlight w:val="none"/>
              </w:rPr>
            </w:pPr>
            <w:r>
              <w:rPr>
                <w:b w:val="0"/>
                <w:color w:val="auto"/>
                <w:spacing w:val="2"/>
                <w:sz w:val="18"/>
                <w:szCs w:val="18"/>
                <w:highlight w:val="none"/>
              </w:rPr>
              <w:t>活性炭吸附</w:t>
            </w:r>
            <w:r>
              <w:rPr>
                <w:rFonts w:hint="eastAsia"/>
                <w:b w:val="0"/>
                <w:color w:val="auto"/>
                <w:spacing w:val="2"/>
                <w:sz w:val="18"/>
                <w:szCs w:val="18"/>
                <w:highlight w:val="none"/>
                <w:lang w:eastAsia="zh-CN"/>
              </w:rPr>
              <w:t>、</w:t>
            </w:r>
            <w:r>
              <w:rPr>
                <w:b w:val="0"/>
                <w:color w:val="auto"/>
                <w:spacing w:val="1"/>
                <w:sz w:val="18"/>
                <w:szCs w:val="18"/>
                <w:highlight w:val="none"/>
              </w:rPr>
              <w:t>浓缩+燃烧/催化氧化</w:t>
            </w:r>
            <w:r>
              <w:rPr>
                <w:rFonts w:hint="eastAsia"/>
                <w:b w:val="0"/>
                <w:color w:val="auto"/>
                <w:spacing w:val="1"/>
                <w:sz w:val="18"/>
                <w:szCs w:val="18"/>
                <w:highlight w:val="none"/>
                <w:lang w:eastAsia="zh-CN"/>
              </w:rPr>
              <w:t>、</w:t>
            </w:r>
            <w:r>
              <w:rPr>
                <w:b w:val="0"/>
                <w:color w:val="auto"/>
                <w:spacing w:val="4"/>
                <w:sz w:val="18"/>
                <w:szCs w:val="18"/>
                <w:highlight w:val="none"/>
              </w:rPr>
              <w:t>其他</w:t>
            </w:r>
          </w:p>
        </w:tc>
      </w:tr>
      <w:tr w14:paraId="48963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63" w:type="pct"/>
            <w:vMerge w:val="continue"/>
            <w:tcBorders>
              <w:left w:val="single" w:color="000000" w:sz="12" w:space="0"/>
            </w:tcBorders>
            <w:shd w:val="clear" w:color="auto" w:fill="FFFFFF"/>
            <w:tcMar>
              <w:top w:w="0" w:type="dxa"/>
              <w:left w:w="113" w:type="dxa"/>
              <w:bottom w:w="0" w:type="dxa"/>
              <w:right w:w="113" w:type="dxa"/>
            </w:tcMar>
            <w:vAlign w:val="center"/>
          </w:tcPr>
          <w:p w14:paraId="30230EDA">
            <w:pPr>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rFonts w:ascii="Arial"/>
                <w:b w:val="0"/>
                <w:color w:val="auto"/>
                <w:sz w:val="18"/>
                <w:szCs w:val="18"/>
                <w:highlight w:val="none"/>
              </w:rPr>
            </w:pPr>
          </w:p>
        </w:tc>
        <w:tc>
          <w:tcPr>
            <w:tcW w:w="446" w:type="pct"/>
            <w:shd w:val="clear" w:color="auto" w:fill="FFFFFF"/>
            <w:tcMar>
              <w:top w:w="0" w:type="dxa"/>
              <w:left w:w="113" w:type="dxa"/>
              <w:bottom w:w="0" w:type="dxa"/>
              <w:right w:w="113" w:type="dxa"/>
            </w:tcMar>
            <w:vAlign w:val="center"/>
          </w:tcPr>
          <w:p w14:paraId="278BC005">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z w:val="18"/>
                <w:szCs w:val="18"/>
                <w:highlight w:val="none"/>
              </w:rPr>
            </w:pPr>
            <w:r>
              <w:rPr>
                <w:b w:val="0"/>
                <w:color w:val="auto"/>
                <w:spacing w:val="6"/>
                <w:sz w:val="18"/>
                <w:szCs w:val="18"/>
                <w:highlight w:val="none"/>
              </w:rPr>
              <w:t>施胶车间</w:t>
            </w:r>
          </w:p>
        </w:tc>
        <w:tc>
          <w:tcPr>
            <w:tcW w:w="1054" w:type="pct"/>
            <w:shd w:val="clear" w:color="auto" w:fill="FFFFFF"/>
            <w:tcMar>
              <w:top w:w="0" w:type="dxa"/>
              <w:left w:w="113" w:type="dxa"/>
              <w:bottom w:w="0" w:type="dxa"/>
              <w:right w:w="113" w:type="dxa"/>
            </w:tcMar>
            <w:vAlign w:val="center"/>
          </w:tcPr>
          <w:p w14:paraId="2FA7C88C">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right="94" w:firstLine="0" w:firstLineChars="0"/>
              <w:textAlignment w:val="baseline"/>
              <w:rPr>
                <w:b w:val="0"/>
                <w:color w:val="auto"/>
                <w:sz w:val="18"/>
                <w:szCs w:val="18"/>
                <w:highlight w:val="none"/>
              </w:rPr>
            </w:pPr>
            <w:r>
              <w:rPr>
                <w:b w:val="0"/>
                <w:color w:val="auto"/>
                <w:sz w:val="18"/>
                <w:szCs w:val="18"/>
                <w:highlight w:val="none"/>
              </w:rPr>
              <w:t>施胶房、施胶枪、辊胶机、水</w:t>
            </w:r>
            <w:r>
              <w:rPr>
                <w:b w:val="0"/>
                <w:color w:val="auto"/>
                <w:spacing w:val="1"/>
                <w:sz w:val="18"/>
                <w:szCs w:val="18"/>
                <w:highlight w:val="none"/>
              </w:rPr>
              <w:t>帘机、其他</w:t>
            </w:r>
          </w:p>
        </w:tc>
        <w:tc>
          <w:tcPr>
            <w:tcW w:w="627" w:type="pct"/>
            <w:shd w:val="clear" w:color="auto" w:fill="FFFFFF"/>
            <w:tcMar>
              <w:top w:w="0" w:type="dxa"/>
              <w:left w:w="113" w:type="dxa"/>
              <w:bottom w:w="0" w:type="dxa"/>
              <w:right w:w="113" w:type="dxa"/>
            </w:tcMar>
            <w:vAlign w:val="center"/>
          </w:tcPr>
          <w:p w14:paraId="518184E1">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z w:val="18"/>
                <w:szCs w:val="18"/>
                <w:highlight w:val="none"/>
              </w:rPr>
            </w:pPr>
            <w:r>
              <w:rPr>
                <w:b w:val="0"/>
                <w:color w:val="auto"/>
                <w:spacing w:val="4"/>
                <w:sz w:val="18"/>
                <w:szCs w:val="18"/>
                <w:highlight w:val="none"/>
              </w:rPr>
              <w:t>施胶废气</w:t>
            </w:r>
          </w:p>
        </w:tc>
        <w:tc>
          <w:tcPr>
            <w:tcW w:w="691" w:type="pct"/>
            <w:shd w:val="clear" w:color="auto" w:fill="FFFFFF"/>
            <w:tcMar>
              <w:top w:w="0" w:type="dxa"/>
              <w:left w:w="113" w:type="dxa"/>
              <w:bottom w:w="0" w:type="dxa"/>
              <w:right w:w="113" w:type="dxa"/>
            </w:tcMar>
            <w:vAlign w:val="center"/>
          </w:tcPr>
          <w:p w14:paraId="7A7DD9FF">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right="28" w:firstLine="0" w:firstLineChars="0"/>
              <w:jc w:val="both"/>
              <w:textAlignment w:val="baseline"/>
              <w:rPr>
                <w:b w:val="0"/>
                <w:color w:val="auto"/>
                <w:sz w:val="18"/>
                <w:szCs w:val="18"/>
                <w:highlight w:val="none"/>
              </w:rPr>
            </w:pPr>
            <w:r>
              <w:rPr>
                <w:b w:val="0"/>
                <w:color w:val="auto"/>
                <w:spacing w:val="15"/>
                <w:sz w:val="18"/>
                <w:szCs w:val="18"/>
                <w:highlight w:val="none"/>
              </w:rPr>
              <w:t>挥发性有机物a、</w:t>
            </w:r>
            <w:r>
              <w:rPr>
                <w:b w:val="0"/>
                <w:color w:val="auto"/>
                <w:spacing w:val="13"/>
                <w:sz w:val="18"/>
                <w:szCs w:val="18"/>
                <w:highlight w:val="none"/>
              </w:rPr>
              <w:t>苯、甲苯、二甲</w:t>
            </w:r>
            <w:r>
              <w:rPr>
                <w:b w:val="0"/>
                <w:color w:val="auto"/>
                <w:spacing w:val="10"/>
                <w:sz w:val="18"/>
                <w:szCs w:val="18"/>
                <w:highlight w:val="none"/>
              </w:rPr>
              <w:t>苯、甲醛</w:t>
            </w:r>
          </w:p>
        </w:tc>
        <w:tc>
          <w:tcPr>
            <w:tcW w:w="443" w:type="pct"/>
            <w:shd w:val="clear" w:color="auto" w:fill="FFFFFF"/>
            <w:tcMar>
              <w:top w:w="0" w:type="dxa"/>
              <w:left w:w="113" w:type="dxa"/>
              <w:bottom w:w="0" w:type="dxa"/>
              <w:right w:w="113" w:type="dxa"/>
            </w:tcMar>
            <w:vAlign w:val="center"/>
          </w:tcPr>
          <w:p w14:paraId="10ED0757">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z w:val="18"/>
                <w:szCs w:val="18"/>
                <w:highlight w:val="none"/>
              </w:rPr>
            </w:pPr>
            <w:r>
              <w:rPr>
                <w:b w:val="0"/>
                <w:color w:val="auto"/>
                <w:spacing w:val="4"/>
                <w:sz w:val="18"/>
                <w:szCs w:val="18"/>
                <w:highlight w:val="none"/>
              </w:rPr>
              <w:t>有组织</w:t>
            </w:r>
            <w:r>
              <w:rPr>
                <w:rFonts w:hint="eastAsia"/>
                <w:b w:val="0"/>
                <w:color w:val="auto"/>
                <w:spacing w:val="4"/>
                <w:sz w:val="18"/>
                <w:szCs w:val="18"/>
                <w:highlight w:val="none"/>
                <w:lang w:eastAsia="zh-CN"/>
              </w:rPr>
              <w:t>、</w:t>
            </w:r>
            <w:r>
              <w:rPr>
                <w:b w:val="0"/>
                <w:color w:val="auto"/>
                <w:spacing w:val="4"/>
                <w:sz w:val="18"/>
                <w:szCs w:val="18"/>
                <w:highlight w:val="none"/>
              </w:rPr>
              <w:t>无组织</w:t>
            </w:r>
          </w:p>
        </w:tc>
        <w:tc>
          <w:tcPr>
            <w:tcW w:w="1073" w:type="pct"/>
            <w:tcBorders>
              <w:right w:val="single" w:color="000000" w:sz="12" w:space="0"/>
            </w:tcBorders>
            <w:shd w:val="clear" w:color="auto" w:fill="FFFFFF"/>
            <w:tcMar>
              <w:top w:w="0" w:type="dxa"/>
              <w:left w:w="113" w:type="dxa"/>
              <w:bottom w:w="0" w:type="dxa"/>
              <w:right w:w="113" w:type="dxa"/>
            </w:tcMar>
            <w:vAlign w:val="center"/>
          </w:tcPr>
          <w:p w14:paraId="12D63E30">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z w:val="18"/>
                <w:szCs w:val="18"/>
                <w:highlight w:val="none"/>
              </w:rPr>
            </w:pPr>
            <w:r>
              <w:rPr>
                <w:b w:val="0"/>
                <w:color w:val="auto"/>
                <w:spacing w:val="2"/>
                <w:sz w:val="18"/>
                <w:szCs w:val="18"/>
                <w:highlight w:val="none"/>
              </w:rPr>
              <w:t>集气设施或密闭车间</w:t>
            </w:r>
            <w:r>
              <w:rPr>
                <w:rFonts w:hint="eastAsia"/>
                <w:b w:val="0"/>
                <w:color w:val="auto"/>
                <w:spacing w:val="2"/>
                <w:sz w:val="18"/>
                <w:szCs w:val="18"/>
                <w:highlight w:val="none"/>
                <w:lang w:eastAsia="zh-CN"/>
              </w:rPr>
              <w:t>、</w:t>
            </w:r>
            <w:r>
              <w:rPr>
                <w:b w:val="0"/>
                <w:color w:val="auto"/>
                <w:spacing w:val="-1"/>
                <w:sz w:val="18"/>
                <w:szCs w:val="18"/>
                <w:highlight w:val="none"/>
              </w:rPr>
              <w:t>干式过滤棉/过滤箱</w:t>
            </w:r>
            <w:r>
              <w:rPr>
                <w:rFonts w:hint="eastAsia"/>
                <w:b w:val="0"/>
                <w:color w:val="auto"/>
                <w:spacing w:val="-1"/>
                <w:sz w:val="18"/>
                <w:szCs w:val="18"/>
                <w:highlight w:val="none"/>
                <w:lang w:eastAsia="zh-CN"/>
              </w:rPr>
              <w:t>、</w:t>
            </w:r>
            <w:r>
              <w:rPr>
                <w:b w:val="0"/>
                <w:color w:val="auto"/>
                <w:spacing w:val="2"/>
                <w:sz w:val="18"/>
                <w:szCs w:val="18"/>
                <w:highlight w:val="none"/>
              </w:rPr>
              <w:t>活性炭吸附</w:t>
            </w:r>
            <w:r>
              <w:rPr>
                <w:rFonts w:hint="eastAsia"/>
                <w:b w:val="0"/>
                <w:color w:val="auto"/>
                <w:spacing w:val="2"/>
                <w:sz w:val="18"/>
                <w:szCs w:val="18"/>
                <w:highlight w:val="none"/>
                <w:lang w:eastAsia="zh-CN"/>
              </w:rPr>
              <w:t>、</w:t>
            </w:r>
            <w:r>
              <w:rPr>
                <w:b w:val="0"/>
                <w:color w:val="auto"/>
                <w:spacing w:val="1"/>
                <w:sz w:val="18"/>
                <w:szCs w:val="18"/>
                <w:highlight w:val="none"/>
              </w:rPr>
              <w:t>浓缩+燃烧/催化氧化</w:t>
            </w:r>
            <w:r>
              <w:rPr>
                <w:rFonts w:hint="eastAsia"/>
                <w:b w:val="0"/>
                <w:color w:val="auto"/>
                <w:spacing w:val="1"/>
                <w:sz w:val="18"/>
                <w:szCs w:val="18"/>
                <w:highlight w:val="none"/>
                <w:lang w:eastAsia="zh-CN"/>
              </w:rPr>
              <w:t>、</w:t>
            </w:r>
            <w:r>
              <w:rPr>
                <w:b w:val="0"/>
                <w:color w:val="auto"/>
                <w:spacing w:val="4"/>
                <w:sz w:val="18"/>
                <w:szCs w:val="18"/>
                <w:highlight w:val="none"/>
              </w:rPr>
              <w:t>其他</w:t>
            </w:r>
          </w:p>
        </w:tc>
      </w:tr>
      <w:tr w14:paraId="6C494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63" w:type="pct"/>
            <w:vMerge w:val="continue"/>
            <w:tcBorders>
              <w:left w:val="single" w:color="000000" w:sz="12" w:space="0"/>
            </w:tcBorders>
            <w:shd w:val="clear" w:color="auto" w:fill="FFFFFF"/>
            <w:tcMar>
              <w:top w:w="0" w:type="dxa"/>
              <w:left w:w="113" w:type="dxa"/>
              <w:bottom w:w="0" w:type="dxa"/>
              <w:right w:w="113" w:type="dxa"/>
            </w:tcMar>
            <w:vAlign w:val="center"/>
          </w:tcPr>
          <w:p w14:paraId="403E3DC4">
            <w:pPr>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rFonts w:ascii="Arial"/>
                <w:b w:val="0"/>
                <w:color w:val="auto"/>
                <w:sz w:val="18"/>
                <w:szCs w:val="18"/>
                <w:highlight w:val="none"/>
              </w:rPr>
            </w:pPr>
          </w:p>
        </w:tc>
        <w:tc>
          <w:tcPr>
            <w:tcW w:w="446" w:type="pct"/>
            <w:vMerge w:val="restart"/>
            <w:shd w:val="clear" w:color="auto" w:fill="FFFFFF"/>
            <w:tcMar>
              <w:top w:w="0" w:type="dxa"/>
              <w:left w:w="113" w:type="dxa"/>
              <w:bottom w:w="0" w:type="dxa"/>
              <w:right w:w="113" w:type="dxa"/>
            </w:tcMar>
            <w:vAlign w:val="center"/>
          </w:tcPr>
          <w:p w14:paraId="13741C93">
            <w:pPr>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rFonts w:ascii="Arial"/>
                <w:b w:val="0"/>
                <w:color w:val="auto"/>
                <w:sz w:val="18"/>
                <w:szCs w:val="18"/>
                <w:highlight w:val="none"/>
              </w:rPr>
            </w:pPr>
            <w:r>
              <w:rPr>
                <w:b w:val="0"/>
                <w:color w:val="auto"/>
                <w:spacing w:val="6"/>
                <w:sz w:val="18"/>
                <w:szCs w:val="18"/>
                <w:highlight w:val="none"/>
              </w:rPr>
              <w:t>涂装车间</w:t>
            </w:r>
          </w:p>
        </w:tc>
        <w:tc>
          <w:tcPr>
            <w:tcW w:w="1054" w:type="pct"/>
            <w:shd w:val="clear" w:color="auto" w:fill="FFFFFF"/>
            <w:tcMar>
              <w:top w:w="0" w:type="dxa"/>
              <w:left w:w="113" w:type="dxa"/>
              <w:bottom w:w="0" w:type="dxa"/>
              <w:right w:w="113" w:type="dxa"/>
            </w:tcMar>
            <w:vAlign w:val="center"/>
          </w:tcPr>
          <w:p w14:paraId="483C03A1">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right="125" w:firstLine="0" w:firstLineChars="0"/>
              <w:textAlignment w:val="baseline"/>
              <w:rPr>
                <w:b w:val="0"/>
                <w:color w:val="auto"/>
                <w:sz w:val="18"/>
                <w:szCs w:val="18"/>
                <w:highlight w:val="none"/>
              </w:rPr>
            </w:pPr>
            <w:r>
              <w:rPr>
                <w:b w:val="0"/>
                <w:color w:val="auto"/>
                <w:sz w:val="18"/>
                <w:szCs w:val="18"/>
                <w:highlight w:val="none"/>
              </w:rPr>
              <w:t>通风柜、集中调供漆系统、其他</w:t>
            </w:r>
          </w:p>
        </w:tc>
        <w:tc>
          <w:tcPr>
            <w:tcW w:w="627" w:type="pct"/>
            <w:shd w:val="clear" w:color="auto" w:fill="FFFFFF"/>
            <w:tcMar>
              <w:top w:w="0" w:type="dxa"/>
              <w:left w:w="113" w:type="dxa"/>
              <w:bottom w:w="0" w:type="dxa"/>
              <w:right w:w="113" w:type="dxa"/>
            </w:tcMar>
            <w:vAlign w:val="center"/>
          </w:tcPr>
          <w:p w14:paraId="63680A71">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z w:val="18"/>
                <w:szCs w:val="18"/>
                <w:highlight w:val="none"/>
              </w:rPr>
            </w:pPr>
            <w:r>
              <w:rPr>
                <w:b w:val="0"/>
                <w:color w:val="auto"/>
                <w:spacing w:val="2"/>
                <w:sz w:val="18"/>
                <w:szCs w:val="18"/>
                <w:highlight w:val="none"/>
              </w:rPr>
              <w:t>调漆、供漆废气</w:t>
            </w:r>
          </w:p>
        </w:tc>
        <w:tc>
          <w:tcPr>
            <w:tcW w:w="691" w:type="pct"/>
            <w:shd w:val="clear" w:color="auto" w:fill="FFFFFF"/>
            <w:tcMar>
              <w:top w:w="0" w:type="dxa"/>
              <w:left w:w="113" w:type="dxa"/>
              <w:bottom w:w="0" w:type="dxa"/>
              <w:right w:w="113" w:type="dxa"/>
            </w:tcMar>
            <w:vAlign w:val="center"/>
          </w:tcPr>
          <w:p w14:paraId="214B5A15">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right="28" w:firstLine="0" w:firstLineChars="0"/>
              <w:jc w:val="both"/>
              <w:textAlignment w:val="baseline"/>
              <w:rPr>
                <w:b w:val="0"/>
                <w:color w:val="auto"/>
                <w:sz w:val="18"/>
                <w:szCs w:val="18"/>
                <w:highlight w:val="none"/>
              </w:rPr>
            </w:pPr>
            <w:r>
              <w:rPr>
                <w:b w:val="0"/>
                <w:color w:val="auto"/>
                <w:spacing w:val="15"/>
                <w:sz w:val="18"/>
                <w:szCs w:val="18"/>
                <w:highlight w:val="none"/>
              </w:rPr>
              <w:t>挥发性有机物、</w:t>
            </w:r>
            <w:r>
              <w:rPr>
                <w:b w:val="0"/>
                <w:color w:val="auto"/>
                <w:spacing w:val="4"/>
                <w:sz w:val="18"/>
                <w:szCs w:val="18"/>
                <w:highlight w:val="none"/>
              </w:rPr>
              <w:t>苯、甲苯、二甲</w:t>
            </w:r>
            <w:r>
              <w:rPr>
                <w:b w:val="0"/>
                <w:color w:val="auto"/>
                <w:spacing w:val="1"/>
                <w:sz w:val="18"/>
                <w:szCs w:val="18"/>
                <w:highlight w:val="none"/>
              </w:rPr>
              <w:t>苯、特征污染物</w:t>
            </w:r>
          </w:p>
        </w:tc>
        <w:tc>
          <w:tcPr>
            <w:tcW w:w="443" w:type="pct"/>
            <w:shd w:val="clear" w:color="auto" w:fill="FFFFFF"/>
            <w:tcMar>
              <w:top w:w="0" w:type="dxa"/>
              <w:left w:w="113" w:type="dxa"/>
              <w:bottom w:w="0" w:type="dxa"/>
              <w:right w:w="113" w:type="dxa"/>
            </w:tcMar>
            <w:vAlign w:val="center"/>
          </w:tcPr>
          <w:p w14:paraId="0B8291B5">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z w:val="18"/>
                <w:szCs w:val="18"/>
                <w:highlight w:val="none"/>
              </w:rPr>
            </w:pPr>
            <w:r>
              <w:rPr>
                <w:b w:val="0"/>
                <w:color w:val="auto"/>
                <w:spacing w:val="4"/>
                <w:sz w:val="18"/>
                <w:szCs w:val="18"/>
                <w:highlight w:val="none"/>
              </w:rPr>
              <w:t>有组织</w:t>
            </w:r>
            <w:r>
              <w:rPr>
                <w:rFonts w:hint="eastAsia"/>
                <w:b w:val="0"/>
                <w:color w:val="auto"/>
                <w:spacing w:val="4"/>
                <w:sz w:val="18"/>
                <w:szCs w:val="18"/>
                <w:highlight w:val="none"/>
                <w:lang w:eastAsia="zh-CN"/>
              </w:rPr>
              <w:t>、</w:t>
            </w:r>
            <w:r>
              <w:rPr>
                <w:b w:val="0"/>
                <w:color w:val="auto"/>
                <w:spacing w:val="4"/>
                <w:sz w:val="18"/>
                <w:szCs w:val="18"/>
                <w:highlight w:val="none"/>
              </w:rPr>
              <w:t>无组织</w:t>
            </w:r>
          </w:p>
        </w:tc>
        <w:tc>
          <w:tcPr>
            <w:tcW w:w="1073" w:type="pct"/>
            <w:tcBorders>
              <w:right w:val="single" w:color="000000" w:sz="12" w:space="0"/>
            </w:tcBorders>
            <w:shd w:val="clear" w:color="auto" w:fill="FFFFFF"/>
            <w:tcMar>
              <w:top w:w="0" w:type="dxa"/>
              <w:left w:w="113" w:type="dxa"/>
              <w:bottom w:w="0" w:type="dxa"/>
              <w:right w:w="113" w:type="dxa"/>
            </w:tcMar>
            <w:vAlign w:val="center"/>
          </w:tcPr>
          <w:p w14:paraId="5C8A744A">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z w:val="18"/>
                <w:szCs w:val="18"/>
                <w:highlight w:val="none"/>
              </w:rPr>
            </w:pPr>
            <w:r>
              <w:rPr>
                <w:b w:val="0"/>
                <w:color w:val="auto"/>
                <w:spacing w:val="2"/>
                <w:sz w:val="18"/>
                <w:szCs w:val="18"/>
                <w:highlight w:val="none"/>
              </w:rPr>
              <w:t>集气设施或密闭车间</w:t>
            </w:r>
            <w:r>
              <w:rPr>
                <w:rFonts w:hint="eastAsia"/>
                <w:b w:val="0"/>
                <w:color w:val="auto"/>
                <w:spacing w:val="2"/>
                <w:sz w:val="18"/>
                <w:szCs w:val="18"/>
                <w:highlight w:val="none"/>
                <w:lang w:eastAsia="zh-CN"/>
              </w:rPr>
              <w:t>、</w:t>
            </w:r>
            <w:r>
              <w:rPr>
                <w:b w:val="0"/>
                <w:color w:val="auto"/>
                <w:spacing w:val="2"/>
                <w:sz w:val="18"/>
                <w:szCs w:val="18"/>
                <w:highlight w:val="none"/>
              </w:rPr>
              <w:t>活性炭吸附</w:t>
            </w:r>
            <w:r>
              <w:rPr>
                <w:rFonts w:hint="eastAsia"/>
                <w:b w:val="0"/>
                <w:color w:val="auto"/>
                <w:sz w:val="18"/>
                <w:szCs w:val="18"/>
                <w:highlight w:val="none"/>
                <w:lang w:eastAsia="zh-CN"/>
              </w:rPr>
              <w:t>、</w:t>
            </w:r>
            <w:r>
              <w:rPr>
                <w:b w:val="0"/>
                <w:color w:val="auto"/>
                <w:spacing w:val="4"/>
                <w:sz w:val="18"/>
                <w:szCs w:val="18"/>
                <w:highlight w:val="none"/>
              </w:rPr>
              <w:t>其他</w:t>
            </w:r>
          </w:p>
        </w:tc>
      </w:tr>
      <w:tr w14:paraId="64D48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63" w:type="pct"/>
            <w:vMerge w:val="continue"/>
            <w:tcBorders>
              <w:left w:val="single" w:color="000000" w:sz="12" w:space="0"/>
            </w:tcBorders>
            <w:shd w:val="clear" w:color="auto" w:fill="FFFFFF"/>
            <w:tcMar>
              <w:top w:w="0" w:type="dxa"/>
              <w:left w:w="113" w:type="dxa"/>
              <w:bottom w:w="0" w:type="dxa"/>
              <w:right w:w="113" w:type="dxa"/>
            </w:tcMar>
            <w:vAlign w:val="center"/>
          </w:tcPr>
          <w:p w14:paraId="4F6F8338">
            <w:pPr>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rFonts w:ascii="Arial"/>
                <w:b w:val="0"/>
                <w:color w:val="auto"/>
                <w:sz w:val="18"/>
                <w:szCs w:val="18"/>
                <w:highlight w:val="none"/>
              </w:rPr>
            </w:pPr>
          </w:p>
        </w:tc>
        <w:tc>
          <w:tcPr>
            <w:tcW w:w="446" w:type="pct"/>
            <w:vMerge w:val="continue"/>
            <w:shd w:val="clear" w:color="auto" w:fill="FFFFFF"/>
            <w:tcMar>
              <w:top w:w="0" w:type="dxa"/>
              <w:left w:w="113" w:type="dxa"/>
              <w:bottom w:w="0" w:type="dxa"/>
              <w:right w:w="113" w:type="dxa"/>
            </w:tcMar>
            <w:vAlign w:val="center"/>
          </w:tcPr>
          <w:p w14:paraId="3D59F744">
            <w:pPr>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rFonts w:ascii="Arial"/>
                <w:b w:val="0"/>
                <w:color w:val="auto"/>
                <w:sz w:val="18"/>
                <w:szCs w:val="18"/>
                <w:highlight w:val="none"/>
              </w:rPr>
            </w:pPr>
          </w:p>
        </w:tc>
        <w:tc>
          <w:tcPr>
            <w:tcW w:w="1054" w:type="pct"/>
            <w:shd w:val="clear" w:color="auto" w:fill="FFFFFF"/>
            <w:tcMar>
              <w:top w:w="0" w:type="dxa"/>
              <w:left w:w="113" w:type="dxa"/>
              <w:bottom w:w="0" w:type="dxa"/>
              <w:right w:w="113" w:type="dxa"/>
            </w:tcMar>
            <w:vAlign w:val="center"/>
          </w:tcPr>
          <w:p w14:paraId="700AA53B">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z w:val="18"/>
                <w:szCs w:val="18"/>
                <w:highlight w:val="none"/>
              </w:rPr>
            </w:pPr>
            <w:r>
              <w:rPr>
                <w:b w:val="0"/>
                <w:color w:val="auto"/>
                <w:spacing w:val="-1"/>
                <w:sz w:val="18"/>
                <w:szCs w:val="18"/>
                <w:highlight w:val="none"/>
              </w:rPr>
              <w:t>手工擦色、擦色机、其他</w:t>
            </w:r>
          </w:p>
        </w:tc>
        <w:tc>
          <w:tcPr>
            <w:tcW w:w="627" w:type="pct"/>
            <w:shd w:val="clear" w:color="auto" w:fill="FFFFFF"/>
            <w:tcMar>
              <w:top w:w="0" w:type="dxa"/>
              <w:left w:w="113" w:type="dxa"/>
              <w:bottom w:w="0" w:type="dxa"/>
              <w:right w:w="113" w:type="dxa"/>
            </w:tcMar>
            <w:vAlign w:val="center"/>
          </w:tcPr>
          <w:p w14:paraId="695FF114">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z w:val="18"/>
                <w:szCs w:val="18"/>
                <w:highlight w:val="none"/>
              </w:rPr>
            </w:pPr>
            <w:r>
              <w:rPr>
                <w:b w:val="0"/>
                <w:color w:val="auto"/>
                <w:spacing w:val="4"/>
                <w:sz w:val="18"/>
                <w:szCs w:val="18"/>
                <w:highlight w:val="none"/>
              </w:rPr>
              <w:t>擦色废气</w:t>
            </w:r>
          </w:p>
        </w:tc>
        <w:tc>
          <w:tcPr>
            <w:tcW w:w="691" w:type="pct"/>
            <w:shd w:val="clear" w:color="auto" w:fill="FFFFFF"/>
            <w:tcMar>
              <w:top w:w="0" w:type="dxa"/>
              <w:left w:w="113" w:type="dxa"/>
              <w:bottom w:w="0" w:type="dxa"/>
              <w:right w:w="113" w:type="dxa"/>
            </w:tcMar>
            <w:vAlign w:val="center"/>
          </w:tcPr>
          <w:p w14:paraId="68FB7773">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right="28" w:firstLine="0" w:firstLineChars="0"/>
              <w:jc w:val="both"/>
              <w:textAlignment w:val="baseline"/>
              <w:rPr>
                <w:b w:val="0"/>
                <w:color w:val="auto"/>
                <w:sz w:val="18"/>
                <w:szCs w:val="18"/>
                <w:highlight w:val="none"/>
              </w:rPr>
            </w:pPr>
            <w:r>
              <w:rPr>
                <w:b w:val="0"/>
                <w:color w:val="auto"/>
                <w:spacing w:val="15"/>
                <w:sz w:val="18"/>
                <w:szCs w:val="18"/>
                <w:highlight w:val="none"/>
              </w:rPr>
              <w:t>挥发性有机物、</w:t>
            </w:r>
            <w:r>
              <w:rPr>
                <w:b w:val="0"/>
                <w:color w:val="auto"/>
                <w:spacing w:val="4"/>
                <w:sz w:val="18"/>
                <w:szCs w:val="18"/>
                <w:highlight w:val="none"/>
              </w:rPr>
              <w:t>苯、甲苯、二甲</w:t>
            </w:r>
            <w:r>
              <w:rPr>
                <w:b w:val="0"/>
                <w:color w:val="auto"/>
                <w:spacing w:val="1"/>
                <w:sz w:val="18"/>
                <w:szCs w:val="18"/>
                <w:highlight w:val="none"/>
              </w:rPr>
              <w:t>苯、特征污染物</w:t>
            </w:r>
          </w:p>
        </w:tc>
        <w:tc>
          <w:tcPr>
            <w:tcW w:w="443" w:type="pct"/>
            <w:shd w:val="clear" w:color="auto" w:fill="FFFFFF"/>
            <w:tcMar>
              <w:top w:w="0" w:type="dxa"/>
              <w:left w:w="113" w:type="dxa"/>
              <w:bottom w:w="0" w:type="dxa"/>
              <w:right w:w="113" w:type="dxa"/>
            </w:tcMar>
            <w:vAlign w:val="center"/>
          </w:tcPr>
          <w:p w14:paraId="00D9CD93">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z w:val="18"/>
                <w:szCs w:val="18"/>
                <w:highlight w:val="none"/>
              </w:rPr>
            </w:pPr>
            <w:r>
              <w:rPr>
                <w:b w:val="0"/>
                <w:color w:val="auto"/>
                <w:spacing w:val="4"/>
                <w:sz w:val="18"/>
                <w:szCs w:val="18"/>
                <w:highlight w:val="none"/>
              </w:rPr>
              <w:t>有组织</w:t>
            </w:r>
            <w:r>
              <w:rPr>
                <w:rFonts w:hint="eastAsia"/>
                <w:b w:val="0"/>
                <w:color w:val="auto"/>
                <w:spacing w:val="4"/>
                <w:sz w:val="18"/>
                <w:szCs w:val="18"/>
                <w:highlight w:val="none"/>
                <w:lang w:eastAsia="zh-CN"/>
              </w:rPr>
              <w:t>、</w:t>
            </w:r>
            <w:r>
              <w:rPr>
                <w:b w:val="0"/>
                <w:color w:val="auto"/>
                <w:spacing w:val="4"/>
                <w:sz w:val="18"/>
                <w:szCs w:val="18"/>
                <w:highlight w:val="none"/>
              </w:rPr>
              <w:t>无组织</w:t>
            </w:r>
          </w:p>
        </w:tc>
        <w:tc>
          <w:tcPr>
            <w:tcW w:w="1073" w:type="pct"/>
            <w:tcBorders>
              <w:right w:val="single" w:color="000000" w:sz="12" w:space="0"/>
            </w:tcBorders>
            <w:shd w:val="clear" w:color="auto" w:fill="FFFFFF"/>
            <w:tcMar>
              <w:top w:w="0" w:type="dxa"/>
              <w:left w:w="113" w:type="dxa"/>
              <w:bottom w:w="0" w:type="dxa"/>
              <w:right w:w="113" w:type="dxa"/>
            </w:tcMar>
            <w:vAlign w:val="center"/>
          </w:tcPr>
          <w:p w14:paraId="18B41312">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z w:val="18"/>
                <w:szCs w:val="18"/>
                <w:highlight w:val="none"/>
              </w:rPr>
            </w:pPr>
            <w:r>
              <w:rPr>
                <w:b w:val="0"/>
                <w:color w:val="auto"/>
                <w:spacing w:val="2"/>
                <w:sz w:val="18"/>
                <w:szCs w:val="18"/>
                <w:highlight w:val="none"/>
              </w:rPr>
              <w:t>集气设施或密闭车间</w:t>
            </w:r>
            <w:r>
              <w:rPr>
                <w:rFonts w:hint="eastAsia"/>
                <w:b w:val="0"/>
                <w:color w:val="auto"/>
                <w:spacing w:val="2"/>
                <w:sz w:val="18"/>
                <w:szCs w:val="18"/>
                <w:highlight w:val="none"/>
                <w:lang w:eastAsia="zh-CN"/>
              </w:rPr>
              <w:t>、</w:t>
            </w:r>
            <w:r>
              <w:rPr>
                <w:b w:val="0"/>
                <w:color w:val="auto"/>
                <w:spacing w:val="2"/>
                <w:sz w:val="18"/>
                <w:szCs w:val="18"/>
                <w:highlight w:val="none"/>
              </w:rPr>
              <w:t>活性炭吸附</w:t>
            </w:r>
            <w:r>
              <w:rPr>
                <w:rFonts w:hint="eastAsia"/>
                <w:b w:val="0"/>
                <w:color w:val="auto"/>
                <w:spacing w:val="2"/>
                <w:sz w:val="18"/>
                <w:szCs w:val="18"/>
                <w:highlight w:val="none"/>
                <w:lang w:eastAsia="zh-CN"/>
              </w:rPr>
              <w:t>、</w:t>
            </w:r>
            <w:r>
              <w:rPr>
                <w:b w:val="0"/>
                <w:color w:val="auto"/>
                <w:spacing w:val="1"/>
                <w:sz w:val="18"/>
                <w:szCs w:val="18"/>
                <w:highlight w:val="none"/>
              </w:rPr>
              <w:t>浓缩+燃烧/催化氧化</w:t>
            </w:r>
            <w:r>
              <w:rPr>
                <w:rFonts w:hint="eastAsia"/>
                <w:b w:val="0"/>
                <w:color w:val="auto"/>
                <w:spacing w:val="1"/>
                <w:sz w:val="18"/>
                <w:szCs w:val="18"/>
                <w:highlight w:val="none"/>
                <w:lang w:eastAsia="zh-CN"/>
              </w:rPr>
              <w:t>、</w:t>
            </w:r>
            <w:r>
              <w:rPr>
                <w:b w:val="0"/>
                <w:color w:val="auto"/>
                <w:spacing w:val="4"/>
                <w:sz w:val="18"/>
                <w:szCs w:val="18"/>
                <w:highlight w:val="none"/>
              </w:rPr>
              <w:t>其他</w:t>
            </w:r>
          </w:p>
        </w:tc>
      </w:tr>
      <w:tr w14:paraId="18BEA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63" w:type="pct"/>
            <w:vMerge w:val="continue"/>
            <w:tcBorders>
              <w:left w:val="single" w:color="000000" w:sz="12" w:space="0"/>
              <w:bottom w:val="single" w:color="000000" w:sz="4" w:space="0"/>
            </w:tcBorders>
            <w:shd w:val="clear" w:color="auto" w:fill="FFFFFF"/>
            <w:tcMar>
              <w:top w:w="0" w:type="dxa"/>
              <w:left w:w="113" w:type="dxa"/>
              <w:bottom w:w="0" w:type="dxa"/>
              <w:right w:w="113" w:type="dxa"/>
            </w:tcMar>
            <w:vAlign w:val="center"/>
          </w:tcPr>
          <w:p w14:paraId="13A0413B">
            <w:pPr>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rFonts w:ascii="Arial"/>
                <w:b w:val="0"/>
                <w:color w:val="auto"/>
                <w:sz w:val="18"/>
                <w:szCs w:val="18"/>
                <w:highlight w:val="none"/>
              </w:rPr>
            </w:pPr>
          </w:p>
        </w:tc>
        <w:tc>
          <w:tcPr>
            <w:tcW w:w="446" w:type="pct"/>
            <w:vMerge w:val="continue"/>
            <w:tcBorders>
              <w:bottom w:val="single" w:color="000000" w:sz="4" w:space="0"/>
            </w:tcBorders>
            <w:shd w:val="clear" w:color="auto" w:fill="FFFFFF"/>
            <w:tcMar>
              <w:top w:w="0" w:type="dxa"/>
              <w:left w:w="113" w:type="dxa"/>
              <w:bottom w:w="0" w:type="dxa"/>
              <w:right w:w="113" w:type="dxa"/>
            </w:tcMar>
            <w:vAlign w:val="center"/>
          </w:tcPr>
          <w:p w14:paraId="31EC6866">
            <w:pPr>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rFonts w:ascii="Arial"/>
                <w:b w:val="0"/>
                <w:color w:val="auto"/>
                <w:sz w:val="18"/>
                <w:szCs w:val="18"/>
                <w:highlight w:val="none"/>
              </w:rPr>
            </w:pPr>
          </w:p>
        </w:tc>
        <w:tc>
          <w:tcPr>
            <w:tcW w:w="1054" w:type="pct"/>
            <w:shd w:val="clear" w:color="auto" w:fill="FFFFFF"/>
            <w:tcMar>
              <w:top w:w="0" w:type="dxa"/>
              <w:left w:w="113" w:type="dxa"/>
              <w:bottom w:w="0" w:type="dxa"/>
              <w:right w:w="113" w:type="dxa"/>
            </w:tcMar>
            <w:vAlign w:val="center"/>
          </w:tcPr>
          <w:p w14:paraId="7AAE03D3">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pacing w:val="-1"/>
                <w:sz w:val="18"/>
                <w:szCs w:val="18"/>
                <w:highlight w:val="none"/>
              </w:rPr>
            </w:pPr>
            <w:r>
              <w:rPr>
                <w:b w:val="0"/>
                <w:color w:val="auto"/>
                <w:spacing w:val="4"/>
                <w:sz w:val="18"/>
                <w:szCs w:val="18"/>
                <w:highlight w:val="none"/>
              </w:rPr>
              <w:t>底漆房、面漆房、浸涂槽、喷漆枪、</w:t>
            </w:r>
            <w:r>
              <w:rPr>
                <w:b w:val="0"/>
                <w:color w:val="auto"/>
                <w:spacing w:val="13"/>
                <w:sz w:val="18"/>
                <w:szCs w:val="18"/>
                <w:highlight w:val="none"/>
              </w:rPr>
              <w:t>辊涂机、淋涂机、往复式喷涂箱、</w:t>
            </w:r>
            <w:r>
              <w:rPr>
                <w:b w:val="0"/>
                <w:color w:val="auto"/>
                <w:spacing w:val="4"/>
                <w:sz w:val="18"/>
                <w:szCs w:val="18"/>
                <w:highlight w:val="none"/>
              </w:rPr>
              <w:t>静电悬杯喷涂线、静电悬碟喷涂线、</w:t>
            </w:r>
            <w:r>
              <w:rPr>
                <w:b w:val="0"/>
                <w:color w:val="auto"/>
                <w:sz w:val="18"/>
                <w:szCs w:val="18"/>
                <w:highlight w:val="none"/>
              </w:rPr>
              <w:t>机械手喷涂、干燥室/烘干室、烘干</w:t>
            </w:r>
            <w:r>
              <w:rPr>
                <w:b w:val="0"/>
                <w:color w:val="auto"/>
                <w:spacing w:val="5"/>
                <w:sz w:val="18"/>
                <w:szCs w:val="18"/>
                <w:highlight w:val="none"/>
              </w:rPr>
              <w:t>窑、电加热干燥设施、微波干燥设</w:t>
            </w:r>
            <w:r>
              <w:rPr>
                <w:b w:val="0"/>
                <w:color w:val="auto"/>
                <w:spacing w:val="4"/>
                <w:sz w:val="18"/>
                <w:szCs w:val="18"/>
                <w:highlight w:val="none"/>
              </w:rPr>
              <w:t>施、红外干燥设施、水帘机、其他</w:t>
            </w:r>
          </w:p>
        </w:tc>
        <w:tc>
          <w:tcPr>
            <w:tcW w:w="627" w:type="pct"/>
            <w:shd w:val="clear" w:color="auto" w:fill="FFFFFF"/>
            <w:tcMar>
              <w:top w:w="0" w:type="dxa"/>
              <w:left w:w="113" w:type="dxa"/>
              <w:bottom w:w="0" w:type="dxa"/>
              <w:right w:w="113" w:type="dxa"/>
            </w:tcMar>
            <w:vAlign w:val="center"/>
          </w:tcPr>
          <w:p w14:paraId="7E211752">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pacing w:val="4"/>
                <w:sz w:val="18"/>
                <w:szCs w:val="18"/>
                <w:highlight w:val="none"/>
              </w:rPr>
            </w:pPr>
            <w:r>
              <w:rPr>
                <w:b w:val="0"/>
                <w:color w:val="auto"/>
                <w:spacing w:val="1"/>
                <w:sz w:val="18"/>
                <w:szCs w:val="18"/>
                <w:highlight w:val="none"/>
              </w:rPr>
              <w:t>喷漆废气、浸涂</w:t>
            </w:r>
            <w:r>
              <w:rPr>
                <w:b w:val="0"/>
                <w:color w:val="auto"/>
                <w:spacing w:val="2"/>
                <w:sz w:val="18"/>
                <w:szCs w:val="18"/>
                <w:highlight w:val="none"/>
              </w:rPr>
              <w:t>废气、干燥废气</w:t>
            </w:r>
          </w:p>
        </w:tc>
        <w:tc>
          <w:tcPr>
            <w:tcW w:w="691" w:type="pct"/>
            <w:shd w:val="clear" w:color="auto" w:fill="FFFFFF"/>
            <w:tcMar>
              <w:top w:w="0" w:type="dxa"/>
              <w:left w:w="113" w:type="dxa"/>
              <w:bottom w:w="0" w:type="dxa"/>
              <w:right w:w="113" w:type="dxa"/>
            </w:tcMar>
            <w:vAlign w:val="center"/>
          </w:tcPr>
          <w:p w14:paraId="0638AF93">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right="28" w:firstLine="0" w:firstLineChars="0"/>
              <w:jc w:val="both"/>
              <w:textAlignment w:val="baseline"/>
              <w:rPr>
                <w:b w:val="0"/>
                <w:color w:val="auto"/>
                <w:spacing w:val="15"/>
                <w:sz w:val="18"/>
                <w:szCs w:val="18"/>
                <w:highlight w:val="none"/>
              </w:rPr>
            </w:pPr>
            <w:r>
              <w:rPr>
                <w:b w:val="0"/>
                <w:color w:val="auto"/>
                <w:spacing w:val="55"/>
                <w:sz w:val="18"/>
                <w:szCs w:val="18"/>
                <w:highlight w:val="none"/>
              </w:rPr>
              <w:t>挥发性有机</w:t>
            </w:r>
            <w:r>
              <w:rPr>
                <w:b w:val="0"/>
                <w:color w:val="auto"/>
                <w:spacing w:val="17"/>
                <w:sz w:val="18"/>
                <w:szCs w:val="18"/>
                <w:highlight w:val="none"/>
              </w:rPr>
              <w:t>物、苯、甲</w:t>
            </w:r>
            <w:r>
              <w:rPr>
                <w:b w:val="0"/>
                <w:color w:val="auto"/>
                <w:spacing w:val="22"/>
                <w:sz w:val="18"/>
                <w:szCs w:val="18"/>
                <w:highlight w:val="none"/>
              </w:rPr>
              <w:t>苯、二甲苯</w:t>
            </w:r>
          </w:p>
        </w:tc>
        <w:tc>
          <w:tcPr>
            <w:tcW w:w="443" w:type="pct"/>
            <w:shd w:val="clear" w:color="auto" w:fill="FFFFFF"/>
            <w:tcMar>
              <w:top w:w="0" w:type="dxa"/>
              <w:left w:w="113" w:type="dxa"/>
              <w:bottom w:w="0" w:type="dxa"/>
              <w:right w:w="113" w:type="dxa"/>
            </w:tcMar>
            <w:vAlign w:val="center"/>
          </w:tcPr>
          <w:p w14:paraId="1E232674">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pacing w:val="4"/>
                <w:sz w:val="18"/>
                <w:szCs w:val="18"/>
                <w:highlight w:val="none"/>
              </w:rPr>
            </w:pPr>
            <w:r>
              <w:rPr>
                <w:b w:val="0"/>
                <w:color w:val="auto"/>
                <w:spacing w:val="4"/>
                <w:sz w:val="18"/>
                <w:szCs w:val="18"/>
                <w:highlight w:val="none"/>
              </w:rPr>
              <w:t>有组织</w:t>
            </w:r>
            <w:r>
              <w:rPr>
                <w:rFonts w:hint="eastAsia"/>
                <w:b w:val="0"/>
                <w:color w:val="auto"/>
                <w:spacing w:val="4"/>
                <w:sz w:val="18"/>
                <w:szCs w:val="18"/>
                <w:highlight w:val="none"/>
                <w:lang w:eastAsia="zh-CN"/>
              </w:rPr>
              <w:t>、</w:t>
            </w:r>
            <w:r>
              <w:rPr>
                <w:b w:val="0"/>
                <w:color w:val="auto"/>
                <w:spacing w:val="4"/>
                <w:sz w:val="18"/>
                <w:szCs w:val="18"/>
                <w:highlight w:val="none"/>
              </w:rPr>
              <w:t>无组织</w:t>
            </w:r>
          </w:p>
        </w:tc>
        <w:tc>
          <w:tcPr>
            <w:tcW w:w="1073" w:type="pct"/>
            <w:tcBorders>
              <w:right w:val="single" w:color="000000" w:sz="12" w:space="0"/>
            </w:tcBorders>
            <w:shd w:val="clear" w:color="auto" w:fill="FFFFFF"/>
            <w:tcMar>
              <w:top w:w="0" w:type="dxa"/>
              <w:left w:w="113" w:type="dxa"/>
              <w:bottom w:w="0" w:type="dxa"/>
              <w:right w:w="113" w:type="dxa"/>
            </w:tcMar>
            <w:vAlign w:val="center"/>
          </w:tcPr>
          <w:p w14:paraId="3544B26A">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pacing w:val="4"/>
                <w:sz w:val="18"/>
                <w:szCs w:val="18"/>
                <w:highlight w:val="none"/>
              </w:rPr>
            </w:pPr>
            <w:r>
              <w:rPr>
                <w:b w:val="0"/>
                <w:color w:val="auto"/>
                <w:spacing w:val="2"/>
                <w:sz w:val="18"/>
                <w:szCs w:val="18"/>
                <w:highlight w:val="none"/>
              </w:rPr>
              <w:t>集气设施或密闭车间</w:t>
            </w:r>
            <w:r>
              <w:rPr>
                <w:rFonts w:hint="eastAsia"/>
                <w:b w:val="0"/>
                <w:color w:val="auto"/>
                <w:spacing w:val="2"/>
                <w:sz w:val="18"/>
                <w:szCs w:val="18"/>
                <w:highlight w:val="none"/>
                <w:lang w:eastAsia="zh-CN"/>
              </w:rPr>
              <w:t>、</w:t>
            </w:r>
            <w:r>
              <w:rPr>
                <w:b w:val="0"/>
                <w:color w:val="auto"/>
                <w:spacing w:val="2"/>
                <w:sz w:val="18"/>
                <w:szCs w:val="18"/>
                <w:highlight w:val="none"/>
              </w:rPr>
              <w:t>干式过滤棉/过滤箱</w:t>
            </w:r>
            <w:r>
              <w:rPr>
                <w:rFonts w:hint="eastAsia"/>
                <w:b w:val="0"/>
                <w:color w:val="auto"/>
                <w:spacing w:val="2"/>
                <w:sz w:val="18"/>
                <w:szCs w:val="18"/>
                <w:highlight w:val="none"/>
                <w:lang w:eastAsia="zh-CN"/>
              </w:rPr>
              <w:t>、</w:t>
            </w:r>
            <w:r>
              <w:rPr>
                <w:b w:val="0"/>
                <w:color w:val="auto"/>
                <w:spacing w:val="2"/>
                <w:sz w:val="18"/>
                <w:szCs w:val="18"/>
                <w:highlight w:val="none"/>
              </w:rPr>
              <w:t>旋风除尘</w:t>
            </w:r>
            <w:r>
              <w:rPr>
                <w:rFonts w:hint="eastAsia"/>
                <w:b w:val="0"/>
                <w:color w:val="auto"/>
                <w:spacing w:val="2"/>
                <w:sz w:val="18"/>
                <w:szCs w:val="18"/>
                <w:highlight w:val="none"/>
                <w:lang w:eastAsia="zh-CN"/>
              </w:rPr>
              <w:t>、</w:t>
            </w:r>
            <w:r>
              <w:rPr>
                <w:b w:val="0"/>
                <w:color w:val="auto"/>
                <w:spacing w:val="2"/>
                <w:sz w:val="18"/>
                <w:szCs w:val="18"/>
                <w:highlight w:val="none"/>
              </w:rPr>
              <w:t>活性炭吸附</w:t>
            </w:r>
            <w:r>
              <w:rPr>
                <w:rFonts w:hint="eastAsia"/>
                <w:b w:val="0"/>
                <w:color w:val="auto"/>
                <w:spacing w:val="2"/>
                <w:sz w:val="18"/>
                <w:szCs w:val="18"/>
                <w:highlight w:val="none"/>
                <w:lang w:eastAsia="zh-CN"/>
              </w:rPr>
              <w:t>、</w:t>
            </w:r>
            <w:r>
              <w:rPr>
                <w:b w:val="0"/>
                <w:color w:val="auto"/>
                <w:spacing w:val="1"/>
                <w:sz w:val="18"/>
                <w:szCs w:val="18"/>
                <w:highlight w:val="none"/>
              </w:rPr>
              <w:t>浓缩+燃烧/催化氧化</w:t>
            </w:r>
            <w:r>
              <w:rPr>
                <w:rFonts w:hint="eastAsia"/>
                <w:b w:val="0"/>
                <w:color w:val="auto"/>
                <w:spacing w:val="1"/>
                <w:sz w:val="18"/>
                <w:szCs w:val="18"/>
                <w:highlight w:val="none"/>
                <w:lang w:eastAsia="zh-CN"/>
              </w:rPr>
              <w:t>、</w:t>
            </w:r>
            <w:r>
              <w:rPr>
                <w:b w:val="0"/>
                <w:color w:val="auto"/>
                <w:spacing w:val="4"/>
                <w:sz w:val="18"/>
                <w:szCs w:val="18"/>
                <w:highlight w:val="none"/>
              </w:rPr>
              <w:t>其他</w:t>
            </w:r>
          </w:p>
        </w:tc>
      </w:tr>
      <w:tr w14:paraId="3307A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63" w:type="pct"/>
            <w:tcBorders>
              <w:top w:val="single" w:color="000000" w:sz="4" w:space="0"/>
              <w:left w:val="single" w:color="000000" w:sz="12" w:space="0"/>
              <w:bottom w:val="single" w:color="000000" w:sz="4" w:space="0"/>
            </w:tcBorders>
            <w:shd w:val="clear" w:color="auto" w:fill="FFFFFF"/>
            <w:tcMar>
              <w:top w:w="0" w:type="dxa"/>
              <w:left w:w="113" w:type="dxa"/>
              <w:bottom w:w="0" w:type="dxa"/>
              <w:right w:w="113" w:type="dxa"/>
            </w:tcMar>
            <w:vAlign w:val="center"/>
          </w:tcPr>
          <w:p w14:paraId="556060FC">
            <w:pPr>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pacing w:val="-14"/>
                <w:sz w:val="18"/>
                <w:szCs w:val="18"/>
                <w:highlight w:val="none"/>
              </w:rPr>
            </w:pPr>
            <w:r>
              <w:rPr>
                <w:b w:val="0"/>
                <w:color w:val="auto"/>
                <w:spacing w:val="-12"/>
                <w:sz w:val="18"/>
                <w:szCs w:val="18"/>
                <w:highlight w:val="none"/>
              </w:rPr>
              <w:t>金属家具</w:t>
            </w:r>
            <w:r>
              <w:rPr>
                <w:b w:val="0"/>
                <w:color w:val="auto"/>
                <w:spacing w:val="-11"/>
                <w:sz w:val="18"/>
                <w:szCs w:val="18"/>
                <w:highlight w:val="none"/>
              </w:rPr>
              <w:t>制造排污</w:t>
            </w:r>
            <w:r>
              <w:rPr>
                <w:b w:val="0"/>
                <w:color w:val="auto"/>
                <w:spacing w:val="14"/>
                <w:sz w:val="18"/>
                <w:szCs w:val="18"/>
                <w:highlight w:val="none"/>
              </w:rPr>
              <w:t>单位</w:t>
            </w:r>
          </w:p>
        </w:tc>
        <w:tc>
          <w:tcPr>
            <w:tcW w:w="446" w:type="pct"/>
            <w:tcBorders>
              <w:top w:val="single" w:color="000000" w:sz="4" w:space="0"/>
              <w:bottom w:val="single" w:color="000000" w:sz="4" w:space="0"/>
            </w:tcBorders>
            <w:shd w:val="clear" w:color="auto" w:fill="FFFFFF"/>
            <w:tcMar>
              <w:top w:w="0" w:type="dxa"/>
              <w:left w:w="113" w:type="dxa"/>
              <w:bottom w:w="0" w:type="dxa"/>
              <w:right w:w="113" w:type="dxa"/>
            </w:tcMar>
            <w:vAlign w:val="center"/>
          </w:tcPr>
          <w:p w14:paraId="4ED21B09">
            <w:pPr>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pacing w:val="6"/>
                <w:sz w:val="18"/>
                <w:szCs w:val="18"/>
                <w:highlight w:val="none"/>
              </w:rPr>
            </w:pPr>
            <w:r>
              <w:rPr>
                <w:b w:val="0"/>
                <w:color w:val="auto"/>
                <w:spacing w:val="6"/>
                <w:sz w:val="18"/>
                <w:szCs w:val="18"/>
                <w:highlight w:val="none"/>
              </w:rPr>
              <w:t>涂装车间</w:t>
            </w:r>
          </w:p>
        </w:tc>
        <w:tc>
          <w:tcPr>
            <w:tcW w:w="1054" w:type="pct"/>
            <w:shd w:val="clear" w:color="auto" w:fill="FFFFFF"/>
            <w:tcMar>
              <w:top w:w="0" w:type="dxa"/>
              <w:left w:w="113" w:type="dxa"/>
              <w:bottom w:w="0" w:type="dxa"/>
              <w:right w:w="113" w:type="dxa"/>
            </w:tcMar>
            <w:vAlign w:val="center"/>
          </w:tcPr>
          <w:p w14:paraId="755B98F2">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pacing w:val="4"/>
                <w:sz w:val="18"/>
                <w:szCs w:val="18"/>
                <w:highlight w:val="none"/>
              </w:rPr>
            </w:pPr>
            <w:r>
              <w:rPr>
                <w:b w:val="0"/>
                <w:color w:val="auto"/>
                <w:sz w:val="18"/>
                <w:szCs w:val="18"/>
                <w:highlight w:val="none"/>
              </w:rPr>
              <w:t>手工喷涂、静电悬杯喷涂线、静电</w:t>
            </w:r>
            <w:r>
              <w:rPr>
                <w:b w:val="0"/>
                <w:color w:val="auto"/>
                <w:spacing w:val="-1"/>
                <w:sz w:val="18"/>
                <w:szCs w:val="18"/>
                <w:highlight w:val="none"/>
              </w:rPr>
              <w:t>悬碟喷涂线、机械手喷涂、干燥室/</w:t>
            </w:r>
            <w:r>
              <w:rPr>
                <w:b w:val="0"/>
                <w:color w:val="auto"/>
                <w:spacing w:val="12"/>
                <w:sz w:val="18"/>
                <w:szCs w:val="18"/>
                <w:highlight w:val="none"/>
              </w:rPr>
              <w:t>烘干室、水帘机、干式过滤系统、</w:t>
            </w:r>
            <w:r>
              <w:rPr>
                <w:b w:val="0"/>
                <w:color w:val="auto"/>
                <w:spacing w:val="14"/>
                <w:sz w:val="18"/>
                <w:szCs w:val="18"/>
                <w:highlight w:val="none"/>
              </w:rPr>
              <w:t>其他</w:t>
            </w:r>
          </w:p>
        </w:tc>
        <w:tc>
          <w:tcPr>
            <w:tcW w:w="627" w:type="pct"/>
            <w:shd w:val="clear" w:color="auto" w:fill="FFFFFF"/>
            <w:tcMar>
              <w:top w:w="0" w:type="dxa"/>
              <w:left w:w="113" w:type="dxa"/>
              <w:bottom w:w="0" w:type="dxa"/>
              <w:right w:w="113" w:type="dxa"/>
            </w:tcMar>
            <w:vAlign w:val="center"/>
          </w:tcPr>
          <w:p w14:paraId="68D0FBC2">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pacing w:val="1"/>
                <w:sz w:val="18"/>
                <w:szCs w:val="18"/>
                <w:highlight w:val="none"/>
              </w:rPr>
            </w:pPr>
            <w:r>
              <w:rPr>
                <w:b w:val="0"/>
                <w:color w:val="auto"/>
                <w:spacing w:val="1"/>
                <w:sz w:val="18"/>
                <w:szCs w:val="18"/>
                <w:highlight w:val="none"/>
              </w:rPr>
              <w:t>涂装废气、干燥</w:t>
            </w:r>
            <w:r>
              <w:rPr>
                <w:b w:val="0"/>
                <w:color w:val="auto"/>
                <w:spacing w:val="8"/>
                <w:sz w:val="18"/>
                <w:szCs w:val="18"/>
                <w:highlight w:val="none"/>
              </w:rPr>
              <w:t>废气</w:t>
            </w:r>
          </w:p>
        </w:tc>
        <w:tc>
          <w:tcPr>
            <w:tcW w:w="691" w:type="pct"/>
            <w:shd w:val="clear" w:color="auto" w:fill="FFFFFF"/>
            <w:tcMar>
              <w:top w:w="0" w:type="dxa"/>
              <w:left w:w="113" w:type="dxa"/>
              <w:bottom w:w="0" w:type="dxa"/>
              <w:right w:w="113" w:type="dxa"/>
            </w:tcMar>
            <w:vAlign w:val="center"/>
          </w:tcPr>
          <w:p w14:paraId="776395B1">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right="28" w:firstLine="0" w:firstLineChars="0"/>
              <w:jc w:val="both"/>
              <w:textAlignment w:val="baseline"/>
              <w:rPr>
                <w:b w:val="0"/>
                <w:color w:val="auto"/>
                <w:spacing w:val="55"/>
                <w:sz w:val="18"/>
                <w:szCs w:val="18"/>
                <w:highlight w:val="none"/>
              </w:rPr>
            </w:pPr>
            <w:r>
              <w:rPr>
                <w:b w:val="0"/>
                <w:color w:val="auto"/>
                <w:spacing w:val="55"/>
                <w:sz w:val="18"/>
                <w:szCs w:val="18"/>
                <w:highlight w:val="none"/>
              </w:rPr>
              <w:t>挥发性有机</w:t>
            </w:r>
            <w:r>
              <w:rPr>
                <w:b w:val="0"/>
                <w:color w:val="auto"/>
                <w:spacing w:val="16"/>
                <w:sz w:val="18"/>
                <w:szCs w:val="18"/>
                <w:highlight w:val="none"/>
              </w:rPr>
              <w:t>物、苯、甲</w:t>
            </w:r>
            <w:r>
              <w:rPr>
                <w:b w:val="0"/>
                <w:color w:val="auto"/>
                <w:spacing w:val="20"/>
                <w:sz w:val="18"/>
                <w:szCs w:val="18"/>
                <w:highlight w:val="none"/>
              </w:rPr>
              <w:t>苯、二甲苯</w:t>
            </w:r>
          </w:p>
        </w:tc>
        <w:tc>
          <w:tcPr>
            <w:tcW w:w="443" w:type="pct"/>
            <w:shd w:val="clear" w:color="auto" w:fill="FFFFFF"/>
            <w:tcMar>
              <w:top w:w="0" w:type="dxa"/>
              <w:left w:w="113" w:type="dxa"/>
              <w:bottom w:w="0" w:type="dxa"/>
              <w:right w:w="113" w:type="dxa"/>
            </w:tcMar>
            <w:vAlign w:val="center"/>
          </w:tcPr>
          <w:p w14:paraId="356531FA">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pacing w:val="4"/>
                <w:sz w:val="18"/>
                <w:szCs w:val="18"/>
                <w:highlight w:val="none"/>
              </w:rPr>
            </w:pPr>
            <w:r>
              <w:rPr>
                <w:b w:val="0"/>
                <w:color w:val="auto"/>
                <w:spacing w:val="4"/>
                <w:sz w:val="18"/>
                <w:szCs w:val="18"/>
                <w:highlight w:val="none"/>
              </w:rPr>
              <w:t>有组织</w:t>
            </w:r>
            <w:r>
              <w:rPr>
                <w:rFonts w:hint="eastAsia"/>
                <w:b w:val="0"/>
                <w:color w:val="auto"/>
                <w:spacing w:val="4"/>
                <w:sz w:val="18"/>
                <w:szCs w:val="18"/>
                <w:highlight w:val="none"/>
                <w:lang w:eastAsia="zh-CN"/>
              </w:rPr>
              <w:t>、</w:t>
            </w:r>
            <w:r>
              <w:rPr>
                <w:b w:val="0"/>
                <w:color w:val="auto"/>
                <w:spacing w:val="4"/>
                <w:sz w:val="18"/>
                <w:szCs w:val="18"/>
                <w:highlight w:val="none"/>
              </w:rPr>
              <w:t>无组织</w:t>
            </w:r>
          </w:p>
        </w:tc>
        <w:tc>
          <w:tcPr>
            <w:tcW w:w="1073" w:type="pct"/>
            <w:tcBorders>
              <w:right w:val="single" w:color="000000" w:sz="12" w:space="0"/>
            </w:tcBorders>
            <w:shd w:val="clear" w:color="auto" w:fill="FFFFFF"/>
            <w:tcMar>
              <w:top w:w="0" w:type="dxa"/>
              <w:left w:w="113" w:type="dxa"/>
              <w:bottom w:w="0" w:type="dxa"/>
              <w:right w:w="113" w:type="dxa"/>
            </w:tcMar>
            <w:vAlign w:val="center"/>
          </w:tcPr>
          <w:p w14:paraId="24D3E734">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pacing w:val="4"/>
                <w:sz w:val="18"/>
                <w:szCs w:val="18"/>
                <w:highlight w:val="none"/>
              </w:rPr>
            </w:pPr>
            <w:r>
              <w:rPr>
                <w:b w:val="0"/>
                <w:color w:val="auto"/>
                <w:spacing w:val="2"/>
                <w:sz w:val="18"/>
                <w:szCs w:val="18"/>
                <w:highlight w:val="none"/>
              </w:rPr>
              <w:t>封闭喷漆室</w:t>
            </w:r>
            <w:r>
              <w:rPr>
                <w:rFonts w:hint="eastAsia"/>
                <w:b w:val="0"/>
                <w:color w:val="auto"/>
                <w:spacing w:val="2"/>
                <w:sz w:val="18"/>
                <w:szCs w:val="18"/>
                <w:highlight w:val="none"/>
                <w:lang w:eastAsia="zh-CN"/>
              </w:rPr>
              <w:t>、</w:t>
            </w:r>
            <w:r>
              <w:rPr>
                <w:b w:val="0"/>
                <w:color w:val="auto"/>
                <w:spacing w:val="-2"/>
                <w:sz w:val="18"/>
                <w:szCs w:val="18"/>
                <w:highlight w:val="none"/>
              </w:rPr>
              <w:t>袋式除尘</w:t>
            </w:r>
            <w:r>
              <w:rPr>
                <w:rFonts w:hint="eastAsia"/>
                <w:b w:val="0"/>
                <w:color w:val="auto"/>
                <w:spacing w:val="-2"/>
                <w:sz w:val="18"/>
                <w:szCs w:val="18"/>
                <w:highlight w:val="none"/>
                <w:lang w:eastAsia="zh-CN"/>
              </w:rPr>
              <w:t>、</w:t>
            </w:r>
            <w:r>
              <w:rPr>
                <w:b w:val="0"/>
                <w:color w:val="auto"/>
                <w:spacing w:val="2"/>
                <w:sz w:val="18"/>
                <w:szCs w:val="18"/>
                <w:highlight w:val="none"/>
              </w:rPr>
              <w:t>滤芯过滤器</w:t>
            </w:r>
            <w:r>
              <w:rPr>
                <w:rFonts w:hint="eastAsia"/>
                <w:b w:val="0"/>
                <w:color w:val="auto"/>
                <w:spacing w:val="2"/>
                <w:sz w:val="18"/>
                <w:szCs w:val="18"/>
                <w:highlight w:val="none"/>
                <w:lang w:eastAsia="zh-CN"/>
              </w:rPr>
              <w:t>、</w:t>
            </w:r>
            <w:r>
              <w:rPr>
                <w:b w:val="0"/>
                <w:color w:val="auto"/>
                <w:spacing w:val="2"/>
                <w:sz w:val="18"/>
                <w:szCs w:val="18"/>
                <w:highlight w:val="none"/>
              </w:rPr>
              <w:t>滤筒过滤器</w:t>
            </w:r>
            <w:r>
              <w:rPr>
                <w:rFonts w:hint="eastAsia"/>
                <w:b w:val="0"/>
                <w:color w:val="auto"/>
                <w:spacing w:val="2"/>
                <w:sz w:val="18"/>
                <w:szCs w:val="18"/>
                <w:highlight w:val="none"/>
                <w:lang w:eastAsia="zh-CN"/>
              </w:rPr>
              <w:t>、</w:t>
            </w:r>
            <w:r>
              <w:rPr>
                <w:b w:val="0"/>
                <w:color w:val="auto"/>
                <w:spacing w:val="2"/>
                <w:sz w:val="18"/>
                <w:szCs w:val="18"/>
                <w:highlight w:val="none"/>
              </w:rPr>
              <w:t>旋风除尘</w:t>
            </w:r>
            <w:r>
              <w:rPr>
                <w:rFonts w:hint="eastAsia"/>
                <w:b w:val="0"/>
                <w:color w:val="auto"/>
                <w:spacing w:val="2"/>
                <w:sz w:val="18"/>
                <w:szCs w:val="18"/>
                <w:highlight w:val="none"/>
                <w:lang w:eastAsia="zh-CN"/>
              </w:rPr>
              <w:t>、</w:t>
            </w:r>
            <w:r>
              <w:rPr>
                <w:b w:val="0"/>
                <w:color w:val="auto"/>
                <w:spacing w:val="2"/>
                <w:sz w:val="18"/>
                <w:szCs w:val="18"/>
                <w:highlight w:val="none"/>
              </w:rPr>
              <w:t>活性炭吸附</w:t>
            </w:r>
            <w:r>
              <w:rPr>
                <w:rFonts w:hint="eastAsia"/>
                <w:b w:val="0"/>
                <w:color w:val="auto"/>
                <w:spacing w:val="2"/>
                <w:sz w:val="18"/>
                <w:szCs w:val="18"/>
                <w:highlight w:val="none"/>
                <w:lang w:eastAsia="zh-CN"/>
              </w:rPr>
              <w:t>、</w:t>
            </w:r>
            <w:r>
              <w:rPr>
                <w:b w:val="0"/>
                <w:color w:val="auto"/>
                <w:spacing w:val="1"/>
                <w:sz w:val="18"/>
                <w:szCs w:val="18"/>
                <w:highlight w:val="none"/>
              </w:rPr>
              <w:t>浓缩+燃烧/催化氧化</w:t>
            </w:r>
            <w:r>
              <w:rPr>
                <w:rFonts w:hint="eastAsia"/>
                <w:b w:val="0"/>
                <w:color w:val="auto"/>
                <w:spacing w:val="1"/>
                <w:sz w:val="18"/>
                <w:szCs w:val="18"/>
                <w:highlight w:val="none"/>
                <w:lang w:eastAsia="zh-CN"/>
              </w:rPr>
              <w:t>、</w:t>
            </w:r>
            <w:r>
              <w:rPr>
                <w:b w:val="0"/>
                <w:color w:val="auto"/>
                <w:spacing w:val="4"/>
                <w:sz w:val="18"/>
                <w:szCs w:val="18"/>
                <w:highlight w:val="none"/>
              </w:rPr>
              <w:t>其他</w:t>
            </w:r>
          </w:p>
        </w:tc>
      </w:tr>
      <w:tr w14:paraId="0A266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63" w:type="pct"/>
            <w:vMerge w:val="restart"/>
            <w:tcBorders>
              <w:top w:val="single" w:color="000000" w:sz="4" w:space="0"/>
              <w:left w:val="single" w:color="000000" w:sz="12" w:space="0"/>
            </w:tcBorders>
            <w:shd w:val="clear" w:color="auto" w:fill="FFFFFF"/>
            <w:tcMar>
              <w:top w:w="0" w:type="dxa"/>
              <w:left w:w="113" w:type="dxa"/>
              <w:bottom w:w="0" w:type="dxa"/>
              <w:right w:w="113" w:type="dxa"/>
            </w:tcMar>
            <w:vAlign w:val="center"/>
          </w:tcPr>
          <w:p w14:paraId="7FF8FE38">
            <w:pPr>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pacing w:val="-12"/>
                <w:sz w:val="18"/>
                <w:szCs w:val="18"/>
                <w:highlight w:val="none"/>
              </w:rPr>
            </w:pPr>
            <w:r>
              <w:rPr>
                <w:b w:val="0"/>
                <w:color w:val="auto"/>
                <w:spacing w:val="-12"/>
                <w:sz w:val="18"/>
                <w:szCs w:val="18"/>
                <w:highlight w:val="none"/>
              </w:rPr>
              <w:t>塑料家具</w:t>
            </w:r>
            <w:r>
              <w:rPr>
                <w:b w:val="0"/>
                <w:color w:val="auto"/>
                <w:spacing w:val="-11"/>
                <w:sz w:val="18"/>
                <w:szCs w:val="18"/>
                <w:highlight w:val="none"/>
              </w:rPr>
              <w:t>制造排污</w:t>
            </w:r>
            <w:r>
              <w:rPr>
                <w:b w:val="0"/>
                <w:color w:val="auto"/>
                <w:spacing w:val="14"/>
                <w:sz w:val="18"/>
                <w:szCs w:val="18"/>
                <w:highlight w:val="none"/>
              </w:rPr>
              <w:t>单位</w:t>
            </w:r>
          </w:p>
        </w:tc>
        <w:tc>
          <w:tcPr>
            <w:tcW w:w="446" w:type="pct"/>
            <w:tcBorders>
              <w:top w:val="single" w:color="000000" w:sz="4" w:space="0"/>
              <w:bottom w:val="single" w:color="000000" w:sz="4" w:space="0"/>
            </w:tcBorders>
            <w:shd w:val="clear" w:color="auto" w:fill="FFFFFF"/>
            <w:tcMar>
              <w:top w:w="0" w:type="dxa"/>
              <w:left w:w="113" w:type="dxa"/>
              <w:bottom w:w="0" w:type="dxa"/>
              <w:right w:w="113" w:type="dxa"/>
            </w:tcMar>
            <w:vAlign w:val="center"/>
          </w:tcPr>
          <w:p w14:paraId="51524E9D">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leftChars="0" w:right="143" w:rightChars="0" w:firstLine="0" w:firstLineChars="0"/>
              <w:textAlignment w:val="baseline"/>
              <w:rPr>
                <w:b w:val="0"/>
                <w:color w:val="auto"/>
                <w:spacing w:val="6"/>
                <w:sz w:val="18"/>
                <w:szCs w:val="18"/>
                <w:highlight w:val="none"/>
              </w:rPr>
            </w:pPr>
            <w:r>
              <w:rPr>
                <w:b w:val="0"/>
                <w:color w:val="auto"/>
                <w:spacing w:val="4"/>
                <w:sz w:val="18"/>
                <w:szCs w:val="18"/>
                <w:highlight w:val="none"/>
              </w:rPr>
              <w:t>塑料家具制造成型车间</w:t>
            </w:r>
          </w:p>
        </w:tc>
        <w:tc>
          <w:tcPr>
            <w:tcW w:w="1054" w:type="pct"/>
            <w:shd w:val="clear" w:color="auto" w:fill="FFFFFF"/>
            <w:tcMar>
              <w:top w:w="0" w:type="dxa"/>
              <w:left w:w="113" w:type="dxa"/>
              <w:bottom w:w="0" w:type="dxa"/>
              <w:right w:w="113" w:type="dxa"/>
            </w:tcMar>
            <w:vAlign w:val="center"/>
          </w:tcPr>
          <w:p w14:paraId="115AC067">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leftChars="0" w:firstLine="0" w:firstLineChars="0"/>
              <w:textAlignment w:val="baseline"/>
              <w:rPr>
                <w:b w:val="0"/>
                <w:color w:val="auto"/>
                <w:sz w:val="18"/>
                <w:szCs w:val="18"/>
                <w:highlight w:val="none"/>
              </w:rPr>
            </w:pPr>
            <w:r>
              <w:rPr>
                <w:b w:val="0"/>
                <w:color w:val="auto"/>
                <w:spacing w:val="4"/>
                <w:sz w:val="18"/>
                <w:szCs w:val="18"/>
                <w:highlight w:val="none"/>
              </w:rPr>
              <w:t>注塑机、挤塑机、吹塑机、热塑机、</w:t>
            </w:r>
            <w:r>
              <w:rPr>
                <w:b w:val="0"/>
                <w:color w:val="auto"/>
                <w:spacing w:val="-1"/>
                <w:sz w:val="18"/>
                <w:szCs w:val="18"/>
                <w:highlight w:val="none"/>
              </w:rPr>
              <w:t>真空模塑机</w:t>
            </w:r>
          </w:p>
        </w:tc>
        <w:tc>
          <w:tcPr>
            <w:tcW w:w="627" w:type="pct"/>
            <w:shd w:val="clear" w:color="auto" w:fill="FFFFFF"/>
            <w:tcMar>
              <w:top w:w="0" w:type="dxa"/>
              <w:left w:w="113" w:type="dxa"/>
              <w:bottom w:w="0" w:type="dxa"/>
              <w:right w:w="113" w:type="dxa"/>
            </w:tcMar>
            <w:vAlign w:val="center"/>
          </w:tcPr>
          <w:p w14:paraId="70FAB7C1">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pacing w:val="1"/>
                <w:sz w:val="18"/>
                <w:szCs w:val="18"/>
                <w:highlight w:val="none"/>
              </w:rPr>
            </w:pPr>
            <w:r>
              <w:rPr>
                <w:b w:val="0"/>
                <w:color w:val="auto"/>
                <w:spacing w:val="1"/>
                <w:sz w:val="18"/>
                <w:szCs w:val="18"/>
                <w:highlight w:val="none"/>
              </w:rPr>
              <w:t>注塑/挤塑/吹塑</w:t>
            </w:r>
            <w:r>
              <w:rPr>
                <w:rFonts w:hint="eastAsia"/>
                <w:b w:val="0"/>
                <w:color w:val="auto"/>
                <w:spacing w:val="1"/>
                <w:sz w:val="18"/>
                <w:szCs w:val="18"/>
                <w:highlight w:val="none"/>
                <w:lang w:eastAsia="zh-CN"/>
              </w:rPr>
              <w:t>、</w:t>
            </w:r>
            <w:r>
              <w:rPr>
                <w:b w:val="0"/>
                <w:color w:val="auto"/>
                <w:spacing w:val="1"/>
                <w:sz w:val="18"/>
                <w:szCs w:val="18"/>
                <w:highlight w:val="none"/>
              </w:rPr>
              <w:t>/热塑/铸模废</w:t>
            </w:r>
            <w:r>
              <w:rPr>
                <w:b w:val="0"/>
                <w:color w:val="auto"/>
                <w:spacing w:val="13"/>
                <w:sz w:val="18"/>
                <w:szCs w:val="18"/>
                <w:highlight w:val="none"/>
              </w:rPr>
              <w:t>气、锯切废气、</w:t>
            </w:r>
            <w:r>
              <w:rPr>
                <w:b w:val="0"/>
                <w:color w:val="auto"/>
                <w:spacing w:val="1"/>
                <w:sz w:val="18"/>
                <w:szCs w:val="18"/>
                <w:highlight w:val="none"/>
              </w:rPr>
              <w:t>打磨废气、焊接</w:t>
            </w:r>
            <w:r>
              <w:rPr>
                <w:rFonts w:hint="eastAsia"/>
                <w:b w:val="0"/>
                <w:color w:val="auto"/>
                <w:spacing w:val="1"/>
                <w:sz w:val="18"/>
                <w:szCs w:val="18"/>
                <w:highlight w:val="none"/>
                <w:lang w:eastAsia="zh-CN"/>
              </w:rPr>
              <w:t>、</w:t>
            </w:r>
            <w:r>
              <w:rPr>
                <w:b w:val="0"/>
                <w:color w:val="auto"/>
                <w:spacing w:val="8"/>
                <w:sz w:val="18"/>
                <w:szCs w:val="18"/>
                <w:highlight w:val="none"/>
              </w:rPr>
              <w:t>废气</w:t>
            </w:r>
          </w:p>
        </w:tc>
        <w:tc>
          <w:tcPr>
            <w:tcW w:w="691" w:type="pct"/>
            <w:shd w:val="clear" w:color="auto" w:fill="FFFFFF"/>
            <w:tcMar>
              <w:top w:w="0" w:type="dxa"/>
              <w:left w:w="113" w:type="dxa"/>
              <w:bottom w:w="0" w:type="dxa"/>
              <w:right w:w="113" w:type="dxa"/>
            </w:tcMar>
            <w:vAlign w:val="center"/>
          </w:tcPr>
          <w:p w14:paraId="22AC658D">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leftChars="0" w:right="124" w:rightChars="0" w:firstLine="0" w:firstLineChars="0"/>
              <w:textAlignment w:val="baseline"/>
              <w:rPr>
                <w:b w:val="0"/>
                <w:color w:val="auto"/>
                <w:spacing w:val="55"/>
                <w:sz w:val="18"/>
                <w:szCs w:val="18"/>
                <w:highlight w:val="none"/>
              </w:rPr>
            </w:pPr>
            <w:r>
              <w:rPr>
                <w:b w:val="0"/>
                <w:color w:val="auto"/>
                <w:spacing w:val="55"/>
                <w:sz w:val="18"/>
                <w:szCs w:val="18"/>
                <w:highlight w:val="none"/>
              </w:rPr>
              <w:t>挥发性有机</w:t>
            </w:r>
            <w:r>
              <w:rPr>
                <w:b w:val="0"/>
                <w:color w:val="auto"/>
                <w:spacing w:val="-2"/>
                <w:sz w:val="18"/>
                <w:szCs w:val="18"/>
                <w:highlight w:val="none"/>
              </w:rPr>
              <w:t>物</w:t>
            </w:r>
          </w:p>
        </w:tc>
        <w:tc>
          <w:tcPr>
            <w:tcW w:w="443" w:type="pct"/>
            <w:shd w:val="clear" w:color="auto" w:fill="FFFFFF"/>
            <w:tcMar>
              <w:top w:w="0" w:type="dxa"/>
              <w:left w:w="113" w:type="dxa"/>
              <w:bottom w:w="0" w:type="dxa"/>
              <w:right w:w="113" w:type="dxa"/>
            </w:tcMar>
            <w:vAlign w:val="center"/>
          </w:tcPr>
          <w:p w14:paraId="0E0792A4">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pacing w:val="4"/>
                <w:sz w:val="18"/>
                <w:szCs w:val="18"/>
                <w:highlight w:val="none"/>
              </w:rPr>
            </w:pPr>
            <w:r>
              <w:rPr>
                <w:b w:val="0"/>
                <w:color w:val="auto"/>
                <w:spacing w:val="4"/>
                <w:sz w:val="18"/>
                <w:szCs w:val="18"/>
                <w:highlight w:val="none"/>
              </w:rPr>
              <w:t>有组织</w:t>
            </w:r>
            <w:r>
              <w:rPr>
                <w:rFonts w:hint="eastAsia"/>
                <w:b w:val="0"/>
                <w:color w:val="auto"/>
                <w:spacing w:val="4"/>
                <w:sz w:val="18"/>
                <w:szCs w:val="18"/>
                <w:highlight w:val="none"/>
                <w:lang w:eastAsia="zh-CN"/>
              </w:rPr>
              <w:t>、</w:t>
            </w:r>
            <w:r>
              <w:rPr>
                <w:b w:val="0"/>
                <w:color w:val="auto"/>
                <w:spacing w:val="4"/>
                <w:sz w:val="18"/>
                <w:szCs w:val="18"/>
                <w:highlight w:val="none"/>
              </w:rPr>
              <w:t>无组织</w:t>
            </w:r>
          </w:p>
        </w:tc>
        <w:tc>
          <w:tcPr>
            <w:tcW w:w="1073" w:type="pct"/>
            <w:tcBorders>
              <w:right w:val="single" w:color="000000" w:sz="12" w:space="0"/>
            </w:tcBorders>
            <w:shd w:val="clear" w:color="auto" w:fill="FFFFFF"/>
            <w:tcMar>
              <w:top w:w="0" w:type="dxa"/>
              <w:left w:w="113" w:type="dxa"/>
              <w:bottom w:w="0" w:type="dxa"/>
              <w:right w:w="113" w:type="dxa"/>
            </w:tcMar>
            <w:vAlign w:val="center"/>
          </w:tcPr>
          <w:p w14:paraId="5DCFC650">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pacing w:val="4"/>
                <w:sz w:val="18"/>
                <w:szCs w:val="18"/>
                <w:highlight w:val="none"/>
              </w:rPr>
            </w:pPr>
            <w:r>
              <w:rPr>
                <w:b w:val="0"/>
                <w:color w:val="auto"/>
                <w:spacing w:val="2"/>
                <w:sz w:val="18"/>
                <w:szCs w:val="18"/>
                <w:highlight w:val="none"/>
              </w:rPr>
              <w:t>集气设施</w:t>
            </w:r>
            <w:r>
              <w:rPr>
                <w:rFonts w:hint="eastAsia"/>
                <w:b w:val="0"/>
                <w:color w:val="auto"/>
                <w:spacing w:val="2"/>
                <w:sz w:val="18"/>
                <w:szCs w:val="18"/>
                <w:highlight w:val="none"/>
                <w:lang w:eastAsia="zh-CN"/>
              </w:rPr>
              <w:t>、</w:t>
            </w:r>
            <w:r>
              <w:rPr>
                <w:b w:val="0"/>
                <w:color w:val="auto"/>
                <w:spacing w:val="2"/>
                <w:sz w:val="18"/>
                <w:szCs w:val="18"/>
                <w:highlight w:val="none"/>
              </w:rPr>
              <w:t>过滤设施</w:t>
            </w:r>
            <w:r>
              <w:rPr>
                <w:rFonts w:hint="eastAsia"/>
                <w:b w:val="0"/>
                <w:color w:val="auto"/>
                <w:spacing w:val="2"/>
                <w:sz w:val="18"/>
                <w:szCs w:val="18"/>
                <w:highlight w:val="none"/>
                <w:lang w:eastAsia="zh-CN"/>
              </w:rPr>
              <w:t>、</w:t>
            </w:r>
            <w:r>
              <w:rPr>
                <w:b w:val="0"/>
                <w:color w:val="auto"/>
                <w:spacing w:val="2"/>
                <w:sz w:val="18"/>
                <w:szCs w:val="18"/>
                <w:highlight w:val="none"/>
              </w:rPr>
              <w:t>活性炭吸附</w:t>
            </w:r>
            <w:r>
              <w:rPr>
                <w:rFonts w:hint="eastAsia"/>
                <w:b w:val="0"/>
                <w:color w:val="auto"/>
                <w:spacing w:val="2"/>
                <w:sz w:val="18"/>
                <w:szCs w:val="18"/>
                <w:highlight w:val="none"/>
                <w:lang w:eastAsia="zh-CN"/>
              </w:rPr>
              <w:t>、</w:t>
            </w:r>
            <w:r>
              <w:rPr>
                <w:b w:val="0"/>
                <w:color w:val="auto"/>
                <w:spacing w:val="4"/>
                <w:sz w:val="18"/>
                <w:szCs w:val="18"/>
                <w:highlight w:val="none"/>
              </w:rPr>
              <w:t>其他</w:t>
            </w:r>
          </w:p>
        </w:tc>
      </w:tr>
      <w:tr w14:paraId="450DD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63" w:type="pct"/>
            <w:vMerge w:val="continue"/>
            <w:tcBorders>
              <w:left w:val="single" w:color="000000" w:sz="12" w:space="0"/>
              <w:bottom w:val="single" w:color="000000" w:sz="12" w:space="0"/>
            </w:tcBorders>
            <w:shd w:val="clear" w:color="auto" w:fill="FFFFFF"/>
            <w:tcMar>
              <w:top w:w="0" w:type="dxa"/>
              <w:left w:w="113" w:type="dxa"/>
              <w:bottom w:w="0" w:type="dxa"/>
              <w:right w:w="113" w:type="dxa"/>
            </w:tcMar>
            <w:vAlign w:val="center"/>
          </w:tcPr>
          <w:p w14:paraId="21FFB117">
            <w:pPr>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b w:val="0"/>
                <w:color w:val="auto"/>
                <w:spacing w:val="-12"/>
                <w:sz w:val="18"/>
                <w:szCs w:val="18"/>
                <w:highlight w:val="none"/>
              </w:rPr>
            </w:pPr>
          </w:p>
        </w:tc>
        <w:tc>
          <w:tcPr>
            <w:tcW w:w="446" w:type="pct"/>
            <w:tcBorders>
              <w:top w:val="single" w:color="000000" w:sz="4" w:space="0"/>
              <w:bottom w:val="single" w:color="000000" w:sz="12" w:space="0"/>
            </w:tcBorders>
            <w:shd w:val="clear" w:color="auto" w:fill="FFFFFF"/>
            <w:tcMar>
              <w:top w:w="0" w:type="dxa"/>
              <w:left w:w="113" w:type="dxa"/>
              <w:bottom w:w="0" w:type="dxa"/>
              <w:right w:w="113" w:type="dxa"/>
            </w:tcMar>
            <w:vAlign w:val="center"/>
          </w:tcPr>
          <w:p w14:paraId="5CC6E0C2">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leftChars="0" w:firstLine="0" w:firstLineChars="0"/>
              <w:textAlignment w:val="baseline"/>
              <w:rPr>
                <w:rFonts w:ascii="宋体" w:hAnsi="宋体" w:eastAsia="宋体" w:cs="宋体"/>
                <w:b w:val="0"/>
                <w:snapToGrid w:val="0"/>
                <w:color w:val="auto"/>
                <w:kern w:val="0"/>
                <w:sz w:val="18"/>
                <w:szCs w:val="18"/>
                <w:highlight w:val="none"/>
                <w:lang w:val="en-US" w:eastAsia="en-US" w:bidi="ar-SA"/>
              </w:rPr>
            </w:pPr>
            <w:r>
              <w:rPr>
                <w:b w:val="0"/>
                <w:color w:val="auto"/>
                <w:spacing w:val="6"/>
                <w:sz w:val="18"/>
                <w:szCs w:val="18"/>
                <w:highlight w:val="none"/>
              </w:rPr>
              <w:t>涂装车间</w:t>
            </w:r>
          </w:p>
        </w:tc>
        <w:tc>
          <w:tcPr>
            <w:tcW w:w="1054" w:type="pct"/>
            <w:tcBorders>
              <w:bottom w:val="single" w:color="000000" w:sz="12" w:space="0"/>
            </w:tcBorders>
            <w:shd w:val="clear" w:color="auto" w:fill="FFFFFF"/>
            <w:tcMar>
              <w:top w:w="0" w:type="dxa"/>
              <w:left w:w="113" w:type="dxa"/>
              <w:bottom w:w="0" w:type="dxa"/>
              <w:right w:w="113" w:type="dxa"/>
            </w:tcMar>
            <w:vAlign w:val="center"/>
          </w:tcPr>
          <w:p w14:paraId="28747067">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leftChars="0" w:right="150" w:rightChars="0" w:firstLine="0" w:firstLineChars="0"/>
              <w:textAlignment w:val="baseline"/>
              <w:rPr>
                <w:rFonts w:ascii="宋体" w:hAnsi="宋体" w:eastAsia="宋体" w:cs="宋体"/>
                <w:b w:val="0"/>
                <w:snapToGrid w:val="0"/>
                <w:color w:val="auto"/>
                <w:kern w:val="0"/>
                <w:sz w:val="18"/>
                <w:szCs w:val="18"/>
                <w:highlight w:val="none"/>
                <w:lang w:val="en-US" w:eastAsia="en-US" w:bidi="ar-SA"/>
              </w:rPr>
            </w:pPr>
            <w:r>
              <w:rPr>
                <w:b w:val="0"/>
                <w:color w:val="auto"/>
                <w:spacing w:val="-1"/>
                <w:sz w:val="18"/>
                <w:szCs w:val="18"/>
                <w:highlight w:val="none"/>
              </w:rPr>
              <w:t>手工喷涂、机械喷涂、干燥室/烘干</w:t>
            </w:r>
            <w:r>
              <w:rPr>
                <w:b w:val="0"/>
                <w:color w:val="auto"/>
                <w:spacing w:val="2"/>
                <w:sz w:val="18"/>
                <w:szCs w:val="18"/>
                <w:highlight w:val="none"/>
              </w:rPr>
              <w:t>室、其他</w:t>
            </w:r>
          </w:p>
        </w:tc>
        <w:tc>
          <w:tcPr>
            <w:tcW w:w="627" w:type="pct"/>
            <w:tcBorders>
              <w:bottom w:val="single" w:color="000000" w:sz="12" w:space="0"/>
            </w:tcBorders>
            <w:shd w:val="clear" w:color="auto" w:fill="FFFFFF"/>
            <w:tcMar>
              <w:top w:w="0" w:type="dxa"/>
              <w:left w:w="113" w:type="dxa"/>
              <w:bottom w:w="0" w:type="dxa"/>
              <w:right w:w="113" w:type="dxa"/>
            </w:tcMar>
            <w:vAlign w:val="center"/>
          </w:tcPr>
          <w:p w14:paraId="476198C6">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leftChars="0" w:right="86" w:rightChars="0" w:firstLine="0" w:firstLineChars="0"/>
              <w:textAlignment w:val="baseline"/>
              <w:rPr>
                <w:rFonts w:ascii="宋体" w:hAnsi="宋体" w:eastAsia="宋体" w:cs="宋体"/>
                <w:b w:val="0"/>
                <w:snapToGrid w:val="0"/>
                <w:color w:val="auto"/>
                <w:kern w:val="0"/>
                <w:sz w:val="18"/>
                <w:szCs w:val="18"/>
                <w:highlight w:val="none"/>
                <w:lang w:val="en-US" w:eastAsia="en-US" w:bidi="ar-SA"/>
              </w:rPr>
            </w:pPr>
            <w:r>
              <w:rPr>
                <w:b w:val="0"/>
                <w:color w:val="auto"/>
                <w:spacing w:val="1"/>
                <w:sz w:val="18"/>
                <w:szCs w:val="18"/>
                <w:highlight w:val="none"/>
              </w:rPr>
              <w:t>喷漆废气、干燥</w:t>
            </w:r>
            <w:r>
              <w:rPr>
                <w:b w:val="0"/>
                <w:color w:val="auto"/>
                <w:spacing w:val="8"/>
                <w:sz w:val="18"/>
                <w:szCs w:val="18"/>
                <w:highlight w:val="none"/>
              </w:rPr>
              <w:t>废气</w:t>
            </w:r>
          </w:p>
        </w:tc>
        <w:tc>
          <w:tcPr>
            <w:tcW w:w="691" w:type="pct"/>
            <w:tcBorders>
              <w:bottom w:val="single" w:color="000000" w:sz="12" w:space="0"/>
            </w:tcBorders>
            <w:shd w:val="clear" w:color="auto" w:fill="FFFFFF"/>
            <w:tcMar>
              <w:top w:w="0" w:type="dxa"/>
              <w:left w:w="113" w:type="dxa"/>
              <w:bottom w:w="0" w:type="dxa"/>
              <w:right w:w="113" w:type="dxa"/>
            </w:tcMar>
            <w:vAlign w:val="center"/>
          </w:tcPr>
          <w:p w14:paraId="78F5DCD8">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leftChars="0" w:right="124" w:rightChars="0" w:firstLine="0" w:firstLineChars="0"/>
              <w:textAlignment w:val="baseline"/>
              <w:rPr>
                <w:rFonts w:ascii="宋体" w:hAnsi="宋体" w:eastAsia="宋体" w:cs="宋体"/>
                <w:b w:val="0"/>
                <w:snapToGrid w:val="0"/>
                <w:color w:val="auto"/>
                <w:kern w:val="0"/>
                <w:sz w:val="18"/>
                <w:szCs w:val="18"/>
                <w:highlight w:val="none"/>
                <w:lang w:val="en-US" w:eastAsia="en-US" w:bidi="ar-SA"/>
              </w:rPr>
            </w:pPr>
            <w:r>
              <w:rPr>
                <w:b w:val="0"/>
                <w:color w:val="auto"/>
                <w:spacing w:val="55"/>
                <w:sz w:val="18"/>
                <w:szCs w:val="18"/>
                <w:highlight w:val="none"/>
              </w:rPr>
              <w:t>挥发性有机</w:t>
            </w:r>
            <w:r>
              <w:rPr>
                <w:b w:val="0"/>
                <w:color w:val="auto"/>
                <w:spacing w:val="-4"/>
                <w:sz w:val="18"/>
                <w:szCs w:val="18"/>
                <w:highlight w:val="none"/>
              </w:rPr>
              <w:t>物</w:t>
            </w:r>
          </w:p>
        </w:tc>
        <w:tc>
          <w:tcPr>
            <w:tcW w:w="443" w:type="pct"/>
            <w:tcBorders>
              <w:bottom w:val="single" w:color="000000" w:sz="12" w:space="0"/>
            </w:tcBorders>
            <w:shd w:val="clear" w:color="auto" w:fill="FFFFFF"/>
            <w:tcMar>
              <w:top w:w="0" w:type="dxa"/>
              <w:left w:w="113" w:type="dxa"/>
              <w:bottom w:w="0" w:type="dxa"/>
              <w:right w:w="113" w:type="dxa"/>
            </w:tcMar>
            <w:vAlign w:val="center"/>
          </w:tcPr>
          <w:p w14:paraId="208EA2C5">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rFonts w:ascii="宋体" w:hAnsi="宋体" w:eastAsia="宋体" w:cs="宋体"/>
                <w:b w:val="0"/>
                <w:snapToGrid w:val="0"/>
                <w:color w:val="auto"/>
                <w:kern w:val="0"/>
                <w:sz w:val="18"/>
                <w:szCs w:val="18"/>
                <w:highlight w:val="none"/>
                <w:lang w:val="en-US" w:eastAsia="en-US" w:bidi="ar-SA"/>
              </w:rPr>
            </w:pPr>
            <w:r>
              <w:rPr>
                <w:b w:val="0"/>
                <w:color w:val="auto"/>
                <w:spacing w:val="4"/>
                <w:sz w:val="18"/>
                <w:szCs w:val="18"/>
                <w:highlight w:val="none"/>
              </w:rPr>
              <w:t>有组织</w:t>
            </w:r>
            <w:r>
              <w:rPr>
                <w:rFonts w:hint="eastAsia"/>
                <w:b w:val="0"/>
                <w:color w:val="auto"/>
                <w:spacing w:val="4"/>
                <w:sz w:val="18"/>
                <w:szCs w:val="18"/>
                <w:highlight w:val="none"/>
                <w:lang w:eastAsia="zh-CN"/>
              </w:rPr>
              <w:t>、</w:t>
            </w:r>
            <w:r>
              <w:rPr>
                <w:b w:val="0"/>
                <w:color w:val="auto"/>
                <w:spacing w:val="4"/>
                <w:sz w:val="18"/>
                <w:szCs w:val="18"/>
                <w:highlight w:val="none"/>
              </w:rPr>
              <w:t>无组织</w:t>
            </w:r>
          </w:p>
        </w:tc>
        <w:tc>
          <w:tcPr>
            <w:tcW w:w="1073" w:type="pct"/>
            <w:tcBorders>
              <w:bottom w:val="single" w:color="000000" w:sz="12" w:space="0"/>
              <w:right w:val="single" w:color="000000" w:sz="12" w:space="0"/>
            </w:tcBorders>
            <w:shd w:val="clear" w:color="auto" w:fill="FFFFFF"/>
            <w:tcMar>
              <w:top w:w="0" w:type="dxa"/>
              <w:left w:w="113" w:type="dxa"/>
              <w:bottom w:w="0" w:type="dxa"/>
              <w:right w:w="113" w:type="dxa"/>
            </w:tcMar>
            <w:vAlign w:val="center"/>
          </w:tcPr>
          <w:p w14:paraId="37AC8235">
            <w:pPr>
              <w:pStyle w:val="133"/>
              <w:keepNext w:val="0"/>
              <w:keepLines w:val="0"/>
              <w:pageBreakBefore w:val="0"/>
              <w:widowControl/>
              <w:shd w:val="clear"/>
              <w:kinsoku w:val="0"/>
              <w:wordWrap/>
              <w:overflowPunct/>
              <w:topLinePunct w:val="0"/>
              <w:autoSpaceDE w:val="0"/>
              <w:autoSpaceDN w:val="0"/>
              <w:bidi w:val="0"/>
              <w:adjustRightInd w:val="0"/>
              <w:snapToGrid w:val="0"/>
              <w:spacing w:line="240" w:lineRule="auto"/>
              <w:ind w:left="0" w:firstLine="0" w:firstLineChars="0"/>
              <w:textAlignment w:val="baseline"/>
              <w:rPr>
                <w:rFonts w:ascii="宋体" w:hAnsi="宋体" w:eastAsia="宋体" w:cs="宋体"/>
                <w:b w:val="0"/>
                <w:snapToGrid w:val="0"/>
                <w:color w:val="auto"/>
                <w:kern w:val="0"/>
                <w:sz w:val="18"/>
                <w:szCs w:val="18"/>
                <w:highlight w:val="none"/>
                <w:lang w:val="en-US" w:eastAsia="en-US" w:bidi="ar-SA"/>
              </w:rPr>
            </w:pPr>
            <w:r>
              <w:rPr>
                <w:b w:val="0"/>
                <w:color w:val="auto"/>
                <w:spacing w:val="2"/>
                <w:sz w:val="18"/>
                <w:szCs w:val="18"/>
                <w:highlight w:val="none"/>
              </w:rPr>
              <w:t>集气设施或密闭车间</w:t>
            </w:r>
            <w:r>
              <w:rPr>
                <w:rFonts w:hint="eastAsia"/>
                <w:b w:val="0"/>
                <w:color w:val="auto"/>
                <w:spacing w:val="2"/>
                <w:sz w:val="18"/>
                <w:szCs w:val="18"/>
                <w:highlight w:val="none"/>
                <w:lang w:eastAsia="zh-CN"/>
              </w:rPr>
              <w:t>、</w:t>
            </w:r>
            <w:r>
              <w:rPr>
                <w:b w:val="0"/>
                <w:color w:val="auto"/>
                <w:spacing w:val="2"/>
                <w:sz w:val="18"/>
                <w:szCs w:val="18"/>
                <w:highlight w:val="none"/>
              </w:rPr>
              <w:t>干式过滤棉/过滤箱</w:t>
            </w:r>
            <w:r>
              <w:rPr>
                <w:rFonts w:hint="eastAsia"/>
                <w:b w:val="0"/>
                <w:color w:val="auto"/>
                <w:spacing w:val="2"/>
                <w:sz w:val="18"/>
                <w:szCs w:val="18"/>
                <w:highlight w:val="none"/>
                <w:lang w:eastAsia="zh-CN"/>
              </w:rPr>
              <w:t>、</w:t>
            </w:r>
            <w:r>
              <w:rPr>
                <w:b w:val="0"/>
                <w:color w:val="auto"/>
                <w:spacing w:val="2"/>
                <w:sz w:val="18"/>
                <w:szCs w:val="18"/>
                <w:highlight w:val="none"/>
              </w:rPr>
              <w:t>活性炭吸附</w:t>
            </w:r>
            <w:r>
              <w:rPr>
                <w:rFonts w:hint="eastAsia"/>
                <w:b w:val="0"/>
                <w:color w:val="auto"/>
                <w:spacing w:val="2"/>
                <w:sz w:val="18"/>
                <w:szCs w:val="18"/>
                <w:highlight w:val="none"/>
                <w:lang w:eastAsia="zh-CN"/>
              </w:rPr>
              <w:t>、</w:t>
            </w:r>
            <w:r>
              <w:rPr>
                <w:b w:val="0"/>
                <w:color w:val="auto"/>
                <w:spacing w:val="1"/>
                <w:sz w:val="18"/>
                <w:szCs w:val="18"/>
                <w:highlight w:val="none"/>
              </w:rPr>
              <w:t>浓缩+燃烧/催化氧化</w:t>
            </w:r>
            <w:r>
              <w:rPr>
                <w:rFonts w:hint="eastAsia"/>
                <w:b w:val="0"/>
                <w:color w:val="auto"/>
                <w:spacing w:val="1"/>
                <w:sz w:val="18"/>
                <w:szCs w:val="18"/>
                <w:highlight w:val="none"/>
                <w:lang w:eastAsia="zh-CN"/>
              </w:rPr>
              <w:t>、</w:t>
            </w:r>
            <w:r>
              <w:rPr>
                <w:b w:val="0"/>
                <w:color w:val="auto"/>
                <w:spacing w:val="4"/>
                <w:sz w:val="18"/>
                <w:szCs w:val="18"/>
                <w:highlight w:val="none"/>
              </w:rPr>
              <w:t>其他</w:t>
            </w:r>
          </w:p>
        </w:tc>
      </w:tr>
    </w:tbl>
    <w:p w14:paraId="601B8F32">
      <w:pPr>
        <w:shd w:val="clear"/>
        <w:rPr>
          <w:rFonts w:hint="eastAsia"/>
          <w:color w:val="auto"/>
          <w:highlight w:val="none"/>
          <w:lang w:val="en-US" w:eastAsia="zh-CN"/>
        </w:rPr>
      </w:pPr>
    </w:p>
    <w:p w14:paraId="2D727162">
      <w:pPr>
        <w:pStyle w:val="4"/>
        <w:shd w:val="clear"/>
        <w:bidi w:val="0"/>
        <w:rPr>
          <w:color w:val="auto"/>
          <w:highlight w:val="none"/>
        </w:rPr>
      </w:pPr>
      <w:r>
        <w:rPr>
          <w:rFonts w:hint="eastAsia"/>
          <w:color w:val="auto"/>
          <w:highlight w:val="none"/>
          <w:lang w:val="en-US" w:eastAsia="zh-CN"/>
        </w:rPr>
        <w:t>汽车制造和汽车维修</w:t>
      </w:r>
    </w:p>
    <w:p w14:paraId="5D0B96F2">
      <w:pPr>
        <w:shd w:val="clear"/>
        <w:rPr>
          <w:rFonts w:hint="eastAsia"/>
          <w:color w:val="auto"/>
          <w:highlight w:val="none"/>
        </w:rPr>
      </w:pPr>
      <w:r>
        <w:rPr>
          <w:rFonts w:hint="eastAsia"/>
          <w:color w:val="auto"/>
          <w:highlight w:val="none"/>
        </w:rPr>
        <w:t>汽车工业生产过程包括下料、锻造、铸造、冲压、机械加工、粉末冶金、焊接、铆接、树脂纤维加工、粘接、热处理、电镀、预处理、转化膜处理、涂装、装配和检测试验等17个主要生产工序和工业炉窑、公用环保等2个辅助生产工序。</w:t>
      </w:r>
    </w:p>
    <w:p w14:paraId="3625DA05">
      <w:pPr>
        <w:shd w:val="clear"/>
        <w:rPr>
          <w:color w:val="auto"/>
          <w:highlight w:val="none"/>
        </w:rPr>
      </w:pPr>
      <w:r>
        <w:rPr>
          <w:rFonts w:hint="eastAsia"/>
          <w:color w:val="auto"/>
          <w:highlight w:val="none"/>
        </w:rPr>
        <w:t>汽车</w:t>
      </w:r>
      <w:r>
        <w:rPr>
          <w:rFonts w:hint="eastAsia"/>
          <w:color w:val="auto"/>
          <w:highlight w:val="none"/>
          <w:lang w:val="en-US" w:eastAsia="zh-CN"/>
        </w:rPr>
        <w:t>整车和零部件制造中，不同车型的涂装工序略有区别。乘用车的</w:t>
      </w:r>
      <w:r>
        <w:rPr>
          <w:rFonts w:hint="eastAsia"/>
          <w:color w:val="auto"/>
          <w:highlight w:val="none"/>
        </w:rPr>
        <w:t>涂装包括底漆电泳及烘干，涂胶（焊缝密封胶、车底涂料、阻尼涂料和裙边胶等），中涂、色漆喷涂、流平（溶剂型涂料）/热流平（水性涂料）、清漆喷涂、流平及烘干，车身涂层精饰精整、车身空腔发泡、注保护蜡和漆膜修补等过程。汽车底盘</w:t>
      </w:r>
      <w:r>
        <w:rPr>
          <w:rFonts w:hint="eastAsia"/>
          <w:color w:val="auto"/>
          <w:highlight w:val="none"/>
          <w:lang w:val="en-US" w:eastAsia="zh-CN"/>
        </w:rPr>
        <w:t>的</w:t>
      </w:r>
      <w:r>
        <w:rPr>
          <w:rFonts w:hint="eastAsia"/>
          <w:color w:val="auto"/>
          <w:highlight w:val="none"/>
        </w:rPr>
        <w:t>涂装包括底漆电泳及烘干、面漆喷涂及烘干过程。轻型载货汽车及中重型载货汽车驾驶室与乘用车生产工艺基本相同，仅涂装生产的喷涂体系有所不同。涂装包括底漆和面漆喷涂、流平/热流平与烘干等过程。车厢采用成品板材时，涂装主要包括面漆、彩条漆喷涂和烘干过程。客车和电车车身生产过程</w:t>
      </w:r>
      <w:r>
        <w:rPr>
          <w:rFonts w:hint="eastAsia"/>
          <w:color w:val="auto"/>
          <w:highlight w:val="none"/>
          <w:lang w:val="en-US" w:eastAsia="zh-CN"/>
        </w:rPr>
        <w:t>的</w:t>
      </w:r>
      <w:r>
        <w:rPr>
          <w:rFonts w:hint="eastAsia"/>
          <w:color w:val="auto"/>
          <w:highlight w:val="none"/>
        </w:rPr>
        <w:t>涂装包括底漆电泳或底漆喷涂、烘干，发泡，刮涂腻子，中涂漆、色漆、清漆和彩条漆的喷涂、流平/热流平及烘干等过程。专用汽车与专用挂车的涂装包括底漆喷涂及烘干、面漆喷涂及烘干过程。汽车用发动机</w:t>
      </w:r>
      <w:r>
        <w:rPr>
          <w:rFonts w:hint="eastAsia"/>
          <w:color w:val="auto"/>
          <w:highlight w:val="none"/>
          <w:lang w:val="en-US" w:eastAsia="zh-CN"/>
        </w:rPr>
        <w:t>的</w:t>
      </w:r>
      <w:r>
        <w:rPr>
          <w:rFonts w:hint="eastAsia"/>
          <w:color w:val="auto"/>
          <w:highlight w:val="none"/>
        </w:rPr>
        <w:t>涂装包括面漆喷涂和烘干过程。汽车零部件及配件</w:t>
      </w:r>
      <w:r>
        <w:rPr>
          <w:rFonts w:hint="eastAsia"/>
          <w:color w:val="auto"/>
          <w:highlight w:val="none"/>
          <w:lang w:val="en-US" w:eastAsia="zh-CN"/>
        </w:rPr>
        <w:t>的</w:t>
      </w:r>
      <w:r>
        <w:rPr>
          <w:rFonts w:hint="eastAsia"/>
          <w:color w:val="auto"/>
          <w:highlight w:val="none"/>
        </w:rPr>
        <w:t>涂装包括底漆电泳或喷涂、面漆喷涂、流平和烘干等过程。车身外观零部件涂装包括底漆、色漆和清漆的喷涂、流平/热流平和烘干等过程；内饰件涂装包括面漆喷涂和烘干过程。粉末冶金类零件生产过程包括下料、冲压、粉末冶金、机械加工和热处理等工序。</w:t>
      </w:r>
    </w:p>
    <w:p w14:paraId="516B2611">
      <w:pPr>
        <w:shd w:val="clear"/>
        <w:rPr>
          <w:rFonts w:hint="eastAsia"/>
          <w:color w:val="auto"/>
          <w:highlight w:val="none"/>
        </w:rPr>
      </w:pPr>
      <w:r>
        <w:rPr>
          <w:rFonts w:hint="eastAsia"/>
          <w:color w:val="auto"/>
          <w:highlight w:val="none"/>
        </w:rPr>
        <w:t>汽车制造和维修生产中</w:t>
      </w:r>
      <w:r>
        <w:rPr>
          <w:rFonts w:hint="eastAsia"/>
          <w:color w:val="auto"/>
          <w:highlight w:val="none"/>
          <w:lang w:eastAsia="zh-CN"/>
        </w:rPr>
        <w:t>，</w:t>
      </w:r>
      <w:r>
        <w:rPr>
          <w:rFonts w:hint="eastAsia"/>
          <w:color w:val="auto"/>
          <w:highlight w:val="none"/>
        </w:rPr>
        <w:t>VOCs主要产生于喷涂、流平/热流平和烘干过程。电泳区排风、空腔发泡、调漆、溶剂擦洗、注保护蜡、漆膜修补、漆渣处理及干化、格栅及工装载具溶剂清洗、喷漆室清洁维护等过程产生少量的VOCs，涂胶过程产生微量的VOCs。注射、挤压、发泡（含成品车身腔体发泡）、拉挤、树脂纤维糊制等过程产生少量的VOCs。部件组装及产品装配过程，黏合剂使用过程产生微量的VOCs。发动机、整车出厂检测和产品研发发动机热态试验产生VOCs等。</w:t>
      </w:r>
    </w:p>
    <w:p w14:paraId="436E03A8">
      <w:pPr>
        <w:pStyle w:val="4"/>
        <w:shd w:val="clear"/>
        <w:bidi w:val="0"/>
        <w:rPr>
          <w:color w:val="auto"/>
          <w:highlight w:val="none"/>
        </w:rPr>
      </w:pPr>
      <w:r>
        <w:rPr>
          <w:rFonts w:hint="eastAsia"/>
          <w:color w:val="auto"/>
          <w:highlight w:val="none"/>
          <w:lang w:val="en-US" w:eastAsia="zh-CN"/>
        </w:rPr>
        <w:t>通用设备及专用设备制造</w:t>
      </w:r>
    </w:p>
    <w:p w14:paraId="09CF8A8E">
      <w:pPr>
        <w:shd w:val="clear"/>
        <w:rPr>
          <w:rFonts w:hint="eastAsia"/>
          <w:color w:val="auto"/>
          <w:highlight w:val="none"/>
          <w:lang w:val="en-US" w:eastAsia="zh-CN"/>
        </w:rPr>
      </w:pPr>
      <w:r>
        <w:rPr>
          <w:rFonts w:hint="eastAsia"/>
          <w:color w:val="auto"/>
          <w:highlight w:val="none"/>
          <w:lang w:val="en-US" w:eastAsia="zh-CN"/>
        </w:rPr>
        <w:t>通用设备和专用设备制造过程中，首先制造与涂装各种零部件，此后组装各零部件，因此通用设备和专用设备的涂装过程主要为设备零部件涂装过程。根据设备零部件的特点可分为结构件涂装、薄板件涂装以及小件涂装等。工程机械涂装过程排放的VOCs主要产生于结构件、小件、薄板件涂装和干燥环节。</w:t>
      </w:r>
    </w:p>
    <w:p w14:paraId="5B75FACE">
      <w:pPr>
        <w:shd w:val="clear"/>
        <w:rPr>
          <w:rFonts w:hint="eastAsia"/>
          <w:color w:val="auto"/>
          <w:highlight w:val="none"/>
          <w:lang w:val="en-US" w:eastAsia="zh-CN"/>
        </w:rPr>
      </w:pPr>
      <w:r>
        <w:rPr>
          <w:rFonts w:hint="eastAsia"/>
          <w:color w:val="auto"/>
          <w:highlight w:val="none"/>
          <w:lang w:val="en-US" w:eastAsia="zh-CN"/>
        </w:rPr>
        <w:t>结构件常见的涂装工艺流程如下：</w:t>
      </w:r>
    </w:p>
    <w:p w14:paraId="17FD687A">
      <w:pPr>
        <w:shd w:val="clear"/>
        <w:rPr>
          <w:rFonts w:hint="eastAsia"/>
          <w:color w:val="auto"/>
          <w:highlight w:val="none"/>
          <w:lang w:val="en-US" w:eastAsia="zh-CN"/>
        </w:rPr>
      </w:pPr>
      <w:r>
        <w:rPr>
          <w:rFonts w:hint="eastAsia"/>
          <w:color w:val="auto"/>
          <w:highlight w:val="none"/>
          <w:lang w:val="en-US" w:eastAsia="zh-CN"/>
        </w:rPr>
        <w:t>(1)常见工艺一：除油→屏蔽→上件→抛丸→清丸→喷底漆→流平→底漆烘干→强冷→刮腻子→腻子烘干→强冷→打磨→清理、找补底漆→喷面漆→流平→面漆烘干→强冷→去屏蔽→找补→积放储存。</w:t>
      </w:r>
    </w:p>
    <w:p w14:paraId="369B8881">
      <w:pPr>
        <w:shd w:val="clear"/>
        <w:rPr>
          <w:rFonts w:hint="eastAsia"/>
          <w:color w:val="auto"/>
          <w:highlight w:val="none"/>
          <w:lang w:val="en-US" w:eastAsia="zh-CN"/>
        </w:rPr>
      </w:pPr>
      <w:r>
        <w:rPr>
          <w:rFonts w:hint="eastAsia"/>
          <w:color w:val="auto"/>
          <w:highlight w:val="none"/>
          <w:lang w:val="en-US" w:eastAsia="zh-CN"/>
        </w:rPr>
        <w:t>(2)常见工艺二：除油→屏蔽→上件→抛丸→清丸→预脱脂→脱脂→水洗→表调→磷化→水性→纯水洗→吹水→水分烘干→强冷→喷底漆→流平→喷面漆→流平→烘干→强冷→去屏蔽→找补→积放储存。</w:t>
      </w:r>
    </w:p>
    <w:p w14:paraId="739B64C7">
      <w:pPr>
        <w:shd w:val="clear"/>
        <w:rPr>
          <w:rFonts w:hint="eastAsia"/>
          <w:color w:val="auto"/>
          <w:highlight w:val="none"/>
          <w:lang w:val="en-US" w:eastAsia="zh-CN"/>
        </w:rPr>
      </w:pPr>
      <w:r>
        <w:rPr>
          <w:rFonts w:hint="eastAsia"/>
          <w:color w:val="auto"/>
          <w:highlight w:val="none"/>
          <w:lang w:val="en-US" w:eastAsia="zh-CN"/>
        </w:rPr>
        <w:t>3)常见工艺三：除油→屏蔽→上件→抛丸→清理→脱脂→水洗→表调→磷化→水洗→热水洗→自动吹水→手动吹水→烘干→强冷→喷粉→高温固化→强冷→积放储存。</w:t>
      </w:r>
    </w:p>
    <w:p w14:paraId="4E5D9C08">
      <w:pPr>
        <w:shd w:val="clear"/>
        <w:rPr>
          <w:rFonts w:hint="eastAsia"/>
          <w:color w:val="auto"/>
          <w:highlight w:val="none"/>
          <w:lang w:val="en-US" w:eastAsia="zh-CN"/>
        </w:rPr>
      </w:pPr>
      <w:r>
        <w:rPr>
          <w:rFonts w:hint="eastAsia"/>
          <w:color w:val="auto"/>
          <w:highlight w:val="none"/>
          <w:lang w:val="en-US" w:eastAsia="zh-CN"/>
        </w:rPr>
        <w:t>薄板件的涂装工艺主要采用电泳底漆—面漆或电泳底漆—喷粉，常见工艺有：</w:t>
      </w:r>
    </w:p>
    <w:p w14:paraId="22F00D2B">
      <w:pPr>
        <w:shd w:val="clear"/>
        <w:rPr>
          <w:rFonts w:hint="eastAsia"/>
          <w:color w:val="auto"/>
          <w:highlight w:val="none"/>
          <w:lang w:val="en-US" w:eastAsia="zh-CN"/>
        </w:rPr>
      </w:pPr>
      <w:r>
        <w:rPr>
          <w:rFonts w:hint="eastAsia"/>
          <w:color w:val="auto"/>
          <w:highlight w:val="none"/>
          <w:lang w:val="en-US" w:eastAsia="zh-CN"/>
        </w:rPr>
        <w:t>(1)常见工艺一(电泳—面漆)：上件→预脱脂→脱脂→水洗→水洗→表调→磷化→水洗→水洗→纯水洗→电泳→超滤→超滤→纯水洗→沥水→固化→强冷→刮腻子→自然干燥→打磨→打胶、屏蔽→喷面漆→流平→烘干→强冷→积放储存。</w:t>
      </w:r>
    </w:p>
    <w:p w14:paraId="0720869C">
      <w:pPr>
        <w:shd w:val="clear"/>
        <w:rPr>
          <w:rFonts w:hint="eastAsia"/>
          <w:color w:val="auto"/>
          <w:highlight w:val="none"/>
          <w:lang w:val="en-US" w:eastAsia="zh-CN"/>
        </w:rPr>
      </w:pPr>
      <w:r>
        <w:rPr>
          <w:rFonts w:hint="eastAsia"/>
          <w:color w:val="auto"/>
          <w:highlight w:val="none"/>
          <w:lang w:val="en-US" w:eastAsia="zh-CN"/>
        </w:rPr>
        <w:t>(2)常见工艺二(电泳—喷粉)：上件→预脱脂→脱脂→水洗→水洗→表调→磷化→水洗→水洗→纯水洗→电泳→超滤→超滤→纯水洗→沥水→固化→强冷→检查、打磨→打胶、贴胶带→自动喷粉→人工补喷→固化→强冷→积放储存。</w:t>
      </w:r>
    </w:p>
    <w:p w14:paraId="37DD685B">
      <w:pPr>
        <w:shd w:val="clear"/>
        <w:rPr>
          <w:rFonts w:hint="eastAsia"/>
          <w:color w:val="auto"/>
          <w:highlight w:val="none"/>
          <w:lang w:val="en-US" w:eastAsia="zh-CN"/>
        </w:rPr>
      </w:pPr>
      <w:r>
        <w:rPr>
          <w:rFonts w:hint="eastAsia"/>
          <w:color w:val="auto"/>
          <w:highlight w:val="none"/>
          <w:lang w:val="en-US" w:eastAsia="zh-CN"/>
        </w:rPr>
        <w:t>(3)常见工艺三：除油→屏蔽→上件→抛丸→清理→脱脂→水洗→表调→磷化→水洗→热水洗→自动吹水→手动吹水→烘干→强冷→喷粉→高温固化→强冷→积放储存。</w:t>
      </w:r>
    </w:p>
    <w:p w14:paraId="6CB6DBF9">
      <w:pPr>
        <w:shd w:val="clear"/>
        <w:rPr>
          <w:rFonts w:hint="default" w:ascii="Times New Roman" w:hAnsi="Times New Roman" w:eastAsia="宋体" w:cs="Times New Roman"/>
          <w:b w:val="0"/>
          <w:bCs/>
          <w:i w:val="0"/>
          <w:iCs w:val="0"/>
          <w:color w:val="auto"/>
          <w:sz w:val="18"/>
          <w:szCs w:val="18"/>
          <w:highlight w:val="none"/>
          <w:u w:val="none"/>
          <w:lang w:val="en-US" w:eastAsia="zh-CN"/>
        </w:rPr>
      </w:pPr>
      <w:r>
        <w:rPr>
          <w:rFonts w:hint="eastAsia"/>
          <w:color w:val="auto"/>
          <w:highlight w:val="none"/>
          <w:lang w:val="en-US" w:eastAsia="zh-CN"/>
        </w:rPr>
        <w:t>小件涂装常用的涂装工艺与结构件的涂装相类似，采用抛丸表面处理后喷涂底面漆，也可以进行粉末涂装；对于液压管等无法抛丸的小件，可采用磷化表面处理后进行涂装，既可以喷涂底面漆，也可以进行粉末涂装；也有一些小件不进行涂装，而采用如电镀、发黑等其他表面处理的方式。</w:t>
      </w:r>
    </w:p>
    <w:p w14:paraId="794E77C0">
      <w:pPr>
        <w:pStyle w:val="4"/>
        <w:shd w:val="clear"/>
        <w:bidi w:val="0"/>
        <w:rPr>
          <w:color w:val="auto"/>
          <w:highlight w:val="none"/>
        </w:rPr>
      </w:pPr>
      <w:r>
        <w:rPr>
          <w:rFonts w:hint="eastAsia"/>
          <w:color w:val="auto"/>
          <w:highlight w:val="none"/>
        </w:rPr>
        <w:t>铁路、船舶、航空航天和其他运输设备制造业</w:t>
      </w:r>
    </w:p>
    <w:p w14:paraId="409DF0F0">
      <w:pPr>
        <w:shd w:val="clear"/>
        <w:rPr>
          <w:rFonts w:hint="default" w:eastAsia="宋体"/>
          <w:color w:val="auto"/>
          <w:highlight w:val="none"/>
          <w:lang w:val="en-US" w:eastAsia="zh-CN"/>
        </w:rPr>
      </w:pPr>
      <w:r>
        <w:rPr>
          <w:rFonts w:hint="eastAsia"/>
          <w:color w:val="auto"/>
          <w:highlight w:val="none"/>
        </w:rPr>
        <w:t>交通运输设备制造过程中最大的产VOCs环节是涂装工艺</w:t>
      </w:r>
      <w:r>
        <w:rPr>
          <w:rFonts w:hint="eastAsia"/>
          <w:color w:val="auto"/>
          <w:highlight w:val="none"/>
          <w:lang w:eastAsia="zh-CN"/>
        </w:rPr>
        <w:t>，</w:t>
      </w:r>
      <w:r>
        <w:rPr>
          <w:rFonts w:hint="eastAsia"/>
          <w:color w:val="auto"/>
          <w:highlight w:val="none"/>
        </w:rPr>
        <w:t>底涂普遍采用阴极电泳涂装，中涂、面涂少数企业使用水性涂料涂装，多数为溶剂型涂料涂装。交通运输设备制造业挥发性有机物产排污设施和排放形式</w:t>
      </w:r>
      <w:r>
        <w:rPr>
          <w:rFonts w:hint="eastAsia"/>
          <w:color w:val="auto"/>
          <w:highlight w:val="none"/>
          <w:lang w:val="en-US" w:eastAsia="zh-CN"/>
        </w:rPr>
        <w:t>见</w:t>
      </w:r>
      <w:r>
        <w:rPr>
          <w:rFonts w:hint="eastAsia"/>
          <w:color w:val="auto"/>
          <w:highlight w:val="none"/>
          <w:lang w:val="en-US" w:eastAsia="zh-CN"/>
        </w:rPr>
        <w:fldChar w:fldCharType="begin"/>
      </w:r>
      <w:r>
        <w:rPr>
          <w:rFonts w:hint="eastAsia"/>
          <w:color w:val="auto"/>
          <w:highlight w:val="none"/>
          <w:lang w:val="en-US" w:eastAsia="zh-CN"/>
        </w:rPr>
        <w:instrText xml:space="preserve"> REF _Ref32520 \h </w:instrText>
      </w:r>
      <w:r>
        <w:rPr>
          <w:rFonts w:hint="eastAsia"/>
          <w:color w:val="auto"/>
          <w:highlight w:val="none"/>
          <w:lang w:val="en-US" w:eastAsia="zh-CN"/>
        </w:rPr>
        <w:fldChar w:fldCharType="separate"/>
      </w:r>
      <w:r>
        <w:rPr>
          <w:rFonts w:ascii="Times New Roman" w:hAnsi="Times New Roman" w:cs="Times New Roman"/>
        </w:rPr>
        <w:t>表3</w:t>
      </w:r>
      <w:r>
        <w:rPr>
          <w:rFonts w:hint="eastAsia"/>
          <w:color w:val="auto"/>
          <w:highlight w:val="none"/>
          <w:lang w:val="en-US" w:eastAsia="zh-CN"/>
        </w:rPr>
        <w:fldChar w:fldCharType="end"/>
      </w:r>
      <w:r>
        <w:rPr>
          <w:rFonts w:hint="eastAsia"/>
          <w:color w:val="auto"/>
          <w:highlight w:val="none"/>
          <w:lang w:val="en-US" w:eastAsia="zh-CN"/>
        </w:rPr>
        <w:t>。</w:t>
      </w:r>
    </w:p>
    <w:p w14:paraId="29AA1A65">
      <w:pPr>
        <w:pStyle w:val="129"/>
        <w:shd w:val="clear"/>
        <w:bidi w:val="0"/>
        <w:outlineLvl w:val="4"/>
        <w:rPr>
          <w:rFonts w:hint="default"/>
          <w:lang w:val="en-US" w:eastAsia="zh-CN"/>
        </w:rPr>
      </w:pPr>
      <w:bookmarkStart w:id="90" w:name="_Ref32520"/>
      <w:r>
        <w:t>表</w:t>
      </w:r>
      <w:r>
        <w:fldChar w:fldCharType="begin"/>
      </w:r>
      <w:r>
        <w:instrText xml:space="preserve"> SEQ 表 \* ARABIC </w:instrText>
      </w:r>
      <w:r>
        <w:fldChar w:fldCharType="separate"/>
      </w:r>
      <w:r>
        <w:rPr>
          <w:rFonts w:ascii="Times New Roman" w:hAnsi="Times New Roman" w:cs="Times New Roman"/>
        </w:rPr>
        <w:t>3</w:t>
      </w:r>
      <w:r>
        <w:fldChar w:fldCharType="end"/>
      </w:r>
      <w:bookmarkEnd w:id="90"/>
      <w:r>
        <w:rPr>
          <w:rFonts w:hint="default"/>
          <w:lang w:val="en-US" w:eastAsia="zh-CN"/>
        </w:rPr>
        <w:t xml:space="preserve"> 交通运输设备制造业挥发性有机物产排污设施和排放形式</w:t>
      </w:r>
    </w:p>
    <w:tbl>
      <w:tblPr>
        <w:tblStyle w:val="13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42"/>
        <w:gridCol w:w="1416"/>
        <w:gridCol w:w="2727"/>
        <w:gridCol w:w="2084"/>
        <w:gridCol w:w="2083"/>
      </w:tblGrid>
      <w:tr w14:paraId="7E4DF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blHeader/>
        </w:trPr>
        <w:tc>
          <w:tcPr>
            <w:tcW w:w="509" w:type="pct"/>
            <w:tcBorders>
              <w:top w:val="single" w:color="000000" w:sz="12" w:space="0"/>
              <w:left w:val="single" w:color="000000" w:sz="12" w:space="0"/>
              <w:tl2br w:val="nil"/>
            </w:tcBorders>
            <w:shd w:val="clear" w:color="auto" w:fill="FFFFFF"/>
            <w:tcMar>
              <w:top w:w="0" w:type="dxa"/>
              <w:left w:w="113" w:type="dxa"/>
              <w:bottom w:w="0" w:type="dxa"/>
              <w:right w:w="113" w:type="dxa"/>
            </w:tcMar>
            <w:vAlign w:val="center"/>
          </w:tcPr>
          <w:p w14:paraId="71BE07FB">
            <w:pPr>
              <w:pStyle w:val="133"/>
              <w:keepNext/>
              <w:keepLines w:val="0"/>
              <w:pageBreakBefore w:val="0"/>
              <w:wordWrap/>
              <w:overflowPunct/>
              <w:topLinePunct w:val="0"/>
              <w:bidi w:val="0"/>
              <w:spacing w:line="240" w:lineRule="auto"/>
              <w:ind w:left="0" w:right="0" w:firstLine="0" w:firstLineChars="0"/>
              <w:jc w:val="left"/>
              <w:rPr>
                <w:b w:val="0"/>
                <w:sz w:val="18"/>
                <w:szCs w:val="18"/>
              </w:rPr>
            </w:pPr>
            <w:r>
              <w:rPr>
                <w:b w:val="0"/>
                <w:bCs/>
                <w:spacing w:val="-4"/>
                <w:sz w:val="18"/>
                <w:szCs w:val="18"/>
              </w:rPr>
              <w:t>生产单元</w:t>
            </w:r>
          </w:p>
        </w:tc>
        <w:tc>
          <w:tcPr>
            <w:tcW w:w="765" w:type="pct"/>
            <w:tcBorders>
              <w:top w:val="single" w:color="000000" w:sz="12" w:space="0"/>
            </w:tcBorders>
            <w:shd w:val="clear" w:color="auto" w:fill="FFFFFF"/>
            <w:tcMar>
              <w:top w:w="0" w:type="dxa"/>
              <w:left w:w="113" w:type="dxa"/>
              <w:bottom w:w="0" w:type="dxa"/>
              <w:right w:w="113" w:type="dxa"/>
            </w:tcMar>
            <w:vAlign w:val="center"/>
          </w:tcPr>
          <w:p w14:paraId="677734AC">
            <w:pPr>
              <w:pStyle w:val="133"/>
              <w:keepNext/>
              <w:keepLines w:val="0"/>
              <w:pageBreakBefore w:val="0"/>
              <w:wordWrap/>
              <w:overflowPunct/>
              <w:topLinePunct w:val="0"/>
              <w:bidi w:val="0"/>
              <w:spacing w:line="240" w:lineRule="auto"/>
              <w:ind w:left="0" w:right="0" w:firstLine="0" w:firstLineChars="0"/>
              <w:jc w:val="left"/>
              <w:rPr>
                <w:b w:val="0"/>
                <w:sz w:val="18"/>
                <w:szCs w:val="18"/>
              </w:rPr>
            </w:pPr>
            <w:r>
              <w:rPr>
                <w:b w:val="0"/>
                <w:bCs/>
                <w:spacing w:val="-4"/>
                <w:sz w:val="18"/>
                <w:szCs w:val="18"/>
              </w:rPr>
              <w:t>产污环节</w:t>
            </w:r>
          </w:p>
        </w:tc>
        <w:tc>
          <w:tcPr>
            <w:tcW w:w="1473" w:type="pct"/>
            <w:tcBorders>
              <w:top w:val="single" w:color="000000" w:sz="12" w:space="0"/>
            </w:tcBorders>
            <w:shd w:val="clear" w:color="auto" w:fill="FFFFFF"/>
            <w:tcMar>
              <w:top w:w="0" w:type="dxa"/>
              <w:left w:w="113" w:type="dxa"/>
              <w:bottom w:w="0" w:type="dxa"/>
              <w:right w:w="113" w:type="dxa"/>
            </w:tcMar>
            <w:vAlign w:val="center"/>
          </w:tcPr>
          <w:p w14:paraId="0A4EAA90">
            <w:pPr>
              <w:pStyle w:val="133"/>
              <w:keepNext/>
              <w:keepLines w:val="0"/>
              <w:pageBreakBefore w:val="0"/>
              <w:wordWrap/>
              <w:overflowPunct/>
              <w:topLinePunct w:val="0"/>
              <w:bidi w:val="0"/>
              <w:spacing w:line="240" w:lineRule="auto"/>
              <w:ind w:left="0" w:right="0" w:firstLine="0" w:firstLineChars="0"/>
              <w:jc w:val="left"/>
              <w:rPr>
                <w:b w:val="0"/>
                <w:sz w:val="18"/>
                <w:szCs w:val="18"/>
              </w:rPr>
            </w:pPr>
            <w:r>
              <w:rPr>
                <w:b w:val="0"/>
                <w:bCs/>
                <w:spacing w:val="-4"/>
                <w:sz w:val="18"/>
                <w:szCs w:val="18"/>
              </w:rPr>
              <w:t>生产设施</w:t>
            </w:r>
          </w:p>
        </w:tc>
        <w:tc>
          <w:tcPr>
            <w:tcW w:w="1126" w:type="pct"/>
            <w:tcBorders>
              <w:top w:val="single" w:color="000000" w:sz="12" w:space="0"/>
            </w:tcBorders>
            <w:shd w:val="clear" w:color="auto" w:fill="FFFFFF"/>
            <w:tcMar>
              <w:top w:w="0" w:type="dxa"/>
              <w:left w:w="113" w:type="dxa"/>
              <w:bottom w:w="0" w:type="dxa"/>
              <w:right w:w="113" w:type="dxa"/>
            </w:tcMar>
            <w:vAlign w:val="center"/>
          </w:tcPr>
          <w:p w14:paraId="25D4B6AC">
            <w:pPr>
              <w:pStyle w:val="133"/>
              <w:keepNext/>
              <w:keepLines w:val="0"/>
              <w:pageBreakBefore w:val="0"/>
              <w:wordWrap/>
              <w:overflowPunct/>
              <w:topLinePunct w:val="0"/>
              <w:bidi w:val="0"/>
              <w:spacing w:line="240" w:lineRule="auto"/>
              <w:ind w:left="0" w:right="0" w:firstLine="0" w:firstLineChars="0"/>
              <w:jc w:val="left"/>
              <w:rPr>
                <w:b w:val="0"/>
                <w:sz w:val="18"/>
                <w:szCs w:val="18"/>
              </w:rPr>
            </w:pPr>
            <w:r>
              <w:rPr>
                <w:b w:val="0"/>
                <w:bCs/>
                <w:spacing w:val="-4"/>
                <w:sz w:val="18"/>
                <w:szCs w:val="18"/>
              </w:rPr>
              <w:t>污染物项目</w:t>
            </w:r>
          </w:p>
        </w:tc>
        <w:tc>
          <w:tcPr>
            <w:tcW w:w="1125" w:type="pct"/>
            <w:tcBorders>
              <w:top w:val="single" w:color="000000" w:sz="12" w:space="0"/>
              <w:right w:val="single" w:color="000000" w:sz="12" w:space="0"/>
            </w:tcBorders>
            <w:shd w:val="clear" w:color="auto" w:fill="FFFFFF"/>
            <w:tcMar>
              <w:top w:w="0" w:type="dxa"/>
              <w:left w:w="113" w:type="dxa"/>
              <w:bottom w:w="0" w:type="dxa"/>
              <w:right w:w="113" w:type="dxa"/>
            </w:tcMar>
            <w:vAlign w:val="center"/>
          </w:tcPr>
          <w:p w14:paraId="699E558C">
            <w:pPr>
              <w:pStyle w:val="133"/>
              <w:keepNext/>
              <w:keepLines w:val="0"/>
              <w:pageBreakBefore w:val="0"/>
              <w:wordWrap/>
              <w:overflowPunct/>
              <w:topLinePunct w:val="0"/>
              <w:bidi w:val="0"/>
              <w:spacing w:line="240" w:lineRule="auto"/>
              <w:ind w:left="0" w:right="0" w:firstLine="0" w:firstLineChars="0"/>
              <w:jc w:val="left"/>
              <w:rPr>
                <w:b w:val="0"/>
                <w:sz w:val="18"/>
                <w:szCs w:val="18"/>
              </w:rPr>
            </w:pPr>
            <w:r>
              <w:rPr>
                <w:b w:val="0"/>
                <w:bCs/>
                <w:spacing w:val="-4"/>
                <w:sz w:val="18"/>
                <w:szCs w:val="18"/>
              </w:rPr>
              <w:t>排放形式</w:t>
            </w:r>
          </w:p>
        </w:tc>
      </w:tr>
      <w:tr w14:paraId="1A964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09" w:type="pct"/>
            <w:tcBorders>
              <w:left w:val="single" w:color="000000" w:sz="12" w:space="0"/>
            </w:tcBorders>
            <w:shd w:val="clear" w:color="auto" w:fill="FFFFFF"/>
            <w:tcMar>
              <w:top w:w="0" w:type="dxa"/>
              <w:left w:w="113" w:type="dxa"/>
              <w:bottom w:w="0" w:type="dxa"/>
              <w:right w:w="113" w:type="dxa"/>
            </w:tcMar>
            <w:vAlign w:val="center"/>
          </w:tcPr>
          <w:p w14:paraId="4703FB5A">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pacing w:val="-1"/>
                <w:sz w:val="18"/>
                <w:szCs w:val="18"/>
              </w:rPr>
            </w:pPr>
            <w:r>
              <w:rPr>
                <w:b w:val="0"/>
                <w:spacing w:val="-1"/>
                <w:sz w:val="18"/>
                <w:szCs w:val="18"/>
              </w:rPr>
              <w:t>拆解</w:t>
            </w:r>
          </w:p>
        </w:tc>
        <w:tc>
          <w:tcPr>
            <w:tcW w:w="765" w:type="pct"/>
            <w:shd w:val="clear" w:color="auto" w:fill="FFFFFF"/>
            <w:tcMar>
              <w:top w:w="0" w:type="dxa"/>
              <w:left w:w="113" w:type="dxa"/>
              <w:bottom w:w="0" w:type="dxa"/>
              <w:right w:w="113" w:type="dxa"/>
            </w:tcMar>
            <w:vAlign w:val="center"/>
          </w:tcPr>
          <w:p w14:paraId="0D10CA53">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2"/>
                <w:sz w:val="18"/>
                <w:szCs w:val="18"/>
              </w:rPr>
              <w:t>拆解</w:t>
            </w:r>
          </w:p>
        </w:tc>
        <w:tc>
          <w:tcPr>
            <w:tcW w:w="1473" w:type="pct"/>
            <w:shd w:val="clear" w:color="auto" w:fill="FFFFFF"/>
            <w:tcMar>
              <w:top w:w="0" w:type="dxa"/>
              <w:left w:w="113" w:type="dxa"/>
              <w:bottom w:w="0" w:type="dxa"/>
              <w:right w:w="113" w:type="dxa"/>
            </w:tcMar>
            <w:vAlign w:val="center"/>
          </w:tcPr>
          <w:p w14:paraId="1CFE1467">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2"/>
                <w:sz w:val="18"/>
                <w:szCs w:val="18"/>
              </w:rPr>
              <w:t>化学退漆槽</w:t>
            </w:r>
          </w:p>
        </w:tc>
        <w:tc>
          <w:tcPr>
            <w:tcW w:w="1126" w:type="pct"/>
            <w:shd w:val="clear" w:color="auto" w:fill="FFFFFF"/>
            <w:tcMar>
              <w:top w:w="0" w:type="dxa"/>
              <w:left w:w="113" w:type="dxa"/>
              <w:bottom w:w="0" w:type="dxa"/>
              <w:right w:w="113" w:type="dxa"/>
            </w:tcMar>
            <w:vAlign w:val="center"/>
          </w:tcPr>
          <w:p w14:paraId="59F95C74">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2"/>
                <w:sz w:val="18"/>
                <w:szCs w:val="18"/>
              </w:rPr>
              <w:t>挥发性有机物</w:t>
            </w:r>
          </w:p>
        </w:tc>
        <w:tc>
          <w:tcPr>
            <w:tcW w:w="1125" w:type="pct"/>
            <w:tcBorders>
              <w:right w:val="single" w:color="000000" w:sz="12" w:space="0"/>
            </w:tcBorders>
            <w:shd w:val="clear" w:color="auto" w:fill="FFFFFF"/>
            <w:tcMar>
              <w:top w:w="0" w:type="dxa"/>
              <w:left w:w="113" w:type="dxa"/>
              <w:bottom w:w="0" w:type="dxa"/>
              <w:right w:w="113" w:type="dxa"/>
            </w:tcMar>
            <w:vAlign w:val="center"/>
          </w:tcPr>
          <w:p w14:paraId="43A23618">
            <w:pPr>
              <w:keepNext w:val="0"/>
              <w:keepLines w:val="0"/>
              <w:pageBreakBefore w:val="0"/>
              <w:wordWrap/>
              <w:overflowPunct/>
              <w:topLinePunct w:val="0"/>
              <w:bidi w:val="0"/>
              <w:spacing w:line="240" w:lineRule="auto"/>
              <w:ind w:right="0" w:firstLine="0" w:firstLineChars="0"/>
              <w:jc w:val="left"/>
              <w:rPr>
                <w:rFonts w:ascii="Arial"/>
                <w:b w:val="0"/>
                <w:sz w:val="18"/>
                <w:szCs w:val="18"/>
              </w:rPr>
            </w:pPr>
            <w:r>
              <w:rPr>
                <w:b w:val="0"/>
                <w:spacing w:val="-2"/>
                <w:sz w:val="18"/>
                <w:szCs w:val="18"/>
              </w:rPr>
              <w:t>有组织</w:t>
            </w:r>
            <w:r>
              <w:rPr>
                <w:rFonts w:hint="eastAsia" w:ascii="Times New Roman" w:hAnsi="Times New Roman" w:cs="Times New Roman"/>
                <w:b w:val="0"/>
                <w:spacing w:val="-2"/>
                <w:sz w:val="18"/>
                <w:szCs w:val="18"/>
                <w:lang w:eastAsia="zh-CN"/>
              </w:rPr>
              <w:t>、</w:t>
            </w:r>
            <w:r>
              <w:rPr>
                <w:b w:val="0"/>
                <w:spacing w:val="-2"/>
                <w:sz w:val="18"/>
                <w:szCs w:val="18"/>
              </w:rPr>
              <w:t>无组织</w:t>
            </w:r>
          </w:p>
        </w:tc>
      </w:tr>
      <w:tr w14:paraId="66A0F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509" w:type="pct"/>
            <w:tcBorders>
              <w:left w:val="single" w:color="000000" w:sz="12" w:space="0"/>
            </w:tcBorders>
            <w:shd w:val="clear" w:color="auto" w:fill="FFFFFF"/>
            <w:tcMar>
              <w:top w:w="0" w:type="dxa"/>
              <w:left w:w="113" w:type="dxa"/>
              <w:bottom w:w="0" w:type="dxa"/>
              <w:right w:w="113" w:type="dxa"/>
            </w:tcMar>
            <w:vAlign w:val="center"/>
          </w:tcPr>
          <w:p w14:paraId="56A46CCE">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rFonts w:hint="default"/>
                <w:b w:val="0"/>
                <w:spacing w:val="-1"/>
                <w:sz w:val="18"/>
                <w:szCs w:val="18"/>
                <w:lang w:val="en-US" w:eastAsia="zh-CN"/>
              </w:rPr>
            </w:pPr>
            <w:r>
              <w:rPr>
                <w:rFonts w:hint="eastAsia"/>
                <w:b w:val="0"/>
                <w:spacing w:val="-1"/>
                <w:sz w:val="18"/>
                <w:szCs w:val="18"/>
                <w:lang w:val="en-US" w:eastAsia="zh-CN"/>
              </w:rPr>
              <w:t>机加</w:t>
            </w:r>
          </w:p>
        </w:tc>
        <w:tc>
          <w:tcPr>
            <w:tcW w:w="765" w:type="pct"/>
            <w:shd w:val="clear" w:color="auto" w:fill="FFFFFF"/>
            <w:tcMar>
              <w:top w:w="0" w:type="dxa"/>
              <w:left w:w="113" w:type="dxa"/>
              <w:bottom w:w="0" w:type="dxa"/>
              <w:right w:w="113" w:type="dxa"/>
            </w:tcMar>
            <w:vAlign w:val="center"/>
          </w:tcPr>
          <w:p w14:paraId="052A09DE">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2"/>
                <w:sz w:val="18"/>
                <w:szCs w:val="18"/>
              </w:rPr>
              <w:t>湿式机械加工</w:t>
            </w:r>
          </w:p>
        </w:tc>
        <w:tc>
          <w:tcPr>
            <w:tcW w:w="1473" w:type="pct"/>
            <w:shd w:val="clear" w:color="auto" w:fill="FFFFFF"/>
            <w:tcMar>
              <w:top w:w="0" w:type="dxa"/>
              <w:left w:w="113" w:type="dxa"/>
              <w:bottom w:w="0" w:type="dxa"/>
              <w:right w:w="113" w:type="dxa"/>
            </w:tcMar>
            <w:vAlign w:val="center"/>
          </w:tcPr>
          <w:p w14:paraId="530D3C9F">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1"/>
                <w:sz w:val="18"/>
                <w:szCs w:val="18"/>
              </w:rPr>
              <w:t>湿式机械加工设备</w:t>
            </w:r>
          </w:p>
        </w:tc>
        <w:tc>
          <w:tcPr>
            <w:tcW w:w="1126" w:type="pct"/>
            <w:shd w:val="clear" w:color="auto" w:fill="FFFFFF"/>
            <w:tcMar>
              <w:top w:w="0" w:type="dxa"/>
              <w:left w:w="113" w:type="dxa"/>
              <w:bottom w:w="0" w:type="dxa"/>
              <w:right w:w="113" w:type="dxa"/>
            </w:tcMar>
            <w:vAlign w:val="center"/>
          </w:tcPr>
          <w:p w14:paraId="2C8A322C">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1"/>
                <w:sz w:val="18"/>
                <w:szCs w:val="18"/>
              </w:rPr>
              <w:t>挥发性有机物</w:t>
            </w:r>
          </w:p>
        </w:tc>
        <w:tc>
          <w:tcPr>
            <w:tcW w:w="1125" w:type="pct"/>
            <w:tcBorders>
              <w:right w:val="single" w:color="000000" w:sz="12" w:space="0"/>
            </w:tcBorders>
            <w:shd w:val="clear" w:color="auto" w:fill="FFFFFF"/>
            <w:tcMar>
              <w:top w:w="0" w:type="dxa"/>
              <w:left w:w="113" w:type="dxa"/>
              <w:bottom w:w="0" w:type="dxa"/>
              <w:right w:w="113" w:type="dxa"/>
            </w:tcMar>
            <w:vAlign w:val="center"/>
          </w:tcPr>
          <w:p w14:paraId="4AB88017">
            <w:pPr>
              <w:keepNext w:val="0"/>
              <w:keepLines w:val="0"/>
              <w:pageBreakBefore w:val="0"/>
              <w:wordWrap/>
              <w:overflowPunct/>
              <w:topLinePunct w:val="0"/>
              <w:bidi w:val="0"/>
              <w:spacing w:line="240" w:lineRule="auto"/>
              <w:ind w:right="0" w:firstLine="0" w:firstLineChars="0"/>
              <w:jc w:val="left"/>
              <w:rPr>
                <w:rFonts w:ascii="Arial"/>
                <w:b w:val="0"/>
                <w:sz w:val="18"/>
                <w:szCs w:val="18"/>
              </w:rPr>
            </w:pPr>
            <w:r>
              <w:rPr>
                <w:b w:val="0"/>
                <w:spacing w:val="-2"/>
                <w:sz w:val="18"/>
                <w:szCs w:val="18"/>
              </w:rPr>
              <w:t>有组织</w:t>
            </w:r>
            <w:r>
              <w:rPr>
                <w:rFonts w:hint="eastAsia" w:ascii="Times New Roman" w:hAnsi="Times New Roman" w:cs="Times New Roman"/>
                <w:b w:val="0"/>
                <w:spacing w:val="-2"/>
                <w:sz w:val="18"/>
                <w:szCs w:val="18"/>
                <w:lang w:eastAsia="zh-CN"/>
              </w:rPr>
              <w:t>、</w:t>
            </w:r>
            <w:r>
              <w:rPr>
                <w:b w:val="0"/>
                <w:spacing w:val="-2"/>
                <w:sz w:val="18"/>
                <w:szCs w:val="18"/>
              </w:rPr>
              <w:t>无组织</w:t>
            </w:r>
          </w:p>
        </w:tc>
      </w:tr>
      <w:tr w14:paraId="5CDF1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09" w:type="pct"/>
            <w:vMerge w:val="restart"/>
            <w:tcBorders>
              <w:left w:val="single" w:color="000000" w:sz="12" w:space="0"/>
            </w:tcBorders>
            <w:shd w:val="clear" w:color="auto" w:fill="FFFFFF"/>
            <w:tcMar>
              <w:top w:w="0" w:type="dxa"/>
              <w:left w:w="113" w:type="dxa"/>
              <w:bottom w:w="0" w:type="dxa"/>
              <w:right w:w="113" w:type="dxa"/>
            </w:tcMar>
            <w:vAlign w:val="center"/>
          </w:tcPr>
          <w:p w14:paraId="0DE4B19B">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pacing w:val="-1"/>
                <w:sz w:val="18"/>
                <w:szCs w:val="18"/>
              </w:rPr>
            </w:pPr>
            <w:r>
              <w:rPr>
                <w:b w:val="0"/>
                <w:spacing w:val="-1"/>
                <w:sz w:val="18"/>
                <w:szCs w:val="18"/>
              </w:rPr>
              <w:t>非金属材料加工</w:t>
            </w:r>
          </w:p>
        </w:tc>
        <w:tc>
          <w:tcPr>
            <w:tcW w:w="765" w:type="pct"/>
            <w:shd w:val="clear" w:color="auto" w:fill="FFFFFF"/>
            <w:tcMar>
              <w:top w:w="0" w:type="dxa"/>
              <w:left w:w="113" w:type="dxa"/>
              <w:bottom w:w="0" w:type="dxa"/>
              <w:right w:w="113" w:type="dxa"/>
            </w:tcMar>
            <w:vAlign w:val="center"/>
          </w:tcPr>
          <w:p w14:paraId="4651B239">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2"/>
                <w:sz w:val="18"/>
                <w:szCs w:val="18"/>
              </w:rPr>
              <w:t>高分子材料加工</w:t>
            </w:r>
          </w:p>
        </w:tc>
        <w:tc>
          <w:tcPr>
            <w:tcW w:w="1473" w:type="pct"/>
            <w:shd w:val="clear" w:color="auto" w:fill="FFFFFF"/>
            <w:tcMar>
              <w:top w:w="0" w:type="dxa"/>
              <w:left w:w="113" w:type="dxa"/>
              <w:bottom w:w="0" w:type="dxa"/>
              <w:right w:w="113" w:type="dxa"/>
            </w:tcMar>
            <w:vAlign w:val="center"/>
          </w:tcPr>
          <w:p w14:paraId="634271ED">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1"/>
                <w:sz w:val="18"/>
                <w:szCs w:val="18"/>
              </w:rPr>
              <w:t>注塑机、挤塑机、吹塑机、发泡机</w:t>
            </w:r>
          </w:p>
        </w:tc>
        <w:tc>
          <w:tcPr>
            <w:tcW w:w="1126" w:type="pct"/>
            <w:shd w:val="clear" w:color="auto" w:fill="FFFFFF"/>
            <w:tcMar>
              <w:top w:w="0" w:type="dxa"/>
              <w:left w:w="113" w:type="dxa"/>
              <w:bottom w:w="0" w:type="dxa"/>
              <w:right w:w="113" w:type="dxa"/>
            </w:tcMar>
            <w:vAlign w:val="center"/>
          </w:tcPr>
          <w:p w14:paraId="291CB8AF">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1"/>
                <w:sz w:val="18"/>
                <w:szCs w:val="18"/>
              </w:rPr>
              <w:t>挥发性有机物</w:t>
            </w:r>
          </w:p>
        </w:tc>
        <w:tc>
          <w:tcPr>
            <w:tcW w:w="1125" w:type="pct"/>
            <w:vMerge w:val="restart"/>
            <w:tcBorders>
              <w:right w:val="single" w:color="000000" w:sz="12" w:space="0"/>
            </w:tcBorders>
            <w:shd w:val="clear" w:color="auto" w:fill="FFFFFF"/>
            <w:tcMar>
              <w:top w:w="0" w:type="dxa"/>
              <w:left w:w="113" w:type="dxa"/>
              <w:bottom w:w="0" w:type="dxa"/>
              <w:right w:w="113" w:type="dxa"/>
            </w:tcMar>
            <w:vAlign w:val="center"/>
          </w:tcPr>
          <w:p w14:paraId="416D3DE6">
            <w:pPr>
              <w:pStyle w:val="133"/>
              <w:keepNext w:val="0"/>
              <w:keepLines w:val="0"/>
              <w:pageBreakBefore w:val="0"/>
              <w:wordWrap/>
              <w:overflowPunct/>
              <w:topLinePunct w:val="0"/>
              <w:bidi w:val="0"/>
              <w:spacing w:line="240" w:lineRule="auto"/>
              <w:ind w:left="0" w:right="0" w:firstLine="0" w:firstLineChars="0"/>
              <w:jc w:val="left"/>
              <w:rPr>
                <w:b w:val="0"/>
                <w:sz w:val="18"/>
                <w:szCs w:val="18"/>
              </w:rPr>
            </w:pPr>
            <w:r>
              <w:rPr>
                <w:b w:val="0"/>
                <w:spacing w:val="-2"/>
                <w:sz w:val="18"/>
                <w:szCs w:val="18"/>
              </w:rPr>
              <w:t>有组织</w:t>
            </w:r>
            <w:r>
              <w:rPr>
                <w:rFonts w:hint="eastAsia" w:ascii="Times New Roman" w:hAnsi="Times New Roman" w:cs="Times New Roman"/>
                <w:b w:val="0"/>
                <w:spacing w:val="-2"/>
                <w:sz w:val="18"/>
                <w:szCs w:val="18"/>
                <w:lang w:eastAsia="zh-CN"/>
              </w:rPr>
              <w:t>、</w:t>
            </w:r>
            <w:r>
              <w:rPr>
                <w:b w:val="0"/>
                <w:spacing w:val="-2"/>
                <w:sz w:val="18"/>
                <w:szCs w:val="18"/>
              </w:rPr>
              <w:t>无组织</w:t>
            </w:r>
          </w:p>
        </w:tc>
      </w:tr>
      <w:tr w14:paraId="587B3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09" w:type="pct"/>
            <w:vMerge w:val="continue"/>
            <w:tcBorders>
              <w:left w:val="single" w:color="000000" w:sz="12" w:space="0"/>
            </w:tcBorders>
            <w:shd w:val="clear" w:color="auto" w:fill="FFFFFF"/>
            <w:tcMar>
              <w:top w:w="0" w:type="dxa"/>
              <w:left w:w="113" w:type="dxa"/>
              <w:bottom w:w="0" w:type="dxa"/>
              <w:right w:w="113" w:type="dxa"/>
            </w:tcMar>
            <w:vAlign w:val="center"/>
          </w:tcPr>
          <w:p w14:paraId="78390C87">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pacing w:val="-1"/>
                <w:sz w:val="18"/>
                <w:szCs w:val="18"/>
              </w:rPr>
            </w:pPr>
          </w:p>
        </w:tc>
        <w:tc>
          <w:tcPr>
            <w:tcW w:w="765" w:type="pct"/>
            <w:shd w:val="clear" w:color="auto" w:fill="FFFFFF"/>
            <w:tcMar>
              <w:top w:w="0" w:type="dxa"/>
              <w:left w:w="113" w:type="dxa"/>
              <w:bottom w:w="0" w:type="dxa"/>
              <w:right w:w="113" w:type="dxa"/>
            </w:tcMar>
            <w:vAlign w:val="center"/>
          </w:tcPr>
          <w:p w14:paraId="256FBC91">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1"/>
                <w:sz w:val="18"/>
                <w:szCs w:val="18"/>
              </w:rPr>
              <w:t>树脂纤维加工</w:t>
            </w:r>
          </w:p>
        </w:tc>
        <w:tc>
          <w:tcPr>
            <w:tcW w:w="1473" w:type="pct"/>
            <w:shd w:val="clear" w:color="auto" w:fill="FFFFFF"/>
            <w:tcMar>
              <w:top w:w="0" w:type="dxa"/>
              <w:left w:w="113" w:type="dxa"/>
              <w:bottom w:w="0" w:type="dxa"/>
              <w:right w:w="113" w:type="dxa"/>
            </w:tcMar>
            <w:vAlign w:val="center"/>
          </w:tcPr>
          <w:p w14:paraId="139D647B">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1"/>
                <w:sz w:val="18"/>
                <w:szCs w:val="18"/>
              </w:rPr>
              <w:t>糊制成形设施、模压机、拉挤机</w:t>
            </w:r>
          </w:p>
        </w:tc>
        <w:tc>
          <w:tcPr>
            <w:tcW w:w="1126" w:type="pct"/>
            <w:shd w:val="clear" w:color="auto" w:fill="FFFFFF"/>
            <w:tcMar>
              <w:top w:w="0" w:type="dxa"/>
              <w:left w:w="113" w:type="dxa"/>
              <w:bottom w:w="0" w:type="dxa"/>
              <w:right w:w="113" w:type="dxa"/>
            </w:tcMar>
            <w:vAlign w:val="center"/>
          </w:tcPr>
          <w:p w14:paraId="1BC2D44B">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2"/>
                <w:sz w:val="18"/>
                <w:szCs w:val="18"/>
              </w:rPr>
              <w:t>挥发性有机物</w:t>
            </w:r>
          </w:p>
        </w:tc>
        <w:tc>
          <w:tcPr>
            <w:tcW w:w="1125" w:type="pct"/>
            <w:vMerge w:val="continue"/>
            <w:tcBorders>
              <w:right w:val="single" w:color="000000" w:sz="12" w:space="0"/>
            </w:tcBorders>
            <w:shd w:val="clear" w:color="auto" w:fill="FFFFFF"/>
            <w:tcMar>
              <w:top w:w="0" w:type="dxa"/>
              <w:left w:w="113" w:type="dxa"/>
              <w:bottom w:w="0" w:type="dxa"/>
              <w:right w:w="113" w:type="dxa"/>
            </w:tcMar>
            <w:vAlign w:val="center"/>
          </w:tcPr>
          <w:p w14:paraId="0867F28B">
            <w:pPr>
              <w:keepNext w:val="0"/>
              <w:keepLines w:val="0"/>
              <w:pageBreakBefore w:val="0"/>
              <w:wordWrap/>
              <w:overflowPunct/>
              <w:topLinePunct w:val="0"/>
              <w:bidi w:val="0"/>
              <w:spacing w:line="240" w:lineRule="auto"/>
              <w:ind w:right="0" w:firstLine="0" w:firstLineChars="0"/>
              <w:jc w:val="left"/>
              <w:rPr>
                <w:rFonts w:ascii="Arial"/>
                <w:b w:val="0"/>
                <w:sz w:val="18"/>
                <w:szCs w:val="18"/>
              </w:rPr>
            </w:pPr>
          </w:p>
        </w:tc>
      </w:tr>
      <w:tr w14:paraId="3DC78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09" w:type="pct"/>
            <w:tcBorders>
              <w:left w:val="single" w:color="000000" w:sz="12" w:space="0"/>
            </w:tcBorders>
            <w:shd w:val="clear" w:color="auto" w:fill="FFFFFF"/>
            <w:tcMar>
              <w:top w:w="0" w:type="dxa"/>
              <w:left w:w="113" w:type="dxa"/>
              <w:bottom w:w="0" w:type="dxa"/>
              <w:right w:w="113" w:type="dxa"/>
            </w:tcMar>
            <w:vAlign w:val="center"/>
          </w:tcPr>
          <w:p w14:paraId="3B05ADDC">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pacing w:val="-1"/>
                <w:sz w:val="18"/>
                <w:szCs w:val="18"/>
              </w:rPr>
            </w:pPr>
            <w:r>
              <w:rPr>
                <w:b w:val="0"/>
                <w:spacing w:val="-1"/>
                <w:sz w:val="18"/>
                <w:szCs w:val="18"/>
              </w:rPr>
              <w:t>热处理</w:t>
            </w:r>
          </w:p>
        </w:tc>
        <w:tc>
          <w:tcPr>
            <w:tcW w:w="765" w:type="pct"/>
            <w:shd w:val="clear" w:color="auto" w:fill="FFFFFF"/>
            <w:tcMar>
              <w:top w:w="0" w:type="dxa"/>
              <w:left w:w="113" w:type="dxa"/>
              <w:bottom w:w="0" w:type="dxa"/>
              <w:right w:w="113" w:type="dxa"/>
            </w:tcMar>
            <w:vAlign w:val="center"/>
          </w:tcPr>
          <w:p w14:paraId="03B34C22">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2"/>
                <w:sz w:val="18"/>
                <w:szCs w:val="18"/>
              </w:rPr>
              <w:t>表面热处理</w:t>
            </w:r>
          </w:p>
        </w:tc>
        <w:tc>
          <w:tcPr>
            <w:tcW w:w="1473" w:type="pct"/>
            <w:shd w:val="clear" w:color="auto" w:fill="FFFFFF"/>
            <w:tcMar>
              <w:top w:w="0" w:type="dxa"/>
              <w:left w:w="113" w:type="dxa"/>
              <w:bottom w:w="0" w:type="dxa"/>
              <w:right w:w="113" w:type="dxa"/>
            </w:tcMar>
            <w:vAlign w:val="center"/>
          </w:tcPr>
          <w:p w14:paraId="25A49432">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2"/>
                <w:sz w:val="18"/>
                <w:szCs w:val="18"/>
              </w:rPr>
              <w:t>淬火油槽</w:t>
            </w:r>
          </w:p>
        </w:tc>
        <w:tc>
          <w:tcPr>
            <w:tcW w:w="1126" w:type="pct"/>
            <w:shd w:val="clear" w:color="auto" w:fill="FFFFFF"/>
            <w:tcMar>
              <w:top w:w="0" w:type="dxa"/>
              <w:left w:w="113" w:type="dxa"/>
              <w:bottom w:w="0" w:type="dxa"/>
              <w:right w:w="113" w:type="dxa"/>
            </w:tcMar>
            <w:vAlign w:val="center"/>
          </w:tcPr>
          <w:p w14:paraId="1307EED8">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1"/>
                <w:sz w:val="18"/>
                <w:szCs w:val="18"/>
              </w:rPr>
              <w:t>挥发性有机物</w:t>
            </w:r>
          </w:p>
        </w:tc>
        <w:tc>
          <w:tcPr>
            <w:tcW w:w="1125" w:type="pct"/>
            <w:vMerge w:val="continue"/>
            <w:tcBorders>
              <w:right w:val="single" w:color="000000" w:sz="12" w:space="0"/>
            </w:tcBorders>
            <w:shd w:val="clear" w:color="auto" w:fill="FFFFFF"/>
            <w:tcMar>
              <w:top w:w="0" w:type="dxa"/>
              <w:left w:w="113" w:type="dxa"/>
              <w:bottom w:w="0" w:type="dxa"/>
              <w:right w:w="113" w:type="dxa"/>
            </w:tcMar>
            <w:vAlign w:val="center"/>
          </w:tcPr>
          <w:p w14:paraId="1786CF26">
            <w:pPr>
              <w:keepNext w:val="0"/>
              <w:keepLines w:val="0"/>
              <w:pageBreakBefore w:val="0"/>
              <w:wordWrap/>
              <w:overflowPunct/>
              <w:topLinePunct w:val="0"/>
              <w:bidi w:val="0"/>
              <w:spacing w:line="240" w:lineRule="auto"/>
              <w:ind w:right="0" w:firstLine="0" w:firstLineChars="0"/>
              <w:jc w:val="left"/>
              <w:rPr>
                <w:rFonts w:ascii="Arial"/>
                <w:b w:val="0"/>
                <w:sz w:val="18"/>
                <w:szCs w:val="18"/>
              </w:rPr>
            </w:pPr>
          </w:p>
        </w:tc>
      </w:tr>
      <w:tr w14:paraId="332BB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09" w:type="pct"/>
            <w:vMerge w:val="restart"/>
            <w:tcBorders>
              <w:left w:val="single" w:color="000000" w:sz="12" w:space="0"/>
            </w:tcBorders>
            <w:shd w:val="clear" w:color="auto" w:fill="FFFFFF"/>
            <w:tcMar>
              <w:top w:w="0" w:type="dxa"/>
              <w:left w:w="113" w:type="dxa"/>
              <w:bottom w:w="0" w:type="dxa"/>
              <w:right w:w="113" w:type="dxa"/>
            </w:tcMar>
            <w:vAlign w:val="center"/>
          </w:tcPr>
          <w:p w14:paraId="03B492F4">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pacing w:val="-1"/>
                <w:sz w:val="18"/>
                <w:szCs w:val="18"/>
              </w:rPr>
            </w:pPr>
            <w:r>
              <w:rPr>
                <w:b w:val="0"/>
                <w:spacing w:val="-1"/>
                <w:sz w:val="18"/>
                <w:szCs w:val="18"/>
              </w:rPr>
              <w:t>粘接</w:t>
            </w:r>
          </w:p>
        </w:tc>
        <w:tc>
          <w:tcPr>
            <w:tcW w:w="765" w:type="pct"/>
            <w:vMerge w:val="restart"/>
            <w:shd w:val="clear" w:color="auto" w:fill="FFFFFF"/>
            <w:tcMar>
              <w:top w:w="0" w:type="dxa"/>
              <w:left w:w="113" w:type="dxa"/>
              <w:bottom w:w="0" w:type="dxa"/>
              <w:right w:w="113" w:type="dxa"/>
            </w:tcMar>
            <w:vAlign w:val="center"/>
          </w:tcPr>
          <w:p w14:paraId="14B9612D">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2"/>
                <w:sz w:val="18"/>
                <w:szCs w:val="18"/>
              </w:rPr>
              <w:t>粘接</w:t>
            </w:r>
          </w:p>
        </w:tc>
        <w:tc>
          <w:tcPr>
            <w:tcW w:w="1473" w:type="pct"/>
            <w:shd w:val="clear" w:color="auto" w:fill="FFFFFF"/>
            <w:tcMar>
              <w:top w:w="0" w:type="dxa"/>
              <w:left w:w="113" w:type="dxa"/>
              <w:bottom w:w="0" w:type="dxa"/>
              <w:right w:w="113" w:type="dxa"/>
            </w:tcMar>
            <w:vAlign w:val="center"/>
          </w:tcPr>
          <w:p w14:paraId="38F872B5">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2"/>
                <w:sz w:val="18"/>
                <w:szCs w:val="18"/>
              </w:rPr>
              <w:t>粘胶泵</w:t>
            </w:r>
          </w:p>
        </w:tc>
        <w:tc>
          <w:tcPr>
            <w:tcW w:w="1126" w:type="pct"/>
            <w:shd w:val="clear" w:color="auto" w:fill="FFFFFF"/>
            <w:tcMar>
              <w:top w:w="0" w:type="dxa"/>
              <w:left w:w="113" w:type="dxa"/>
              <w:bottom w:w="0" w:type="dxa"/>
              <w:right w:w="113" w:type="dxa"/>
            </w:tcMar>
            <w:vAlign w:val="center"/>
          </w:tcPr>
          <w:p w14:paraId="33D1B653">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2"/>
                <w:sz w:val="18"/>
                <w:szCs w:val="18"/>
              </w:rPr>
              <w:t>挥发性有机物</w:t>
            </w:r>
          </w:p>
        </w:tc>
        <w:tc>
          <w:tcPr>
            <w:tcW w:w="1125" w:type="pct"/>
            <w:tcBorders>
              <w:right w:val="single" w:color="000000" w:sz="12" w:space="0"/>
            </w:tcBorders>
            <w:shd w:val="clear" w:color="auto" w:fill="FFFFFF"/>
            <w:tcMar>
              <w:top w:w="0" w:type="dxa"/>
              <w:left w:w="113" w:type="dxa"/>
              <w:bottom w:w="0" w:type="dxa"/>
              <w:right w:w="113" w:type="dxa"/>
            </w:tcMar>
            <w:vAlign w:val="center"/>
          </w:tcPr>
          <w:p w14:paraId="4910FCC5">
            <w:pPr>
              <w:pStyle w:val="133"/>
              <w:keepNext w:val="0"/>
              <w:keepLines w:val="0"/>
              <w:pageBreakBefore w:val="0"/>
              <w:wordWrap/>
              <w:overflowPunct/>
              <w:topLinePunct w:val="0"/>
              <w:bidi w:val="0"/>
              <w:spacing w:line="240" w:lineRule="auto"/>
              <w:ind w:left="0" w:right="0" w:firstLine="0" w:firstLineChars="0"/>
              <w:jc w:val="left"/>
              <w:rPr>
                <w:b w:val="0"/>
                <w:sz w:val="18"/>
                <w:szCs w:val="18"/>
              </w:rPr>
            </w:pPr>
            <w:r>
              <w:rPr>
                <w:b w:val="0"/>
                <w:spacing w:val="-2"/>
                <w:sz w:val="18"/>
                <w:szCs w:val="18"/>
              </w:rPr>
              <w:t>有组织</w:t>
            </w:r>
            <w:r>
              <w:rPr>
                <w:rFonts w:hint="eastAsia" w:ascii="Times New Roman" w:hAnsi="Times New Roman" w:cs="Times New Roman"/>
                <w:b w:val="0"/>
                <w:spacing w:val="-2"/>
                <w:sz w:val="18"/>
                <w:szCs w:val="18"/>
                <w:lang w:eastAsia="zh-CN"/>
              </w:rPr>
              <w:t>、</w:t>
            </w:r>
            <w:r>
              <w:rPr>
                <w:b w:val="0"/>
                <w:spacing w:val="-2"/>
                <w:sz w:val="18"/>
                <w:szCs w:val="18"/>
              </w:rPr>
              <w:t>无组织</w:t>
            </w:r>
          </w:p>
        </w:tc>
      </w:tr>
      <w:tr w14:paraId="10D3B5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09" w:type="pct"/>
            <w:vMerge w:val="continue"/>
            <w:tcBorders>
              <w:left w:val="single" w:color="000000" w:sz="12" w:space="0"/>
            </w:tcBorders>
            <w:shd w:val="clear" w:color="auto" w:fill="FFFFFF"/>
            <w:tcMar>
              <w:top w:w="0" w:type="dxa"/>
              <w:left w:w="113" w:type="dxa"/>
              <w:bottom w:w="0" w:type="dxa"/>
              <w:right w:w="113" w:type="dxa"/>
            </w:tcMar>
            <w:vAlign w:val="center"/>
          </w:tcPr>
          <w:p w14:paraId="76E030D0">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pacing w:val="-1"/>
                <w:sz w:val="18"/>
                <w:szCs w:val="18"/>
              </w:rPr>
            </w:pPr>
          </w:p>
        </w:tc>
        <w:tc>
          <w:tcPr>
            <w:tcW w:w="765" w:type="pct"/>
            <w:vMerge w:val="continue"/>
            <w:shd w:val="clear" w:color="auto" w:fill="FFFFFF"/>
            <w:tcMar>
              <w:top w:w="0" w:type="dxa"/>
              <w:left w:w="113" w:type="dxa"/>
              <w:bottom w:w="0" w:type="dxa"/>
              <w:right w:w="113" w:type="dxa"/>
            </w:tcMar>
            <w:vAlign w:val="center"/>
          </w:tcPr>
          <w:p w14:paraId="0144879D">
            <w:pPr>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rFonts w:ascii="Arial"/>
                <w:b w:val="0"/>
                <w:sz w:val="18"/>
                <w:szCs w:val="18"/>
              </w:rPr>
            </w:pPr>
          </w:p>
        </w:tc>
        <w:tc>
          <w:tcPr>
            <w:tcW w:w="1473" w:type="pct"/>
            <w:shd w:val="clear" w:color="auto" w:fill="FFFFFF"/>
            <w:tcMar>
              <w:top w:w="0" w:type="dxa"/>
              <w:left w:w="113" w:type="dxa"/>
              <w:bottom w:w="0" w:type="dxa"/>
              <w:right w:w="113" w:type="dxa"/>
            </w:tcMar>
            <w:vAlign w:val="center"/>
          </w:tcPr>
          <w:p w14:paraId="131CB5AF">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5"/>
                <w:sz w:val="18"/>
                <w:szCs w:val="18"/>
              </w:rPr>
              <w:t>固化间（设备）</w:t>
            </w:r>
          </w:p>
        </w:tc>
        <w:tc>
          <w:tcPr>
            <w:tcW w:w="1126" w:type="pct"/>
            <w:shd w:val="clear" w:color="auto" w:fill="FFFFFF"/>
            <w:tcMar>
              <w:top w:w="0" w:type="dxa"/>
              <w:left w:w="113" w:type="dxa"/>
              <w:bottom w:w="0" w:type="dxa"/>
              <w:right w:w="113" w:type="dxa"/>
            </w:tcMar>
            <w:vAlign w:val="center"/>
          </w:tcPr>
          <w:p w14:paraId="5BB7A067">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2"/>
                <w:sz w:val="18"/>
                <w:szCs w:val="18"/>
              </w:rPr>
              <w:t>挥发性有机物</w:t>
            </w:r>
          </w:p>
        </w:tc>
        <w:tc>
          <w:tcPr>
            <w:tcW w:w="1125" w:type="pct"/>
            <w:tcBorders>
              <w:right w:val="single" w:color="000000" w:sz="12" w:space="0"/>
            </w:tcBorders>
            <w:shd w:val="clear" w:color="auto" w:fill="FFFFFF"/>
            <w:tcMar>
              <w:top w:w="0" w:type="dxa"/>
              <w:left w:w="113" w:type="dxa"/>
              <w:bottom w:w="0" w:type="dxa"/>
              <w:right w:w="113" w:type="dxa"/>
            </w:tcMar>
            <w:vAlign w:val="center"/>
          </w:tcPr>
          <w:p w14:paraId="6A05DA46">
            <w:pPr>
              <w:pStyle w:val="133"/>
              <w:keepNext w:val="0"/>
              <w:keepLines w:val="0"/>
              <w:pageBreakBefore w:val="0"/>
              <w:wordWrap/>
              <w:overflowPunct/>
              <w:topLinePunct w:val="0"/>
              <w:bidi w:val="0"/>
              <w:spacing w:line="240" w:lineRule="auto"/>
              <w:ind w:left="0" w:right="0" w:firstLine="0" w:firstLineChars="0"/>
              <w:jc w:val="left"/>
              <w:rPr>
                <w:b w:val="0"/>
                <w:sz w:val="18"/>
                <w:szCs w:val="18"/>
              </w:rPr>
            </w:pPr>
            <w:r>
              <w:rPr>
                <w:b w:val="0"/>
                <w:spacing w:val="-2"/>
                <w:sz w:val="18"/>
                <w:szCs w:val="18"/>
              </w:rPr>
              <w:t>有组织</w:t>
            </w:r>
          </w:p>
        </w:tc>
      </w:tr>
      <w:tr w14:paraId="7EDA7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09" w:type="pct"/>
            <w:vMerge w:val="restart"/>
            <w:tcBorders>
              <w:left w:val="single" w:color="000000" w:sz="12" w:space="0"/>
            </w:tcBorders>
            <w:shd w:val="clear" w:color="auto" w:fill="FFFFFF"/>
            <w:tcMar>
              <w:top w:w="0" w:type="dxa"/>
              <w:left w:w="113" w:type="dxa"/>
              <w:bottom w:w="0" w:type="dxa"/>
              <w:right w:w="113" w:type="dxa"/>
            </w:tcMar>
            <w:vAlign w:val="center"/>
          </w:tcPr>
          <w:p w14:paraId="5691F585">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pacing w:val="-1"/>
                <w:sz w:val="18"/>
                <w:szCs w:val="18"/>
              </w:rPr>
            </w:pPr>
            <w:r>
              <w:rPr>
                <w:b w:val="0"/>
                <w:spacing w:val="-1"/>
                <w:sz w:val="18"/>
                <w:szCs w:val="18"/>
              </w:rPr>
              <w:t>涂装</w:t>
            </w:r>
          </w:p>
        </w:tc>
        <w:tc>
          <w:tcPr>
            <w:tcW w:w="765" w:type="pct"/>
            <w:shd w:val="clear" w:color="auto" w:fill="FFFFFF"/>
            <w:tcMar>
              <w:top w:w="0" w:type="dxa"/>
              <w:left w:w="113" w:type="dxa"/>
              <w:bottom w:w="0" w:type="dxa"/>
              <w:right w:w="113" w:type="dxa"/>
            </w:tcMar>
            <w:vAlign w:val="center"/>
          </w:tcPr>
          <w:p w14:paraId="3534B32D">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8"/>
                <w:sz w:val="18"/>
                <w:szCs w:val="18"/>
              </w:rPr>
              <w:t>电泳</w:t>
            </w:r>
          </w:p>
        </w:tc>
        <w:tc>
          <w:tcPr>
            <w:tcW w:w="1473" w:type="pct"/>
            <w:shd w:val="clear" w:color="auto" w:fill="FFFFFF"/>
            <w:tcMar>
              <w:top w:w="0" w:type="dxa"/>
              <w:left w:w="113" w:type="dxa"/>
              <w:bottom w:w="0" w:type="dxa"/>
              <w:right w:w="113" w:type="dxa"/>
            </w:tcMar>
            <w:vAlign w:val="center"/>
          </w:tcPr>
          <w:p w14:paraId="2A9ABC33">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7"/>
                <w:sz w:val="18"/>
                <w:szCs w:val="18"/>
              </w:rPr>
              <w:t>电泳槽</w:t>
            </w:r>
          </w:p>
        </w:tc>
        <w:tc>
          <w:tcPr>
            <w:tcW w:w="1126" w:type="pct"/>
            <w:shd w:val="clear" w:color="auto" w:fill="FFFFFF"/>
            <w:tcMar>
              <w:top w:w="0" w:type="dxa"/>
              <w:left w:w="113" w:type="dxa"/>
              <w:bottom w:w="0" w:type="dxa"/>
              <w:right w:w="113" w:type="dxa"/>
            </w:tcMar>
            <w:vAlign w:val="center"/>
          </w:tcPr>
          <w:p w14:paraId="340A1CC1">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1"/>
                <w:sz w:val="18"/>
                <w:szCs w:val="18"/>
              </w:rPr>
              <w:t>挥发性有机物</w:t>
            </w:r>
          </w:p>
        </w:tc>
        <w:tc>
          <w:tcPr>
            <w:tcW w:w="1125" w:type="pct"/>
            <w:vMerge w:val="restart"/>
            <w:tcBorders>
              <w:right w:val="single" w:color="000000" w:sz="12" w:space="0"/>
            </w:tcBorders>
            <w:shd w:val="clear" w:color="auto" w:fill="FFFFFF"/>
            <w:tcMar>
              <w:top w:w="0" w:type="dxa"/>
              <w:left w:w="113" w:type="dxa"/>
              <w:bottom w:w="0" w:type="dxa"/>
              <w:right w:w="113" w:type="dxa"/>
            </w:tcMar>
            <w:vAlign w:val="center"/>
          </w:tcPr>
          <w:p w14:paraId="2D1F5736">
            <w:pPr>
              <w:pStyle w:val="133"/>
              <w:keepNext w:val="0"/>
              <w:keepLines w:val="0"/>
              <w:pageBreakBefore w:val="0"/>
              <w:wordWrap/>
              <w:overflowPunct/>
              <w:topLinePunct w:val="0"/>
              <w:bidi w:val="0"/>
              <w:spacing w:line="240" w:lineRule="auto"/>
              <w:ind w:left="0" w:right="0" w:firstLine="0" w:firstLineChars="0"/>
              <w:jc w:val="left"/>
              <w:rPr>
                <w:b w:val="0"/>
                <w:sz w:val="18"/>
                <w:szCs w:val="18"/>
              </w:rPr>
            </w:pPr>
            <w:r>
              <w:rPr>
                <w:b w:val="0"/>
                <w:spacing w:val="-2"/>
                <w:sz w:val="18"/>
                <w:szCs w:val="18"/>
              </w:rPr>
              <w:t>有组织</w:t>
            </w:r>
            <w:r>
              <w:rPr>
                <w:rFonts w:hint="eastAsia" w:ascii="Times New Roman" w:hAnsi="Times New Roman" w:cs="Times New Roman"/>
                <w:b w:val="0"/>
                <w:spacing w:val="-2"/>
                <w:sz w:val="18"/>
                <w:szCs w:val="18"/>
                <w:lang w:eastAsia="zh-CN"/>
              </w:rPr>
              <w:t>、</w:t>
            </w:r>
            <w:r>
              <w:rPr>
                <w:b w:val="0"/>
                <w:spacing w:val="-2"/>
                <w:sz w:val="18"/>
                <w:szCs w:val="18"/>
              </w:rPr>
              <w:t>无组织</w:t>
            </w:r>
          </w:p>
        </w:tc>
      </w:tr>
      <w:tr w14:paraId="3A8C8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09" w:type="pct"/>
            <w:vMerge w:val="continue"/>
            <w:tcBorders>
              <w:left w:val="single" w:color="000000" w:sz="12" w:space="0"/>
            </w:tcBorders>
            <w:shd w:val="clear" w:color="auto" w:fill="FFFFFF"/>
            <w:tcMar>
              <w:top w:w="0" w:type="dxa"/>
              <w:left w:w="113" w:type="dxa"/>
              <w:bottom w:w="0" w:type="dxa"/>
              <w:right w:w="113" w:type="dxa"/>
            </w:tcMar>
            <w:vAlign w:val="center"/>
          </w:tcPr>
          <w:p w14:paraId="11D34B43">
            <w:pPr>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rFonts w:ascii="Arial"/>
                <w:b w:val="0"/>
                <w:sz w:val="18"/>
                <w:szCs w:val="18"/>
              </w:rPr>
            </w:pPr>
          </w:p>
        </w:tc>
        <w:tc>
          <w:tcPr>
            <w:tcW w:w="765" w:type="pct"/>
            <w:shd w:val="clear" w:color="auto" w:fill="FFFFFF"/>
            <w:tcMar>
              <w:top w:w="0" w:type="dxa"/>
              <w:left w:w="113" w:type="dxa"/>
              <w:bottom w:w="0" w:type="dxa"/>
              <w:right w:w="113" w:type="dxa"/>
            </w:tcMar>
            <w:vAlign w:val="center"/>
          </w:tcPr>
          <w:p w14:paraId="3E0AC052">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3"/>
                <w:sz w:val="18"/>
                <w:szCs w:val="18"/>
              </w:rPr>
              <w:t>涂胶</w:t>
            </w:r>
          </w:p>
        </w:tc>
        <w:tc>
          <w:tcPr>
            <w:tcW w:w="1473" w:type="pct"/>
            <w:shd w:val="clear" w:color="auto" w:fill="FFFFFF"/>
            <w:tcMar>
              <w:top w:w="0" w:type="dxa"/>
              <w:left w:w="113" w:type="dxa"/>
              <w:bottom w:w="0" w:type="dxa"/>
              <w:right w:w="113" w:type="dxa"/>
            </w:tcMar>
            <w:vAlign w:val="center"/>
          </w:tcPr>
          <w:p w14:paraId="01F050F5">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3"/>
                <w:sz w:val="18"/>
                <w:szCs w:val="18"/>
              </w:rPr>
              <w:t>涂胶间（室）</w:t>
            </w:r>
          </w:p>
        </w:tc>
        <w:tc>
          <w:tcPr>
            <w:tcW w:w="1126" w:type="pct"/>
            <w:shd w:val="clear" w:color="auto" w:fill="FFFFFF"/>
            <w:tcMar>
              <w:top w:w="0" w:type="dxa"/>
              <w:left w:w="113" w:type="dxa"/>
              <w:bottom w:w="0" w:type="dxa"/>
              <w:right w:w="113" w:type="dxa"/>
            </w:tcMar>
            <w:vAlign w:val="center"/>
          </w:tcPr>
          <w:p w14:paraId="09DC5EEA">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1"/>
                <w:sz w:val="18"/>
                <w:szCs w:val="18"/>
              </w:rPr>
              <w:t>挥发性有机物</w:t>
            </w:r>
          </w:p>
        </w:tc>
        <w:tc>
          <w:tcPr>
            <w:tcW w:w="1125" w:type="pct"/>
            <w:vMerge w:val="continue"/>
            <w:tcBorders>
              <w:right w:val="single" w:color="000000" w:sz="12" w:space="0"/>
            </w:tcBorders>
            <w:shd w:val="clear" w:color="auto" w:fill="FFFFFF"/>
            <w:tcMar>
              <w:top w:w="0" w:type="dxa"/>
              <w:left w:w="113" w:type="dxa"/>
              <w:bottom w:w="0" w:type="dxa"/>
              <w:right w:w="113" w:type="dxa"/>
            </w:tcMar>
            <w:vAlign w:val="center"/>
          </w:tcPr>
          <w:p w14:paraId="6D7355E9">
            <w:pPr>
              <w:keepNext w:val="0"/>
              <w:keepLines w:val="0"/>
              <w:pageBreakBefore w:val="0"/>
              <w:wordWrap/>
              <w:overflowPunct/>
              <w:topLinePunct w:val="0"/>
              <w:bidi w:val="0"/>
              <w:spacing w:line="240" w:lineRule="auto"/>
              <w:ind w:right="0" w:firstLine="0" w:firstLineChars="0"/>
              <w:jc w:val="left"/>
              <w:rPr>
                <w:rFonts w:ascii="Arial"/>
                <w:b w:val="0"/>
                <w:sz w:val="18"/>
                <w:szCs w:val="18"/>
              </w:rPr>
            </w:pPr>
          </w:p>
        </w:tc>
      </w:tr>
      <w:tr w14:paraId="4147C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09" w:type="pct"/>
            <w:vMerge w:val="continue"/>
            <w:tcBorders>
              <w:left w:val="single" w:color="000000" w:sz="12" w:space="0"/>
            </w:tcBorders>
            <w:shd w:val="clear" w:color="auto" w:fill="FFFFFF"/>
            <w:tcMar>
              <w:top w:w="0" w:type="dxa"/>
              <w:left w:w="113" w:type="dxa"/>
              <w:bottom w:w="0" w:type="dxa"/>
              <w:right w:w="113" w:type="dxa"/>
            </w:tcMar>
            <w:vAlign w:val="center"/>
          </w:tcPr>
          <w:p w14:paraId="1A6361B0">
            <w:pPr>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rFonts w:ascii="Arial"/>
                <w:b w:val="0"/>
                <w:sz w:val="18"/>
                <w:szCs w:val="18"/>
              </w:rPr>
            </w:pPr>
          </w:p>
        </w:tc>
        <w:tc>
          <w:tcPr>
            <w:tcW w:w="765" w:type="pct"/>
            <w:shd w:val="clear" w:color="auto" w:fill="FFFFFF"/>
            <w:tcMar>
              <w:top w:w="0" w:type="dxa"/>
              <w:left w:w="113" w:type="dxa"/>
              <w:bottom w:w="0" w:type="dxa"/>
              <w:right w:w="113" w:type="dxa"/>
            </w:tcMar>
            <w:vAlign w:val="center"/>
          </w:tcPr>
          <w:p w14:paraId="01F68F97">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2"/>
                <w:sz w:val="18"/>
                <w:szCs w:val="18"/>
              </w:rPr>
              <w:t>浸涂</w:t>
            </w:r>
          </w:p>
        </w:tc>
        <w:tc>
          <w:tcPr>
            <w:tcW w:w="1473" w:type="pct"/>
            <w:shd w:val="clear" w:color="auto" w:fill="FFFFFF"/>
            <w:tcMar>
              <w:top w:w="0" w:type="dxa"/>
              <w:left w:w="113" w:type="dxa"/>
              <w:bottom w:w="0" w:type="dxa"/>
              <w:right w:w="113" w:type="dxa"/>
            </w:tcMar>
            <w:vAlign w:val="center"/>
          </w:tcPr>
          <w:p w14:paraId="3952A904">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3"/>
                <w:sz w:val="18"/>
                <w:szCs w:val="18"/>
              </w:rPr>
              <w:t>浸涂设备（室）</w:t>
            </w:r>
          </w:p>
        </w:tc>
        <w:tc>
          <w:tcPr>
            <w:tcW w:w="1126" w:type="pct"/>
            <w:shd w:val="clear" w:color="auto" w:fill="FFFFFF"/>
            <w:tcMar>
              <w:top w:w="0" w:type="dxa"/>
              <w:left w:w="113" w:type="dxa"/>
              <w:bottom w:w="0" w:type="dxa"/>
              <w:right w:w="113" w:type="dxa"/>
            </w:tcMar>
            <w:vAlign w:val="center"/>
          </w:tcPr>
          <w:p w14:paraId="4F36C054">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11"/>
                <w:sz w:val="18"/>
                <w:szCs w:val="18"/>
              </w:rPr>
              <w:t>苯、甲苯、二甲苯、挥发性有机</w:t>
            </w:r>
            <w:r>
              <w:rPr>
                <w:b w:val="0"/>
                <w:sz w:val="18"/>
                <w:szCs w:val="18"/>
              </w:rPr>
              <w:t>物</w:t>
            </w:r>
          </w:p>
        </w:tc>
        <w:tc>
          <w:tcPr>
            <w:tcW w:w="1125" w:type="pct"/>
            <w:vMerge w:val="continue"/>
            <w:tcBorders>
              <w:right w:val="single" w:color="000000" w:sz="12" w:space="0"/>
            </w:tcBorders>
            <w:shd w:val="clear" w:color="auto" w:fill="FFFFFF"/>
            <w:tcMar>
              <w:top w:w="0" w:type="dxa"/>
              <w:left w:w="113" w:type="dxa"/>
              <w:bottom w:w="0" w:type="dxa"/>
              <w:right w:w="113" w:type="dxa"/>
            </w:tcMar>
            <w:vAlign w:val="center"/>
          </w:tcPr>
          <w:p w14:paraId="02F5AFD3">
            <w:pPr>
              <w:keepNext w:val="0"/>
              <w:keepLines w:val="0"/>
              <w:pageBreakBefore w:val="0"/>
              <w:wordWrap/>
              <w:overflowPunct/>
              <w:topLinePunct w:val="0"/>
              <w:bidi w:val="0"/>
              <w:spacing w:line="240" w:lineRule="auto"/>
              <w:ind w:right="0" w:firstLine="0" w:firstLineChars="0"/>
              <w:jc w:val="left"/>
              <w:rPr>
                <w:rFonts w:ascii="Arial"/>
                <w:b w:val="0"/>
                <w:sz w:val="18"/>
                <w:szCs w:val="18"/>
              </w:rPr>
            </w:pPr>
          </w:p>
        </w:tc>
      </w:tr>
      <w:tr w14:paraId="1CE8E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09" w:type="pct"/>
            <w:vMerge w:val="continue"/>
            <w:tcBorders>
              <w:left w:val="single" w:color="000000" w:sz="12" w:space="0"/>
              <w:bottom w:val="single" w:color="000000" w:sz="12" w:space="0"/>
            </w:tcBorders>
            <w:shd w:val="clear" w:color="auto" w:fill="FFFFFF"/>
            <w:tcMar>
              <w:top w:w="0" w:type="dxa"/>
              <w:left w:w="113" w:type="dxa"/>
              <w:bottom w:w="0" w:type="dxa"/>
              <w:right w:w="113" w:type="dxa"/>
            </w:tcMar>
            <w:vAlign w:val="center"/>
          </w:tcPr>
          <w:p w14:paraId="2E55516F">
            <w:pPr>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rFonts w:ascii="Arial"/>
                <w:b w:val="0"/>
                <w:sz w:val="18"/>
                <w:szCs w:val="18"/>
              </w:rPr>
            </w:pPr>
          </w:p>
        </w:tc>
        <w:tc>
          <w:tcPr>
            <w:tcW w:w="765" w:type="pct"/>
            <w:tcBorders>
              <w:bottom w:val="single" w:color="000000" w:sz="12" w:space="0"/>
            </w:tcBorders>
            <w:shd w:val="clear" w:color="auto" w:fill="FFFFFF"/>
            <w:tcMar>
              <w:top w:w="0" w:type="dxa"/>
              <w:left w:w="113" w:type="dxa"/>
              <w:bottom w:w="0" w:type="dxa"/>
              <w:right w:w="113" w:type="dxa"/>
            </w:tcMar>
            <w:vAlign w:val="center"/>
          </w:tcPr>
          <w:p w14:paraId="6EA1C9AF">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4"/>
                <w:sz w:val="18"/>
                <w:szCs w:val="18"/>
              </w:rPr>
              <w:t>喷漆</w:t>
            </w:r>
          </w:p>
          <w:p w14:paraId="043C1D5C">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2"/>
                <w:sz w:val="18"/>
                <w:szCs w:val="18"/>
              </w:rPr>
              <w:t>（底漆</w:t>
            </w:r>
            <w:r>
              <w:rPr>
                <w:rFonts w:ascii="Times New Roman" w:hAnsi="Times New Roman" w:eastAsia="Times New Roman" w:cs="Times New Roman"/>
                <w:b w:val="0"/>
                <w:spacing w:val="-2"/>
                <w:sz w:val="18"/>
                <w:szCs w:val="18"/>
              </w:rPr>
              <w:t>/</w:t>
            </w:r>
            <w:r>
              <w:rPr>
                <w:b w:val="0"/>
                <w:spacing w:val="-2"/>
                <w:sz w:val="18"/>
                <w:szCs w:val="18"/>
              </w:rPr>
              <w:t>中涂</w:t>
            </w:r>
            <w:r>
              <w:rPr>
                <w:rFonts w:ascii="Times New Roman" w:hAnsi="Times New Roman" w:eastAsia="Times New Roman" w:cs="Times New Roman"/>
                <w:b w:val="0"/>
                <w:spacing w:val="-2"/>
                <w:sz w:val="18"/>
                <w:szCs w:val="18"/>
              </w:rPr>
              <w:t>/</w:t>
            </w:r>
            <w:r>
              <w:rPr>
                <w:b w:val="0"/>
                <w:spacing w:val="-2"/>
                <w:sz w:val="18"/>
                <w:szCs w:val="18"/>
              </w:rPr>
              <w:t>面漆</w:t>
            </w:r>
            <w:r>
              <w:rPr>
                <w:rFonts w:ascii="Times New Roman" w:hAnsi="Times New Roman" w:eastAsia="Times New Roman" w:cs="Times New Roman"/>
                <w:b w:val="0"/>
                <w:spacing w:val="-2"/>
                <w:sz w:val="18"/>
                <w:szCs w:val="18"/>
              </w:rPr>
              <w:t>/</w:t>
            </w:r>
            <w:r>
              <w:rPr>
                <w:b w:val="0"/>
                <w:spacing w:val="-4"/>
                <w:sz w:val="18"/>
                <w:szCs w:val="18"/>
              </w:rPr>
              <w:t>罩光清漆）</w:t>
            </w:r>
          </w:p>
        </w:tc>
        <w:tc>
          <w:tcPr>
            <w:tcW w:w="1473" w:type="pct"/>
            <w:tcBorders>
              <w:bottom w:val="single" w:color="000000" w:sz="12" w:space="0"/>
            </w:tcBorders>
            <w:shd w:val="clear" w:color="auto" w:fill="FFFFFF"/>
            <w:tcMar>
              <w:top w:w="0" w:type="dxa"/>
              <w:left w:w="113" w:type="dxa"/>
              <w:bottom w:w="0" w:type="dxa"/>
              <w:right w:w="113" w:type="dxa"/>
            </w:tcMar>
            <w:vAlign w:val="center"/>
          </w:tcPr>
          <w:p w14:paraId="5A5F76EF">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2"/>
                <w:sz w:val="18"/>
                <w:szCs w:val="18"/>
              </w:rPr>
              <w:t>喷漆室（段）、流平室（段）</w:t>
            </w:r>
          </w:p>
        </w:tc>
        <w:tc>
          <w:tcPr>
            <w:tcW w:w="1126" w:type="pct"/>
            <w:tcBorders>
              <w:bottom w:val="single" w:color="000000" w:sz="12" w:space="0"/>
            </w:tcBorders>
            <w:shd w:val="clear" w:color="auto" w:fill="FFFFFF"/>
            <w:tcMar>
              <w:top w:w="0" w:type="dxa"/>
              <w:left w:w="113" w:type="dxa"/>
              <w:bottom w:w="0" w:type="dxa"/>
              <w:right w:w="113" w:type="dxa"/>
            </w:tcMar>
            <w:vAlign w:val="center"/>
          </w:tcPr>
          <w:p w14:paraId="0F69307A">
            <w:pPr>
              <w:pStyle w:val="133"/>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left"/>
              <w:textAlignment w:val="baseline"/>
              <w:rPr>
                <w:b w:val="0"/>
                <w:sz w:val="18"/>
                <w:szCs w:val="18"/>
              </w:rPr>
            </w:pPr>
            <w:r>
              <w:rPr>
                <w:b w:val="0"/>
                <w:spacing w:val="10"/>
                <w:sz w:val="18"/>
                <w:szCs w:val="18"/>
              </w:rPr>
              <w:t>苯、甲苯、二甲苯、挥发性有机</w:t>
            </w:r>
            <w:r>
              <w:rPr>
                <w:b w:val="0"/>
                <w:sz w:val="18"/>
                <w:szCs w:val="18"/>
              </w:rPr>
              <w:t>物</w:t>
            </w:r>
          </w:p>
        </w:tc>
        <w:tc>
          <w:tcPr>
            <w:tcW w:w="1125" w:type="pct"/>
            <w:tcBorders>
              <w:bottom w:val="single" w:color="000000" w:sz="12" w:space="0"/>
              <w:right w:val="single" w:color="000000" w:sz="12" w:space="0"/>
            </w:tcBorders>
            <w:shd w:val="clear" w:color="auto" w:fill="FFFFFF"/>
            <w:tcMar>
              <w:top w:w="0" w:type="dxa"/>
              <w:left w:w="113" w:type="dxa"/>
              <w:bottom w:w="0" w:type="dxa"/>
              <w:right w:w="113" w:type="dxa"/>
            </w:tcMar>
            <w:vAlign w:val="center"/>
          </w:tcPr>
          <w:p w14:paraId="052FA0A3">
            <w:pPr>
              <w:pStyle w:val="133"/>
              <w:keepNext w:val="0"/>
              <w:keepLines w:val="0"/>
              <w:pageBreakBefore w:val="0"/>
              <w:wordWrap/>
              <w:overflowPunct/>
              <w:topLinePunct w:val="0"/>
              <w:bidi w:val="0"/>
              <w:spacing w:line="240" w:lineRule="auto"/>
              <w:ind w:left="0" w:right="0" w:firstLine="0" w:firstLineChars="0"/>
              <w:jc w:val="left"/>
              <w:rPr>
                <w:b w:val="0"/>
                <w:sz w:val="18"/>
                <w:szCs w:val="18"/>
              </w:rPr>
            </w:pPr>
            <w:r>
              <w:rPr>
                <w:b w:val="0"/>
                <w:spacing w:val="-2"/>
                <w:sz w:val="18"/>
                <w:szCs w:val="18"/>
              </w:rPr>
              <w:t>有组织</w:t>
            </w:r>
          </w:p>
        </w:tc>
      </w:tr>
    </w:tbl>
    <w:p w14:paraId="2B47EAFE">
      <w:pPr>
        <w:shd w:val="clear"/>
        <w:rPr>
          <w:rFonts w:hint="eastAsia"/>
          <w:color w:val="auto"/>
          <w:highlight w:val="none"/>
        </w:rPr>
      </w:pPr>
    </w:p>
    <w:p w14:paraId="55DD7F31">
      <w:pPr>
        <w:pStyle w:val="4"/>
        <w:shd w:val="clear"/>
        <w:bidi w:val="0"/>
        <w:rPr>
          <w:color w:val="auto"/>
          <w:highlight w:val="none"/>
        </w:rPr>
      </w:pPr>
      <w:r>
        <w:rPr>
          <w:rFonts w:hint="eastAsia"/>
          <w:color w:val="auto"/>
          <w:highlight w:val="none"/>
          <w:lang w:val="en-US" w:eastAsia="zh-CN"/>
        </w:rPr>
        <w:t>金属制品业</w:t>
      </w:r>
    </w:p>
    <w:p w14:paraId="7381E822">
      <w:pPr>
        <w:shd w:val="clear"/>
        <w:rPr>
          <w:rFonts w:hint="eastAsia"/>
          <w:color w:val="auto"/>
          <w:highlight w:val="none"/>
          <w:lang w:val="en-US" w:eastAsia="zh-CN"/>
        </w:rPr>
      </w:pPr>
      <w:r>
        <w:rPr>
          <w:rFonts w:hint="eastAsia"/>
          <w:color w:val="auto"/>
          <w:highlight w:val="none"/>
          <w:lang w:val="en-US" w:eastAsia="zh-CN"/>
        </w:rPr>
        <w:t>金属制品制造包括结构性金属制品制造、金属工具制造、集装箱及金属包装制造、金属丝绳及其制品制造、建筑安全用金属制品制造、金属表面处理及热处理加工、搪瓷制品制造、金属制日用品制造及其他金属制品制造。金属制品由于被涂物表面会产生氧化物，若未清除干净则在涂装时涂料只是堆积于表面，无法与被涂物紧密地结合，因此金属涂装时，预处理非常重要。</w:t>
      </w:r>
    </w:p>
    <w:p w14:paraId="007FD2C4">
      <w:pPr>
        <w:pStyle w:val="4"/>
        <w:shd w:val="clear"/>
        <w:bidi w:val="0"/>
        <w:rPr>
          <w:color w:val="auto"/>
          <w:highlight w:val="none"/>
        </w:rPr>
      </w:pPr>
      <w:r>
        <w:rPr>
          <w:rFonts w:hint="eastAsia"/>
          <w:color w:val="auto"/>
          <w:highlight w:val="none"/>
          <w:lang w:val="en-US" w:eastAsia="zh-CN"/>
        </w:rPr>
        <w:t>印刷工业</w:t>
      </w:r>
    </w:p>
    <w:p w14:paraId="606EAF21">
      <w:pPr>
        <w:shd w:val="clear"/>
        <w:rPr>
          <w:rFonts w:hint="default"/>
          <w:color w:val="auto"/>
          <w:highlight w:val="none"/>
          <w:lang w:val="en-US" w:eastAsia="zh-CN"/>
        </w:rPr>
      </w:pPr>
      <w:r>
        <w:rPr>
          <w:rFonts w:hint="default"/>
          <w:color w:val="auto"/>
          <w:highlight w:val="none"/>
          <w:lang w:val="en-US" w:eastAsia="zh-CN"/>
        </w:rPr>
        <w:t>印刷生产一般包括印前、印刷、印后加工三个工艺过程。印前过程主要包括制版及印前处理（洗罐、涂布等）等工序。印刷过程主要包括油墨调配和输送、印刷、在机上光、烘干等工序，以及橡皮布清洗和墨路清洗等配套工序。印后过程主要包括装订、表面整饰和包装成型工序。装订可分为精装、平装、骑马订装等；表面整饰工序包括覆膜、上光、烫箔、模切等；包装成型工序包括胶粘剂及光油调配和输送、复合、烘干、糊盒、制袋、装裱、裁切等。</w:t>
      </w:r>
    </w:p>
    <w:p w14:paraId="7E3AFADF">
      <w:pPr>
        <w:shd w:val="clear"/>
        <w:rPr>
          <w:rFonts w:hint="eastAsia"/>
          <w:color w:val="auto"/>
          <w:highlight w:val="none"/>
          <w:lang w:val="en-US" w:eastAsia="zh-CN"/>
        </w:rPr>
      </w:pPr>
      <w:r>
        <w:rPr>
          <w:rFonts w:hint="default"/>
          <w:color w:val="auto"/>
          <w:highlight w:val="none"/>
          <w:lang w:val="en-US" w:eastAsia="zh-CN"/>
        </w:rPr>
        <w:t>印刷行业VOCs排放主要来自含VOCs原辅材料的储存、调配、转移输送，以及印刷、润版、烘干、清洗、上光、覆膜、复合、涂布等工序和含VOCs危险废物的贮存。其中，采用凹版印刷工艺的塑料、纸包装印刷VOCs主要产生于印刷和复合工序，金属包装印刷VOCs主要产生于印刷和涂布工序，采用平版印刷工艺的纸包装印刷VOCs主要产生于润版和清洗工序</w:t>
      </w:r>
      <w:r>
        <w:rPr>
          <w:rFonts w:hint="eastAsia"/>
          <w:color w:val="auto"/>
          <w:highlight w:val="none"/>
          <w:lang w:val="en-US" w:eastAsia="zh-CN"/>
        </w:rPr>
        <w:t>。</w:t>
      </w:r>
    </w:p>
    <w:p w14:paraId="7296A79B">
      <w:pPr>
        <w:pStyle w:val="4"/>
        <w:shd w:val="clear"/>
        <w:bidi w:val="0"/>
        <w:rPr>
          <w:color w:val="auto"/>
          <w:highlight w:val="none"/>
        </w:rPr>
      </w:pPr>
      <w:r>
        <w:rPr>
          <w:rFonts w:hint="eastAsia"/>
          <w:color w:val="auto"/>
          <w:highlight w:val="none"/>
          <w:lang w:val="en-US" w:eastAsia="zh-CN"/>
        </w:rPr>
        <w:t>电子工业</w:t>
      </w:r>
    </w:p>
    <w:p w14:paraId="16243E3B">
      <w:pPr>
        <w:shd w:val="clear"/>
        <w:rPr>
          <w:rFonts w:hint="default" w:eastAsia="宋体"/>
          <w:color w:val="auto"/>
          <w:highlight w:val="none"/>
          <w:lang w:val="en-US" w:eastAsia="zh-CN"/>
        </w:rPr>
      </w:pPr>
      <w:r>
        <w:rPr>
          <w:rFonts w:hint="eastAsia"/>
          <w:color w:val="auto"/>
          <w:highlight w:val="none"/>
          <w:lang w:val="en-US" w:eastAsia="zh-CN"/>
        </w:rPr>
        <w:t>电子工业包括</w:t>
      </w:r>
      <w:r>
        <w:rPr>
          <w:rFonts w:hint="eastAsia" w:eastAsia="宋体"/>
          <w:color w:val="auto"/>
          <w:highlight w:val="none"/>
          <w:lang w:val="en-US" w:eastAsia="zh-CN"/>
        </w:rPr>
        <w:t>从事生产计算机、电子器件、电子元件及电子专用材料、其他电子设备的排污单位。</w:t>
      </w:r>
      <w:r>
        <w:rPr>
          <w:rFonts w:hint="eastAsia"/>
          <w:color w:val="auto"/>
          <w:highlight w:val="none"/>
          <w:lang w:val="en-US" w:eastAsia="zh-CN"/>
        </w:rPr>
        <w:t>电子工业涉及挥发性有机物的排污设施及可行技术见</w:t>
      </w:r>
      <w:r>
        <w:rPr>
          <w:rFonts w:hint="eastAsia"/>
          <w:color w:val="auto"/>
          <w:highlight w:val="none"/>
          <w:lang w:val="en-US" w:eastAsia="zh-CN"/>
        </w:rPr>
        <w:fldChar w:fldCharType="begin"/>
      </w:r>
      <w:r>
        <w:rPr>
          <w:rFonts w:hint="eastAsia"/>
          <w:color w:val="auto"/>
          <w:highlight w:val="none"/>
          <w:lang w:val="en-US" w:eastAsia="zh-CN"/>
        </w:rPr>
        <w:instrText xml:space="preserve"> REF _Ref32563 \h </w:instrText>
      </w:r>
      <w:r>
        <w:rPr>
          <w:rFonts w:hint="eastAsia"/>
          <w:color w:val="auto"/>
          <w:highlight w:val="none"/>
          <w:lang w:val="en-US" w:eastAsia="zh-CN"/>
        </w:rPr>
        <w:fldChar w:fldCharType="separate"/>
      </w:r>
      <w:r>
        <w:rPr>
          <w:rFonts w:ascii="Times New Roman" w:hAnsi="Times New Roman" w:cs="Times New Roman"/>
        </w:rPr>
        <w:t>表4</w:t>
      </w:r>
      <w:r>
        <w:rPr>
          <w:rFonts w:hint="eastAsia"/>
          <w:color w:val="auto"/>
          <w:highlight w:val="none"/>
          <w:lang w:val="en-US" w:eastAsia="zh-CN"/>
        </w:rPr>
        <w:fldChar w:fldCharType="end"/>
      </w:r>
      <w:r>
        <w:rPr>
          <w:rFonts w:hint="eastAsia"/>
          <w:color w:val="auto"/>
          <w:highlight w:val="none"/>
          <w:lang w:val="en-US" w:eastAsia="zh-CN"/>
        </w:rPr>
        <w:t>。</w:t>
      </w:r>
    </w:p>
    <w:p w14:paraId="640E8B63">
      <w:pPr>
        <w:pStyle w:val="129"/>
        <w:shd w:val="clear"/>
        <w:bidi w:val="0"/>
        <w:outlineLvl w:val="4"/>
        <w:rPr>
          <w:rFonts w:hint="default"/>
          <w:lang w:val="en-US" w:eastAsia="zh-CN"/>
        </w:rPr>
      </w:pPr>
      <w:bookmarkStart w:id="91" w:name="_Ref32563"/>
      <w:r>
        <w:t>表</w:t>
      </w:r>
      <w:r>
        <w:fldChar w:fldCharType="begin"/>
      </w:r>
      <w:r>
        <w:instrText xml:space="preserve"> SEQ 表 \* ARABIC </w:instrText>
      </w:r>
      <w:r>
        <w:fldChar w:fldCharType="separate"/>
      </w:r>
      <w:r>
        <w:rPr>
          <w:rFonts w:ascii="Times New Roman" w:hAnsi="Times New Roman" w:cs="Times New Roman"/>
        </w:rPr>
        <w:t>4</w:t>
      </w:r>
      <w:r>
        <w:fldChar w:fldCharType="end"/>
      </w:r>
      <w:bookmarkEnd w:id="91"/>
      <w:r>
        <w:rPr>
          <w:rFonts w:hint="default"/>
          <w:lang w:val="en-US" w:eastAsia="zh-CN"/>
        </w:rPr>
        <w:t xml:space="preserve"> 电子工业排污单位挥发性有机物排放主要设施及可行技术</w:t>
      </w:r>
    </w:p>
    <w:tbl>
      <w:tblPr>
        <w:tblStyle w:val="132"/>
        <w:tblW w:w="899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46"/>
        <w:gridCol w:w="788"/>
        <w:gridCol w:w="1850"/>
        <w:gridCol w:w="2029"/>
        <w:gridCol w:w="1430"/>
        <w:gridCol w:w="2054"/>
      </w:tblGrid>
      <w:tr w14:paraId="207718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8" w:hRule="atLeast"/>
          <w:tblHeader/>
          <w:jc w:val="center"/>
        </w:trPr>
        <w:tc>
          <w:tcPr>
            <w:tcW w:w="1634" w:type="dxa"/>
            <w:gridSpan w:val="2"/>
            <w:tcBorders>
              <w:tl2br w:val="nil"/>
              <w:tr2bl w:val="nil"/>
            </w:tcBorders>
            <w:shd w:val="clear" w:color="auto" w:fill="FFFFFF"/>
            <w:tcMar>
              <w:top w:w="0" w:type="dxa"/>
              <w:left w:w="113" w:type="dxa"/>
              <w:bottom w:w="0" w:type="dxa"/>
              <w:right w:w="113" w:type="dxa"/>
            </w:tcMar>
            <w:vAlign w:val="center"/>
          </w:tcPr>
          <w:p w14:paraId="657E6264">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bCs/>
                <w:color w:val="auto"/>
                <w:spacing w:val="0"/>
                <w:sz w:val="18"/>
                <w:szCs w:val="18"/>
                <w:highlight w:val="none"/>
              </w:rPr>
              <w:t>行业类别</w:t>
            </w:r>
          </w:p>
        </w:tc>
        <w:tc>
          <w:tcPr>
            <w:tcW w:w="1850" w:type="dxa"/>
            <w:tcBorders>
              <w:tl2br w:val="nil"/>
              <w:tr2bl w:val="nil"/>
            </w:tcBorders>
            <w:shd w:val="clear" w:color="auto" w:fill="FFFFFF"/>
            <w:tcMar>
              <w:top w:w="0" w:type="dxa"/>
              <w:left w:w="113" w:type="dxa"/>
              <w:bottom w:w="0" w:type="dxa"/>
              <w:right w:w="113" w:type="dxa"/>
            </w:tcMar>
            <w:vAlign w:val="center"/>
          </w:tcPr>
          <w:p w14:paraId="717C22DC">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bCs/>
                <w:color w:val="auto"/>
                <w:spacing w:val="0"/>
                <w:sz w:val="18"/>
                <w:szCs w:val="18"/>
                <w:highlight w:val="none"/>
              </w:rPr>
              <w:t>主要生产单元</w:t>
            </w:r>
          </w:p>
        </w:tc>
        <w:tc>
          <w:tcPr>
            <w:tcW w:w="2029" w:type="dxa"/>
            <w:tcBorders>
              <w:tl2br w:val="nil"/>
              <w:tr2bl w:val="nil"/>
            </w:tcBorders>
            <w:shd w:val="clear" w:color="auto" w:fill="FFFFFF"/>
            <w:tcMar>
              <w:top w:w="0" w:type="dxa"/>
              <w:left w:w="113" w:type="dxa"/>
              <w:bottom w:w="0" w:type="dxa"/>
              <w:right w:w="113" w:type="dxa"/>
            </w:tcMar>
            <w:vAlign w:val="center"/>
          </w:tcPr>
          <w:p w14:paraId="56C34DE3">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bCs/>
                <w:color w:val="auto"/>
                <w:spacing w:val="0"/>
                <w:sz w:val="18"/>
                <w:szCs w:val="18"/>
                <w:highlight w:val="none"/>
              </w:rPr>
              <w:t>主要生产设施</w:t>
            </w:r>
          </w:p>
        </w:tc>
        <w:tc>
          <w:tcPr>
            <w:tcW w:w="1430" w:type="dxa"/>
            <w:tcBorders>
              <w:tl2br w:val="nil"/>
              <w:tr2bl w:val="nil"/>
            </w:tcBorders>
            <w:shd w:val="clear" w:color="auto" w:fill="FFFFFF"/>
            <w:tcMar>
              <w:top w:w="0" w:type="dxa"/>
              <w:left w:w="113" w:type="dxa"/>
              <w:bottom w:w="0" w:type="dxa"/>
              <w:right w:w="113" w:type="dxa"/>
            </w:tcMar>
            <w:vAlign w:val="center"/>
          </w:tcPr>
          <w:p w14:paraId="74AD34CE">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bCs/>
                <w:color w:val="auto"/>
                <w:spacing w:val="0"/>
                <w:sz w:val="18"/>
                <w:szCs w:val="18"/>
                <w:highlight w:val="none"/>
              </w:rPr>
              <w:t>污染物项目</w:t>
            </w:r>
          </w:p>
        </w:tc>
        <w:tc>
          <w:tcPr>
            <w:tcW w:w="2054" w:type="dxa"/>
            <w:tcBorders>
              <w:tl2br w:val="nil"/>
              <w:tr2bl w:val="nil"/>
            </w:tcBorders>
            <w:shd w:val="clear" w:color="auto" w:fill="FFFFFF"/>
            <w:tcMar>
              <w:top w:w="0" w:type="dxa"/>
              <w:left w:w="113" w:type="dxa"/>
              <w:bottom w:w="0" w:type="dxa"/>
              <w:right w:w="113" w:type="dxa"/>
            </w:tcMar>
            <w:vAlign w:val="center"/>
          </w:tcPr>
          <w:p w14:paraId="4AFF8674">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bCs/>
                <w:color w:val="auto"/>
                <w:spacing w:val="0"/>
                <w:sz w:val="18"/>
                <w:szCs w:val="18"/>
                <w:highlight w:val="none"/>
              </w:rPr>
              <w:t>可行技术</w:t>
            </w:r>
          </w:p>
        </w:tc>
      </w:tr>
      <w:tr w14:paraId="0746E3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34" w:type="dxa"/>
            <w:gridSpan w:val="2"/>
            <w:vMerge w:val="restart"/>
            <w:tcBorders>
              <w:tl2br w:val="nil"/>
              <w:tr2bl w:val="nil"/>
            </w:tcBorders>
            <w:shd w:val="clear" w:color="auto" w:fill="FFFFFF"/>
            <w:tcMar>
              <w:top w:w="0" w:type="dxa"/>
              <w:left w:w="113" w:type="dxa"/>
              <w:bottom w:w="0" w:type="dxa"/>
              <w:right w:w="113" w:type="dxa"/>
            </w:tcMar>
            <w:vAlign w:val="center"/>
          </w:tcPr>
          <w:p w14:paraId="5AFABFDA">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计算机制造排污单位、其他电子设备制造排污单位</w:t>
            </w:r>
          </w:p>
        </w:tc>
        <w:tc>
          <w:tcPr>
            <w:tcW w:w="1850" w:type="dxa"/>
            <w:tcBorders>
              <w:tl2br w:val="nil"/>
              <w:tr2bl w:val="nil"/>
            </w:tcBorders>
            <w:shd w:val="clear" w:color="auto" w:fill="FFFFFF"/>
            <w:tcMar>
              <w:top w:w="0" w:type="dxa"/>
              <w:left w:w="113" w:type="dxa"/>
              <w:bottom w:w="0" w:type="dxa"/>
              <w:right w:w="113" w:type="dxa"/>
            </w:tcMar>
            <w:vAlign w:val="center"/>
          </w:tcPr>
          <w:p w14:paraId="30000481">
            <w:pPr>
              <w:keepNext w:val="0"/>
              <w:keepLines w:val="0"/>
              <w:pageBreakBefore w:val="0"/>
              <w:widowControl w:val="0"/>
              <w:shd w:val="clear"/>
              <w:kinsoku/>
              <w:wordWrap/>
              <w:overflowPunct/>
              <w:topLinePunct w:val="0"/>
              <w:autoSpaceDE/>
              <w:autoSpaceDN/>
              <w:bidi w:val="0"/>
              <w:adjustRightInd/>
              <w:snapToGrid/>
              <w:spacing w:before="0" w:line="240" w:lineRule="auto"/>
              <w:ind w:left="0" w:righ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电路板三防涂覆生产线、注塑生产线</w:t>
            </w:r>
          </w:p>
        </w:tc>
        <w:tc>
          <w:tcPr>
            <w:tcW w:w="2029" w:type="dxa"/>
            <w:tcBorders>
              <w:tl2br w:val="nil"/>
              <w:tr2bl w:val="nil"/>
            </w:tcBorders>
            <w:shd w:val="clear" w:color="auto" w:fill="FFFFFF"/>
            <w:tcMar>
              <w:top w:w="0" w:type="dxa"/>
              <w:left w:w="113" w:type="dxa"/>
              <w:bottom w:w="0" w:type="dxa"/>
              <w:right w:w="113" w:type="dxa"/>
            </w:tcMar>
            <w:vAlign w:val="center"/>
          </w:tcPr>
          <w:p w14:paraId="2D5CEEBB">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涂覆机、注塑机</w:t>
            </w:r>
          </w:p>
        </w:tc>
        <w:tc>
          <w:tcPr>
            <w:tcW w:w="1430" w:type="dxa"/>
            <w:tcBorders>
              <w:tl2br w:val="nil"/>
              <w:tr2bl w:val="nil"/>
            </w:tcBorders>
            <w:shd w:val="clear" w:color="auto" w:fill="FFFFFF"/>
            <w:tcMar>
              <w:top w:w="0" w:type="dxa"/>
              <w:left w:w="113" w:type="dxa"/>
              <w:bottom w:w="0" w:type="dxa"/>
              <w:right w:w="113" w:type="dxa"/>
            </w:tcMar>
            <w:vAlign w:val="center"/>
          </w:tcPr>
          <w:p w14:paraId="2925C853">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挥发性有机物</w:t>
            </w:r>
          </w:p>
        </w:tc>
        <w:tc>
          <w:tcPr>
            <w:tcW w:w="2054" w:type="dxa"/>
            <w:tcBorders>
              <w:tl2br w:val="nil"/>
              <w:tr2bl w:val="nil"/>
            </w:tcBorders>
            <w:shd w:val="clear" w:color="auto" w:fill="FFFFFF"/>
            <w:tcMar>
              <w:top w:w="0" w:type="dxa"/>
              <w:left w:w="113" w:type="dxa"/>
              <w:bottom w:w="0" w:type="dxa"/>
              <w:right w:w="113" w:type="dxa"/>
            </w:tcMar>
            <w:vAlign w:val="center"/>
          </w:tcPr>
          <w:p w14:paraId="7EC4CC17">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活性炭吸附法</w:t>
            </w:r>
          </w:p>
        </w:tc>
      </w:tr>
      <w:tr w14:paraId="47D581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7" w:hRule="atLeast"/>
          <w:jc w:val="center"/>
        </w:trPr>
        <w:tc>
          <w:tcPr>
            <w:tcW w:w="1634" w:type="dxa"/>
            <w:gridSpan w:val="2"/>
            <w:vMerge w:val="continue"/>
            <w:tcBorders>
              <w:tl2br w:val="nil"/>
              <w:tr2bl w:val="nil"/>
            </w:tcBorders>
            <w:shd w:val="clear" w:color="auto" w:fill="FFFFFF"/>
            <w:tcMar>
              <w:top w:w="0" w:type="dxa"/>
              <w:left w:w="113" w:type="dxa"/>
              <w:bottom w:w="0" w:type="dxa"/>
              <w:right w:w="113" w:type="dxa"/>
            </w:tcMar>
            <w:vAlign w:val="center"/>
          </w:tcPr>
          <w:p w14:paraId="2B528980">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ascii="Arial"/>
                <w:b w:val="0"/>
                <w:color w:val="auto"/>
                <w:sz w:val="18"/>
                <w:szCs w:val="18"/>
                <w:highlight w:val="none"/>
              </w:rPr>
            </w:pPr>
          </w:p>
        </w:tc>
        <w:tc>
          <w:tcPr>
            <w:tcW w:w="1850" w:type="dxa"/>
            <w:tcBorders>
              <w:tl2br w:val="nil"/>
              <w:tr2bl w:val="nil"/>
            </w:tcBorders>
            <w:shd w:val="clear" w:color="auto" w:fill="FFFFFF"/>
            <w:tcMar>
              <w:top w:w="0" w:type="dxa"/>
              <w:left w:w="113" w:type="dxa"/>
              <w:bottom w:w="0" w:type="dxa"/>
              <w:right w:w="113" w:type="dxa"/>
            </w:tcMar>
            <w:vAlign w:val="center"/>
          </w:tcPr>
          <w:p w14:paraId="00DE81C5">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喷漆生产线</w:t>
            </w:r>
          </w:p>
        </w:tc>
        <w:tc>
          <w:tcPr>
            <w:tcW w:w="2029" w:type="dxa"/>
            <w:tcBorders>
              <w:tl2br w:val="nil"/>
              <w:tr2bl w:val="nil"/>
            </w:tcBorders>
            <w:shd w:val="clear" w:color="auto" w:fill="FFFFFF"/>
            <w:tcMar>
              <w:top w:w="0" w:type="dxa"/>
              <w:left w:w="113" w:type="dxa"/>
              <w:bottom w:w="0" w:type="dxa"/>
              <w:right w:w="113" w:type="dxa"/>
            </w:tcMar>
            <w:vAlign w:val="center"/>
          </w:tcPr>
          <w:p w14:paraId="4BD15CC1">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喷漆设备、烘干设备</w:t>
            </w:r>
          </w:p>
        </w:tc>
        <w:tc>
          <w:tcPr>
            <w:tcW w:w="1430" w:type="dxa"/>
            <w:tcBorders>
              <w:tl2br w:val="nil"/>
              <w:tr2bl w:val="nil"/>
            </w:tcBorders>
            <w:shd w:val="clear" w:color="auto" w:fill="FFFFFF"/>
            <w:tcMar>
              <w:top w:w="0" w:type="dxa"/>
              <w:left w:w="113" w:type="dxa"/>
              <w:bottom w:w="0" w:type="dxa"/>
              <w:right w:w="113" w:type="dxa"/>
            </w:tcMar>
            <w:vAlign w:val="center"/>
          </w:tcPr>
          <w:p w14:paraId="78315D5C">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挥发性有机物、</w:t>
            </w:r>
          </w:p>
          <w:p w14:paraId="09449CF9">
            <w:pPr>
              <w:keepNext w:val="0"/>
              <w:keepLines w:val="0"/>
              <w:pageBreakBefore w:val="0"/>
              <w:widowControl w:val="0"/>
              <w:shd w:val="clear"/>
              <w:kinsoku/>
              <w:wordWrap/>
              <w:overflowPunct/>
              <w:topLinePunct w:val="0"/>
              <w:autoSpaceDE/>
              <w:autoSpaceDN/>
              <w:bidi w:val="0"/>
              <w:adjustRightInd/>
              <w:snapToGrid/>
              <w:spacing w:before="0" w:line="240" w:lineRule="auto"/>
              <w:ind w:left="0" w:righ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苯、甲苯、二甲苯</w:t>
            </w:r>
          </w:p>
        </w:tc>
        <w:tc>
          <w:tcPr>
            <w:tcW w:w="2054" w:type="dxa"/>
            <w:tcBorders>
              <w:tl2br w:val="nil"/>
              <w:tr2bl w:val="nil"/>
            </w:tcBorders>
            <w:shd w:val="clear" w:color="auto" w:fill="FFFFFF"/>
            <w:tcMar>
              <w:top w:w="0" w:type="dxa"/>
              <w:left w:w="113" w:type="dxa"/>
              <w:bottom w:w="0" w:type="dxa"/>
              <w:right w:w="113" w:type="dxa"/>
            </w:tcMar>
            <w:vAlign w:val="center"/>
          </w:tcPr>
          <w:p w14:paraId="290CC238">
            <w:pPr>
              <w:pStyle w:val="133"/>
              <w:keepNext w:val="0"/>
              <w:keepLines w:val="0"/>
              <w:pageBreakBefore w:val="0"/>
              <w:widowControl w:val="0"/>
              <w:shd w:val="clear"/>
              <w:kinsoku/>
              <w:wordWrap/>
              <w:overflowPunct/>
              <w:topLinePunct w:val="0"/>
              <w:autoSpaceDE/>
              <w:autoSpaceDN/>
              <w:bidi w:val="0"/>
              <w:adjustRightInd/>
              <w:snapToGrid/>
              <w:spacing w:before="0" w:line="240" w:lineRule="auto"/>
              <w:ind w:left="0" w:righ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水帘柜</w:t>
            </w:r>
            <w:r>
              <w:rPr>
                <w:b w:val="0"/>
                <w:color w:val="auto"/>
                <w:spacing w:val="0"/>
                <w:sz w:val="18"/>
                <w:szCs w:val="18"/>
                <w:highlight w:val="none"/>
              </w:rPr>
              <w:t>+</w:t>
            </w:r>
            <w:r>
              <w:rPr>
                <w:rFonts w:ascii="宋体" w:hAnsi="宋体" w:eastAsia="宋体" w:cs="宋体"/>
                <w:b w:val="0"/>
                <w:color w:val="auto"/>
                <w:spacing w:val="0"/>
                <w:sz w:val="18"/>
                <w:szCs w:val="18"/>
                <w:highlight w:val="none"/>
              </w:rPr>
              <w:t>喷淋塔，水帘柜</w:t>
            </w:r>
            <w:r>
              <w:rPr>
                <w:b w:val="0"/>
                <w:color w:val="auto"/>
                <w:spacing w:val="0"/>
                <w:sz w:val="18"/>
                <w:szCs w:val="18"/>
                <w:highlight w:val="none"/>
              </w:rPr>
              <w:t>+</w:t>
            </w:r>
            <w:r>
              <w:rPr>
                <w:rFonts w:ascii="宋体" w:hAnsi="宋体" w:eastAsia="宋体" w:cs="宋体"/>
                <w:b w:val="0"/>
                <w:color w:val="auto"/>
                <w:spacing w:val="0"/>
                <w:sz w:val="18"/>
                <w:szCs w:val="18"/>
                <w:highlight w:val="none"/>
              </w:rPr>
              <w:t>喷淋塔</w:t>
            </w:r>
            <w:r>
              <w:rPr>
                <w:b w:val="0"/>
                <w:color w:val="auto"/>
                <w:spacing w:val="0"/>
                <w:sz w:val="18"/>
                <w:szCs w:val="18"/>
                <w:highlight w:val="none"/>
              </w:rPr>
              <w:t>+</w:t>
            </w:r>
            <w:r>
              <w:rPr>
                <w:rFonts w:ascii="宋体" w:hAnsi="宋体" w:eastAsia="宋体" w:cs="宋体"/>
                <w:b w:val="0"/>
                <w:color w:val="auto"/>
                <w:spacing w:val="0"/>
                <w:sz w:val="18"/>
                <w:szCs w:val="18"/>
                <w:highlight w:val="none"/>
              </w:rPr>
              <w:t>吸附法</w:t>
            </w:r>
          </w:p>
        </w:tc>
      </w:tr>
      <w:tr w14:paraId="7DE2A1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1634" w:type="dxa"/>
            <w:gridSpan w:val="2"/>
            <w:tcBorders>
              <w:tl2br w:val="nil"/>
              <w:tr2bl w:val="nil"/>
            </w:tcBorders>
            <w:shd w:val="clear" w:color="auto" w:fill="FFFFFF"/>
            <w:tcMar>
              <w:top w:w="0" w:type="dxa"/>
              <w:left w:w="113" w:type="dxa"/>
              <w:bottom w:w="0" w:type="dxa"/>
              <w:right w:w="113" w:type="dxa"/>
            </w:tcMar>
            <w:vAlign w:val="center"/>
          </w:tcPr>
          <w:p w14:paraId="62771967">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电子真空器件制造排污单位</w:t>
            </w:r>
          </w:p>
        </w:tc>
        <w:tc>
          <w:tcPr>
            <w:tcW w:w="1850" w:type="dxa"/>
            <w:tcBorders>
              <w:tl2br w:val="nil"/>
              <w:tr2bl w:val="nil"/>
            </w:tcBorders>
            <w:shd w:val="clear" w:color="auto" w:fill="FFFFFF"/>
            <w:tcMar>
              <w:top w:w="0" w:type="dxa"/>
              <w:left w:w="113" w:type="dxa"/>
              <w:bottom w:w="0" w:type="dxa"/>
              <w:right w:w="113" w:type="dxa"/>
            </w:tcMar>
            <w:vAlign w:val="center"/>
          </w:tcPr>
          <w:p w14:paraId="224205C6">
            <w:pPr>
              <w:keepNext w:val="0"/>
              <w:keepLines w:val="0"/>
              <w:pageBreakBefore w:val="0"/>
              <w:widowControl w:val="0"/>
              <w:shd w:val="clear"/>
              <w:kinsoku/>
              <w:wordWrap/>
              <w:overflowPunct/>
              <w:topLinePunct w:val="0"/>
              <w:autoSpaceDE/>
              <w:autoSpaceDN/>
              <w:bidi w:val="0"/>
              <w:adjustRightInd/>
              <w:snapToGrid/>
              <w:spacing w:before="0" w:line="240" w:lineRule="auto"/>
              <w:ind w:left="0" w:righ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零件处理、表面涂</w:t>
            </w:r>
            <w:r>
              <w:rPr>
                <w:rFonts w:ascii="宋体" w:hAnsi="宋体" w:eastAsia="宋体" w:cs="宋体"/>
                <w:b w:val="0"/>
                <w:color w:val="auto"/>
                <w:sz w:val="18"/>
                <w:szCs w:val="18"/>
                <w:highlight w:val="none"/>
              </w:rPr>
              <w:t>覆</w:t>
            </w:r>
          </w:p>
        </w:tc>
        <w:tc>
          <w:tcPr>
            <w:tcW w:w="2029" w:type="dxa"/>
            <w:tcBorders>
              <w:tl2br w:val="nil"/>
              <w:tr2bl w:val="nil"/>
            </w:tcBorders>
            <w:shd w:val="clear" w:color="auto" w:fill="FFFFFF"/>
            <w:tcMar>
              <w:top w:w="0" w:type="dxa"/>
              <w:left w:w="113" w:type="dxa"/>
              <w:bottom w:w="0" w:type="dxa"/>
              <w:right w:w="113" w:type="dxa"/>
            </w:tcMar>
            <w:vAlign w:val="center"/>
          </w:tcPr>
          <w:p w14:paraId="23063DB2">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清洗机、涂覆机</w:t>
            </w:r>
          </w:p>
        </w:tc>
        <w:tc>
          <w:tcPr>
            <w:tcW w:w="1430" w:type="dxa"/>
            <w:tcBorders>
              <w:tl2br w:val="nil"/>
              <w:tr2bl w:val="nil"/>
            </w:tcBorders>
            <w:shd w:val="clear" w:color="auto" w:fill="FFFFFF"/>
            <w:tcMar>
              <w:top w:w="0" w:type="dxa"/>
              <w:left w:w="113" w:type="dxa"/>
              <w:bottom w:w="0" w:type="dxa"/>
              <w:right w:w="113" w:type="dxa"/>
            </w:tcMar>
            <w:vAlign w:val="center"/>
          </w:tcPr>
          <w:p w14:paraId="049F84BA">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挥发性有机物</w:t>
            </w:r>
          </w:p>
        </w:tc>
        <w:tc>
          <w:tcPr>
            <w:tcW w:w="2054" w:type="dxa"/>
            <w:tcBorders>
              <w:tl2br w:val="nil"/>
              <w:tr2bl w:val="nil"/>
            </w:tcBorders>
            <w:shd w:val="clear" w:color="auto" w:fill="FFFFFF"/>
            <w:tcMar>
              <w:top w:w="0" w:type="dxa"/>
              <w:left w:w="113" w:type="dxa"/>
              <w:bottom w:w="0" w:type="dxa"/>
              <w:right w:w="113" w:type="dxa"/>
            </w:tcMar>
            <w:vAlign w:val="center"/>
          </w:tcPr>
          <w:p w14:paraId="3821945C">
            <w:pPr>
              <w:pStyle w:val="133"/>
              <w:keepNext w:val="0"/>
              <w:keepLines w:val="0"/>
              <w:pageBreakBefore w:val="0"/>
              <w:widowControl w:val="0"/>
              <w:shd w:val="clear"/>
              <w:kinsoku/>
              <w:wordWrap/>
              <w:overflowPunct/>
              <w:topLinePunct w:val="0"/>
              <w:autoSpaceDE/>
              <w:autoSpaceDN/>
              <w:bidi w:val="0"/>
              <w:adjustRightInd/>
              <w:snapToGrid/>
              <w:spacing w:before="0" w:line="240" w:lineRule="auto"/>
              <w:ind w:left="0" w:righ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活性炭吸附法，燃烧法，浓缩</w:t>
            </w:r>
            <w:r>
              <w:rPr>
                <w:b w:val="0"/>
                <w:color w:val="auto"/>
                <w:spacing w:val="0"/>
                <w:sz w:val="18"/>
                <w:szCs w:val="18"/>
                <w:highlight w:val="none"/>
              </w:rPr>
              <w:t>+</w:t>
            </w:r>
            <w:r>
              <w:rPr>
                <w:rFonts w:ascii="宋体" w:hAnsi="宋体" w:eastAsia="宋体" w:cs="宋体"/>
                <w:b w:val="0"/>
                <w:color w:val="auto"/>
                <w:spacing w:val="0"/>
                <w:sz w:val="18"/>
                <w:szCs w:val="18"/>
                <w:highlight w:val="none"/>
              </w:rPr>
              <w:t>燃烧法</w:t>
            </w:r>
          </w:p>
        </w:tc>
      </w:tr>
      <w:tr w14:paraId="5E5690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55" w:hRule="atLeast"/>
          <w:jc w:val="center"/>
        </w:trPr>
        <w:tc>
          <w:tcPr>
            <w:tcW w:w="1634" w:type="dxa"/>
            <w:gridSpan w:val="2"/>
            <w:tcBorders>
              <w:tl2br w:val="nil"/>
              <w:tr2bl w:val="nil"/>
            </w:tcBorders>
            <w:shd w:val="clear" w:color="auto" w:fill="FFFFFF"/>
            <w:tcMar>
              <w:top w:w="0" w:type="dxa"/>
              <w:left w:w="113" w:type="dxa"/>
              <w:bottom w:w="0" w:type="dxa"/>
              <w:right w:w="113" w:type="dxa"/>
            </w:tcMar>
            <w:vAlign w:val="center"/>
          </w:tcPr>
          <w:p w14:paraId="69727ECE">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半导体分立器件制造、集成电路制造、半导体照明器件制</w:t>
            </w:r>
          </w:p>
          <w:p w14:paraId="392A5633">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造、光电子器件制造、其他电子器件制造排污单位</w:t>
            </w:r>
          </w:p>
        </w:tc>
        <w:tc>
          <w:tcPr>
            <w:tcW w:w="1850" w:type="dxa"/>
            <w:tcBorders>
              <w:tl2br w:val="nil"/>
              <w:tr2bl w:val="nil"/>
            </w:tcBorders>
            <w:shd w:val="clear" w:color="auto" w:fill="FFFFFF"/>
            <w:tcMar>
              <w:top w:w="0" w:type="dxa"/>
              <w:left w:w="113" w:type="dxa"/>
              <w:bottom w:w="0" w:type="dxa"/>
              <w:right w:w="113" w:type="dxa"/>
            </w:tcMar>
            <w:vAlign w:val="center"/>
          </w:tcPr>
          <w:p w14:paraId="647338EB">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清洗、光刻、封装</w:t>
            </w:r>
          </w:p>
        </w:tc>
        <w:tc>
          <w:tcPr>
            <w:tcW w:w="2029" w:type="dxa"/>
            <w:tcBorders>
              <w:tl2br w:val="nil"/>
              <w:tr2bl w:val="nil"/>
            </w:tcBorders>
            <w:shd w:val="clear" w:color="auto" w:fill="FFFFFF"/>
            <w:tcMar>
              <w:top w:w="0" w:type="dxa"/>
              <w:left w:w="113" w:type="dxa"/>
              <w:bottom w:w="0" w:type="dxa"/>
              <w:right w:w="113" w:type="dxa"/>
            </w:tcMar>
            <w:vAlign w:val="center"/>
          </w:tcPr>
          <w:p w14:paraId="083610F9">
            <w:pPr>
              <w:keepNext w:val="0"/>
              <w:keepLines w:val="0"/>
              <w:pageBreakBefore w:val="0"/>
              <w:widowControl w:val="0"/>
              <w:shd w:val="clear"/>
              <w:kinsoku/>
              <w:wordWrap/>
              <w:overflowPunct/>
              <w:topLinePunct w:val="0"/>
              <w:autoSpaceDE/>
              <w:autoSpaceDN/>
              <w:bidi w:val="0"/>
              <w:adjustRightInd/>
              <w:snapToGrid/>
              <w:spacing w:before="0" w:line="240" w:lineRule="auto"/>
              <w:ind w:left="0" w:righ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清洗机、光刻机、显影机、涂胶机、塑封压机、烤箱</w:t>
            </w:r>
          </w:p>
        </w:tc>
        <w:tc>
          <w:tcPr>
            <w:tcW w:w="1430" w:type="dxa"/>
            <w:tcBorders>
              <w:tl2br w:val="nil"/>
              <w:tr2bl w:val="nil"/>
            </w:tcBorders>
            <w:shd w:val="clear" w:color="auto" w:fill="FFFFFF"/>
            <w:tcMar>
              <w:top w:w="0" w:type="dxa"/>
              <w:left w:w="113" w:type="dxa"/>
              <w:bottom w:w="0" w:type="dxa"/>
              <w:right w:w="113" w:type="dxa"/>
            </w:tcMar>
            <w:vAlign w:val="center"/>
          </w:tcPr>
          <w:p w14:paraId="6A4B845D">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挥发性有机物</w:t>
            </w:r>
          </w:p>
        </w:tc>
        <w:tc>
          <w:tcPr>
            <w:tcW w:w="2054" w:type="dxa"/>
            <w:tcBorders>
              <w:tl2br w:val="nil"/>
              <w:tr2bl w:val="nil"/>
            </w:tcBorders>
            <w:shd w:val="clear" w:color="auto" w:fill="FFFFFF"/>
            <w:tcMar>
              <w:top w:w="0" w:type="dxa"/>
              <w:left w:w="113" w:type="dxa"/>
              <w:bottom w:w="0" w:type="dxa"/>
              <w:right w:w="113" w:type="dxa"/>
            </w:tcMar>
            <w:vAlign w:val="center"/>
          </w:tcPr>
          <w:p w14:paraId="6716FE1A">
            <w:pPr>
              <w:pStyle w:val="133"/>
              <w:keepNext w:val="0"/>
              <w:keepLines w:val="0"/>
              <w:pageBreakBefore w:val="0"/>
              <w:widowControl w:val="0"/>
              <w:shd w:val="clear"/>
              <w:kinsoku/>
              <w:wordWrap/>
              <w:overflowPunct/>
              <w:topLinePunct w:val="0"/>
              <w:autoSpaceDE/>
              <w:autoSpaceDN/>
              <w:bidi w:val="0"/>
              <w:adjustRightInd/>
              <w:snapToGrid/>
              <w:spacing w:before="0" w:line="240" w:lineRule="auto"/>
              <w:ind w:left="0" w:righ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活性炭吸附法，燃烧法，浓缩</w:t>
            </w:r>
            <w:r>
              <w:rPr>
                <w:b w:val="0"/>
                <w:color w:val="auto"/>
                <w:spacing w:val="0"/>
                <w:sz w:val="18"/>
                <w:szCs w:val="18"/>
                <w:highlight w:val="none"/>
              </w:rPr>
              <w:t>+</w:t>
            </w:r>
            <w:r>
              <w:rPr>
                <w:rFonts w:ascii="宋体" w:hAnsi="宋体" w:eastAsia="宋体" w:cs="宋体"/>
                <w:b w:val="0"/>
                <w:color w:val="auto"/>
                <w:spacing w:val="0"/>
                <w:sz w:val="18"/>
                <w:szCs w:val="18"/>
                <w:highlight w:val="none"/>
              </w:rPr>
              <w:t>燃烧法</w:t>
            </w:r>
          </w:p>
        </w:tc>
      </w:tr>
      <w:tr w14:paraId="7EF067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6" w:hRule="atLeast"/>
          <w:jc w:val="center"/>
        </w:trPr>
        <w:tc>
          <w:tcPr>
            <w:tcW w:w="1634" w:type="dxa"/>
            <w:gridSpan w:val="2"/>
            <w:tcBorders>
              <w:tl2br w:val="nil"/>
              <w:tr2bl w:val="nil"/>
            </w:tcBorders>
            <w:shd w:val="clear" w:color="auto" w:fill="FFFFFF"/>
            <w:tcMar>
              <w:top w:w="0" w:type="dxa"/>
              <w:left w:w="113" w:type="dxa"/>
              <w:bottom w:w="0" w:type="dxa"/>
              <w:right w:w="113" w:type="dxa"/>
            </w:tcMar>
            <w:vAlign w:val="center"/>
          </w:tcPr>
          <w:p w14:paraId="2F379067">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显示器件制造排污单位</w:t>
            </w:r>
          </w:p>
        </w:tc>
        <w:tc>
          <w:tcPr>
            <w:tcW w:w="1850" w:type="dxa"/>
            <w:tcBorders>
              <w:tl2br w:val="nil"/>
              <w:tr2bl w:val="nil"/>
            </w:tcBorders>
            <w:shd w:val="clear" w:color="auto" w:fill="FFFFFF"/>
            <w:tcMar>
              <w:top w:w="0" w:type="dxa"/>
              <w:left w:w="113" w:type="dxa"/>
              <w:bottom w:w="0" w:type="dxa"/>
              <w:right w:w="113" w:type="dxa"/>
            </w:tcMar>
            <w:vAlign w:val="center"/>
          </w:tcPr>
          <w:p w14:paraId="26BD52D8">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阵列、彩膜、成盒、模组、蒸镀</w:t>
            </w:r>
          </w:p>
        </w:tc>
        <w:tc>
          <w:tcPr>
            <w:tcW w:w="2029" w:type="dxa"/>
            <w:tcBorders>
              <w:tl2br w:val="nil"/>
              <w:tr2bl w:val="nil"/>
            </w:tcBorders>
            <w:shd w:val="clear" w:color="auto" w:fill="FFFFFF"/>
            <w:tcMar>
              <w:top w:w="0" w:type="dxa"/>
              <w:left w:w="113" w:type="dxa"/>
              <w:bottom w:w="0" w:type="dxa"/>
              <w:right w:w="113" w:type="dxa"/>
            </w:tcMar>
            <w:vAlign w:val="center"/>
          </w:tcPr>
          <w:p w14:paraId="6F892DDE">
            <w:pPr>
              <w:keepNext w:val="0"/>
              <w:keepLines w:val="0"/>
              <w:pageBreakBefore w:val="0"/>
              <w:widowControl w:val="0"/>
              <w:shd w:val="clear"/>
              <w:kinsoku/>
              <w:wordWrap/>
              <w:overflowPunct/>
              <w:topLinePunct w:val="0"/>
              <w:autoSpaceDE/>
              <w:autoSpaceDN/>
              <w:bidi w:val="0"/>
              <w:adjustRightInd/>
              <w:snapToGrid/>
              <w:spacing w:before="0" w:line="240" w:lineRule="auto"/>
              <w:ind w:left="0" w:righ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清洗机、光刻机、显影机、涂胶机、剥离设备</w:t>
            </w:r>
          </w:p>
        </w:tc>
        <w:tc>
          <w:tcPr>
            <w:tcW w:w="1430" w:type="dxa"/>
            <w:tcBorders>
              <w:tl2br w:val="nil"/>
              <w:tr2bl w:val="nil"/>
            </w:tcBorders>
            <w:shd w:val="clear" w:color="auto" w:fill="FFFFFF"/>
            <w:tcMar>
              <w:top w:w="0" w:type="dxa"/>
              <w:left w:w="113" w:type="dxa"/>
              <w:bottom w:w="0" w:type="dxa"/>
              <w:right w:w="113" w:type="dxa"/>
            </w:tcMar>
            <w:vAlign w:val="center"/>
          </w:tcPr>
          <w:p w14:paraId="7C82324F">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挥发性有机物</w:t>
            </w:r>
          </w:p>
        </w:tc>
        <w:tc>
          <w:tcPr>
            <w:tcW w:w="2054" w:type="dxa"/>
            <w:tcBorders>
              <w:tl2br w:val="nil"/>
              <w:tr2bl w:val="nil"/>
            </w:tcBorders>
            <w:shd w:val="clear" w:color="auto" w:fill="FFFFFF"/>
            <w:tcMar>
              <w:top w:w="0" w:type="dxa"/>
              <w:left w:w="113" w:type="dxa"/>
              <w:bottom w:w="0" w:type="dxa"/>
              <w:right w:w="113" w:type="dxa"/>
            </w:tcMar>
            <w:vAlign w:val="center"/>
          </w:tcPr>
          <w:p w14:paraId="3ADB885C">
            <w:pPr>
              <w:pStyle w:val="133"/>
              <w:keepNext w:val="0"/>
              <w:keepLines w:val="0"/>
              <w:pageBreakBefore w:val="0"/>
              <w:widowControl w:val="0"/>
              <w:shd w:val="clear"/>
              <w:kinsoku/>
              <w:wordWrap/>
              <w:overflowPunct/>
              <w:topLinePunct w:val="0"/>
              <w:autoSpaceDE/>
              <w:autoSpaceDN/>
              <w:bidi w:val="0"/>
              <w:adjustRightInd/>
              <w:snapToGrid/>
              <w:spacing w:before="0" w:line="240" w:lineRule="auto"/>
              <w:ind w:left="0" w:righ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活性炭吸附法，燃烧法，浓缩</w:t>
            </w:r>
            <w:r>
              <w:rPr>
                <w:b w:val="0"/>
                <w:color w:val="auto"/>
                <w:spacing w:val="0"/>
                <w:sz w:val="18"/>
                <w:szCs w:val="18"/>
                <w:highlight w:val="none"/>
              </w:rPr>
              <w:t>+</w:t>
            </w:r>
            <w:r>
              <w:rPr>
                <w:rFonts w:ascii="宋体" w:hAnsi="宋体" w:eastAsia="宋体" w:cs="宋体"/>
                <w:b w:val="0"/>
                <w:color w:val="auto"/>
                <w:spacing w:val="0"/>
                <w:sz w:val="18"/>
                <w:szCs w:val="18"/>
                <w:highlight w:val="none"/>
              </w:rPr>
              <w:t>燃烧法</w:t>
            </w:r>
          </w:p>
        </w:tc>
      </w:tr>
      <w:tr w14:paraId="124417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25" w:hRule="atLeast"/>
          <w:jc w:val="center"/>
        </w:trPr>
        <w:tc>
          <w:tcPr>
            <w:tcW w:w="1634" w:type="dxa"/>
            <w:gridSpan w:val="2"/>
            <w:tcBorders>
              <w:tl2br w:val="nil"/>
              <w:tr2bl w:val="nil"/>
            </w:tcBorders>
            <w:shd w:val="clear" w:color="auto" w:fill="FFFFFF"/>
            <w:tcMar>
              <w:top w:w="0" w:type="dxa"/>
              <w:left w:w="113" w:type="dxa"/>
              <w:bottom w:w="0" w:type="dxa"/>
              <w:right w:w="113" w:type="dxa"/>
            </w:tcMar>
            <w:vAlign w:val="center"/>
          </w:tcPr>
          <w:p w14:paraId="6F3ED947">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Arial" w:eastAsia="宋体"/>
                <w:b w:val="0"/>
                <w:color w:val="auto"/>
                <w:sz w:val="18"/>
                <w:szCs w:val="18"/>
                <w:highlight w:val="none"/>
                <w:lang w:val="en-US" w:eastAsia="zh-CN"/>
              </w:rPr>
            </w:pPr>
            <w:r>
              <w:rPr>
                <w:rFonts w:hint="eastAsia" w:eastAsia="宋体"/>
                <w:b w:val="0"/>
                <w:color w:val="auto"/>
                <w:sz w:val="18"/>
                <w:szCs w:val="18"/>
                <w:highlight w:val="none"/>
                <w:lang w:val="en-US" w:eastAsia="zh-CN"/>
              </w:rPr>
              <w:t>电阻电容电感元件制造、敏感元件及传感器制造、电声器件及零部件制造、其他电子元件制造排污单位</w:t>
            </w:r>
          </w:p>
        </w:tc>
        <w:tc>
          <w:tcPr>
            <w:tcW w:w="1850" w:type="dxa"/>
            <w:tcBorders>
              <w:tl2br w:val="nil"/>
              <w:tr2bl w:val="nil"/>
            </w:tcBorders>
            <w:shd w:val="clear" w:color="auto" w:fill="FFFFFF"/>
            <w:tcMar>
              <w:top w:w="0" w:type="dxa"/>
              <w:left w:w="113" w:type="dxa"/>
              <w:bottom w:w="0" w:type="dxa"/>
              <w:right w:w="113" w:type="dxa"/>
            </w:tcMar>
            <w:vAlign w:val="center"/>
          </w:tcPr>
          <w:p w14:paraId="32C5BF76">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混合、成型、印刷、清洗、烘干</w:t>
            </w:r>
            <w:r>
              <w:rPr>
                <w:b w:val="0"/>
                <w:color w:val="auto"/>
                <w:spacing w:val="0"/>
                <w:sz w:val="18"/>
                <w:szCs w:val="18"/>
                <w:highlight w:val="none"/>
              </w:rPr>
              <w:t>/</w:t>
            </w:r>
            <w:r>
              <w:rPr>
                <w:rFonts w:ascii="宋体" w:hAnsi="宋体" w:eastAsia="宋体" w:cs="宋体"/>
                <w:b w:val="0"/>
                <w:color w:val="auto"/>
                <w:spacing w:val="0"/>
                <w:sz w:val="18"/>
                <w:szCs w:val="18"/>
                <w:highlight w:val="none"/>
              </w:rPr>
              <w:t>烧成、涂覆、点胶</w:t>
            </w:r>
          </w:p>
        </w:tc>
        <w:tc>
          <w:tcPr>
            <w:tcW w:w="2029" w:type="dxa"/>
            <w:tcBorders>
              <w:tl2br w:val="nil"/>
              <w:tr2bl w:val="nil"/>
            </w:tcBorders>
            <w:shd w:val="clear" w:color="auto" w:fill="FFFFFF"/>
            <w:tcMar>
              <w:top w:w="0" w:type="dxa"/>
              <w:left w:w="113" w:type="dxa"/>
              <w:bottom w:w="0" w:type="dxa"/>
              <w:right w:w="113" w:type="dxa"/>
            </w:tcMar>
            <w:vAlign w:val="center"/>
          </w:tcPr>
          <w:p w14:paraId="4970D3A8">
            <w:pPr>
              <w:pStyle w:val="133"/>
              <w:keepNext w:val="0"/>
              <w:keepLines w:val="0"/>
              <w:pageBreakBefore w:val="0"/>
              <w:widowControl w:val="0"/>
              <w:shd w:val="clear"/>
              <w:kinsoku/>
              <w:wordWrap/>
              <w:overflowPunct/>
              <w:topLinePunct w:val="0"/>
              <w:autoSpaceDE/>
              <w:autoSpaceDN/>
              <w:bidi w:val="0"/>
              <w:adjustRightInd/>
              <w:snapToGrid/>
              <w:spacing w:before="0" w:line="240" w:lineRule="auto"/>
              <w:ind w:left="0" w:righ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混合机、成型机、印刷机、清洗机、烘干机</w:t>
            </w:r>
            <w:r>
              <w:rPr>
                <w:b w:val="0"/>
                <w:color w:val="auto"/>
                <w:spacing w:val="0"/>
                <w:sz w:val="18"/>
                <w:szCs w:val="18"/>
                <w:highlight w:val="none"/>
              </w:rPr>
              <w:t>/</w:t>
            </w:r>
            <w:r>
              <w:rPr>
                <w:rFonts w:ascii="宋体" w:hAnsi="宋体" w:eastAsia="宋体" w:cs="宋体"/>
                <w:b w:val="0"/>
                <w:color w:val="auto"/>
                <w:spacing w:val="0"/>
                <w:sz w:val="18"/>
                <w:szCs w:val="18"/>
                <w:highlight w:val="none"/>
              </w:rPr>
              <w:t>烧成炉、涂覆机、点胶机</w:t>
            </w:r>
          </w:p>
        </w:tc>
        <w:tc>
          <w:tcPr>
            <w:tcW w:w="1430" w:type="dxa"/>
            <w:tcBorders>
              <w:tl2br w:val="nil"/>
              <w:tr2bl w:val="nil"/>
            </w:tcBorders>
            <w:shd w:val="clear" w:color="auto" w:fill="FFFFFF"/>
            <w:tcMar>
              <w:top w:w="0" w:type="dxa"/>
              <w:left w:w="113" w:type="dxa"/>
              <w:bottom w:w="0" w:type="dxa"/>
              <w:right w:w="113" w:type="dxa"/>
            </w:tcMar>
            <w:vAlign w:val="center"/>
          </w:tcPr>
          <w:p w14:paraId="2A5A0E44">
            <w:pPr>
              <w:keepNext w:val="0"/>
              <w:keepLines w:val="0"/>
              <w:pageBreakBefore w:val="0"/>
              <w:widowControl w:val="0"/>
              <w:shd w:val="clear"/>
              <w:kinsoku/>
              <w:wordWrap/>
              <w:overflowPunct/>
              <w:topLinePunct w:val="0"/>
              <w:autoSpaceDE/>
              <w:autoSpaceDN/>
              <w:bidi w:val="0"/>
              <w:adjustRightInd/>
              <w:snapToGrid/>
              <w:spacing w:before="0" w:line="240" w:lineRule="auto"/>
              <w:ind w:left="0" w:righ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挥发性有机物、甲</w:t>
            </w:r>
            <w:r>
              <w:rPr>
                <w:rFonts w:ascii="宋体" w:hAnsi="宋体" w:eastAsia="宋体" w:cs="宋体"/>
                <w:b w:val="0"/>
                <w:color w:val="auto"/>
                <w:sz w:val="18"/>
                <w:szCs w:val="18"/>
                <w:highlight w:val="none"/>
              </w:rPr>
              <w:t>苯</w:t>
            </w:r>
          </w:p>
        </w:tc>
        <w:tc>
          <w:tcPr>
            <w:tcW w:w="2054" w:type="dxa"/>
            <w:tcBorders>
              <w:tl2br w:val="nil"/>
              <w:tr2bl w:val="nil"/>
            </w:tcBorders>
            <w:shd w:val="clear" w:color="auto" w:fill="FFFFFF"/>
            <w:tcMar>
              <w:top w:w="0" w:type="dxa"/>
              <w:left w:w="113" w:type="dxa"/>
              <w:bottom w:w="0" w:type="dxa"/>
              <w:right w:w="113" w:type="dxa"/>
            </w:tcMar>
            <w:vAlign w:val="center"/>
          </w:tcPr>
          <w:p w14:paraId="6E530550">
            <w:pPr>
              <w:pStyle w:val="133"/>
              <w:keepNext w:val="0"/>
              <w:keepLines w:val="0"/>
              <w:pageBreakBefore w:val="0"/>
              <w:widowControl w:val="0"/>
              <w:shd w:val="clear"/>
              <w:kinsoku/>
              <w:wordWrap/>
              <w:overflowPunct/>
              <w:topLinePunct w:val="0"/>
              <w:autoSpaceDE/>
              <w:autoSpaceDN/>
              <w:bidi w:val="0"/>
              <w:adjustRightInd/>
              <w:snapToGrid/>
              <w:spacing w:before="0" w:line="240" w:lineRule="auto"/>
              <w:ind w:left="0" w:righ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活性炭吸附法，燃烧法，浓缩</w:t>
            </w:r>
            <w:r>
              <w:rPr>
                <w:b w:val="0"/>
                <w:color w:val="auto"/>
                <w:spacing w:val="0"/>
                <w:sz w:val="18"/>
                <w:szCs w:val="18"/>
                <w:highlight w:val="none"/>
              </w:rPr>
              <w:t>+</w:t>
            </w:r>
            <w:r>
              <w:rPr>
                <w:rFonts w:ascii="宋体" w:hAnsi="宋体" w:eastAsia="宋体" w:cs="宋体"/>
                <w:b w:val="0"/>
                <w:color w:val="auto"/>
                <w:spacing w:val="0"/>
                <w:sz w:val="18"/>
                <w:szCs w:val="18"/>
                <w:highlight w:val="none"/>
              </w:rPr>
              <w:t>燃烧法</w:t>
            </w:r>
          </w:p>
        </w:tc>
      </w:tr>
      <w:tr w14:paraId="3DEFB7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3" w:hRule="atLeast"/>
          <w:jc w:val="center"/>
        </w:trPr>
        <w:tc>
          <w:tcPr>
            <w:tcW w:w="1634" w:type="dxa"/>
            <w:gridSpan w:val="2"/>
            <w:tcBorders>
              <w:tl2br w:val="nil"/>
              <w:tr2bl w:val="nil"/>
            </w:tcBorders>
            <w:shd w:val="clear" w:color="auto" w:fill="FFFFFF"/>
            <w:tcMar>
              <w:top w:w="0" w:type="dxa"/>
              <w:left w:w="113" w:type="dxa"/>
              <w:bottom w:w="0" w:type="dxa"/>
              <w:right w:w="113" w:type="dxa"/>
            </w:tcMar>
            <w:vAlign w:val="center"/>
          </w:tcPr>
          <w:p w14:paraId="3D9938D7">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Arial" w:eastAsia="宋体"/>
                <w:b w:val="0"/>
                <w:color w:val="auto"/>
                <w:sz w:val="18"/>
                <w:szCs w:val="18"/>
                <w:highlight w:val="none"/>
                <w:lang w:val="en-US" w:eastAsia="zh-CN"/>
              </w:rPr>
            </w:pPr>
            <w:r>
              <w:rPr>
                <w:rFonts w:hint="eastAsia" w:eastAsia="宋体"/>
                <w:b w:val="0"/>
                <w:color w:val="auto"/>
                <w:sz w:val="18"/>
                <w:szCs w:val="18"/>
                <w:highlight w:val="none"/>
                <w:lang w:val="en-US" w:eastAsia="zh-CN"/>
              </w:rPr>
              <w:t>电子电路制造排污单位</w:t>
            </w:r>
          </w:p>
        </w:tc>
        <w:tc>
          <w:tcPr>
            <w:tcW w:w="1850" w:type="dxa"/>
            <w:tcBorders>
              <w:tl2br w:val="nil"/>
              <w:tr2bl w:val="nil"/>
            </w:tcBorders>
            <w:shd w:val="clear" w:color="auto" w:fill="FFFFFF"/>
            <w:tcMar>
              <w:top w:w="0" w:type="dxa"/>
              <w:left w:w="113" w:type="dxa"/>
              <w:bottom w:w="0" w:type="dxa"/>
              <w:right w:w="113" w:type="dxa"/>
            </w:tcMar>
            <w:vAlign w:val="center"/>
          </w:tcPr>
          <w:p w14:paraId="68799B1B">
            <w:pPr>
              <w:keepNext w:val="0"/>
              <w:keepLines w:val="0"/>
              <w:pageBreakBefore w:val="0"/>
              <w:widowControl w:val="0"/>
              <w:shd w:val="clear"/>
              <w:kinsoku/>
              <w:wordWrap/>
              <w:overflowPunct/>
              <w:topLinePunct w:val="0"/>
              <w:autoSpaceDE/>
              <w:autoSpaceDN/>
              <w:bidi w:val="0"/>
              <w:adjustRightInd/>
              <w:snapToGrid/>
              <w:spacing w:before="0" w:line="240" w:lineRule="auto"/>
              <w:ind w:left="0" w:righ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清洗、涂胶、防焊印刷、有机涂覆</w:t>
            </w:r>
          </w:p>
        </w:tc>
        <w:tc>
          <w:tcPr>
            <w:tcW w:w="2029" w:type="dxa"/>
            <w:tcBorders>
              <w:tl2br w:val="nil"/>
              <w:tr2bl w:val="nil"/>
            </w:tcBorders>
            <w:shd w:val="clear" w:color="auto" w:fill="FFFFFF"/>
            <w:tcMar>
              <w:top w:w="0" w:type="dxa"/>
              <w:left w:w="113" w:type="dxa"/>
              <w:bottom w:w="0" w:type="dxa"/>
              <w:right w:w="113" w:type="dxa"/>
            </w:tcMar>
            <w:vAlign w:val="center"/>
          </w:tcPr>
          <w:p w14:paraId="3B454D97">
            <w:pPr>
              <w:keepNext w:val="0"/>
              <w:keepLines w:val="0"/>
              <w:pageBreakBefore w:val="0"/>
              <w:widowControl w:val="0"/>
              <w:shd w:val="clear"/>
              <w:kinsoku/>
              <w:wordWrap/>
              <w:overflowPunct/>
              <w:topLinePunct w:val="0"/>
              <w:autoSpaceDE/>
              <w:autoSpaceDN/>
              <w:bidi w:val="0"/>
              <w:adjustRightInd/>
              <w:snapToGrid/>
              <w:spacing w:before="0" w:line="240" w:lineRule="auto"/>
              <w:ind w:left="0" w:righ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清洗机、涂胶机、防焊印刷机、涂覆机</w:t>
            </w:r>
          </w:p>
        </w:tc>
        <w:tc>
          <w:tcPr>
            <w:tcW w:w="1430" w:type="dxa"/>
            <w:tcBorders>
              <w:tl2br w:val="nil"/>
              <w:tr2bl w:val="nil"/>
            </w:tcBorders>
            <w:shd w:val="clear" w:color="auto" w:fill="FFFFFF"/>
            <w:tcMar>
              <w:top w:w="0" w:type="dxa"/>
              <w:left w:w="113" w:type="dxa"/>
              <w:bottom w:w="0" w:type="dxa"/>
              <w:right w:w="113" w:type="dxa"/>
            </w:tcMar>
            <w:vAlign w:val="center"/>
          </w:tcPr>
          <w:p w14:paraId="21F47008">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挥发性有机物、苯</w:t>
            </w:r>
          </w:p>
        </w:tc>
        <w:tc>
          <w:tcPr>
            <w:tcW w:w="2054" w:type="dxa"/>
            <w:tcBorders>
              <w:tl2br w:val="nil"/>
              <w:tr2bl w:val="nil"/>
            </w:tcBorders>
            <w:shd w:val="clear" w:color="auto" w:fill="FFFFFF"/>
            <w:tcMar>
              <w:top w:w="0" w:type="dxa"/>
              <w:left w:w="113" w:type="dxa"/>
              <w:bottom w:w="0" w:type="dxa"/>
              <w:right w:w="113" w:type="dxa"/>
            </w:tcMar>
            <w:vAlign w:val="center"/>
          </w:tcPr>
          <w:p w14:paraId="2D4275C9">
            <w:pPr>
              <w:pStyle w:val="133"/>
              <w:keepNext w:val="0"/>
              <w:keepLines w:val="0"/>
              <w:pageBreakBefore w:val="0"/>
              <w:widowControl w:val="0"/>
              <w:shd w:val="clear"/>
              <w:kinsoku/>
              <w:wordWrap/>
              <w:overflowPunct/>
              <w:topLinePunct w:val="0"/>
              <w:autoSpaceDE/>
              <w:autoSpaceDN/>
              <w:bidi w:val="0"/>
              <w:adjustRightInd/>
              <w:snapToGrid/>
              <w:spacing w:before="0" w:line="240" w:lineRule="auto"/>
              <w:ind w:left="0" w:righ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活性炭吸附法， 燃烧法，浓缩</w:t>
            </w:r>
            <w:r>
              <w:rPr>
                <w:b w:val="0"/>
                <w:color w:val="auto"/>
                <w:spacing w:val="0"/>
                <w:sz w:val="18"/>
                <w:szCs w:val="18"/>
                <w:highlight w:val="none"/>
              </w:rPr>
              <w:t>+</w:t>
            </w:r>
            <w:r>
              <w:rPr>
                <w:rFonts w:ascii="宋体" w:hAnsi="宋体" w:eastAsia="宋体" w:cs="宋体"/>
                <w:b w:val="0"/>
                <w:color w:val="auto"/>
                <w:spacing w:val="0"/>
                <w:sz w:val="18"/>
                <w:szCs w:val="18"/>
                <w:highlight w:val="none"/>
              </w:rPr>
              <w:t>燃烧法</w:t>
            </w:r>
          </w:p>
        </w:tc>
      </w:tr>
      <w:tr w14:paraId="70B904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95" w:hRule="atLeast"/>
          <w:jc w:val="center"/>
        </w:trPr>
        <w:tc>
          <w:tcPr>
            <w:tcW w:w="846" w:type="dxa"/>
            <w:tcBorders>
              <w:tl2br w:val="nil"/>
              <w:tr2bl w:val="nil"/>
            </w:tcBorders>
            <w:shd w:val="clear" w:color="auto" w:fill="FFFFFF"/>
            <w:tcMar>
              <w:top w:w="0" w:type="dxa"/>
              <w:left w:w="113" w:type="dxa"/>
              <w:bottom w:w="0" w:type="dxa"/>
              <w:right w:w="113" w:type="dxa"/>
            </w:tcMar>
            <w:vAlign w:val="center"/>
          </w:tcPr>
          <w:p w14:paraId="53C0CD02">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Arial" w:eastAsia="宋体"/>
                <w:b w:val="0"/>
                <w:color w:val="auto"/>
                <w:sz w:val="18"/>
                <w:szCs w:val="18"/>
                <w:highlight w:val="none"/>
                <w:lang w:val="en-US" w:eastAsia="zh-CN"/>
              </w:rPr>
            </w:pPr>
            <w:r>
              <w:rPr>
                <w:rFonts w:hint="eastAsia" w:eastAsia="宋体"/>
                <w:b w:val="0"/>
                <w:color w:val="auto"/>
                <w:sz w:val="18"/>
                <w:szCs w:val="18"/>
                <w:highlight w:val="none"/>
                <w:lang w:val="en-US" w:eastAsia="zh-CN"/>
              </w:rPr>
              <w:t>电子专用材料制造排污单位</w:t>
            </w:r>
          </w:p>
        </w:tc>
        <w:tc>
          <w:tcPr>
            <w:tcW w:w="788" w:type="dxa"/>
            <w:tcBorders>
              <w:tl2br w:val="nil"/>
              <w:tr2bl w:val="nil"/>
            </w:tcBorders>
            <w:shd w:val="clear" w:color="auto" w:fill="FFFFFF"/>
            <w:tcMar>
              <w:top w:w="0" w:type="dxa"/>
              <w:left w:w="113" w:type="dxa"/>
              <w:bottom w:w="0" w:type="dxa"/>
              <w:right w:w="113" w:type="dxa"/>
            </w:tcMar>
            <w:vAlign w:val="center"/>
          </w:tcPr>
          <w:p w14:paraId="17683CD5">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互联与封</w:t>
            </w:r>
          </w:p>
        </w:tc>
        <w:tc>
          <w:tcPr>
            <w:tcW w:w="1850" w:type="dxa"/>
            <w:tcBorders>
              <w:tl2br w:val="nil"/>
              <w:tr2bl w:val="nil"/>
            </w:tcBorders>
            <w:shd w:val="clear" w:color="auto" w:fill="FFFFFF"/>
            <w:tcMar>
              <w:top w:w="0" w:type="dxa"/>
              <w:left w:w="113" w:type="dxa"/>
              <w:bottom w:w="0" w:type="dxa"/>
              <w:right w:w="113" w:type="dxa"/>
            </w:tcMar>
            <w:vAlign w:val="center"/>
          </w:tcPr>
          <w:p w14:paraId="360F9EB3">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z w:val="18"/>
                <w:szCs w:val="18"/>
                <w:highlight w:val="none"/>
              </w:rPr>
              <w:t>合成与配置、上</w:t>
            </w:r>
            <w:r>
              <w:rPr>
                <w:rFonts w:ascii="宋体" w:hAnsi="宋体" w:eastAsia="宋体" w:cs="宋体"/>
                <w:b w:val="0"/>
                <w:color w:val="auto"/>
                <w:spacing w:val="0"/>
                <w:sz w:val="18"/>
                <w:szCs w:val="18"/>
                <w:highlight w:val="none"/>
              </w:rPr>
              <w:t>胶、烘干、有机涂</w:t>
            </w:r>
            <w:r>
              <w:rPr>
                <w:rFonts w:ascii="宋体" w:hAnsi="宋体" w:eastAsia="宋体" w:cs="宋体"/>
                <w:b w:val="0"/>
                <w:color w:val="auto"/>
                <w:sz w:val="18"/>
                <w:szCs w:val="18"/>
                <w:highlight w:val="none"/>
              </w:rPr>
              <w:t>覆</w:t>
            </w:r>
          </w:p>
        </w:tc>
        <w:tc>
          <w:tcPr>
            <w:tcW w:w="2029" w:type="dxa"/>
            <w:tcBorders>
              <w:tl2br w:val="nil"/>
              <w:tr2bl w:val="nil"/>
            </w:tcBorders>
            <w:shd w:val="clear" w:color="auto" w:fill="FFFFFF"/>
            <w:tcMar>
              <w:top w:w="0" w:type="dxa"/>
              <w:left w:w="113" w:type="dxa"/>
              <w:bottom w:w="0" w:type="dxa"/>
              <w:right w:w="113" w:type="dxa"/>
            </w:tcMar>
            <w:vAlign w:val="center"/>
          </w:tcPr>
          <w:p w14:paraId="31E4F219">
            <w:pPr>
              <w:keepNext w:val="0"/>
              <w:keepLines w:val="0"/>
              <w:pageBreakBefore w:val="0"/>
              <w:widowControl w:val="0"/>
              <w:shd w:val="clear"/>
              <w:kinsoku/>
              <w:wordWrap/>
              <w:overflowPunct/>
              <w:topLinePunct w:val="0"/>
              <w:autoSpaceDE/>
              <w:autoSpaceDN/>
              <w:bidi w:val="0"/>
              <w:adjustRightInd/>
              <w:snapToGrid/>
              <w:spacing w:before="0" w:line="240" w:lineRule="auto"/>
              <w:ind w:left="0" w:righ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反应釜、上胶机、烘干机、涂覆机</w:t>
            </w:r>
          </w:p>
        </w:tc>
        <w:tc>
          <w:tcPr>
            <w:tcW w:w="1430" w:type="dxa"/>
            <w:tcBorders>
              <w:tl2br w:val="nil"/>
              <w:tr2bl w:val="nil"/>
            </w:tcBorders>
            <w:shd w:val="clear" w:color="auto" w:fill="FFFFFF"/>
            <w:tcMar>
              <w:top w:w="0" w:type="dxa"/>
              <w:left w:w="113" w:type="dxa"/>
              <w:bottom w:w="0" w:type="dxa"/>
              <w:right w:w="113" w:type="dxa"/>
            </w:tcMar>
            <w:vAlign w:val="center"/>
          </w:tcPr>
          <w:p w14:paraId="7F1F271B">
            <w:pPr>
              <w:keepNext w:val="0"/>
              <w:keepLines w:val="0"/>
              <w:pageBreakBefore w:val="0"/>
              <w:widowControl w:val="0"/>
              <w:shd w:val="clear"/>
              <w:kinsoku/>
              <w:wordWrap/>
              <w:overflowPunct/>
              <w:topLinePunct w:val="0"/>
              <w:autoSpaceDE/>
              <w:autoSpaceDN/>
              <w:bidi w:val="0"/>
              <w:adjustRightInd/>
              <w:snapToGrid/>
              <w:spacing w:before="0" w:line="240" w:lineRule="auto"/>
              <w:ind w:lef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挥发性有机物</w:t>
            </w:r>
          </w:p>
        </w:tc>
        <w:tc>
          <w:tcPr>
            <w:tcW w:w="2054" w:type="dxa"/>
            <w:tcBorders>
              <w:tl2br w:val="nil"/>
              <w:tr2bl w:val="nil"/>
            </w:tcBorders>
            <w:shd w:val="clear" w:color="auto" w:fill="FFFFFF"/>
            <w:tcMar>
              <w:top w:w="0" w:type="dxa"/>
              <w:left w:w="113" w:type="dxa"/>
              <w:bottom w:w="0" w:type="dxa"/>
              <w:right w:w="113" w:type="dxa"/>
            </w:tcMar>
            <w:vAlign w:val="center"/>
          </w:tcPr>
          <w:p w14:paraId="559EB012">
            <w:pPr>
              <w:pStyle w:val="133"/>
              <w:keepNext w:val="0"/>
              <w:keepLines w:val="0"/>
              <w:pageBreakBefore w:val="0"/>
              <w:widowControl w:val="0"/>
              <w:shd w:val="clear"/>
              <w:kinsoku/>
              <w:wordWrap/>
              <w:overflowPunct/>
              <w:topLinePunct w:val="0"/>
              <w:autoSpaceDE/>
              <w:autoSpaceDN/>
              <w:bidi w:val="0"/>
              <w:adjustRightInd/>
              <w:snapToGrid/>
              <w:spacing w:before="0" w:line="240" w:lineRule="auto"/>
              <w:ind w:left="0" w:right="0" w:firstLine="0" w:firstLineChars="0"/>
              <w:jc w:val="both"/>
              <w:textAlignment w:val="auto"/>
              <w:rPr>
                <w:rFonts w:ascii="宋体" w:hAnsi="宋体" w:eastAsia="宋体" w:cs="宋体"/>
                <w:b w:val="0"/>
                <w:color w:val="auto"/>
                <w:sz w:val="18"/>
                <w:szCs w:val="18"/>
                <w:highlight w:val="none"/>
              </w:rPr>
            </w:pPr>
            <w:r>
              <w:rPr>
                <w:rFonts w:ascii="宋体" w:hAnsi="宋体" w:eastAsia="宋体" w:cs="宋体"/>
                <w:b w:val="0"/>
                <w:color w:val="auto"/>
                <w:spacing w:val="0"/>
                <w:sz w:val="18"/>
                <w:szCs w:val="18"/>
                <w:highlight w:val="none"/>
              </w:rPr>
              <w:t>活性炭吸附法，燃烧法，浓缩</w:t>
            </w:r>
            <w:r>
              <w:rPr>
                <w:b w:val="0"/>
                <w:color w:val="auto"/>
                <w:spacing w:val="0"/>
                <w:sz w:val="18"/>
                <w:szCs w:val="18"/>
                <w:highlight w:val="none"/>
              </w:rPr>
              <w:t>+</w:t>
            </w:r>
            <w:r>
              <w:rPr>
                <w:rFonts w:ascii="宋体" w:hAnsi="宋体" w:eastAsia="宋体" w:cs="宋体"/>
                <w:b w:val="0"/>
                <w:color w:val="auto"/>
                <w:spacing w:val="0"/>
                <w:sz w:val="18"/>
                <w:szCs w:val="18"/>
                <w:highlight w:val="none"/>
              </w:rPr>
              <w:t>燃烧法</w:t>
            </w:r>
          </w:p>
        </w:tc>
      </w:tr>
    </w:tbl>
    <w:p w14:paraId="139D6C66">
      <w:pPr>
        <w:shd w:val="clear"/>
        <w:bidi w:val="0"/>
        <w:rPr>
          <w:rFonts w:hint="eastAsia"/>
          <w:color w:val="auto"/>
          <w:highlight w:val="none"/>
          <w:lang w:val="en-US" w:eastAsia="zh-CN"/>
        </w:rPr>
      </w:pPr>
    </w:p>
    <w:p w14:paraId="31C1402B">
      <w:pPr>
        <w:pStyle w:val="4"/>
        <w:shd w:val="clear"/>
        <w:bidi w:val="0"/>
        <w:rPr>
          <w:color w:val="auto"/>
          <w:highlight w:val="none"/>
        </w:rPr>
      </w:pPr>
      <w:r>
        <w:rPr>
          <w:rFonts w:hint="eastAsia"/>
          <w:color w:val="auto"/>
          <w:highlight w:val="none"/>
          <w:lang w:val="en-US" w:eastAsia="zh-CN"/>
        </w:rPr>
        <w:t>纺织工业</w:t>
      </w:r>
    </w:p>
    <w:p w14:paraId="62C0A8F2">
      <w:pPr>
        <w:shd w:val="clear"/>
        <w:rPr>
          <w:rFonts w:hint="default"/>
          <w:color w:val="auto"/>
          <w:highlight w:val="none"/>
          <w:lang w:val="en-US" w:eastAsia="zh-CN"/>
        </w:rPr>
      </w:pPr>
      <w:r>
        <w:rPr>
          <w:rFonts w:hint="eastAsia"/>
          <w:color w:val="auto"/>
          <w:highlight w:val="none"/>
          <w:lang w:val="en-US" w:eastAsia="zh-CN"/>
        </w:rPr>
        <w:t>纺织印染工业的生产工序主要包括前处理、染色、印花、后整理等工序。印花工艺中的干燥和固色过程，以及后整理的定形和涂层工序是产生挥发性有机物的主要环节。纺织印染行业挥发性有机物主要来源与污染治理设施见</w:t>
      </w:r>
      <w:r>
        <w:rPr>
          <w:rFonts w:hint="eastAsia"/>
          <w:color w:val="auto"/>
          <w:highlight w:val="none"/>
          <w:lang w:val="en-US" w:eastAsia="zh-CN"/>
        </w:rPr>
        <w:fldChar w:fldCharType="begin"/>
      </w:r>
      <w:r>
        <w:rPr>
          <w:rFonts w:hint="eastAsia"/>
          <w:color w:val="auto"/>
          <w:highlight w:val="none"/>
          <w:lang w:val="en-US" w:eastAsia="zh-CN"/>
        </w:rPr>
        <w:instrText xml:space="preserve"> REF _Ref32687 \h </w:instrText>
      </w:r>
      <w:r>
        <w:rPr>
          <w:rFonts w:hint="eastAsia"/>
          <w:color w:val="auto"/>
          <w:highlight w:val="none"/>
          <w:lang w:val="en-US" w:eastAsia="zh-CN"/>
        </w:rPr>
        <w:fldChar w:fldCharType="separate"/>
      </w:r>
      <w:r>
        <w:t>表5</w:t>
      </w:r>
      <w:r>
        <w:rPr>
          <w:rFonts w:hint="eastAsia"/>
          <w:color w:val="auto"/>
          <w:highlight w:val="none"/>
          <w:lang w:val="en-US" w:eastAsia="zh-CN"/>
        </w:rPr>
        <w:fldChar w:fldCharType="end"/>
      </w:r>
      <w:r>
        <w:rPr>
          <w:rFonts w:hint="eastAsia"/>
          <w:color w:val="auto"/>
          <w:highlight w:val="none"/>
          <w:lang w:val="en-US" w:eastAsia="zh-CN"/>
        </w:rPr>
        <w:t>。</w:t>
      </w:r>
    </w:p>
    <w:p w14:paraId="15562A9C">
      <w:pPr>
        <w:pStyle w:val="129"/>
        <w:shd w:val="clear"/>
        <w:bidi w:val="0"/>
        <w:outlineLvl w:val="4"/>
        <w:rPr>
          <w:rFonts w:hint="default"/>
          <w:lang w:val="en-US" w:eastAsia="zh-CN"/>
        </w:rPr>
      </w:pPr>
      <w:bookmarkStart w:id="92" w:name="_Ref32687"/>
      <w:r>
        <w:t>表</w:t>
      </w:r>
      <w:r>
        <w:fldChar w:fldCharType="begin"/>
      </w:r>
      <w:r>
        <w:instrText xml:space="preserve"> SEQ 表 \* ARABIC </w:instrText>
      </w:r>
      <w:r>
        <w:fldChar w:fldCharType="separate"/>
      </w:r>
      <w:r>
        <w:t>5</w:t>
      </w:r>
      <w:r>
        <w:fldChar w:fldCharType="end"/>
      </w:r>
      <w:bookmarkEnd w:id="92"/>
      <w:r>
        <w:rPr>
          <w:rFonts w:hint="eastAsia"/>
          <w:lang w:val="en-US" w:eastAsia="zh-CN"/>
        </w:rPr>
        <w:t xml:space="preserve"> 纺织印染行业</w:t>
      </w:r>
      <w:r>
        <w:rPr>
          <w:rFonts w:hint="default"/>
          <w:lang w:val="en-US" w:eastAsia="zh-CN"/>
        </w:rPr>
        <w:t>挥发性有机物</w:t>
      </w:r>
      <w:r>
        <w:rPr>
          <w:rFonts w:hint="eastAsia"/>
          <w:lang w:val="en-US" w:eastAsia="zh-CN"/>
        </w:rPr>
        <w:t>主要来源与污染治理设施</w:t>
      </w:r>
    </w:p>
    <w:tbl>
      <w:tblPr>
        <w:tblStyle w:val="3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52"/>
        <w:gridCol w:w="2851"/>
        <w:gridCol w:w="1074"/>
        <w:gridCol w:w="3561"/>
      </w:tblGrid>
      <w:tr w14:paraId="06607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blHeader/>
          <w:jc w:val="center"/>
        </w:trPr>
        <w:tc>
          <w:tcPr>
            <w:tcW w:w="948" w:type="pct"/>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3B091C2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2"/>
                <w:sz w:val="18"/>
                <w:szCs w:val="18"/>
                <w:highlight w:val="none"/>
                <w:u w:val="none"/>
                <w:lang w:val="en-US" w:eastAsia="zh-CN" w:bidi="ar-SA"/>
              </w:rPr>
            </w:pPr>
            <w:r>
              <w:rPr>
                <w:rFonts w:hint="eastAsia" w:ascii="宋体" w:hAnsi="宋体" w:eastAsia="宋体" w:cs="宋体"/>
                <w:b w:val="0"/>
                <w:i w:val="0"/>
                <w:iCs w:val="0"/>
                <w:color w:val="auto"/>
                <w:kern w:val="0"/>
                <w:sz w:val="18"/>
                <w:szCs w:val="18"/>
                <w:highlight w:val="none"/>
                <w:u w:val="none"/>
                <w:lang w:val="en-US" w:eastAsia="zh-CN" w:bidi="ar"/>
              </w:rPr>
              <w:t>废气产污环节名称</w:t>
            </w:r>
          </w:p>
        </w:tc>
        <w:tc>
          <w:tcPr>
            <w:tcW w:w="1543"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28974C4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2"/>
                <w:sz w:val="18"/>
                <w:szCs w:val="18"/>
                <w:highlight w:val="none"/>
                <w:u w:val="none"/>
                <w:lang w:val="en-US" w:eastAsia="zh-CN" w:bidi="ar-SA"/>
              </w:rPr>
            </w:pPr>
            <w:r>
              <w:rPr>
                <w:rFonts w:hint="eastAsia" w:ascii="宋体" w:hAnsi="宋体" w:eastAsia="宋体" w:cs="宋体"/>
                <w:b w:val="0"/>
                <w:i w:val="0"/>
                <w:iCs w:val="0"/>
                <w:color w:val="auto"/>
                <w:kern w:val="0"/>
                <w:sz w:val="18"/>
                <w:szCs w:val="18"/>
                <w:highlight w:val="none"/>
                <w:u w:val="none"/>
                <w:lang w:val="en-US" w:eastAsia="zh-CN" w:bidi="ar"/>
              </w:rPr>
              <w:t>污染物项目</w:t>
            </w:r>
          </w:p>
        </w:tc>
        <w:tc>
          <w:tcPr>
            <w:tcW w:w="581"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5845168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2"/>
                <w:sz w:val="18"/>
                <w:szCs w:val="18"/>
                <w:highlight w:val="none"/>
                <w:u w:val="none"/>
                <w:lang w:val="en-US" w:eastAsia="zh-CN" w:bidi="ar-SA"/>
              </w:rPr>
            </w:pPr>
            <w:r>
              <w:rPr>
                <w:rFonts w:hint="eastAsia" w:ascii="宋体" w:hAnsi="宋体" w:eastAsia="宋体" w:cs="宋体"/>
                <w:b w:val="0"/>
                <w:i w:val="0"/>
                <w:iCs w:val="0"/>
                <w:color w:val="auto"/>
                <w:kern w:val="0"/>
                <w:sz w:val="18"/>
                <w:szCs w:val="18"/>
                <w:highlight w:val="none"/>
                <w:u w:val="none"/>
                <w:lang w:val="en-US" w:eastAsia="zh-CN" w:bidi="ar"/>
              </w:rPr>
              <w:t>排放形式</w:t>
            </w:r>
          </w:p>
        </w:tc>
        <w:tc>
          <w:tcPr>
            <w:tcW w:w="1927"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790D705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2"/>
                <w:sz w:val="18"/>
                <w:szCs w:val="18"/>
                <w:highlight w:val="none"/>
                <w:u w:val="none"/>
                <w:lang w:val="en-US" w:eastAsia="zh-CN" w:bidi="ar-SA"/>
              </w:rPr>
            </w:pPr>
            <w:r>
              <w:rPr>
                <w:rFonts w:hint="eastAsia" w:ascii="宋体" w:hAnsi="宋体" w:eastAsia="宋体" w:cs="宋体"/>
                <w:b w:val="0"/>
                <w:i w:val="0"/>
                <w:iCs w:val="0"/>
                <w:color w:val="auto"/>
                <w:kern w:val="0"/>
                <w:sz w:val="18"/>
                <w:szCs w:val="18"/>
                <w:highlight w:val="none"/>
                <w:u w:val="none"/>
                <w:lang w:val="en-US" w:eastAsia="zh-CN" w:bidi="ar"/>
              </w:rPr>
              <w:t>污染治理设施（措施）名称及工艺</w:t>
            </w:r>
          </w:p>
        </w:tc>
      </w:tr>
      <w:tr w14:paraId="00468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4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0A4232A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印花</w:t>
            </w:r>
          </w:p>
        </w:tc>
        <w:tc>
          <w:tcPr>
            <w:tcW w:w="15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04AA5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甲苯、二甲苯、非甲烷总烃</w:t>
            </w:r>
          </w:p>
        </w:tc>
        <w:tc>
          <w:tcPr>
            <w:tcW w:w="5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33178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有组织</w:t>
            </w:r>
          </w:p>
        </w:tc>
        <w:tc>
          <w:tcPr>
            <w:tcW w:w="1927"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42B8160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喷淋洗涤、吸附、生物净化、吸附-冷凝回收、吸附-催化燃烧</w:t>
            </w:r>
          </w:p>
        </w:tc>
      </w:tr>
      <w:tr w14:paraId="28547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48"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7B6D381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定型</w:t>
            </w:r>
          </w:p>
        </w:tc>
        <w:tc>
          <w:tcPr>
            <w:tcW w:w="15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970BC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非甲烷总烃</w:t>
            </w:r>
          </w:p>
        </w:tc>
        <w:tc>
          <w:tcPr>
            <w:tcW w:w="5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9F793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有组织</w:t>
            </w:r>
          </w:p>
        </w:tc>
        <w:tc>
          <w:tcPr>
            <w:tcW w:w="1927"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09DD655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喷淋洗涤、吸附、喷淋洗涤-静电</w:t>
            </w:r>
          </w:p>
        </w:tc>
      </w:tr>
      <w:tr w14:paraId="17B78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48"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770F24C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涂层整理</w:t>
            </w:r>
          </w:p>
        </w:tc>
        <w:tc>
          <w:tcPr>
            <w:tcW w:w="1543"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4A160FE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甲苯、二甲苯、非甲烷总烃</w:t>
            </w:r>
          </w:p>
        </w:tc>
        <w:tc>
          <w:tcPr>
            <w:tcW w:w="581"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4A10EF8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有组织</w:t>
            </w:r>
          </w:p>
        </w:tc>
        <w:tc>
          <w:tcPr>
            <w:tcW w:w="1927"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16D14AC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喷淋洗涤、吸附、吸附-冷凝回收、吸附-催化燃烧、蓄热式燃烧、蓄热式催化燃烧</w:t>
            </w:r>
          </w:p>
        </w:tc>
      </w:tr>
    </w:tbl>
    <w:p w14:paraId="07912573">
      <w:pPr>
        <w:shd w:val="clear"/>
        <w:rPr>
          <w:rFonts w:hint="eastAsia"/>
          <w:color w:val="auto"/>
          <w:highlight w:val="none"/>
          <w:lang w:val="en-US" w:eastAsia="zh-CN"/>
        </w:rPr>
      </w:pPr>
    </w:p>
    <w:p w14:paraId="7FD90FAD">
      <w:pPr>
        <w:pStyle w:val="4"/>
        <w:shd w:val="clear"/>
        <w:bidi w:val="0"/>
        <w:rPr>
          <w:color w:val="auto"/>
          <w:highlight w:val="none"/>
        </w:rPr>
      </w:pPr>
      <w:r>
        <w:rPr>
          <w:rFonts w:hint="eastAsia"/>
          <w:color w:val="auto"/>
          <w:highlight w:val="none"/>
          <w:lang w:val="en-US" w:eastAsia="zh-CN"/>
        </w:rPr>
        <w:t>制鞋</w:t>
      </w:r>
    </w:p>
    <w:p w14:paraId="137FD559">
      <w:pPr>
        <w:shd w:val="clear"/>
        <w:rPr>
          <w:rFonts w:hint="default"/>
          <w:color w:val="auto"/>
          <w:highlight w:val="none"/>
          <w:lang w:val="en-US" w:eastAsia="zh-CN"/>
        </w:rPr>
      </w:pPr>
      <w:r>
        <w:rPr>
          <w:rFonts w:hint="eastAsia"/>
          <w:color w:val="auto"/>
          <w:highlight w:val="none"/>
          <w:lang w:val="en-US" w:eastAsia="zh-CN"/>
        </w:rPr>
        <w:t>制鞋业是指纺织面料鞋、皮鞋、塑料鞋、橡胶鞋及其他各种鞋的生产活动，其主要生产工艺包括冷粘工艺、硫化工艺、注塑工艺、模压工艺、线缝工艺等各类生产工艺。各生产单元生产工序、生产设施、主要产污环节和主要污染物项目见</w:t>
      </w:r>
      <w:r>
        <w:rPr>
          <w:rFonts w:hint="eastAsia"/>
          <w:color w:val="auto"/>
          <w:highlight w:val="none"/>
          <w:lang w:val="en-US" w:eastAsia="zh-CN"/>
        </w:rPr>
        <w:fldChar w:fldCharType="begin"/>
      </w:r>
      <w:r>
        <w:rPr>
          <w:rFonts w:hint="eastAsia"/>
          <w:color w:val="auto"/>
          <w:highlight w:val="none"/>
          <w:lang w:val="en-US" w:eastAsia="zh-CN"/>
        </w:rPr>
        <w:instrText xml:space="preserve"> REF _Ref32713 \h </w:instrText>
      </w:r>
      <w:r>
        <w:rPr>
          <w:rFonts w:hint="eastAsia"/>
          <w:color w:val="auto"/>
          <w:highlight w:val="none"/>
          <w:lang w:val="en-US" w:eastAsia="zh-CN"/>
        </w:rPr>
        <w:fldChar w:fldCharType="separate"/>
      </w:r>
      <w:r>
        <w:t>表6</w:t>
      </w:r>
      <w:r>
        <w:rPr>
          <w:rFonts w:hint="eastAsia"/>
          <w:color w:val="auto"/>
          <w:highlight w:val="none"/>
          <w:lang w:val="en-US" w:eastAsia="zh-CN"/>
        </w:rPr>
        <w:fldChar w:fldCharType="end"/>
      </w:r>
      <w:r>
        <w:rPr>
          <w:rFonts w:hint="eastAsia"/>
          <w:color w:val="auto"/>
          <w:highlight w:val="none"/>
          <w:lang w:val="en-US" w:eastAsia="zh-CN"/>
        </w:rPr>
        <w:t>。</w:t>
      </w:r>
    </w:p>
    <w:p w14:paraId="1AF3F9C2">
      <w:pPr>
        <w:pStyle w:val="129"/>
        <w:shd w:val="clear"/>
        <w:bidi w:val="0"/>
        <w:outlineLvl w:val="4"/>
        <w:rPr>
          <w:rFonts w:hint="eastAsia"/>
          <w:lang w:val="en-US" w:eastAsia="zh-CN"/>
        </w:rPr>
      </w:pPr>
      <w:bookmarkStart w:id="93" w:name="_Ref32713"/>
      <w:r>
        <w:t>表</w:t>
      </w:r>
      <w:r>
        <w:fldChar w:fldCharType="begin"/>
      </w:r>
      <w:r>
        <w:instrText xml:space="preserve"> SEQ 表 \* ARABIC </w:instrText>
      </w:r>
      <w:r>
        <w:fldChar w:fldCharType="separate"/>
      </w:r>
      <w:r>
        <w:t>6</w:t>
      </w:r>
      <w:r>
        <w:fldChar w:fldCharType="end"/>
      </w:r>
      <w:bookmarkEnd w:id="93"/>
      <w:r>
        <w:rPr>
          <w:rFonts w:hint="eastAsia"/>
          <w:lang w:val="en-US" w:eastAsia="zh-CN"/>
        </w:rPr>
        <w:t xml:space="preserve"> 制鞋排污单位挥发性有机物排放主要设施</w:t>
      </w:r>
    </w:p>
    <w:tbl>
      <w:tblPr>
        <w:tblStyle w:val="3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9"/>
        <w:gridCol w:w="1119"/>
        <w:gridCol w:w="1252"/>
        <w:gridCol w:w="1287"/>
        <w:gridCol w:w="1725"/>
        <w:gridCol w:w="1605"/>
        <w:gridCol w:w="1609"/>
      </w:tblGrid>
      <w:tr w14:paraId="0E875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blHeader/>
        </w:trPr>
        <w:tc>
          <w:tcPr>
            <w:tcW w:w="346" w:type="pct"/>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5F15503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i w:val="0"/>
                <w:iCs w:val="0"/>
                <w:color w:val="auto"/>
                <w:sz w:val="18"/>
                <w:szCs w:val="18"/>
                <w:highlight w:val="none"/>
                <w:u w:val="none"/>
              </w:rPr>
            </w:pPr>
            <w:r>
              <w:rPr>
                <w:rFonts w:hint="eastAsia" w:ascii="宋体" w:hAnsi="宋体" w:eastAsia="宋体" w:cs="宋体"/>
                <w:b w:val="0"/>
                <w:bCs/>
                <w:i w:val="0"/>
                <w:iCs w:val="0"/>
                <w:color w:val="auto"/>
                <w:kern w:val="0"/>
                <w:sz w:val="18"/>
                <w:szCs w:val="18"/>
                <w:highlight w:val="none"/>
                <w:u w:val="none"/>
                <w:lang w:val="en-US" w:eastAsia="zh-CN" w:bidi="ar"/>
              </w:rPr>
              <w:t>生产单元</w:t>
            </w:r>
          </w:p>
        </w:tc>
        <w:tc>
          <w:tcPr>
            <w:tcW w:w="605"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39224F5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i w:val="0"/>
                <w:iCs w:val="0"/>
                <w:color w:val="auto"/>
                <w:sz w:val="18"/>
                <w:szCs w:val="18"/>
                <w:highlight w:val="none"/>
                <w:u w:val="none"/>
              </w:rPr>
            </w:pPr>
            <w:r>
              <w:rPr>
                <w:rFonts w:hint="eastAsia" w:ascii="宋体" w:hAnsi="宋体" w:eastAsia="宋体" w:cs="宋体"/>
                <w:b w:val="0"/>
                <w:bCs/>
                <w:i w:val="0"/>
                <w:iCs w:val="0"/>
                <w:color w:val="auto"/>
                <w:kern w:val="0"/>
                <w:sz w:val="18"/>
                <w:szCs w:val="18"/>
                <w:highlight w:val="none"/>
                <w:u w:val="none"/>
                <w:lang w:val="en-US" w:eastAsia="zh-CN" w:bidi="ar"/>
              </w:rPr>
              <w:t>产品名称</w:t>
            </w:r>
          </w:p>
        </w:tc>
        <w:tc>
          <w:tcPr>
            <w:tcW w:w="677"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36CE884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i w:val="0"/>
                <w:iCs w:val="0"/>
                <w:color w:val="auto"/>
                <w:sz w:val="18"/>
                <w:szCs w:val="18"/>
                <w:highlight w:val="none"/>
                <w:u w:val="none"/>
              </w:rPr>
            </w:pPr>
            <w:r>
              <w:rPr>
                <w:rFonts w:hint="eastAsia" w:ascii="宋体" w:hAnsi="宋体" w:eastAsia="宋体" w:cs="宋体"/>
                <w:b w:val="0"/>
                <w:bCs/>
                <w:i w:val="0"/>
                <w:iCs w:val="0"/>
                <w:color w:val="auto"/>
                <w:kern w:val="0"/>
                <w:sz w:val="18"/>
                <w:szCs w:val="18"/>
                <w:highlight w:val="none"/>
                <w:u w:val="none"/>
                <w:lang w:val="en-US" w:eastAsia="zh-CN" w:bidi="ar"/>
              </w:rPr>
              <w:t>生产工序</w:t>
            </w:r>
          </w:p>
        </w:tc>
        <w:tc>
          <w:tcPr>
            <w:tcW w:w="696"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0EFBB91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i w:val="0"/>
                <w:iCs w:val="0"/>
                <w:color w:val="auto"/>
                <w:sz w:val="18"/>
                <w:szCs w:val="18"/>
                <w:highlight w:val="none"/>
                <w:u w:val="none"/>
              </w:rPr>
            </w:pPr>
            <w:r>
              <w:rPr>
                <w:rFonts w:hint="eastAsia" w:ascii="宋体" w:hAnsi="宋体" w:eastAsia="宋体" w:cs="宋体"/>
                <w:b w:val="0"/>
                <w:bCs/>
                <w:i w:val="0"/>
                <w:iCs w:val="0"/>
                <w:color w:val="auto"/>
                <w:kern w:val="0"/>
                <w:sz w:val="18"/>
                <w:szCs w:val="18"/>
                <w:highlight w:val="none"/>
                <w:u w:val="none"/>
                <w:lang w:val="en-US" w:eastAsia="zh-CN" w:bidi="ar"/>
              </w:rPr>
              <w:t>主要生产设施</w:t>
            </w:r>
          </w:p>
        </w:tc>
        <w:tc>
          <w:tcPr>
            <w:tcW w:w="933"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745B682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i w:val="0"/>
                <w:iCs w:val="0"/>
                <w:color w:val="auto"/>
                <w:sz w:val="18"/>
                <w:szCs w:val="18"/>
                <w:highlight w:val="none"/>
                <w:u w:val="none"/>
              </w:rPr>
            </w:pPr>
            <w:r>
              <w:rPr>
                <w:rFonts w:hint="eastAsia" w:ascii="宋体" w:hAnsi="宋体" w:eastAsia="宋体" w:cs="宋体"/>
                <w:b w:val="0"/>
                <w:bCs/>
                <w:i w:val="0"/>
                <w:iCs w:val="0"/>
                <w:color w:val="auto"/>
                <w:kern w:val="0"/>
                <w:sz w:val="18"/>
                <w:szCs w:val="18"/>
                <w:highlight w:val="none"/>
                <w:u w:val="none"/>
                <w:lang w:val="en-US" w:eastAsia="zh-CN" w:bidi="ar"/>
              </w:rPr>
              <w:t>主要产污环节</w:t>
            </w:r>
          </w:p>
        </w:tc>
        <w:tc>
          <w:tcPr>
            <w:tcW w:w="868"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170D40D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i w:val="0"/>
                <w:iCs w:val="0"/>
                <w:color w:val="auto"/>
                <w:sz w:val="18"/>
                <w:szCs w:val="18"/>
                <w:highlight w:val="none"/>
                <w:u w:val="none"/>
              </w:rPr>
            </w:pPr>
            <w:r>
              <w:rPr>
                <w:rFonts w:hint="eastAsia" w:ascii="宋体" w:hAnsi="宋体" w:eastAsia="宋体" w:cs="宋体"/>
                <w:b w:val="0"/>
                <w:bCs/>
                <w:i w:val="0"/>
                <w:iCs w:val="0"/>
                <w:color w:val="auto"/>
                <w:kern w:val="0"/>
                <w:sz w:val="18"/>
                <w:szCs w:val="18"/>
                <w:highlight w:val="none"/>
                <w:u w:val="none"/>
                <w:lang w:val="en-US" w:eastAsia="zh-CN" w:bidi="ar"/>
              </w:rPr>
              <w:t>主要污染物项目</w:t>
            </w:r>
          </w:p>
        </w:tc>
        <w:tc>
          <w:tcPr>
            <w:tcW w:w="870"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709E3A5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宋体" w:hAnsi="宋体" w:eastAsia="宋体" w:cs="宋体"/>
                <w:b w:val="0"/>
                <w:bCs/>
                <w:i w:val="0"/>
                <w:iCs w:val="0"/>
                <w:color w:val="auto"/>
                <w:kern w:val="0"/>
                <w:sz w:val="18"/>
                <w:szCs w:val="18"/>
                <w:highlight w:val="none"/>
                <w:u w:val="none"/>
                <w:lang w:val="en-US" w:eastAsia="zh-CN" w:bidi="ar"/>
              </w:rPr>
            </w:pPr>
            <w:r>
              <w:rPr>
                <w:rFonts w:hint="eastAsia" w:ascii="宋体" w:hAnsi="宋体" w:eastAsia="宋体" w:cs="宋体"/>
                <w:b w:val="0"/>
                <w:bCs/>
                <w:i w:val="0"/>
                <w:iCs w:val="0"/>
                <w:color w:val="auto"/>
                <w:kern w:val="0"/>
                <w:sz w:val="18"/>
                <w:szCs w:val="18"/>
                <w:highlight w:val="none"/>
                <w:u w:val="none"/>
                <w:lang w:val="en-US" w:eastAsia="zh-CN" w:bidi="ar"/>
              </w:rPr>
              <w:t>排放形式</w:t>
            </w:r>
          </w:p>
        </w:tc>
      </w:tr>
      <w:tr w14:paraId="24300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46" w:type="pct"/>
            <w:vMerge w:val="restart"/>
            <w:tcBorders>
              <w:top w:val="single" w:color="000000" w:sz="4" w:space="0"/>
              <w:left w:val="single" w:color="000000" w:sz="12" w:space="0"/>
              <w:bottom w:val="single" w:color="000000" w:sz="4" w:space="0"/>
              <w:right w:val="single" w:color="000000" w:sz="4" w:space="0"/>
            </w:tcBorders>
            <w:shd w:val="clear" w:color="auto" w:fill="FFFFFF"/>
            <w:vAlign w:val="center"/>
          </w:tcPr>
          <w:p w14:paraId="40BB315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冷粘工艺</w:t>
            </w:r>
            <w:r>
              <w:rPr>
                <w:rFonts w:hint="eastAsia" w:ascii="宋体" w:hAnsi="宋体" w:eastAsia="宋体" w:cs="宋体"/>
                <w:b w:val="0"/>
                <w:i w:val="0"/>
                <w:iCs w:val="0"/>
                <w:color w:val="auto"/>
                <w:kern w:val="0"/>
                <w:sz w:val="18"/>
                <w:szCs w:val="18"/>
                <w:highlight w:val="none"/>
                <w:u w:val="none"/>
                <w:lang w:val="en-US" w:eastAsia="zh-CN" w:bidi="ar"/>
              </w:rPr>
              <w:br w:type="textWrapping"/>
            </w:r>
            <w:r>
              <w:rPr>
                <w:rFonts w:hint="eastAsia" w:ascii="宋体" w:hAnsi="宋体" w:eastAsia="宋体" w:cs="宋体"/>
                <w:b w:val="0"/>
                <w:i w:val="0"/>
                <w:iCs w:val="0"/>
                <w:color w:val="auto"/>
                <w:kern w:val="0"/>
                <w:sz w:val="18"/>
                <w:szCs w:val="18"/>
                <w:highlight w:val="none"/>
                <w:u w:val="none"/>
                <w:lang w:val="en-US" w:eastAsia="zh-CN" w:bidi="ar"/>
              </w:rPr>
              <w:t>单元</w:t>
            </w:r>
          </w:p>
        </w:tc>
        <w:tc>
          <w:tcPr>
            <w:tcW w:w="605"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EFF2F8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纺织面料、皮鞋、塑料鞋、其他鞋</w:t>
            </w: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D3DE5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鞋料划裁工序</w:t>
            </w:r>
          </w:p>
        </w:tc>
        <w:tc>
          <w:tcPr>
            <w:tcW w:w="69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60CE9E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合布机、其他</w:t>
            </w:r>
          </w:p>
        </w:tc>
        <w:tc>
          <w:tcPr>
            <w:tcW w:w="93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589BE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合布环节废气</w:t>
            </w:r>
          </w:p>
        </w:tc>
        <w:tc>
          <w:tcPr>
            <w:tcW w:w="868"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2CD276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苯、甲苯、二甲苯、挥发性有机物</w:t>
            </w:r>
          </w:p>
        </w:tc>
        <w:tc>
          <w:tcPr>
            <w:tcW w:w="8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395B999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宋体" w:hAnsi="宋体" w:eastAsia="宋体" w:cs="宋体"/>
                <w:b w:val="0"/>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有组织、无组织</w:t>
            </w:r>
          </w:p>
        </w:tc>
      </w:tr>
      <w:tr w14:paraId="345CB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46" w:type="pct"/>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21C61C2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C802E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7D21B4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帮底制作工序</w:t>
            </w:r>
          </w:p>
        </w:tc>
        <w:tc>
          <w:tcPr>
            <w:tcW w:w="69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454C46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丝网印刷机、上胶机、其他</w:t>
            </w:r>
          </w:p>
        </w:tc>
        <w:tc>
          <w:tcPr>
            <w:tcW w:w="93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1E786E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丝网印刷环节废气、刷胶粘剂环节废气</w:t>
            </w:r>
          </w:p>
        </w:tc>
        <w:tc>
          <w:tcPr>
            <w:tcW w:w="868"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5EDB08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苯、甲苯、二甲苯、挥发性有机物</w:t>
            </w:r>
          </w:p>
        </w:tc>
        <w:tc>
          <w:tcPr>
            <w:tcW w:w="8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7112FB6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有组织、无组织</w:t>
            </w:r>
          </w:p>
        </w:tc>
      </w:tr>
      <w:tr w14:paraId="5FC64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46" w:type="pct"/>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67B8CF1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2222B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EADAAC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帮底装配工序</w:t>
            </w:r>
          </w:p>
        </w:tc>
        <w:tc>
          <w:tcPr>
            <w:tcW w:w="69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0BE009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2"/>
                <w:sz w:val="18"/>
                <w:szCs w:val="18"/>
                <w:highlight w:val="none"/>
                <w:u w:val="none"/>
                <w:lang w:val="en-US" w:eastAsia="zh-CN" w:bidi="ar-SA"/>
              </w:rPr>
            </w:pPr>
            <w:r>
              <w:rPr>
                <w:rFonts w:hint="eastAsia" w:ascii="宋体" w:hAnsi="宋体" w:eastAsia="宋体" w:cs="宋体"/>
                <w:b w:val="0"/>
                <w:i w:val="0"/>
                <w:iCs w:val="0"/>
                <w:color w:val="auto"/>
                <w:kern w:val="0"/>
                <w:sz w:val="18"/>
                <w:szCs w:val="18"/>
                <w:highlight w:val="none"/>
                <w:u w:val="none"/>
                <w:lang w:val="en-US" w:eastAsia="zh-CN" w:bidi="ar"/>
              </w:rPr>
              <w:t>上胶机、成型流水线、其他</w:t>
            </w:r>
          </w:p>
        </w:tc>
        <w:tc>
          <w:tcPr>
            <w:tcW w:w="93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199D4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2"/>
                <w:sz w:val="18"/>
                <w:szCs w:val="18"/>
                <w:highlight w:val="none"/>
                <w:u w:val="none"/>
                <w:lang w:val="en-US" w:eastAsia="zh-CN" w:bidi="ar-SA"/>
              </w:rPr>
            </w:pPr>
            <w:r>
              <w:rPr>
                <w:rFonts w:hint="eastAsia" w:ascii="宋体" w:hAnsi="宋体" w:eastAsia="宋体" w:cs="宋体"/>
                <w:b w:val="0"/>
                <w:i w:val="0"/>
                <w:iCs w:val="0"/>
                <w:color w:val="auto"/>
                <w:kern w:val="0"/>
                <w:sz w:val="18"/>
                <w:szCs w:val="18"/>
                <w:highlight w:val="none"/>
                <w:u w:val="none"/>
                <w:lang w:val="en-US" w:eastAsia="zh-CN" w:bidi="ar"/>
              </w:rPr>
              <w:t>刷胶粘剂刷处理剂</w:t>
            </w:r>
            <w:r>
              <w:rPr>
                <w:rFonts w:hint="eastAsia" w:ascii="宋体" w:hAnsi="宋体" w:eastAsia="宋体" w:cs="宋体"/>
                <w:b w:val="0"/>
                <w:i w:val="0"/>
                <w:iCs w:val="0"/>
                <w:color w:val="auto"/>
                <w:kern w:val="0"/>
                <w:sz w:val="18"/>
                <w:szCs w:val="18"/>
                <w:highlight w:val="none"/>
                <w:u w:val="none"/>
                <w:lang w:val="en-US" w:eastAsia="zh-CN" w:bidi="ar"/>
              </w:rPr>
              <w:br w:type="textWrapping"/>
            </w:r>
            <w:r>
              <w:rPr>
                <w:rFonts w:hint="eastAsia" w:ascii="宋体" w:hAnsi="宋体" w:eastAsia="宋体" w:cs="宋体"/>
                <w:b w:val="0"/>
                <w:i w:val="0"/>
                <w:iCs w:val="0"/>
                <w:color w:val="auto"/>
                <w:kern w:val="0"/>
                <w:sz w:val="18"/>
                <w:szCs w:val="18"/>
                <w:highlight w:val="none"/>
                <w:u w:val="none"/>
                <w:lang w:val="en-US" w:eastAsia="zh-CN" w:bidi="ar"/>
              </w:rPr>
              <w:t>环节废气</w:t>
            </w:r>
          </w:p>
        </w:tc>
        <w:tc>
          <w:tcPr>
            <w:tcW w:w="868"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649E13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2"/>
                <w:sz w:val="18"/>
                <w:szCs w:val="18"/>
                <w:highlight w:val="none"/>
                <w:u w:val="none"/>
                <w:lang w:val="en-US" w:eastAsia="zh-CN" w:bidi="ar-SA"/>
              </w:rPr>
            </w:pPr>
            <w:r>
              <w:rPr>
                <w:rFonts w:hint="eastAsia" w:ascii="宋体" w:hAnsi="宋体" w:eastAsia="宋体" w:cs="宋体"/>
                <w:b w:val="0"/>
                <w:i w:val="0"/>
                <w:iCs w:val="0"/>
                <w:color w:val="auto"/>
                <w:kern w:val="0"/>
                <w:sz w:val="18"/>
                <w:szCs w:val="18"/>
                <w:highlight w:val="none"/>
                <w:u w:val="none"/>
                <w:lang w:val="en-US" w:eastAsia="zh-CN" w:bidi="ar"/>
              </w:rPr>
              <w:t>苯、甲苯、二甲苯、挥发性有机物</w:t>
            </w:r>
          </w:p>
        </w:tc>
        <w:tc>
          <w:tcPr>
            <w:tcW w:w="8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7105AC5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w:t>
            </w:r>
          </w:p>
        </w:tc>
      </w:tr>
      <w:tr w14:paraId="2F634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46" w:type="pct"/>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5A9A223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B461D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90543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成鞋整饰及包装工序</w:t>
            </w:r>
          </w:p>
        </w:tc>
        <w:tc>
          <w:tcPr>
            <w:tcW w:w="6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04EF8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喷光台、其他</w:t>
            </w:r>
          </w:p>
        </w:tc>
        <w:tc>
          <w:tcPr>
            <w:tcW w:w="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A2B25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喷光环节废气</w:t>
            </w:r>
          </w:p>
        </w:tc>
        <w:tc>
          <w:tcPr>
            <w:tcW w:w="8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04EF4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挥发性有机物</w:t>
            </w:r>
          </w:p>
        </w:tc>
        <w:tc>
          <w:tcPr>
            <w:tcW w:w="8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869E59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有组织、无组织</w:t>
            </w:r>
          </w:p>
        </w:tc>
      </w:tr>
      <w:tr w14:paraId="5A183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46" w:type="pct"/>
            <w:vMerge w:val="restart"/>
            <w:tcBorders>
              <w:top w:val="single" w:color="000000" w:sz="4" w:space="0"/>
              <w:left w:val="single" w:color="000000" w:sz="12" w:space="0"/>
              <w:bottom w:val="single" w:color="000000" w:sz="4" w:space="0"/>
              <w:right w:val="single" w:color="000000" w:sz="4" w:space="0"/>
            </w:tcBorders>
            <w:shd w:val="clear" w:color="auto" w:fill="FFFFFF"/>
            <w:vAlign w:val="center"/>
          </w:tcPr>
          <w:p w14:paraId="41C6CEE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硫化工艺单元</w:t>
            </w:r>
          </w:p>
        </w:tc>
        <w:tc>
          <w:tcPr>
            <w:tcW w:w="605"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3022CD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宋体" w:hAnsi="宋体" w:eastAsia="宋体" w:cs="宋体"/>
                <w:b w:val="0"/>
                <w:i w:val="0"/>
                <w:iCs w:val="0"/>
                <w:color w:val="auto"/>
                <w:sz w:val="18"/>
                <w:szCs w:val="18"/>
                <w:highlight w:val="none"/>
                <w:u w:val="none"/>
                <w:lang w:val="en-US"/>
              </w:rPr>
            </w:pPr>
            <w:r>
              <w:rPr>
                <w:rFonts w:hint="eastAsia" w:ascii="宋体" w:hAnsi="宋体" w:eastAsia="宋体" w:cs="宋体"/>
                <w:b w:val="0"/>
                <w:i w:val="0"/>
                <w:iCs w:val="0"/>
                <w:color w:val="auto"/>
                <w:kern w:val="0"/>
                <w:sz w:val="18"/>
                <w:szCs w:val="18"/>
                <w:highlight w:val="none"/>
                <w:u w:val="none"/>
                <w:lang w:val="en-US" w:eastAsia="zh-CN" w:bidi="ar"/>
              </w:rPr>
              <w:t>橡胶鞋、其他鞋</w:t>
            </w:r>
          </w:p>
        </w:tc>
        <w:tc>
          <w:tcPr>
            <w:tcW w:w="6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69CA7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鞋料划裁工序</w:t>
            </w:r>
          </w:p>
        </w:tc>
        <w:tc>
          <w:tcPr>
            <w:tcW w:w="6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BEE7C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合布机、其他</w:t>
            </w:r>
          </w:p>
        </w:tc>
        <w:tc>
          <w:tcPr>
            <w:tcW w:w="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BD2F4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合布环节废气</w:t>
            </w:r>
          </w:p>
        </w:tc>
        <w:tc>
          <w:tcPr>
            <w:tcW w:w="8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367A7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苯、甲苯、二甲苯、挥发性有机物</w:t>
            </w:r>
          </w:p>
        </w:tc>
        <w:tc>
          <w:tcPr>
            <w:tcW w:w="8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0317FBA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有组织、无组织</w:t>
            </w:r>
          </w:p>
        </w:tc>
      </w:tr>
      <w:tr w14:paraId="37259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46" w:type="pct"/>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40E1E8C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DFAF8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05947D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帮底制作工序</w:t>
            </w:r>
          </w:p>
        </w:tc>
        <w:tc>
          <w:tcPr>
            <w:tcW w:w="6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A1834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上胶机、其他</w:t>
            </w:r>
          </w:p>
        </w:tc>
        <w:tc>
          <w:tcPr>
            <w:tcW w:w="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50801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刷胶粘剂环节废气</w:t>
            </w:r>
          </w:p>
        </w:tc>
        <w:tc>
          <w:tcPr>
            <w:tcW w:w="8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9EF34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苯、甲苯、二甲苯、挥发性有机物</w:t>
            </w:r>
          </w:p>
        </w:tc>
        <w:tc>
          <w:tcPr>
            <w:tcW w:w="8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70CE2B3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有组织、无组织</w:t>
            </w:r>
          </w:p>
        </w:tc>
      </w:tr>
      <w:tr w14:paraId="3F9DA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46" w:type="pct"/>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780277A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微软雅黑" w:hAnsi="微软雅黑" w:eastAsia="微软雅黑" w:cs="微软雅黑"/>
                <w:b w:val="0"/>
                <w:i w:val="0"/>
                <w:iCs w:val="0"/>
                <w:color w:val="auto"/>
                <w:sz w:val="18"/>
                <w:szCs w:val="18"/>
                <w:highlight w:val="none"/>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9CE72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微软雅黑" w:hAnsi="微软雅黑" w:eastAsia="微软雅黑" w:cs="微软雅黑"/>
                <w:b w:val="0"/>
                <w:i w:val="0"/>
                <w:iCs w:val="0"/>
                <w:color w:val="auto"/>
                <w:sz w:val="18"/>
                <w:szCs w:val="18"/>
                <w:highlight w:val="none"/>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588FD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微软雅黑" w:hAnsi="微软雅黑" w:eastAsia="微软雅黑" w:cs="微软雅黑"/>
                <w:b w:val="0"/>
                <w:i w:val="0"/>
                <w:iCs w:val="0"/>
                <w:color w:val="auto"/>
                <w:sz w:val="18"/>
                <w:szCs w:val="18"/>
                <w:highlight w:val="none"/>
                <w:u w:val="none"/>
              </w:rPr>
            </w:pPr>
          </w:p>
        </w:tc>
        <w:tc>
          <w:tcPr>
            <w:tcW w:w="6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D04BD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密炼机、开炼机、硫化机、挤出流水线、其他</w:t>
            </w:r>
          </w:p>
        </w:tc>
        <w:tc>
          <w:tcPr>
            <w:tcW w:w="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020F75">
            <w:pPr>
              <w:keepNext w:val="0"/>
              <w:keepLines w:val="0"/>
              <w:widowControl/>
              <w:suppressLineNumbers w:val="0"/>
              <w:shd w:val="clear"/>
              <w:ind w:left="0" w:leftChars="0" w:firstLine="0" w:firstLineChars="0"/>
              <w:jc w:val="left"/>
              <w:rPr>
                <w:rFonts w:hint="eastAsia" w:ascii="微软雅黑" w:hAnsi="微软雅黑" w:eastAsia="微软雅黑" w:cs="微软雅黑"/>
                <w:b w:val="0"/>
                <w:i w:val="0"/>
                <w:iCs w:val="0"/>
                <w:color w:val="auto"/>
                <w:sz w:val="18"/>
                <w:szCs w:val="18"/>
                <w:highlight w:val="none"/>
                <w:u w:val="none"/>
              </w:rPr>
            </w:pPr>
            <w:r>
              <w:rPr>
                <w:rFonts w:hint="eastAsia" w:ascii="宋体" w:hAnsi="宋体" w:eastAsia="宋体" w:cs="宋体"/>
                <w:b w:val="0"/>
                <w:color w:val="auto"/>
                <w:kern w:val="0"/>
                <w:sz w:val="18"/>
                <w:szCs w:val="18"/>
                <w:highlight w:val="none"/>
                <w:lang w:val="en-US" w:eastAsia="zh-CN" w:bidi="ar"/>
              </w:rPr>
              <w:t>鞋底生产环节废气</w:t>
            </w:r>
          </w:p>
        </w:tc>
        <w:tc>
          <w:tcPr>
            <w:tcW w:w="8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D94FA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微软雅黑" w:hAnsi="微软雅黑" w:eastAsia="微软雅黑" w:cs="微软雅黑"/>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挥发性有机物</w:t>
            </w:r>
          </w:p>
        </w:tc>
        <w:tc>
          <w:tcPr>
            <w:tcW w:w="8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2501F14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有组织、无组织</w:t>
            </w:r>
          </w:p>
        </w:tc>
      </w:tr>
      <w:tr w14:paraId="679B5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46" w:type="pct"/>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68E314A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微软雅黑" w:hAnsi="微软雅黑" w:eastAsia="微软雅黑" w:cs="微软雅黑"/>
                <w:b w:val="0"/>
                <w:i w:val="0"/>
                <w:iCs w:val="0"/>
                <w:color w:val="auto"/>
                <w:sz w:val="18"/>
                <w:szCs w:val="18"/>
                <w:highlight w:val="none"/>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5247F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微软雅黑" w:hAnsi="微软雅黑" w:eastAsia="微软雅黑" w:cs="微软雅黑"/>
                <w:b w:val="0"/>
                <w:i w:val="0"/>
                <w:iCs w:val="0"/>
                <w:color w:val="auto"/>
                <w:sz w:val="18"/>
                <w:szCs w:val="18"/>
                <w:highlight w:val="none"/>
                <w:u w:val="none"/>
              </w:rPr>
            </w:pP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A39576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帮底装配工序</w:t>
            </w:r>
          </w:p>
        </w:tc>
        <w:tc>
          <w:tcPr>
            <w:tcW w:w="6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32F27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硫化罐</w:t>
            </w:r>
          </w:p>
        </w:tc>
        <w:tc>
          <w:tcPr>
            <w:tcW w:w="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0684F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硫化环节废气</w:t>
            </w:r>
          </w:p>
        </w:tc>
        <w:tc>
          <w:tcPr>
            <w:tcW w:w="8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E514C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挥发性有机物</w:t>
            </w:r>
          </w:p>
        </w:tc>
        <w:tc>
          <w:tcPr>
            <w:tcW w:w="8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47CCD73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有组织、无组织</w:t>
            </w:r>
          </w:p>
        </w:tc>
      </w:tr>
      <w:tr w14:paraId="29D41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46" w:type="pct"/>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1D0D280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微软雅黑" w:hAnsi="微软雅黑" w:eastAsia="微软雅黑" w:cs="微软雅黑"/>
                <w:b w:val="0"/>
                <w:i w:val="0"/>
                <w:iCs w:val="0"/>
                <w:color w:val="auto"/>
                <w:sz w:val="18"/>
                <w:szCs w:val="18"/>
                <w:highlight w:val="none"/>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1A56F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微软雅黑" w:hAnsi="微软雅黑" w:eastAsia="微软雅黑" w:cs="微软雅黑"/>
                <w:b w:val="0"/>
                <w:i w:val="0"/>
                <w:iCs w:val="0"/>
                <w:color w:val="auto"/>
                <w:sz w:val="18"/>
                <w:szCs w:val="18"/>
                <w:highlight w:val="none"/>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DBE0C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5597F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上胶机、成型流水线、其他</w:t>
            </w:r>
          </w:p>
        </w:tc>
        <w:tc>
          <w:tcPr>
            <w:tcW w:w="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09579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刷胶粘剂处理剂环节废气</w:t>
            </w:r>
          </w:p>
        </w:tc>
        <w:tc>
          <w:tcPr>
            <w:tcW w:w="8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30AB9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苯、甲苯、二甲苯、挥发性有机物</w:t>
            </w:r>
          </w:p>
        </w:tc>
        <w:tc>
          <w:tcPr>
            <w:tcW w:w="8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42F3F33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w:t>
            </w:r>
          </w:p>
        </w:tc>
      </w:tr>
      <w:tr w14:paraId="26591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46" w:type="pct"/>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6DB8C51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微软雅黑" w:hAnsi="微软雅黑" w:eastAsia="微软雅黑" w:cs="微软雅黑"/>
                <w:b w:val="0"/>
                <w:i w:val="0"/>
                <w:iCs w:val="0"/>
                <w:color w:val="auto"/>
                <w:sz w:val="18"/>
                <w:szCs w:val="18"/>
                <w:highlight w:val="none"/>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56011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微软雅黑" w:hAnsi="微软雅黑" w:eastAsia="微软雅黑" w:cs="微软雅黑"/>
                <w:b w:val="0"/>
                <w:i w:val="0"/>
                <w:iCs w:val="0"/>
                <w:color w:val="auto"/>
                <w:sz w:val="18"/>
                <w:szCs w:val="18"/>
                <w:highlight w:val="none"/>
                <w:u w:val="none"/>
              </w:rPr>
            </w:pPr>
          </w:p>
        </w:tc>
        <w:tc>
          <w:tcPr>
            <w:tcW w:w="6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0F4C2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成鞋整饰及包装工序</w:t>
            </w:r>
          </w:p>
        </w:tc>
        <w:tc>
          <w:tcPr>
            <w:tcW w:w="6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05DCA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喷光台、其他</w:t>
            </w:r>
          </w:p>
        </w:tc>
        <w:tc>
          <w:tcPr>
            <w:tcW w:w="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DA189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喷光环节废气</w:t>
            </w:r>
          </w:p>
        </w:tc>
        <w:tc>
          <w:tcPr>
            <w:tcW w:w="8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39A59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挥发性有机物</w:t>
            </w:r>
          </w:p>
        </w:tc>
        <w:tc>
          <w:tcPr>
            <w:tcW w:w="8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375E604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有组织、无组织</w:t>
            </w:r>
          </w:p>
        </w:tc>
      </w:tr>
      <w:tr w14:paraId="499CC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46" w:type="pct"/>
            <w:vMerge w:val="restart"/>
            <w:tcBorders>
              <w:top w:val="single" w:color="000000" w:sz="4" w:space="0"/>
              <w:left w:val="single" w:color="000000" w:sz="12" w:space="0"/>
              <w:bottom w:val="single" w:color="000000" w:sz="4" w:space="0"/>
              <w:right w:val="single" w:color="000000" w:sz="4" w:space="0"/>
            </w:tcBorders>
            <w:shd w:val="clear" w:color="auto" w:fill="FFFFFF"/>
            <w:vAlign w:val="center"/>
          </w:tcPr>
          <w:p w14:paraId="06C4B20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注塑工艺单元</w:t>
            </w:r>
          </w:p>
        </w:tc>
        <w:tc>
          <w:tcPr>
            <w:tcW w:w="605"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804892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纺织面料鞋、皮鞋、塑料鞋、其他鞋</w:t>
            </w:r>
          </w:p>
        </w:tc>
        <w:tc>
          <w:tcPr>
            <w:tcW w:w="6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8C93C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鞋料划裁工序</w:t>
            </w:r>
          </w:p>
        </w:tc>
        <w:tc>
          <w:tcPr>
            <w:tcW w:w="6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9F24A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合布机、其他</w:t>
            </w:r>
          </w:p>
        </w:tc>
        <w:tc>
          <w:tcPr>
            <w:tcW w:w="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BB4EC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合布环节废气</w:t>
            </w:r>
          </w:p>
        </w:tc>
        <w:tc>
          <w:tcPr>
            <w:tcW w:w="8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9B826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苯、甲苯、二甲苯、挥发性有机物</w:t>
            </w:r>
          </w:p>
        </w:tc>
        <w:tc>
          <w:tcPr>
            <w:tcW w:w="8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08A49AB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有组织、无组织</w:t>
            </w:r>
          </w:p>
        </w:tc>
      </w:tr>
      <w:tr w14:paraId="37C7E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46" w:type="pct"/>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17E6223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C1D83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5C26D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帮底制作工序</w:t>
            </w:r>
          </w:p>
        </w:tc>
        <w:tc>
          <w:tcPr>
            <w:tcW w:w="6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AF877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上胶机、其他</w:t>
            </w:r>
          </w:p>
        </w:tc>
        <w:tc>
          <w:tcPr>
            <w:tcW w:w="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78BC8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刷胶粘剂环节废气</w:t>
            </w:r>
          </w:p>
        </w:tc>
        <w:tc>
          <w:tcPr>
            <w:tcW w:w="8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F5755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苯、甲苯、二甲苯、挥发性有机物</w:t>
            </w:r>
          </w:p>
        </w:tc>
        <w:tc>
          <w:tcPr>
            <w:tcW w:w="8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0BE07DB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有组织、无组织</w:t>
            </w:r>
          </w:p>
        </w:tc>
      </w:tr>
      <w:tr w14:paraId="1D85B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46" w:type="pct"/>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4B77D42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微软雅黑" w:hAnsi="微软雅黑" w:eastAsia="微软雅黑" w:cs="微软雅黑"/>
                <w:b w:val="0"/>
                <w:i w:val="0"/>
                <w:iCs w:val="0"/>
                <w:color w:val="auto"/>
                <w:sz w:val="18"/>
                <w:szCs w:val="18"/>
                <w:highlight w:val="none"/>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2179B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微软雅黑" w:hAnsi="微软雅黑" w:eastAsia="微软雅黑" w:cs="微软雅黑"/>
                <w:b w:val="0"/>
                <w:i w:val="0"/>
                <w:iCs w:val="0"/>
                <w:color w:val="auto"/>
                <w:sz w:val="18"/>
                <w:szCs w:val="18"/>
                <w:highlight w:val="none"/>
                <w:u w:val="none"/>
              </w:rPr>
            </w:pP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7454AC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微软雅黑" w:hAnsi="微软雅黑" w:eastAsia="微软雅黑" w:cs="微软雅黑"/>
                <w:b w:val="0"/>
                <w:i w:val="0"/>
                <w:iCs w:val="0"/>
                <w:color w:val="auto"/>
                <w:sz w:val="18"/>
                <w:szCs w:val="18"/>
                <w:highlight w:val="none"/>
                <w:u w:val="none"/>
                <w:lang w:val="en-US" w:eastAsia="zh-CN"/>
              </w:rPr>
            </w:pPr>
            <w:r>
              <w:rPr>
                <w:rFonts w:hint="eastAsia" w:ascii="宋体" w:hAnsi="宋体" w:eastAsia="宋体" w:cs="宋体"/>
                <w:b w:val="0"/>
                <w:i w:val="0"/>
                <w:iCs w:val="0"/>
                <w:color w:val="auto"/>
                <w:kern w:val="0"/>
                <w:sz w:val="18"/>
                <w:szCs w:val="18"/>
                <w:highlight w:val="none"/>
                <w:u w:val="none"/>
                <w:lang w:val="en-US" w:eastAsia="zh-CN" w:bidi="ar"/>
              </w:rPr>
              <w:t>帮底装配工序</w:t>
            </w:r>
          </w:p>
        </w:tc>
        <w:tc>
          <w:tcPr>
            <w:tcW w:w="69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5EB3E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注塑（射）机、上胶机、鞋底生产设备、其他</w:t>
            </w:r>
          </w:p>
        </w:tc>
        <w:tc>
          <w:tcPr>
            <w:tcW w:w="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03CC0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2"/>
                <w:sz w:val="18"/>
                <w:szCs w:val="18"/>
                <w:highlight w:val="none"/>
                <w:u w:val="none"/>
                <w:lang w:val="en-US" w:eastAsia="zh-CN" w:bidi="ar-SA"/>
              </w:rPr>
            </w:pPr>
            <w:r>
              <w:rPr>
                <w:rFonts w:hint="eastAsia" w:ascii="宋体" w:hAnsi="宋体" w:eastAsia="宋体" w:cs="宋体"/>
                <w:b w:val="0"/>
                <w:i w:val="0"/>
                <w:iCs w:val="0"/>
                <w:color w:val="auto"/>
                <w:kern w:val="0"/>
                <w:sz w:val="18"/>
                <w:szCs w:val="18"/>
                <w:highlight w:val="none"/>
                <w:u w:val="none"/>
                <w:lang w:val="en-US" w:eastAsia="zh-CN" w:bidi="ar"/>
              </w:rPr>
              <w:t>合成树脂注塑环节废气</w:t>
            </w:r>
          </w:p>
        </w:tc>
        <w:tc>
          <w:tcPr>
            <w:tcW w:w="8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AF7D4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2"/>
                <w:sz w:val="18"/>
                <w:szCs w:val="18"/>
                <w:highlight w:val="none"/>
                <w:u w:val="none"/>
                <w:lang w:val="en-US" w:eastAsia="zh-CN" w:bidi="ar-SA"/>
              </w:rPr>
            </w:pPr>
            <w:r>
              <w:rPr>
                <w:rFonts w:hint="eastAsia" w:ascii="宋体" w:hAnsi="宋体" w:eastAsia="宋体" w:cs="宋体"/>
                <w:b w:val="0"/>
                <w:i w:val="0"/>
                <w:iCs w:val="0"/>
                <w:color w:val="auto"/>
                <w:kern w:val="0"/>
                <w:sz w:val="18"/>
                <w:szCs w:val="18"/>
                <w:highlight w:val="none"/>
                <w:u w:val="none"/>
                <w:lang w:val="en-US" w:eastAsia="zh-CN" w:bidi="ar"/>
              </w:rPr>
              <w:t>挥发性有机物</w:t>
            </w:r>
          </w:p>
        </w:tc>
        <w:tc>
          <w:tcPr>
            <w:tcW w:w="8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7FED0FC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w:t>
            </w:r>
          </w:p>
        </w:tc>
      </w:tr>
      <w:tr w14:paraId="2B9A1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46" w:type="pct"/>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232CAF2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微软雅黑" w:hAnsi="微软雅黑" w:eastAsia="微软雅黑" w:cs="微软雅黑"/>
                <w:b w:val="0"/>
                <w:i w:val="0"/>
                <w:iCs w:val="0"/>
                <w:color w:val="auto"/>
                <w:sz w:val="18"/>
                <w:szCs w:val="18"/>
                <w:highlight w:val="none"/>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97502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微软雅黑" w:hAnsi="微软雅黑" w:eastAsia="微软雅黑" w:cs="微软雅黑"/>
                <w:b w:val="0"/>
                <w:i w:val="0"/>
                <w:iCs w:val="0"/>
                <w:color w:val="auto"/>
                <w:sz w:val="18"/>
                <w:szCs w:val="18"/>
                <w:highlight w:val="none"/>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AF2A1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微软雅黑" w:hAnsi="微软雅黑" w:eastAsia="微软雅黑" w:cs="微软雅黑"/>
                <w:b w:val="0"/>
                <w:i w:val="0"/>
                <w:iCs w:val="0"/>
                <w:color w:val="auto"/>
                <w:sz w:val="18"/>
                <w:szCs w:val="18"/>
                <w:highlight w:val="none"/>
                <w:u w:val="none"/>
              </w:rPr>
            </w:pPr>
          </w:p>
        </w:tc>
        <w:tc>
          <w:tcPr>
            <w:tcW w:w="69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26714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p>
        </w:tc>
        <w:tc>
          <w:tcPr>
            <w:tcW w:w="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F35CB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2"/>
                <w:sz w:val="18"/>
                <w:szCs w:val="18"/>
                <w:highlight w:val="none"/>
                <w:u w:val="none"/>
                <w:lang w:val="en-US" w:eastAsia="zh-CN" w:bidi="ar-SA"/>
              </w:rPr>
            </w:pPr>
            <w:r>
              <w:rPr>
                <w:rFonts w:hint="eastAsia" w:ascii="宋体" w:hAnsi="宋体" w:eastAsia="宋体" w:cs="宋体"/>
                <w:b w:val="0"/>
                <w:i w:val="0"/>
                <w:iCs w:val="0"/>
                <w:color w:val="auto"/>
                <w:kern w:val="0"/>
                <w:sz w:val="18"/>
                <w:szCs w:val="18"/>
                <w:highlight w:val="none"/>
                <w:u w:val="none"/>
                <w:lang w:val="en-US" w:eastAsia="zh-CN" w:bidi="ar"/>
              </w:rPr>
              <w:t>橡胶注射废气</w:t>
            </w:r>
          </w:p>
        </w:tc>
        <w:tc>
          <w:tcPr>
            <w:tcW w:w="8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4A604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2"/>
                <w:sz w:val="18"/>
                <w:szCs w:val="18"/>
                <w:highlight w:val="none"/>
                <w:u w:val="none"/>
                <w:lang w:val="en-US" w:eastAsia="zh-CN" w:bidi="ar-SA"/>
              </w:rPr>
            </w:pPr>
            <w:r>
              <w:rPr>
                <w:rFonts w:hint="eastAsia" w:ascii="宋体" w:hAnsi="宋体" w:eastAsia="宋体" w:cs="宋体"/>
                <w:b w:val="0"/>
                <w:i w:val="0"/>
                <w:iCs w:val="0"/>
                <w:color w:val="auto"/>
                <w:kern w:val="0"/>
                <w:sz w:val="18"/>
                <w:szCs w:val="18"/>
                <w:highlight w:val="none"/>
                <w:u w:val="none"/>
                <w:lang w:val="en-US" w:eastAsia="zh-CN" w:bidi="ar"/>
              </w:rPr>
              <w:t>挥发性有机物</w:t>
            </w:r>
          </w:p>
        </w:tc>
        <w:tc>
          <w:tcPr>
            <w:tcW w:w="8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66E2776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w:t>
            </w:r>
          </w:p>
        </w:tc>
      </w:tr>
      <w:tr w14:paraId="62C38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46" w:type="pct"/>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5F9C275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微软雅黑" w:hAnsi="微软雅黑" w:eastAsia="微软雅黑" w:cs="微软雅黑"/>
                <w:b w:val="0"/>
                <w:i w:val="0"/>
                <w:iCs w:val="0"/>
                <w:color w:val="auto"/>
                <w:sz w:val="18"/>
                <w:szCs w:val="18"/>
                <w:highlight w:val="none"/>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5CE89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微软雅黑" w:hAnsi="微软雅黑" w:eastAsia="微软雅黑" w:cs="微软雅黑"/>
                <w:b w:val="0"/>
                <w:i w:val="0"/>
                <w:iCs w:val="0"/>
                <w:color w:val="auto"/>
                <w:sz w:val="18"/>
                <w:szCs w:val="18"/>
                <w:highlight w:val="none"/>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18AC5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微软雅黑" w:hAnsi="微软雅黑" w:eastAsia="微软雅黑" w:cs="微软雅黑"/>
                <w:b w:val="0"/>
                <w:i w:val="0"/>
                <w:iCs w:val="0"/>
                <w:color w:val="auto"/>
                <w:sz w:val="18"/>
                <w:szCs w:val="18"/>
                <w:highlight w:val="none"/>
                <w:u w:val="none"/>
              </w:rPr>
            </w:pPr>
          </w:p>
        </w:tc>
        <w:tc>
          <w:tcPr>
            <w:tcW w:w="69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4BCB8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4F6FA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2"/>
                <w:sz w:val="18"/>
                <w:szCs w:val="18"/>
                <w:highlight w:val="none"/>
                <w:u w:val="none"/>
                <w:lang w:val="en-US" w:eastAsia="zh-CN" w:bidi="ar-SA"/>
              </w:rPr>
            </w:pPr>
            <w:r>
              <w:rPr>
                <w:rFonts w:hint="eastAsia" w:ascii="宋体" w:hAnsi="宋体" w:eastAsia="宋体" w:cs="宋体"/>
                <w:b w:val="0"/>
                <w:i w:val="0"/>
                <w:iCs w:val="0"/>
                <w:color w:val="auto"/>
                <w:kern w:val="0"/>
                <w:sz w:val="18"/>
                <w:szCs w:val="18"/>
                <w:highlight w:val="none"/>
                <w:u w:val="none"/>
                <w:lang w:val="en-US" w:eastAsia="zh-CN" w:bidi="ar"/>
              </w:rPr>
              <w:t>刷胶粘剂环节废气</w:t>
            </w:r>
          </w:p>
        </w:tc>
        <w:tc>
          <w:tcPr>
            <w:tcW w:w="8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0FE9D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2"/>
                <w:sz w:val="18"/>
                <w:szCs w:val="18"/>
                <w:highlight w:val="none"/>
                <w:u w:val="none"/>
                <w:lang w:val="en-US" w:eastAsia="zh-CN" w:bidi="ar-SA"/>
              </w:rPr>
            </w:pPr>
            <w:r>
              <w:rPr>
                <w:rFonts w:hint="eastAsia" w:ascii="宋体" w:hAnsi="宋体" w:eastAsia="宋体" w:cs="宋体"/>
                <w:b w:val="0"/>
                <w:i w:val="0"/>
                <w:iCs w:val="0"/>
                <w:color w:val="auto"/>
                <w:kern w:val="0"/>
                <w:sz w:val="18"/>
                <w:szCs w:val="18"/>
                <w:highlight w:val="none"/>
                <w:u w:val="none"/>
                <w:lang w:val="en-US" w:eastAsia="zh-CN" w:bidi="ar"/>
              </w:rPr>
              <w:t>苯、甲苯、二甲苯、挥发性有机物</w:t>
            </w:r>
          </w:p>
        </w:tc>
        <w:tc>
          <w:tcPr>
            <w:tcW w:w="8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18266A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w:t>
            </w:r>
          </w:p>
        </w:tc>
      </w:tr>
      <w:tr w14:paraId="6D62E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46" w:type="pct"/>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630D9A5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微软雅黑" w:hAnsi="微软雅黑" w:eastAsia="微软雅黑" w:cs="微软雅黑"/>
                <w:b w:val="0"/>
                <w:i w:val="0"/>
                <w:iCs w:val="0"/>
                <w:color w:val="auto"/>
                <w:sz w:val="18"/>
                <w:szCs w:val="18"/>
                <w:highlight w:val="none"/>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984EB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微软雅黑" w:hAnsi="微软雅黑" w:eastAsia="微软雅黑" w:cs="微软雅黑"/>
                <w:b w:val="0"/>
                <w:i w:val="0"/>
                <w:iCs w:val="0"/>
                <w:color w:val="auto"/>
                <w:sz w:val="18"/>
                <w:szCs w:val="18"/>
                <w:highlight w:val="none"/>
                <w:u w:val="none"/>
              </w:rPr>
            </w:pPr>
          </w:p>
        </w:tc>
        <w:tc>
          <w:tcPr>
            <w:tcW w:w="6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B7472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成鞋整饰及包装工序</w:t>
            </w:r>
          </w:p>
        </w:tc>
        <w:tc>
          <w:tcPr>
            <w:tcW w:w="6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71DD2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喷光台、其他</w:t>
            </w:r>
          </w:p>
        </w:tc>
        <w:tc>
          <w:tcPr>
            <w:tcW w:w="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F59FE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喷光环节废气</w:t>
            </w:r>
          </w:p>
        </w:tc>
        <w:tc>
          <w:tcPr>
            <w:tcW w:w="8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98C87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挥发性有机物</w:t>
            </w:r>
          </w:p>
        </w:tc>
        <w:tc>
          <w:tcPr>
            <w:tcW w:w="8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49ACB03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w:t>
            </w:r>
          </w:p>
        </w:tc>
      </w:tr>
      <w:tr w14:paraId="33ECF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46" w:type="pct"/>
            <w:vMerge w:val="restart"/>
            <w:tcBorders>
              <w:top w:val="single" w:color="000000" w:sz="4" w:space="0"/>
              <w:left w:val="single" w:color="000000" w:sz="12" w:space="0"/>
              <w:bottom w:val="single" w:color="000000" w:sz="4" w:space="0"/>
              <w:right w:val="single" w:color="000000" w:sz="4" w:space="0"/>
            </w:tcBorders>
            <w:shd w:val="clear" w:color="auto" w:fill="FFFFFF"/>
            <w:vAlign w:val="center"/>
          </w:tcPr>
          <w:p w14:paraId="2223522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模压工艺单元</w:t>
            </w:r>
          </w:p>
        </w:tc>
        <w:tc>
          <w:tcPr>
            <w:tcW w:w="605"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241BE9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纺织面料鞋、皮鞋、塑料鞋、其他鞋</w:t>
            </w:r>
          </w:p>
        </w:tc>
        <w:tc>
          <w:tcPr>
            <w:tcW w:w="6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ACC61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鞋料划裁工序</w:t>
            </w:r>
          </w:p>
        </w:tc>
        <w:tc>
          <w:tcPr>
            <w:tcW w:w="6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56709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合布机、其他</w:t>
            </w:r>
          </w:p>
        </w:tc>
        <w:tc>
          <w:tcPr>
            <w:tcW w:w="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61EEF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合布环节废气</w:t>
            </w:r>
          </w:p>
        </w:tc>
        <w:tc>
          <w:tcPr>
            <w:tcW w:w="8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F8273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苯、甲苯、二甲苯、挥发性有机物</w:t>
            </w:r>
          </w:p>
        </w:tc>
        <w:tc>
          <w:tcPr>
            <w:tcW w:w="8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060B8CF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宋体" w:hAnsi="宋体" w:eastAsia="宋体" w:cs="宋体"/>
                <w:b w:val="0"/>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w:t>
            </w:r>
            <w:r>
              <w:rPr>
                <w:rFonts w:hint="eastAsia" w:ascii="宋体" w:hAnsi="宋体" w:cs="宋体"/>
                <w:b w:val="0"/>
                <w:i w:val="0"/>
                <w:iCs w:val="0"/>
                <w:color w:val="auto"/>
                <w:kern w:val="0"/>
                <w:sz w:val="18"/>
                <w:szCs w:val="18"/>
                <w:highlight w:val="none"/>
                <w:u w:val="none"/>
                <w:lang w:val="en-US" w:eastAsia="zh-CN" w:bidi="ar"/>
              </w:rPr>
              <w:t>、无组织</w:t>
            </w:r>
          </w:p>
        </w:tc>
      </w:tr>
      <w:tr w14:paraId="6F0A2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46" w:type="pct"/>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0D860D8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BBF60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D5B04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帮底装配工序</w:t>
            </w:r>
          </w:p>
        </w:tc>
        <w:tc>
          <w:tcPr>
            <w:tcW w:w="6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D83EE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上胶机、其他</w:t>
            </w:r>
          </w:p>
        </w:tc>
        <w:tc>
          <w:tcPr>
            <w:tcW w:w="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30C45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刷胶粘剂环节废气</w:t>
            </w:r>
          </w:p>
        </w:tc>
        <w:tc>
          <w:tcPr>
            <w:tcW w:w="8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1FBFB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苯、甲苯、二甲苯、挥发性有机物</w:t>
            </w:r>
          </w:p>
        </w:tc>
        <w:tc>
          <w:tcPr>
            <w:tcW w:w="8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67520F0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w:t>
            </w:r>
            <w:r>
              <w:rPr>
                <w:rFonts w:hint="eastAsia" w:ascii="宋体" w:hAnsi="宋体" w:cs="宋体"/>
                <w:b w:val="0"/>
                <w:i w:val="0"/>
                <w:iCs w:val="0"/>
                <w:color w:val="auto"/>
                <w:kern w:val="0"/>
                <w:sz w:val="18"/>
                <w:szCs w:val="18"/>
                <w:highlight w:val="none"/>
                <w:u w:val="none"/>
                <w:lang w:val="en-US" w:eastAsia="zh-CN" w:bidi="ar"/>
              </w:rPr>
              <w:t>、无组织</w:t>
            </w:r>
          </w:p>
        </w:tc>
      </w:tr>
      <w:tr w14:paraId="01003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46" w:type="pct"/>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5CCFB8B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B0B5C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7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7ACDAA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帮底装配工序</w:t>
            </w:r>
          </w:p>
        </w:tc>
        <w:tc>
          <w:tcPr>
            <w:tcW w:w="69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CFC76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模压机、其他</w:t>
            </w:r>
          </w:p>
        </w:tc>
        <w:tc>
          <w:tcPr>
            <w:tcW w:w="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415ED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模压废气</w:t>
            </w:r>
          </w:p>
        </w:tc>
        <w:tc>
          <w:tcPr>
            <w:tcW w:w="8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A5A7B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挥发性有机物</w:t>
            </w:r>
          </w:p>
        </w:tc>
        <w:tc>
          <w:tcPr>
            <w:tcW w:w="8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718E6C0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w:t>
            </w:r>
          </w:p>
        </w:tc>
      </w:tr>
      <w:tr w14:paraId="2987A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46" w:type="pct"/>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36A529B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49023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7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3841B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9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3E818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0E62D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刷胶粘剂环节废气</w:t>
            </w:r>
          </w:p>
        </w:tc>
        <w:tc>
          <w:tcPr>
            <w:tcW w:w="8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BE8FD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苯、甲苯、二甲苯、挥发性有机物</w:t>
            </w:r>
          </w:p>
        </w:tc>
        <w:tc>
          <w:tcPr>
            <w:tcW w:w="8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4EA6267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w:t>
            </w:r>
          </w:p>
        </w:tc>
      </w:tr>
      <w:tr w14:paraId="62B45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46" w:type="pct"/>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3CF246A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1A089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745B6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成鞋整饰及包装工序</w:t>
            </w:r>
          </w:p>
        </w:tc>
        <w:tc>
          <w:tcPr>
            <w:tcW w:w="6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23FFA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喷光台、其他</w:t>
            </w:r>
          </w:p>
        </w:tc>
        <w:tc>
          <w:tcPr>
            <w:tcW w:w="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01327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喷光环节废气</w:t>
            </w:r>
          </w:p>
        </w:tc>
        <w:tc>
          <w:tcPr>
            <w:tcW w:w="8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232C7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挥发性有机物</w:t>
            </w:r>
          </w:p>
        </w:tc>
        <w:tc>
          <w:tcPr>
            <w:tcW w:w="8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B763B5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w:t>
            </w:r>
            <w:r>
              <w:rPr>
                <w:rFonts w:hint="eastAsia" w:ascii="宋体" w:hAnsi="宋体" w:cs="宋体"/>
                <w:b w:val="0"/>
                <w:i w:val="0"/>
                <w:iCs w:val="0"/>
                <w:color w:val="auto"/>
                <w:kern w:val="0"/>
                <w:sz w:val="18"/>
                <w:szCs w:val="18"/>
                <w:highlight w:val="none"/>
                <w:u w:val="none"/>
                <w:lang w:val="en-US" w:eastAsia="zh-CN" w:bidi="ar"/>
              </w:rPr>
              <w:t>、无组织</w:t>
            </w:r>
          </w:p>
        </w:tc>
      </w:tr>
      <w:tr w14:paraId="27985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46" w:type="pct"/>
            <w:vMerge w:val="restart"/>
            <w:tcBorders>
              <w:top w:val="single" w:color="000000" w:sz="4" w:space="0"/>
              <w:left w:val="single" w:color="000000" w:sz="12" w:space="0"/>
              <w:bottom w:val="single" w:color="000000" w:sz="4" w:space="0"/>
              <w:right w:val="single" w:color="000000" w:sz="4" w:space="0"/>
            </w:tcBorders>
            <w:shd w:val="clear" w:color="auto" w:fill="FFFFFF"/>
            <w:vAlign w:val="center"/>
          </w:tcPr>
          <w:p w14:paraId="3F09B63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线缝工艺单元</w:t>
            </w:r>
          </w:p>
        </w:tc>
        <w:tc>
          <w:tcPr>
            <w:tcW w:w="605"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118FC3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纺织面料、皮鞋、塑料鞋、其他鞋</w:t>
            </w:r>
          </w:p>
        </w:tc>
        <w:tc>
          <w:tcPr>
            <w:tcW w:w="6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2FE5C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鞋料划裁工序</w:t>
            </w:r>
          </w:p>
        </w:tc>
        <w:tc>
          <w:tcPr>
            <w:tcW w:w="6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5C713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合布机、其他</w:t>
            </w:r>
          </w:p>
        </w:tc>
        <w:tc>
          <w:tcPr>
            <w:tcW w:w="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94605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合布环节废气</w:t>
            </w:r>
          </w:p>
        </w:tc>
        <w:tc>
          <w:tcPr>
            <w:tcW w:w="8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7BF2E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苯、甲苯、二甲苯、挥发性有机物</w:t>
            </w:r>
          </w:p>
        </w:tc>
        <w:tc>
          <w:tcPr>
            <w:tcW w:w="8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61E2134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w:t>
            </w:r>
            <w:r>
              <w:rPr>
                <w:rFonts w:hint="eastAsia" w:ascii="宋体" w:hAnsi="宋体" w:cs="宋体"/>
                <w:b w:val="0"/>
                <w:i w:val="0"/>
                <w:iCs w:val="0"/>
                <w:color w:val="auto"/>
                <w:kern w:val="0"/>
                <w:sz w:val="18"/>
                <w:szCs w:val="18"/>
                <w:highlight w:val="none"/>
                <w:u w:val="none"/>
                <w:lang w:val="en-US" w:eastAsia="zh-CN" w:bidi="ar"/>
              </w:rPr>
              <w:t>、无组织</w:t>
            </w:r>
          </w:p>
        </w:tc>
      </w:tr>
      <w:tr w14:paraId="3E028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46" w:type="pct"/>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1329F79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AA0E8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7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45EE0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帮底制作工序</w:t>
            </w:r>
          </w:p>
        </w:tc>
        <w:tc>
          <w:tcPr>
            <w:tcW w:w="6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19D3A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上胶机、其他</w:t>
            </w:r>
          </w:p>
        </w:tc>
        <w:tc>
          <w:tcPr>
            <w:tcW w:w="9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22E93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刷胶粘剂环节废气</w:t>
            </w:r>
          </w:p>
        </w:tc>
        <w:tc>
          <w:tcPr>
            <w:tcW w:w="8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B3CCE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苯、甲苯、二甲苯、挥发性有机物</w:t>
            </w:r>
          </w:p>
        </w:tc>
        <w:tc>
          <w:tcPr>
            <w:tcW w:w="8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6EED9E0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w:t>
            </w:r>
            <w:r>
              <w:rPr>
                <w:rFonts w:hint="eastAsia" w:ascii="宋体" w:hAnsi="宋体" w:cs="宋体"/>
                <w:b w:val="0"/>
                <w:i w:val="0"/>
                <w:iCs w:val="0"/>
                <w:color w:val="auto"/>
                <w:kern w:val="0"/>
                <w:sz w:val="18"/>
                <w:szCs w:val="18"/>
                <w:highlight w:val="none"/>
                <w:u w:val="none"/>
                <w:lang w:val="en-US" w:eastAsia="zh-CN" w:bidi="ar"/>
              </w:rPr>
              <w:t>、无组织</w:t>
            </w:r>
          </w:p>
        </w:tc>
      </w:tr>
      <w:tr w14:paraId="08B1C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46" w:type="pct"/>
            <w:vMerge w:val="continue"/>
            <w:tcBorders>
              <w:top w:val="single" w:color="000000" w:sz="4" w:space="0"/>
              <w:left w:val="single" w:color="000000" w:sz="12" w:space="0"/>
              <w:bottom w:val="single" w:color="000000" w:sz="12" w:space="0"/>
              <w:right w:val="single" w:color="000000" w:sz="4" w:space="0"/>
            </w:tcBorders>
            <w:shd w:val="clear" w:color="auto" w:fill="FFFFFF"/>
            <w:vAlign w:val="center"/>
          </w:tcPr>
          <w:p w14:paraId="32475E3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05" w:type="pct"/>
            <w:vMerge w:val="continue"/>
            <w:tcBorders>
              <w:top w:val="single" w:color="000000" w:sz="4" w:space="0"/>
              <w:left w:val="single" w:color="000000" w:sz="4" w:space="0"/>
              <w:bottom w:val="single" w:color="000000" w:sz="12" w:space="0"/>
              <w:right w:val="single" w:color="000000" w:sz="4" w:space="0"/>
            </w:tcBorders>
            <w:shd w:val="clear" w:color="auto" w:fill="FFFFFF"/>
            <w:vAlign w:val="center"/>
          </w:tcPr>
          <w:p w14:paraId="7BC8DA7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eastAsia" w:ascii="宋体" w:hAnsi="宋体" w:eastAsia="宋体" w:cs="宋体"/>
                <w:b w:val="0"/>
                <w:i w:val="0"/>
                <w:iCs w:val="0"/>
                <w:color w:val="auto"/>
                <w:sz w:val="18"/>
                <w:szCs w:val="18"/>
                <w:highlight w:val="none"/>
                <w:u w:val="none"/>
              </w:rPr>
            </w:pPr>
          </w:p>
        </w:tc>
        <w:tc>
          <w:tcPr>
            <w:tcW w:w="677"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12542C3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成鞋整饰及包装工序</w:t>
            </w:r>
          </w:p>
        </w:tc>
        <w:tc>
          <w:tcPr>
            <w:tcW w:w="696"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6D424F0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喷光台、其他</w:t>
            </w:r>
          </w:p>
        </w:tc>
        <w:tc>
          <w:tcPr>
            <w:tcW w:w="933"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3B9C493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喷光环节废气</w:t>
            </w:r>
          </w:p>
        </w:tc>
        <w:tc>
          <w:tcPr>
            <w:tcW w:w="868"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1A1AC27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i w:val="0"/>
                <w:iCs w:val="0"/>
                <w:color w:val="auto"/>
                <w:sz w:val="18"/>
                <w:szCs w:val="18"/>
                <w:highlight w:val="none"/>
                <w:u w:val="none"/>
              </w:rPr>
            </w:pPr>
            <w:r>
              <w:rPr>
                <w:rFonts w:hint="eastAsia" w:ascii="宋体" w:hAnsi="宋体" w:eastAsia="宋体" w:cs="宋体"/>
                <w:b w:val="0"/>
                <w:i w:val="0"/>
                <w:iCs w:val="0"/>
                <w:color w:val="auto"/>
                <w:kern w:val="0"/>
                <w:sz w:val="18"/>
                <w:szCs w:val="18"/>
                <w:highlight w:val="none"/>
                <w:u w:val="none"/>
                <w:lang w:val="en-US" w:eastAsia="zh-CN" w:bidi="ar"/>
              </w:rPr>
              <w:t>挥发性有机物</w:t>
            </w:r>
          </w:p>
        </w:tc>
        <w:tc>
          <w:tcPr>
            <w:tcW w:w="870"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1A853F2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i w:val="0"/>
                <w:iCs w:val="0"/>
                <w:color w:val="auto"/>
                <w:kern w:val="0"/>
                <w:sz w:val="18"/>
                <w:szCs w:val="18"/>
                <w:highlight w:val="none"/>
                <w:u w:val="none"/>
                <w:lang w:val="en-US" w:eastAsia="zh-CN" w:bidi="ar"/>
              </w:rPr>
            </w:pPr>
            <w:r>
              <w:rPr>
                <w:rFonts w:hint="eastAsia" w:ascii="宋体" w:hAnsi="宋体" w:eastAsia="宋体" w:cs="宋体"/>
                <w:b w:val="0"/>
                <w:i w:val="0"/>
                <w:iCs w:val="0"/>
                <w:color w:val="auto"/>
                <w:kern w:val="0"/>
                <w:sz w:val="18"/>
                <w:szCs w:val="18"/>
                <w:highlight w:val="none"/>
                <w:u w:val="none"/>
                <w:lang w:val="en-US" w:eastAsia="zh-CN" w:bidi="ar"/>
              </w:rPr>
              <w:t>有组织</w:t>
            </w:r>
            <w:r>
              <w:rPr>
                <w:rFonts w:hint="eastAsia" w:ascii="宋体" w:hAnsi="宋体" w:cs="宋体"/>
                <w:b w:val="0"/>
                <w:i w:val="0"/>
                <w:iCs w:val="0"/>
                <w:color w:val="auto"/>
                <w:kern w:val="0"/>
                <w:sz w:val="18"/>
                <w:szCs w:val="18"/>
                <w:highlight w:val="none"/>
                <w:u w:val="none"/>
                <w:lang w:val="en-US" w:eastAsia="zh-CN" w:bidi="ar"/>
              </w:rPr>
              <w:t>、无组织</w:t>
            </w:r>
          </w:p>
        </w:tc>
      </w:tr>
    </w:tbl>
    <w:p w14:paraId="2346D770">
      <w:pPr>
        <w:shd w:val="clear"/>
        <w:rPr>
          <w:rFonts w:hint="default"/>
          <w:color w:val="auto"/>
          <w:highlight w:val="none"/>
          <w:lang w:val="en-US" w:eastAsia="zh-CN"/>
        </w:rPr>
      </w:pPr>
    </w:p>
    <w:p w14:paraId="46342EAA">
      <w:pPr>
        <w:pStyle w:val="3"/>
        <w:shd w:val="clear"/>
        <w:bidi w:val="0"/>
        <w:ind w:left="575" w:leftChars="0" w:hanging="575" w:firstLineChars="0"/>
        <w:rPr>
          <w:color w:val="auto"/>
          <w:highlight w:val="none"/>
        </w:rPr>
      </w:pPr>
      <w:bookmarkStart w:id="94" w:name="_Toc2916"/>
      <w:bookmarkStart w:id="95" w:name="_Toc13553"/>
      <w:bookmarkStart w:id="96" w:name="_Toc25185"/>
      <w:bookmarkStart w:id="97" w:name="_Toc20359"/>
      <w:bookmarkStart w:id="98" w:name="_Toc8981"/>
      <w:bookmarkStart w:id="99" w:name="_Toc11021"/>
      <w:r>
        <w:rPr>
          <w:rFonts w:hint="eastAsia"/>
          <w:color w:val="auto"/>
          <w:highlight w:val="none"/>
        </w:rPr>
        <w:t>行业产排污现状</w:t>
      </w:r>
      <w:bookmarkEnd w:id="94"/>
      <w:bookmarkEnd w:id="95"/>
      <w:bookmarkEnd w:id="96"/>
      <w:bookmarkEnd w:id="97"/>
      <w:bookmarkEnd w:id="98"/>
      <w:bookmarkEnd w:id="99"/>
    </w:p>
    <w:p w14:paraId="59069D90">
      <w:pPr>
        <w:pStyle w:val="4"/>
        <w:shd w:val="clear"/>
        <w:bidi w:val="0"/>
        <w:ind w:left="0" w:leftChars="0" w:firstLine="0" w:firstLineChars="0"/>
        <w:rPr>
          <w:rFonts w:hint="eastAsia"/>
          <w:color w:val="auto"/>
          <w:highlight w:val="none"/>
          <w:lang w:val="en-US" w:eastAsia="zh-CN"/>
        </w:rPr>
      </w:pPr>
      <w:r>
        <w:rPr>
          <w:rFonts w:hint="eastAsia"/>
          <w:color w:val="auto"/>
          <w:highlight w:val="none"/>
          <w:lang w:val="en-US" w:eastAsia="zh-CN"/>
        </w:rPr>
        <w:t>排污许可管理企业有组织排放数据</w:t>
      </w:r>
    </w:p>
    <w:p w14:paraId="750027EA">
      <w:pPr>
        <w:shd w:val="clear"/>
        <w:rPr>
          <w:rFonts w:hint="default"/>
          <w:color w:val="auto"/>
          <w:highlight w:val="none"/>
          <w:lang w:val="en-US" w:eastAsia="zh-CN"/>
        </w:rPr>
      </w:pPr>
      <w:r>
        <w:rPr>
          <w:rFonts w:hint="eastAsia"/>
          <w:color w:val="auto"/>
          <w:highlight w:val="none"/>
          <w:lang w:val="en-US" w:eastAsia="zh-CN"/>
        </w:rPr>
        <w:t>根据排污许可平台公开的湖南省排污许可管理工业企企业挥发性有机物排放浓度的自行监测数据，按照工业涂装和其他溶剂使用、化工和石化等4个类别分类整理后，对各行业苯、二甲苯、苯系物、非甲烷总烃和挥发性有机物等污染物控制项目进行分析。各控制项目的浓度分布情况分析如下：</w:t>
      </w:r>
    </w:p>
    <w:p w14:paraId="71E7267A">
      <w:pPr>
        <w:numPr>
          <w:ilvl w:val="0"/>
          <w:numId w:val="7"/>
        </w:numPr>
        <w:shd w:val="clear"/>
        <w:rPr>
          <w:rFonts w:hint="default"/>
          <w:color w:val="auto"/>
          <w:highlight w:val="none"/>
          <w:lang w:val="en-US" w:eastAsia="zh-CN"/>
        </w:rPr>
      </w:pPr>
      <w:r>
        <w:rPr>
          <w:rFonts w:hint="eastAsia"/>
          <w:color w:val="auto"/>
          <w:highlight w:val="none"/>
          <w:lang w:val="en-US" w:eastAsia="zh-CN"/>
        </w:rPr>
        <w:t>苯：收集到工业涂装、其他溶剂使用行业、化工和石化共15个行业357家企业651个有效数据。对于除制鞋业（C195）行业苯90%分位数为0.85 mg/m</w:t>
      </w:r>
      <w:r>
        <w:rPr>
          <w:rFonts w:hint="eastAsia"/>
          <w:color w:val="auto"/>
          <w:highlight w:val="none"/>
          <w:vertAlign w:val="superscript"/>
          <w:lang w:val="en-US" w:eastAsia="zh-CN"/>
        </w:rPr>
        <w:t>3</w:t>
      </w:r>
      <w:r>
        <w:rPr>
          <w:rFonts w:hint="eastAsia"/>
          <w:color w:val="auto"/>
          <w:highlight w:val="none"/>
          <w:lang w:val="en-US" w:eastAsia="zh-CN"/>
        </w:rPr>
        <w:t>外，各行业苯排放浓度90%分位数均在0.5 mg/m</w:t>
      </w:r>
      <w:r>
        <w:rPr>
          <w:rFonts w:hint="eastAsia"/>
          <w:color w:val="auto"/>
          <w:highlight w:val="none"/>
          <w:vertAlign w:val="superscript"/>
          <w:lang w:val="en-US" w:eastAsia="zh-CN"/>
        </w:rPr>
        <w:t>3</w:t>
      </w:r>
      <w:r>
        <w:rPr>
          <w:rFonts w:hint="eastAsia"/>
          <w:color w:val="auto"/>
          <w:highlight w:val="none"/>
          <w:lang w:val="en-US" w:eastAsia="zh-CN"/>
        </w:rPr>
        <w:t>以下。但各苯排放浓度的最高值分布范围较大，其中汽车维修（O811）、黑色金属冶炼和压延加工业（C31）、制鞋业（C19）、印刷和记录媒介复制业（C23）、石油、煤炭及其他燃料加工业（C25）等5个行业苯排放浓度的最高值在1～10 mg/m</w:t>
      </w:r>
      <w:r>
        <w:rPr>
          <w:rFonts w:hint="eastAsia"/>
          <w:color w:val="auto"/>
          <w:highlight w:val="none"/>
          <w:vertAlign w:val="superscript"/>
          <w:lang w:val="en-US" w:eastAsia="zh-CN"/>
        </w:rPr>
        <w:t>3</w:t>
      </w:r>
      <w:r>
        <w:rPr>
          <w:rFonts w:hint="eastAsia"/>
          <w:color w:val="auto"/>
          <w:highlight w:val="none"/>
          <w:lang w:val="en-US" w:eastAsia="zh-CN"/>
        </w:rPr>
        <w:t>之间，化学原料和化学制品制造业（</w:t>
      </w:r>
      <w:r>
        <w:rPr>
          <w:rFonts w:hint="default"/>
          <w:color w:val="auto"/>
          <w:highlight w:val="none"/>
          <w:lang w:val="en-US" w:eastAsia="zh-CN"/>
        </w:rPr>
        <w:t>C26</w:t>
      </w:r>
      <w:r>
        <w:rPr>
          <w:rFonts w:hint="eastAsia"/>
          <w:color w:val="auto"/>
          <w:highlight w:val="none"/>
          <w:lang w:val="en-US" w:eastAsia="zh-CN"/>
        </w:rPr>
        <w:t>）苯的最高值达249 mg/m</w:t>
      </w:r>
      <w:r>
        <w:rPr>
          <w:rFonts w:hint="eastAsia"/>
          <w:color w:val="auto"/>
          <w:highlight w:val="none"/>
          <w:vertAlign w:val="superscript"/>
          <w:lang w:val="en-US" w:eastAsia="zh-CN"/>
        </w:rPr>
        <w:t>3</w:t>
      </w:r>
      <w:r>
        <w:rPr>
          <w:rFonts w:hint="eastAsia"/>
          <w:color w:val="auto"/>
          <w:highlight w:val="none"/>
          <w:lang w:val="en-US" w:eastAsia="zh-CN"/>
        </w:rPr>
        <w:t>。</w:t>
      </w:r>
    </w:p>
    <w:p w14:paraId="2151306C">
      <w:pPr>
        <w:keepNext w:val="0"/>
        <w:keepLines w:val="0"/>
        <w:pageBreakBefore w:val="0"/>
        <w:widowControl w:val="0"/>
        <w:numPr>
          <w:ilvl w:val="0"/>
          <w:numId w:val="0"/>
        </w:numPr>
        <w:shd w:val="clear"/>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eastAsia"/>
          <w:color w:val="auto"/>
          <w:highlight w:val="none"/>
          <w:lang w:val="en-US" w:eastAsia="zh-CN"/>
        </w:rPr>
        <w:t>湖南省工业企业有组织排放苯自行监测浓度箱线图见</w:t>
      </w:r>
      <w:r>
        <w:rPr>
          <w:rFonts w:hint="eastAsia"/>
          <w:color w:val="auto"/>
          <w:highlight w:val="none"/>
          <w:lang w:val="en-US" w:eastAsia="zh-CN"/>
        </w:rPr>
        <w:fldChar w:fldCharType="begin"/>
      </w:r>
      <w:r>
        <w:rPr>
          <w:rFonts w:hint="eastAsia"/>
          <w:color w:val="auto"/>
          <w:highlight w:val="none"/>
          <w:lang w:val="en-US" w:eastAsia="zh-CN"/>
        </w:rPr>
        <w:instrText xml:space="preserve"> REF _Ref7 \h </w:instrText>
      </w:r>
      <w:r>
        <w:rPr>
          <w:rFonts w:hint="eastAsia"/>
          <w:color w:val="auto"/>
          <w:highlight w:val="none"/>
          <w:lang w:val="en-US" w:eastAsia="zh-CN"/>
        </w:rPr>
        <w:fldChar w:fldCharType="separate"/>
      </w:r>
      <w:r>
        <w:rPr>
          <w:rFonts w:hint="default" w:ascii="Times New Roman" w:hAnsi="Times New Roman" w:cs="Times New Roman"/>
          <w:color w:val="auto"/>
          <w:highlight w:val="none"/>
        </w:rPr>
        <w:t>图5</w:t>
      </w:r>
      <w:r>
        <w:rPr>
          <w:rFonts w:hint="eastAsia"/>
          <w:color w:val="auto"/>
          <w:highlight w:val="none"/>
          <w:lang w:val="en-US" w:eastAsia="zh-CN"/>
        </w:rPr>
        <w:fldChar w:fldCharType="end"/>
      </w:r>
      <w:r>
        <w:rPr>
          <w:rFonts w:hint="eastAsia"/>
          <w:color w:val="auto"/>
          <w:highlight w:val="none"/>
          <w:lang w:val="en-US" w:eastAsia="zh-CN"/>
        </w:rPr>
        <w:t>。</w:t>
      </w:r>
    </w:p>
    <w:p w14:paraId="6E255E5D">
      <w:pPr>
        <w:numPr>
          <w:ilvl w:val="0"/>
          <w:numId w:val="0"/>
        </w:numPr>
        <w:shd w:val="clear"/>
        <w:rPr>
          <w:rFonts w:hint="eastAsia"/>
          <w:color w:val="auto"/>
          <w:highlight w:val="none"/>
          <w:lang w:val="en-US" w:eastAsia="zh-CN"/>
        </w:rPr>
      </w:pPr>
    </w:p>
    <w:p w14:paraId="5BC40EC8">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default"/>
          <w:color w:val="auto"/>
          <w:highlight w:val="none"/>
          <w:lang w:val="en-US" w:eastAsia="zh-CN"/>
        </w:rPr>
        <w:drawing>
          <wp:inline distT="0" distB="0" distL="114300" distR="114300">
            <wp:extent cx="5365115" cy="3235325"/>
            <wp:effectExtent l="0" t="0" r="6985" b="3175"/>
            <wp:docPr id="11" name="图片 11" descr="苯-纵坐标调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苯-纵坐标调整-3"/>
                    <pic:cNvPicPr>
                      <a:picLocks noChangeAspect="1"/>
                    </pic:cNvPicPr>
                  </pic:nvPicPr>
                  <pic:blipFill>
                    <a:blip r:embed="rId23"/>
                    <a:srcRect t="9603"/>
                    <a:stretch>
                      <a:fillRect/>
                    </a:stretch>
                  </pic:blipFill>
                  <pic:spPr>
                    <a:xfrm>
                      <a:off x="0" y="0"/>
                      <a:ext cx="5365115" cy="3235325"/>
                    </a:xfrm>
                    <a:prstGeom prst="rect">
                      <a:avLst/>
                    </a:prstGeom>
                  </pic:spPr>
                </pic:pic>
              </a:graphicData>
            </a:graphic>
          </wp:inline>
        </w:drawing>
      </w:r>
    </w:p>
    <w:p w14:paraId="66A0B5A4">
      <w:pPr>
        <w:pStyle w:val="130"/>
        <w:shd w:val="clear"/>
        <w:bidi w:val="0"/>
        <w:ind w:leftChars="0"/>
        <w:jc w:val="center"/>
        <w:outlineLvl w:val="4"/>
        <w:rPr>
          <w:rFonts w:hint="default" w:ascii="Times New Roman" w:hAnsi="Times New Roman" w:cs="Times New Roman"/>
          <w:color w:val="000000" w:themeColor="text1"/>
          <w:highlight w:val="none"/>
          <w:lang w:val="en-US" w:eastAsia="zh-CN"/>
          <w14:textFill>
            <w14:solidFill>
              <w14:schemeClr w14:val="tx1"/>
            </w14:solidFill>
          </w14:textFill>
        </w:rPr>
      </w:pPr>
      <w:bookmarkStart w:id="100" w:name="_Ref7"/>
      <w:r>
        <w:rPr>
          <w:rFonts w:hint="default" w:ascii="Times New Roman" w:hAnsi="Times New Roman" w:cs="Times New Roman"/>
          <w:color w:val="000000" w:themeColor="text1"/>
          <w:highlight w:val="none"/>
          <w14:textFill>
            <w14:solidFill>
              <w14:schemeClr w14:val="tx1"/>
            </w14:solidFill>
          </w14:textFill>
        </w:rPr>
        <w:t>图</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SEQ 图 \* ARABIC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fldChar w:fldCharType="end"/>
      </w:r>
      <w:bookmarkEnd w:id="100"/>
      <w:r>
        <w:rPr>
          <w:rFonts w:hint="default" w:ascii="Times New Roman" w:hAnsi="Times New Roman" w:cs="Times New Roman"/>
          <w:color w:val="000000" w:themeColor="text1"/>
          <w:highlight w:val="none"/>
          <w:lang w:val="en-US" w:eastAsia="zh-CN"/>
          <w14:textFill>
            <w14:solidFill>
              <w14:schemeClr w14:val="tx1"/>
            </w14:solidFill>
          </w14:textFill>
        </w:rPr>
        <w:t xml:space="preserve"> 有组织排放苯自行监测浓度箱线图</w:t>
      </w:r>
    </w:p>
    <w:p w14:paraId="18DA1843">
      <w:pPr>
        <w:numPr>
          <w:ilvl w:val="0"/>
          <w:numId w:val="7"/>
        </w:numPr>
        <w:shd w:val="clear"/>
        <w:ind w:left="0" w:leftChars="0" w:firstLine="480" w:firstLineChars="200"/>
        <w:rPr>
          <w:rFonts w:hint="eastAsia"/>
          <w:color w:val="auto"/>
          <w:highlight w:val="none"/>
          <w:lang w:val="en-US" w:eastAsia="zh-CN"/>
        </w:rPr>
      </w:pPr>
      <w:r>
        <w:rPr>
          <w:rFonts w:hint="eastAsia"/>
          <w:color w:val="auto"/>
          <w:highlight w:val="none"/>
          <w:lang w:val="en-US" w:eastAsia="zh-CN"/>
        </w:rPr>
        <w:t>苯系物：收集到工业涂装、其他溶剂使用行业和化工共11个行业357个企业651个有效数据。对于工业涂装行业和其他溶剂使用行业苯系物排放浓度大致在20 mg/m</w:t>
      </w:r>
      <w:r>
        <w:rPr>
          <w:rFonts w:hint="eastAsia"/>
          <w:color w:val="auto"/>
          <w:highlight w:val="none"/>
          <w:vertAlign w:val="superscript"/>
          <w:lang w:val="en-US" w:eastAsia="zh-CN"/>
        </w:rPr>
        <w:t>3</w:t>
      </w:r>
      <w:r>
        <w:rPr>
          <w:rFonts w:hint="eastAsia"/>
          <w:color w:val="auto"/>
          <w:highlight w:val="none"/>
          <w:lang w:val="en-US" w:eastAsia="zh-CN"/>
        </w:rPr>
        <w:t>以下，其中，金属制品业（C33）最高值为23.3 mg/m</w:t>
      </w:r>
      <w:r>
        <w:rPr>
          <w:rFonts w:hint="eastAsia"/>
          <w:color w:val="auto"/>
          <w:highlight w:val="none"/>
          <w:vertAlign w:val="superscript"/>
          <w:lang w:val="en-US" w:eastAsia="zh-CN"/>
        </w:rPr>
        <w:t>3</w:t>
      </w:r>
      <w:r>
        <w:rPr>
          <w:rFonts w:hint="eastAsia"/>
          <w:color w:val="auto"/>
          <w:highlight w:val="none"/>
          <w:lang w:val="en-US" w:eastAsia="zh-CN"/>
        </w:rPr>
        <w:t>；对于化工行业，医药制造业（C27）苯系物排放浓度90%分位数为24.3 mg/m</w:t>
      </w:r>
      <w:r>
        <w:rPr>
          <w:rFonts w:hint="eastAsia"/>
          <w:color w:val="auto"/>
          <w:highlight w:val="none"/>
          <w:vertAlign w:val="superscript"/>
          <w:lang w:val="en-US" w:eastAsia="zh-CN"/>
        </w:rPr>
        <w:t>3</w:t>
      </w:r>
      <w:r>
        <w:rPr>
          <w:rFonts w:hint="eastAsia"/>
          <w:color w:val="auto"/>
          <w:highlight w:val="none"/>
          <w:lang w:val="en-US" w:eastAsia="zh-CN"/>
        </w:rPr>
        <w:t>，最高值为46.3 mg/m</w:t>
      </w:r>
      <w:r>
        <w:rPr>
          <w:rFonts w:hint="eastAsia"/>
          <w:color w:val="auto"/>
          <w:highlight w:val="none"/>
          <w:vertAlign w:val="superscript"/>
          <w:lang w:val="en-US" w:eastAsia="zh-CN"/>
        </w:rPr>
        <w:t>3</w:t>
      </w:r>
      <w:r>
        <w:rPr>
          <w:rFonts w:hint="eastAsia"/>
          <w:color w:val="auto"/>
          <w:highlight w:val="none"/>
          <w:lang w:val="en-US" w:eastAsia="zh-CN"/>
        </w:rPr>
        <w:t>。湖南省工业企业有组织排放苯系物自行监测浓度箱线图见</w:t>
      </w:r>
      <w:r>
        <w:rPr>
          <w:rFonts w:hint="eastAsia"/>
          <w:color w:val="auto"/>
          <w:highlight w:val="none"/>
          <w:lang w:val="en-US" w:eastAsia="zh-CN"/>
        </w:rPr>
        <w:fldChar w:fldCharType="begin"/>
      </w:r>
      <w:r>
        <w:rPr>
          <w:rFonts w:hint="eastAsia"/>
          <w:color w:val="auto"/>
          <w:highlight w:val="none"/>
          <w:lang w:val="en-US" w:eastAsia="zh-CN"/>
        </w:rPr>
        <w:instrText xml:space="preserve"> REF _Ref33 \h </w:instrText>
      </w:r>
      <w:r>
        <w:rPr>
          <w:rFonts w:hint="eastAsia"/>
          <w:color w:val="auto"/>
          <w:highlight w:val="none"/>
          <w:lang w:val="en-US" w:eastAsia="zh-CN"/>
        </w:rPr>
        <w:fldChar w:fldCharType="separate"/>
      </w:r>
      <w:r>
        <w:rPr>
          <w:rFonts w:hint="default" w:ascii="Times New Roman" w:hAnsi="Times New Roman" w:cs="Times New Roman"/>
          <w:color w:val="auto"/>
          <w:highlight w:val="none"/>
        </w:rPr>
        <w:t>图6</w:t>
      </w:r>
      <w:r>
        <w:rPr>
          <w:rFonts w:hint="eastAsia"/>
          <w:color w:val="auto"/>
          <w:highlight w:val="none"/>
          <w:lang w:val="en-US" w:eastAsia="zh-CN"/>
        </w:rPr>
        <w:fldChar w:fldCharType="end"/>
      </w:r>
      <w:r>
        <w:rPr>
          <w:rFonts w:hint="eastAsia"/>
          <w:color w:val="auto"/>
          <w:highlight w:val="none"/>
          <w:lang w:val="en-US" w:eastAsia="zh-CN"/>
        </w:rPr>
        <w:t>。</w:t>
      </w:r>
    </w:p>
    <w:p w14:paraId="4F28D44C">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leftChars="200"/>
        <w:textAlignment w:val="auto"/>
        <w:rPr>
          <w:rFonts w:hint="eastAsia"/>
          <w:color w:val="auto"/>
          <w:highlight w:val="none"/>
          <w:lang w:val="en-US" w:eastAsia="zh-CN"/>
        </w:rPr>
      </w:pPr>
    </w:p>
    <w:p w14:paraId="2DE8FFF6">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leftChars="200"/>
        <w:textAlignment w:val="auto"/>
        <w:rPr>
          <w:rFonts w:hint="eastAsia"/>
          <w:color w:val="auto"/>
          <w:highlight w:val="none"/>
          <w:lang w:val="en-US" w:eastAsia="zh-CN"/>
        </w:rPr>
      </w:pPr>
      <w:r>
        <w:rPr>
          <w:rFonts w:hint="eastAsia"/>
          <w:color w:val="auto"/>
          <w:highlight w:val="none"/>
          <w:lang w:val="en-US" w:eastAsia="zh-CN"/>
        </w:rPr>
        <w:drawing>
          <wp:inline distT="0" distB="0" distL="114300" distR="114300">
            <wp:extent cx="5233670" cy="3152775"/>
            <wp:effectExtent l="0" t="0" r="5080" b="0"/>
            <wp:docPr id="13" name="图片 13" descr="ALL1苯系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LL1苯系物"/>
                    <pic:cNvPicPr>
                      <a:picLocks noChangeAspect="1"/>
                    </pic:cNvPicPr>
                  </pic:nvPicPr>
                  <pic:blipFill>
                    <a:blip r:embed="rId24"/>
                    <a:srcRect t="9413" r="-255"/>
                    <a:stretch>
                      <a:fillRect/>
                    </a:stretch>
                  </pic:blipFill>
                  <pic:spPr>
                    <a:xfrm>
                      <a:off x="0" y="0"/>
                      <a:ext cx="5233670" cy="3152775"/>
                    </a:xfrm>
                    <a:prstGeom prst="rect">
                      <a:avLst/>
                    </a:prstGeom>
                  </pic:spPr>
                </pic:pic>
              </a:graphicData>
            </a:graphic>
          </wp:inline>
        </w:drawing>
      </w:r>
    </w:p>
    <w:p w14:paraId="6B07577C">
      <w:pPr>
        <w:pStyle w:val="130"/>
        <w:shd w:val="clear"/>
        <w:bidi w:val="0"/>
        <w:ind w:leftChars="0"/>
        <w:jc w:val="center"/>
        <w:outlineLvl w:val="4"/>
        <w:rPr>
          <w:rFonts w:hint="default" w:ascii="Times New Roman" w:hAnsi="Times New Roman" w:cs="Times New Roman"/>
          <w:color w:val="000000" w:themeColor="text1"/>
          <w:highlight w:val="none"/>
          <w:lang w:val="en-US" w:eastAsia="zh-CN"/>
          <w14:textFill>
            <w14:solidFill>
              <w14:schemeClr w14:val="tx1"/>
            </w14:solidFill>
          </w14:textFill>
        </w:rPr>
      </w:pPr>
      <w:bookmarkStart w:id="101" w:name="_Ref33"/>
      <w:r>
        <w:rPr>
          <w:rFonts w:hint="default" w:ascii="Times New Roman" w:hAnsi="Times New Roman" w:cs="Times New Roman"/>
          <w:color w:val="000000" w:themeColor="text1"/>
          <w:highlight w:val="none"/>
          <w14:textFill>
            <w14:solidFill>
              <w14:schemeClr w14:val="tx1"/>
            </w14:solidFill>
          </w14:textFill>
        </w:rPr>
        <w:t>图</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SEQ 图 \* ARABIC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6</w:t>
      </w:r>
      <w:r>
        <w:rPr>
          <w:rFonts w:hint="default" w:ascii="Times New Roman" w:hAnsi="Times New Roman" w:cs="Times New Roman"/>
          <w:color w:val="000000" w:themeColor="text1"/>
          <w:highlight w:val="none"/>
          <w14:textFill>
            <w14:solidFill>
              <w14:schemeClr w14:val="tx1"/>
            </w14:solidFill>
          </w14:textFill>
        </w:rPr>
        <w:fldChar w:fldCharType="end"/>
      </w:r>
      <w:bookmarkEnd w:id="101"/>
      <w:r>
        <w:rPr>
          <w:rFonts w:hint="default" w:ascii="Times New Roman" w:hAnsi="Times New Roman" w:cs="Times New Roman"/>
          <w:color w:val="000000" w:themeColor="text1"/>
          <w:highlight w:val="none"/>
          <w:lang w:val="en-US" w:eastAsia="zh-CN"/>
          <w14:textFill>
            <w14:solidFill>
              <w14:schemeClr w14:val="tx1"/>
            </w14:solidFill>
          </w14:textFill>
        </w:rPr>
        <w:t xml:space="preserve"> 有组织排放苯系物自行监测浓度箱线图</w:t>
      </w:r>
    </w:p>
    <w:p w14:paraId="31010933">
      <w:pPr>
        <w:numPr>
          <w:ilvl w:val="0"/>
          <w:numId w:val="7"/>
        </w:numPr>
        <w:shd w:val="clear"/>
        <w:ind w:left="0" w:leftChars="0" w:firstLine="480" w:firstLineChars="200"/>
        <w:rPr>
          <w:rFonts w:hint="eastAsia"/>
          <w:color w:val="auto"/>
          <w:highlight w:val="none"/>
          <w:lang w:val="en-US" w:eastAsia="zh-CN"/>
        </w:rPr>
      </w:pPr>
      <w:r>
        <w:rPr>
          <w:rFonts w:hint="eastAsia"/>
          <w:color w:val="auto"/>
          <w:highlight w:val="none"/>
          <w:lang w:val="en-US" w:eastAsia="zh-CN"/>
        </w:rPr>
        <w:t>非甲烷总烃：共获得20个行业929家企业2058个有效数据。对于工业涂装各行业，非甲烷总烃排放浓度大致在40 mg/m</w:t>
      </w:r>
      <w:r>
        <w:rPr>
          <w:rFonts w:hint="eastAsia"/>
          <w:color w:val="auto"/>
          <w:highlight w:val="none"/>
          <w:vertAlign w:val="superscript"/>
          <w:lang w:val="en-US" w:eastAsia="zh-CN"/>
        </w:rPr>
        <w:t>3</w:t>
      </w:r>
      <w:r>
        <w:rPr>
          <w:rFonts w:hint="eastAsia"/>
          <w:color w:val="auto"/>
          <w:highlight w:val="none"/>
          <w:lang w:val="en-US" w:eastAsia="zh-CN"/>
        </w:rPr>
        <w:t>以下；其中，金属制品业（C33）最高值为47.8 mg/m</w:t>
      </w:r>
      <w:r>
        <w:rPr>
          <w:rFonts w:hint="eastAsia"/>
          <w:color w:val="auto"/>
          <w:highlight w:val="none"/>
          <w:vertAlign w:val="superscript"/>
          <w:lang w:val="en-US" w:eastAsia="zh-CN"/>
        </w:rPr>
        <w:t>3</w:t>
      </w:r>
      <w:r>
        <w:rPr>
          <w:rFonts w:hint="eastAsia"/>
          <w:color w:val="auto"/>
          <w:highlight w:val="none"/>
          <w:vertAlign w:val="baseline"/>
          <w:lang w:val="en-US" w:eastAsia="zh-CN"/>
        </w:rPr>
        <w:t>；汽车修理与维护</w:t>
      </w:r>
      <w:r>
        <w:rPr>
          <w:rFonts w:hint="eastAsia"/>
          <w:color w:val="auto"/>
          <w:highlight w:val="none"/>
          <w:lang w:val="en-US" w:eastAsia="zh-CN"/>
        </w:rPr>
        <w:t>（O811）</w:t>
      </w:r>
      <w:r>
        <w:rPr>
          <w:rFonts w:hint="eastAsia"/>
          <w:color w:val="auto"/>
          <w:highlight w:val="none"/>
          <w:vertAlign w:val="baseline"/>
          <w:lang w:val="en-US" w:eastAsia="zh-CN"/>
        </w:rPr>
        <w:t>最高值为</w:t>
      </w:r>
      <w:r>
        <w:rPr>
          <w:rFonts w:hint="eastAsia"/>
          <w:color w:val="auto"/>
          <w:highlight w:val="none"/>
          <w:lang w:val="en-US" w:eastAsia="zh-CN"/>
        </w:rPr>
        <w:t>50 mg/m</w:t>
      </w:r>
      <w:r>
        <w:rPr>
          <w:rFonts w:hint="eastAsia"/>
          <w:color w:val="auto"/>
          <w:highlight w:val="none"/>
          <w:vertAlign w:val="superscript"/>
          <w:lang w:val="en-US" w:eastAsia="zh-CN"/>
        </w:rPr>
        <w:t>3</w:t>
      </w:r>
      <w:r>
        <w:rPr>
          <w:rFonts w:hint="eastAsia"/>
          <w:color w:val="auto"/>
          <w:highlight w:val="none"/>
          <w:lang w:val="en-US" w:eastAsia="zh-CN"/>
        </w:rPr>
        <w:t>。有机溶剂使用行业排放浓度的90%分位数均低于40 mg/m</w:t>
      </w:r>
      <w:r>
        <w:rPr>
          <w:rFonts w:hint="eastAsia"/>
          <w:color w:val="auto"/>
          <w:highlight w:val="none"/>
          <w:vertAlign w:val="superscript"/>
          <w:lang w:val="en-US" w:eastAsia="zh-CN"/>
        </w:rPr>
        <w:t>3</w:t>
      </w:r>
      <w:r>
        <w:rPr>
          <w:rFonts w:hint="eastAsia"/>
          <w:color w:val="auto"/>
          <w:highlight w:val="none"/>
          <w:lang w:val="en-US" w:eastAsia="zh-CN"/>
        </w:rPr>
        <w:t>以下，但其最高值分布范围较大，最高值高达741 mg/m</w:t>
      </w:r>
      <w:r>
        <w:rPr>
          <w:rFonts w:hint="eastAsia"/>
          <w:color w:val="auto"/>
          <w:highlight w:val="none"/>
          <w:vertAlign w:val="superscript"/>
          <w:lang w:val="en-US" w:eastAsia="zh-CN"/>
        </w:rPr>
        <w:t>3</w:t>
      </w:r>
      <w:r>
        <w:rPr>
          <w:rFonts w:hint="eastAsia"/>
          <w:color w:val="auto"/>
          <w:highlight w:val="none"/>
          <w:lang w:val="en-US" w:eastAsia="zh-CN"/>
        </w:rPr>
        <w:t>。</w:t>
      </w:r>
      <w:r>
        <w:rPr>
          <w:rFonts w:hint="eastAsia"/>
          <w:color w:val="auto"/>
          <w:highlight w:val="none"/>
          <w:vertAlign w:val="baseline"/>
          <w:lang w:val="en-US" w:eastAsia="zh-CN"/>
        </w:rPr>
        <w:t>化工行业非甲烷总烃排放浓度更高，其中医药制造业</w:t>
      </w:r>
      <w:r>
        <w:rPr>
          <w:rFonts w:hint="eastAsia"/>
          <w:color w:val="auto"/>
          <w:highlight w:val="none"/>
          <w:lang w:val="en-US" w:eastAsia="zh-CN"/>
        </w:rPr>
        <w:t>（C27）</w:t>
      </w:r>
      <w:r>
        <w:rPr>
          <w:rFonts w:hint="eastAsia"/>
          <w:color w:val="auto"/>
          <w:highlight w:val="none"/>
          <w:vertAlign w:val="baseline"/>
          <w:lang w:val="en-US" w:eastAsia="zh-CN"/>
        </w:rPr>
        <w:t>的90%分位数为42.1 mg/m</w:t>
      </w:r>
      <w:r>
        <w:rPr>
          <w:rFonts w:hint="eastAsia"/>
          <w:color w:val="auto"/>
          <w:highlight w:val="none"/>
          <w:vertAlign w:val="superscript"/>
          <w:lang w:val="en-US" w:eastAsia="zh-CN"/>
        </w:rPr>
        <w:t>3</w:t>
      </w:r>
      <w:r>
        <w:rPr>
          <w:rFonts w:hint="eastAsia"/>
          <w:color w:val="auto"/>
          <w:highlight w:val="none"/>
          <w:vertAlign w:val="baseline"/>
          <w:lang w:val="en-US" w:eastAsia="zh-CN"/>
        </w:rPr>
        <w:t>，最高值高达</w:t>
      </w:r>
      <w:r>
        <w:rPr>
          <w:rFonts w:hint="eastAsia"/>
          <w:color w:val="auto"/>
          <w:highlight w:val="none"/>
          <w:lang w:val="en-US" w:eastAsia="zh-CN"/>
        </w:rPr>
        <w:t>506 mg/m</w:t>
      </w:r>
      <w:r>
        <w:rPr>
          <w:rFonts w:hint="eastAsia"/>
          <w:color w:val="auto"/>
          <w:highlight w:val="none"/>
          <w:vertAlign w:val="superscript"/>
          <w:lang w:val="en-US" w:eastAsia="zh-CN"/>
        </w:rPr>
        <w:t>3</w:t>
      </w:r>
      <w:r>
        <w:rPr>
          <w:rFonts w:hint="eastAsia"/>
          <w:color w:val="auto"/>
          <w:highlight w:val="none"/>
          <w:lang w:val="en-US" w:eastAsia="zh-CN"/>
        </w:rPr>
        <w:t>。石化行业仅获得3家企业的6个监测数据，浓度范围在2.83～34.43 mg/m</w:t>
      </w:r>
      <w:r>
        <w:rPr>
          <w:rFonts w:hint="eastAsia"/>
          <w:color w:val="auto"/>
          <w:highlight w:val="none"/>
          <w:vertAlign w:val="superscript"/>
          <w:lang w:val="en-US" w:eastAsia="zh-CN"/>
        </w:rPr>
        <w:t>3</w:t>
      </w:r>
      <w:r>
        <w:rPr>
          <w:rFonts w:hint="eastAsia"/>
          <w:color w:val="auto"/>
          <w:highlight w:val="none"/>
          <w:lang w:val="en-US" w:eastAsia="zh-CN"/>
        </w:rPr>
        <w:t>。湖南省工业企业有组织排放非甲烷总烃自行监测浓度箱线图见</w:t>
      </w:r>
      <w:r>
        <w:rPr>
          <w:rFonts w:hint="eastAsia"/>
          <w:color w:val="auto"/>
          <w:highlight w:val="none"/>
          <w:lang w:val="en-US" w:eastAsia="zh-CN"/>
        </w:rPr>
        <w:fldChar w:fldCharType="begin"/>
      </w:r>
      <w:r>
        <w:rPr>
          <w:rFonts w:hint="eastAsia"/>
          <w:color w:val="auto"/>
          <w:highlight w:val="none"/>
          <w:lang w:val="en-US" w:eastAsia="zh-CN"/>
        </w:rPr>
        <w:instrText xml:space="preserve"> REF _Ref69 \h </w:instrText>
      </w:r>
      <w:r>
        <w:rPr>
          <w:rFonts w:hint="eastAsia"/>
          <w:color w:val="auto"/>
          <w:highlight w:val="none"/>
          <w:lang w:val="en-US" w:eastAsia="zh-CN"/>
        </w:rPr>
        <w:fldChar w:fldCharType="separate"/>
      </w:r>
      <w:r>
        <w:rPr>
          <w:rFonts w:hint="default" w:ascii="Times New Roman" w:hAnsi="Times New Roman" w:cs="Times New Roman"/>
          <w:color w:val="auto"/>
          <w:highlight w:val="none"/>
        </w:rPr>
        <w:t>图7</w:t>
      </w:r>
      <w:r>
        <w:rPr>
          <w:rFonts w:hint="eastAsia"/>
          <w:color w:val="auto"/>
          <w:highlight w:val="none"/>
          <w:lang w:val="en-US" w:eastAsia="zh-CN"/>
        </w:rPr>
        <w:fldChar w:fldCharType="end"/>
      </w:r>
      <w:r>
        <w:rPr>
          <w:rFonts w:hint="eastAsia"/>
          <w:color w:val="auto"/>
          <w:highlight w:val="none"/>
          <w:lang w:val="en-US" w:eastAsia="zh-CN"/>
        </w:rPr>
        <w:t>。</w:t>
      </w:r>
    </w:p>
    <w:p w14:paraId="3E3B3037">
      <w:pPr>
        <w:widowControl w:val="0"/>
        <w:numPr>
          <w:ilvl w:val="0"/>
          <w:numId w:val="0"/>
        </w:numPr>
        <w:shd w:val="clear"/>
        <w:spacing w:line="480" w:lineRule="exact"/>
        <w:jc w:val="both"/>
        <w:rPr>
          <w:rFonts w:hint="eastAsia"/>
          <w:color w:val="auto"/>
          <w:highlight w:val="none"/>
          <w:lang w:val="en-US" w:eastAsia="zh-CN"/>
        </w:rPr>
      </w:pPr>
    </w:p>
    <w:p w14:paraId="0DF11B03">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leftChars="200"/>
        <w:textAlignment w:val="auto"/>
        <w:rPr>
          <w:rFonts w:hint="default"/>
          <w:color w:val="auto"/>
          <w:highlight w:val="none"/>
          <w:lang w:val="en-US" w:eastAsia="zh-CN"/>
        </w:rPr>
      </w:pPr>
      <w:r>
        <w:rPr>
          <w:rFonts w:hint="default"/>
          <w:color w:val="auto"/>
          <w:highlight w:val="none"/>
          <w:lang w:val="en-US" w:eastAsia="zh-CN"/>
        </w:rPr>
        <w:drawing>
          <wp:inline distT="0" distB="0" distL="114300" distR="114300">
            <wp:extent cx="5045075" cy="3043555"/>
            <wp:effectExtent l="0" t="0" r="3175" b="4445"/>
            <wp:docPr id="14" name="图片 14" descr="ALL1非甲烷总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LL1非甲烷总烃"/>
                    <pic:cNvPicPr>
                      <a:picLocks noChangeAspect="1"/>
                    </pic:cNvPicPr>
                  </pic:nvPicPr>
                  <pic:blipFill>
                    <a:blip r:embed="rId25"/>
                    <a:srcRect t="9047" r="3725" b="3825"/>
                    <a:stretch>
                      <a:fillRect/>
                    </a:stretch>
                  </pic:blipFill>
                  <pic:spPr>
                    <a:xfrm>
                      <a:off x="0" y="0"/>
                      <a:ext cx="5045075" cy="3043555"/>
                    </a:xfrm>
                    <a:prstGeom prst="rect">
                      <a:avLst/>
                    </a:prstGeom>
                  </pic:spPr>
                </pic:pic>
              </a:graphicData>
            </a:graphic>
          </wp:inline>
        </w:drawing>
      </w:r>
    </w:p>
    <w:p w14:paraId="74800A4B">
      <w:pPr>
        <w:pStyle w:val="130"/>
        <w:shd w:val="clear"/>
        <w:bidi w:val="0"/>
        <w:ind w:leftChars="0"/>
        <w:jc w:val="center"/>
        <w:outlineLvl w:val="4"/>
        <w:rPr>
          <w:rFonts w:hint="default" w:ascii="Times New Roman" w:hAnsi="Times New Roman" w:cs="Times New Roman"/>
          <w:color w:val="000000" w:themeColor="text1"/>
          <w:highlight w:val="none"/>
          <w:lang w:val="en-US" w:eastAsia="zh-CN"/>
          <w14:textFill>
            <w14:solidFill>
              <w14:schemeClr w14:val="tx1"/>
            </w14:solidFill>
          </w14:textFill>
        </w:rPr>
      </w:pPr>
      <w:bookmarkStart w:id="102" w:name="_Ref69"/>
      <w:r>
        <w:rPr>
          <w:rFonts w:hint="default" w:ascii="Times New Roman" w:hAnsi="Times New Roman" w:cs="Times New Roman"/>
          <w:color w:val="000000" w:themeColor="text1"/>
          <w:highlight w:val="none"/>
          <w14:textFill>
            <w14:solidFill>
              <w14:schemeClr w14:val="tx1"/>
            </w14:solidFill>
          </w14:textFill>
        </w:rPr>
        <w:t>图</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SEQ 图 \* ARABIC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fldChar w:fldCharType="end"/>
      </w:r>
      <w:bookmarkEnd w:id="102"/>
      <w:r>
        <w:rPr>
          <w:rFonts w:hint="default" w:ascii="Times New Roman" w:hAnsi="Times New Roman" w:cs="Times New Roman"/>
          <w:color w:val="000000" w:themeColor="text1"/>
          <w:highlight w:val="none"/>
          <w:lang w:val="en-US" w:eastAsia="zh-CN"/>
          <w14:textFill>
            <w14:solidFill>
              <w14:schemeClr w14:val="tx1"/>
            </w14:solidFill>
          </w14:textFill>
        </w:rPr>
        <w:t xml:space="preserve"> 有组织排放非甲烷总烃浓度箱线图</w:t>
      </w:r>
    </w:p>
    <w:p w14:paraId="216930AE">
      <w:pPr>
        <w:numPr>
          <w:ilvl w:val="0"/>
          <w:numId w:val="7"/>
        </w:numPr>
        <w:shd w:val="clear"/>
        <w:ind w:left="0" w:leftChars="0" w:firstLine="480" w:firstLineChars="200"/>
        <w:rPr>
          <w:rFonts w:hint="eastAsia"/>
          <w:color w:val="auto"/>
          <w:highlight w:val="none"/>
          <w:lang w:val="en-US" w:eastAsia="zh-CN"/>
        </w:rPr>
      </w:pPr>
      <w:r>
        <w:rPr>
          <w:rFonts w:hint="eastAsia"/>
          <w:color w:val="auto"/>
          <w:highlight w:val="none"/>
          <w:lang w:val="en-US" w:eastAsia="zh-CN"/>
        </w:rPr>
        <w:t>VOCs：共获得工业涂装、其他有机溶剂使用、化工和石化四类共20个行业894家企业2181个有效数据。各行业VOCs排放浓度90%分位数均在40 mg/m</w:t>
      </w:r>
      <w:r>
        <w:rPr>
          <w:rFonts w:hint="eastAsia"/>
          <w:color w:val="auto"/>
          <w:highlight w:val="none"/>
          <w:vertAlign w:val="superscript"/>
          <w:lang w:val="en-US" w:eastAsia="zh-CN"/>
        </w:rPr>
        <w:t>3</w:t>
      </w:r>
      <w:r>
        <w:rPr>
          <w:rFonts w:hint="eastAsia"/>
          <w:color w:val="auto"/>
          <w:highlight w:val="none"/>
          <w:lang w:val="en-US" w:eastAsia="zh-CN"/>
        </w:rPr>
        <w:t>以下，但各类行业中VOCs排放浓度分布范围较大，其中工业涂装金属制品业（C33）最高值为706.5 mg/m</w:t>
      </w:r>
      <w:r>
        <w:rPr>
          <w:rFonts w:hint="eastAsia"/>
          <w:color w:val="auto"/>
          <w:highlight w:val="none"/>
          <w:vertAlign w:val="superscript"/>
          <w:lang w:val="en-US" w:eastAsia="zh-CN"/>
        </w:rPr>
        <w:t>3</w:t>
      </w:r>
      <w:r>
        <w:rPr>
          <w:rFonts w:hint="eastAsia"/>
          <w:color w:val="auto"/>
          <w:highlight w:val="none"/>
          <w:lang w:val="en-US" w:eastAsia="zh-CN"/>
        </w:rPr>
        <w:t>。石化行业仅获得3家企业的3个监测数据，浓度低于11.9 mg/m</w:t>
      </w:r>
      <w:r>
        <w:rPr>
          <w:rFonts w:hint="eastAsia"/>
          <w:color w:val="auto"/>
          <w:highlight w:val="none"/>
          <w:vertAlign w:val="superscript"/>
          <w:lang w:val="en-US" w:eastAsia="zh-CN"/>
        </w:rPr>
        <w:t>3</w:t>
      </w:r>
      <w:r>
        <w:rPr>
          <w:rFonts w:hint="eastAsia"/>
          <w:color w:val="auto"/>
          <w:highlight w:val="none"/>
          <w:lang w:val="en-US" w:eastAsia="zh-CN"/>
        </w:rPr>
        <w:t>。湖南省各行业挥发性有机物浓度箱线图见</w:t>
      </w:r>
      <w:r>
        <w:rPr>
          <w:rFonts w:hint="eastAsia"/>
          <w:color w:val="auto"/>
          <w:highlight w:val="none"/>
          <w:lang w:val="en-US" w:eastAsia="zh-CN"/>
        </w:rPr>
        <w:fldChar w:fldCharType="begin"/>
      </w:r>
      <w:r>
        <w:rPr>
          <w:rFonts w:hint="eastAsia"/>
          <w:color w:val="auto"/>
          <w:highlight w:val="none"/>
          <w:lang w:val="en-US" w:eastAsia="zh-CN"/>
        </w:rPr>
        <w:instrText xml:space="preserve"> REF _Ref102 \h </w:instrText>
      </w:r>
      <w:r>
        <w:rPr>
          <w:rFonts w:hint="eastAsia"/>
          <w:color w:val="auto"/>
          <w:highlight w:val="none"/>
          <w:lang w:val="en-US" w:eastAsia="zh-CN"/>
        </w:rPr>
        <w:fldChar w:fldCharType="separate"/>
      </w:r>
      <w:r>
        <w:rPr>
          <w:rFonts w:hint="default" w:ascii="Times New Roman" w:hAnsi="Times New Roman" w:cs="Times New Roman"/>
          <w:color w:val="auto"/>
          <w:highlight w:val="none"/>
        </w:rPr>
        <w:t>图8</w:t>
      </w:r>
      <w:r>
        <w:rPr>
          <w:rFonts w:hint="eastAsia"/>
          <w:color w:val="auto"/>
          <w:highlight w:val="none"/>
          <w:lang w:val="en-US" w:eastAsia="zh-CN"/>
        </w:rPr>
        <w:fldChar w:fldCharType="end"/>
      </w:r>
      <w:r>
        <w:rPr>
          <w:rFonts w:hint="eastAsia"/>
          <w:color w:val="auto"/>
          <w:highlight w:val="none"/>
          <w:lang w:val="en-US" w:eastAsia="zh-CN"/>
        </w:rPr>
        <w:t>。</w:t>
      </w:r>
    </w:p>
    <w:p w14:paraId="4D1955B5">
      <w:pPr>
        <w:numPr>
          <w:ilvl w:val="-1"/>
          <w:numId w:val="0"/>
        </w:numPr>
        <w:shd w:val="clear"/>
        <w:ind w:left="0" w:leftChars="0" w:firstLine="0" w:firstLineChars="0"/>
        <w:rPr>
          <w:rFonts w:hint="default"/>
          <w:color w:val="000000" w:themeColor="text1"/>
          <w:highlight w:val="none"/>
          <w:lang w:val="en-US" w:eastAsia="zh-CN"/>
          <w14:textFill>
            <w14:solidFill>
              <w14:schemeClr w14:val="tx1"/>
            </w14:solidFill>
          </w14:textFill>
        </w:rPr>
      </w:pPr>
    </w:p>
    <w:p w14:paraId="254686D0">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ind w:leftChars="200"/>
        <w:textAlignment w:val="auto"/>
        <w:rPr>
          <w:rFonts w:hint="eastAsia"/>
          <w:color w:val="auto"/>
          <w:highlight w:val="none"/>
          <w:lang w:val="en-US" w:eastAsia="zh-CN"/>
        </w:rPr>
      </w:pPr>
      <w:r>
        <w:rPr>
          <w:rFonts w:hint="eastAsia"/>
          <w:color w:val="auto"/>
          <w:highlight w:val="none"/>
          <w:lang w:val="en-US" w:eastAsia="zh-CN"/>
        </w:rPr>
        <w:drawing>
          <wp:inline distT="0" distB="0" distL="114300" distR="114300">
            <wp:extent cx="5118100" cy="3114675"/>
            <wp:effectExtent l="0" t="0" r="2540" b="9525"/>
            <wp:docPr id="16" name="图片 16" descr="ALL1挥发性有机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LL1挥发性有机物"/>
                    <pic:cNvPicPr>
                      <a:picLocks noChangeAspect="1"/>
                    </pic:cNvPicPr>
                  </pic:nvPicPr>
                  <pic:blipFill>
                    <a:blip r:embed="rId26"/>
                    <a:srcRect t="9546" r="3259" b="2129"/>
                    <a:stretch>
                      <a:fillRect/>
                    </a:stretch>
                  </pic:blipFill>
                  <pic:spPr>
                    <a:xfrm>
                      <a:off x="0" y="0"/>
                      <a:ext cx="5118100" cy="3114675"/>
                    </a:xfrm>
                    <a:prstGeom prst="rect">
                      <a:avLst/>
                    </a:prstGeom>
                  </pic:spPr>
                </pic:pic>
              </a:graphicData>
            </a:graphic>
          </wp:inline>
        </w:drawing>
      </w:r>
    </w:p>
    <w:p w14:paraId="6D338B80">
      <w:pPr>
        <w:pStyle w:val="130"/>
        <w:shd w:val="clear"/>
        <w:bidi w:val="0"/>
        <w:ind w:leftChars="0"/>
        <w:jc w:val="center"/>
        <w:outlineLvl w:val="4"/>
        <w:rPr>
          <w:rFonts w:hint="default" w:ascii="Times New Roman" w:hAnsi="Times New Roman" w:cs="Times New Roman"/>
          <w:color w:val="000000" w:themeColor="text1"/>
          <w:highlight w:val="none"/>
          <w:lang w:val="en-US" w:eastAsia="zh-CN"/>
          <w14:textFill>
            <w14:solidFill>
              <w14:schemeClr w14:val="tx1"/>
            </w14:solidFill>
          </w14:textFill>
        </w:rPr>
      </w:pPr>
      <w:bookmarkStart w:id="103" w:name="_Ref102"/>
      <w:r>
        <w:rPr>
          <w:rFonts w:hint="default" w:ascii="Times New Roman" w:hAnsi="Times New Roman" w:cs="Times New Roman"/>
          <w:color w:val="000000" w:themeColor="text1"/>
          <w:highlight w:val="none"/>
          <w14:textFill>
            <w14:solidFill>
              <w14:schemeClr w14:val="tx1"/>
            </w14:solidFill>
          </w14:textFill>
        </w:rPr>
        <w:t>图</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SEQ 图 \* ARABIC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8</w:t>
      </w:r>
      <w:r>
        <w:rPr>
          <w:rFonts w:hint="default" w:ascii="Times New Roman" w:hAnsi="Times New Roman" w:cs="Times New Roman"/>
          <w:color w:val="000000" w:themeColor="text1"/>
          <w:highlight w:val="none"/>
          <w14:textFill>
            <w14:solidFill>
              <w14:schemeClr w14:val="tx1"/>
            </w14:solidFill>
          </w14:textFill>
        </w:rPr>
        <w:fldChar w:fldCharType="end"/>
      </w:r>
      <w:bookmarkEnd w:id="103"/>
      <w:r>
        <w:rPr>
          <w:rFonts w:hint="default" w:ascii="Times New Roman" w:hAnsi="Times New Roman" w:cs="Times New Roman"/>
          <w:color w:val="000000" w:themeColor="text1"/>
          <w:highlight w:val="none"/>
          <w:lang w:val="en-US" w:eastAsia="zh-CN"/>
          <w14:textFill>
            <w14:solidFill>
              <w14:schemeClr w14:val="tx1"/>
            </w14:solidFill>
          </w14:textFill>
        </w:rPr>
        <w:t xml:space="preserve"> 有组织排放VOCs浓度箱线图</w:t>
      </w:r>
    </w:p>
    <w:p w14:paraId="56C19BF1">
      <w:pPr>
        <w:numPr>
          <w:ilvl w:val="0"/>
          <w:numId w:val="7"/>
        </w:numPr>
        <w:shd w:val="clear"/>
        <w:ind w:left="0" w:leftChars="0" w:firstLine="480" w:firstLineChars="200"/>
        <w:rPr>
          <w:rFonts w:hint="eastAsia"/>
          <w:color w:val="auto"/>
          <w:highlight w:val="none"/>
          <w:lang w:val="en-US" w:eastAsia="zh-CN"/>
        </w:rPr>
      </w:pPr>
      <w:r>
        <w:rPr>
          <w:rFonts w:hint="eastAsia"/>
          <w:color w:val="auto"/>
          <w:highlight w:val="none"/>
          <w:lang w:val="en-US" w:eastAsia="zh-CN"/>
        </w:rPr>
        <w:t>甲醛：共获得工业涂装、其他有机溶剂使用、化工三类共7个行业53家企业73个有效数据，甲醛排放浓度在5.5 mg/m</w:t>
      </w:r>
      <w:r>
        <w:rPr>
          <w:rFonts w:hint="eastAsia"/>
          <w:color w:val="auto"/>
          <w:highlight w:val="none"/>
          <w:vertAlign w:val="superscript"/>
          <w:lang w:val="en-US" w:eastAsia="zh-CN"/>
        </w:rPr>
        <w:t>3</w:t>
      </w:r>
      <w:r>
        <w:rPr>
          <w:rFonts w:hint="eastAsia"/>
          <w:color w:val="auto"/>
          <w:highlight w:val="none"/>
          <w:lang w:val="en-US" w:eastAsia="zh-CN"/>
        </w:rPr>
        <w:t>以下。湖南省各行业甲醛浓度的箱线图见</w:t>
      </w:r>
      <w:r>
        <w:rPr>
          <w:rFonts w:hint="eastAsia"/>
          <w:color w:val="auto"/>
          <w:highlight w:val="none"/>
          <w:lang w:val="en-US" w:eastAsia="zh-CN"/>
        </w:rPr>
        <w:fldChar w:fldCharType="begin"/>
      </w:r>
      <w:r>
        <w:rPr>
          <w:rFonts w:hint="eastAsia"/>
          <w:color w:val="auto"/>
          <w:highlight w:val="none"/>
          <w:lang w:val="en-US" w:eastAsia="zh-CN"/>
        </w:rPr>
        <w:instrText xml:space="preserve"> REF _Ref5565 \h </w:instrText>
      </w:r>
      <w:r>
        <w:rPr>
          <w:rFonts w:hint="eastAsia"/>
          <w:color w:val="auto"/>
          <w:highlight w:val="none"/>
          <w:lang w:val="en-US" w:eastAsia="zh-CN"/>
        </w:rPr>
        <w:fldChar w:fldCharType="separate"/>
      </w:r>
      <w:r>
        <w:rPr>
          <w:rFonts w:hint="default" w:ascii="Times New Roman" w:hAnsi="Times New Roman" w:cs="Times New Roman"/>
          <w:color w:val="000000" w:themeColor="text1"/>
          <w14:textFill>
            <w14:solidFill>
              <w14:schemeClr w14:val="tx1"/>
            </w14:solidFill>
          </w14:textFill>
        </w:rPr>
        <w:t>图9</w:t>
      </w:r>
      <w:r>
        <w:rPr>
          <w:rFonts w:hint="eastAsia"/>
          <w:color w:val="auto"/>
          <w:highlight w:val="none"/>
          <w:lang w:val="en-US" w:eastAsia="zh-CN"/>
        </w:rPr>
        <w:fldChar w:fldCharType="end"/>
      </w:r>
      <w:r>
        <w:rPr>
          <w:rFonts w:hint="eastAsia"/>
          <w:color w:val="auto"/>
          <w:highlight w:val="none"/>
          <w:lang w:val="en-US" w:eastAsia="zh-CN"/>
        </w:rPr>
        <w:t>。</w:t>
      </w:r>
    </w:p>
    <w:p w14:paraId="400DC73F">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both"/>
        <w:textAlignment w:val="auto"/>
        <w:rPr>
          <w:rFonts w:hint="default"/>
          <w:color w:val="auto"/>
          <w:highlight w:val="none"/>
          <w:lang w:val="en-US" w:eastAsia="zh-CN"/>
        </w:rPr>
      </w:pPr>
    </w:p>
    <w:p w14:paraId="167F7A8C">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default"/>
          <w:color w:val="auto"/>
          <w:highlight w:val="none"/>
          <w:lang w:val="en-US" w:eastAsia="zh-CN"/>
        </w:rPr>
        <w:drawing>
          <wp:inline distT="0" distB="0" distL="114300" distR="114300">
            <wp:extent cx="5489575" cy="3460115"/>
            <wp:effectExtent l="0" t="0" r="6350" b="6985"/>
            <wp:docPr id="19" name="图片 19" descr="ALL2甲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LL2甲醛"/>
                    <pic:cNvPicPr>
                      <a:picLocks noChangeAspect="1"/>
                    </pic:cNvPicPr>
                  </pic:nvPicPr>
                  <pic:blipFill>
                    <a:blip r:embed="rId27"/>
                    <a:srcRect t="9380" r="4157"/>
                    <a:stretch>
                      <a:fillRect/>
                    </a:stretch>
                  </pic:blipFill>
                  <pic:spPr>
                    <a:xfrm>
                      <a:off x="0" y="0"/>
                      <a:ext cx="5489575" cy="3460115"/>
                    </a:xfrm>
                    <a:prstGeom prst="rect">
                      <a:avLst/>
                    </a:prstGeom>
                  </pic:spPr>
                </pic:pic>
              </a:graphicData>
            </a:graphic>
          </wp:inline>
        </w:drawing>
      </w:r>
    </w:p>
    <w:p w14:paraId="4F9459B3">
      <w:pPr>
        <w:pStyle w:val="130"/>
        <w:shd w:val="clear"/>
        <w:bidi w:val="0"/>
        <w:ind w:leftChars="0"/>
        <w:jc w:val="center"/>
        <w:outlineLvl w:val="4"/>
        <w:rPr>
          <w:rFonts w:hint="default" w:ascii="Times New Roman" w:hAnsi="Times New Roman" w:cs="Times New Roman"/>
          <w:color w:val="000000" w:themeColor="text1"/>
          <w:highlight w:val="none"/>
          <w:lang w:val="en-US" w:eastAsia="zh-CN"/>
          <w14:textFill>
            <w14:solidFill>
              <w14:schemeClr w14:val="tx1"/>
            </w14:solidFill>
          </w14:textFill>
        </w:rPr>
      </w:pPr>
      <w:bookmarkStart w:id="104" w:name="_Ref5565"/>
      <w:r>
        <w:rPr>
          <w:rFonts w:hint="default" w:ascii="Times New Roman" w:hAnsi="Times New Roman" w:cs="Times New Roman"/>
          <w:color w:val="000000" w:themeColor="text1"/>
          <w:highlight w:val="none"/>
          <w14:textFill>
            <w14:solidFill>
              <w14:schemeClr w14:val="tx1"/>
            </w14:solidFill>
          </w14:textFill>
        </w:rPr>
        <w:t>图</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SEQ 图 \* ARABIC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9</w:t>
      </w:r>
      <w:r>
        <w:rPr>
          <w:rFonts w:hint="default" w:ascii="Times New Roman" w:hAnsi="Times New Roman" w:cs="Times New Roman"/>
          <w:color w:val="000000" w:themeColor="text1"/>
          <w:highlight w:val="none"/>
          <w14:textFill>
            <w14:solidFill>
              <w14:schemeClr w14:val="tx1"/>
            </w14:solidFill>
          </w14:textFill>
        </w:rPr>
        <w:fldChar w:fldCharType="end"/>
      </w:r>
      <w:bookmarkEnd w:id="104"/>
      <w:r>
        <w:rPr>
          <w:rFonts w:hint="default" w:ascii="Times New Roman" w:hAnsi="Times New Roman" w:cs="Times New Roman"/>
          <w:color w:val="000000" w:themeColor="text1"/>
          <w:highlight w:val="none"/>
          <w:lang w:val="en-US" w:eastAsia="zh-CN"/>
          <w14:textFill>
            <w14:solidFill>
              <w14:schemeClr w14:val="tx1"/>
            </w14:solidFill>
          </w14:textFill>
        </w:rPr>
        <w:t xml:space="preserve"> 有组织排放甲醛浓度箱线图</w:t>
      </w:r>
    </w:p>
    <w:p w14:paraId="3FB3F331">
      <w:pPr>
        <w:pStyle w:val="4"/>
        <w:shd w:val="clear"/>
        <w:bidi w:val="0"/>
        <w:ind w:left="0" w:leftChars="0" w:firstLine="0" w:firstLineChars="0"/>
        <w:rPr>
          <w:rFonts w:hint="eastAsia"/>
          <w:color w:val="auto"/>
          <w:highlight w:val="none"/>
          <w:lang w:val="en-US" w:eastAsia="zh-CN"/>
        </w:rPr>
      </w:pPr>
      <w:r>
        <w:rPr>
          <w:rFonts w:hint="eastAsia"/>
          <w:color w:val="auto"/>
          <w:highlight w:val="none"/>
          <w:lang w:val="en-US" w:eastAsia="zh-CN"/>
        </w:rPr>
        <w:t>排污许可证管理企业无组织排放数据</w:t>
      </w:r>
    </w:p>
    <w:p w14:paraId="6DFC1C3D">
      <w:pPr>
        <w:shd w:val="clear"/>
        <w:rPr>
          <w:rFonts w:hint="eastAsia"/>
          <w:color w:val="auto"/>
          <w:highlight w:val="none"/>
          <w:lang w:val="en-US" w:eastAsia="zh-CN"/>
        </w:rPr>
      </w:pPr>
      <w:r>
        <w:rPr>
          <w:rFonts w:hint="eastAsia"/>
          <w:color w:val="auto"/>
          <w:highlight w:val="none"/>
          <w:lang w:val="en-US" w:eastAsia="zh-CN"/>
        </w:rPr>
        <w:t>根据排污许可平台公开的湖南省排污许可管理证管理工业企企业挥发性有机物排放浓度的自行监测数据，按照工业涂装和其他溶剂使用、化工和石化等4个类别分类整理后，对各行业苯、苯系物和甲醛等污染物进行分析如下：</w:t>
      </w:r>
    </w:p>
    <w:p w14:paraId="2188EABF">
      <w:pPr>
        <w:numPr>
          <w:ilvl w:val="0"/>
          <w:numId w:val="8"/>
        </w:numPr>
        <w:shd w:val="clear"/>
        <w:rPr>
          <w:rFonts w:hint="eastAsia"/>
          <w:color w:val="auto"/>
          <w:highlight w:val="none"/>
          <w:lang w:val="en-US" w:eastAsia="zh-CN"/>
        </w:rPr>
      </w:pPr>
      <w:r>
        <w:rPr>
          <w:rFonts w:hint="eastAsia"/>
          <w:color w:val="auto"/>
          <w:highlight w:val="none"/>
          <w:lang w:val="en-US" w:eastAsia="zh-CN"/>
        </w:rPr>
        <w:t>苯：收集到工业涂装、其他溶剂使用行业、化工和石化共20个行业310家企业1246个有效数据。各行业苯无组织排放浓度90%分位数均在0.1 mg/m</w:t>
      </w:r>
      <w:r>
        <w:rPr>
          <w:rFonts w:hint="eastAsia"/>
          <w:color w:val="auto"/>
          <w:highlight w:val="none"/>
          <w:vertAlign w:val="superscript"/>
          <w:lang w:val="en-US" w:eastAsia="zh-CN"/>
        </w:rPr>
        <w:t>3</w:t>
      </w:r>
      <w:r>
        <w:rPr>
          <w:rFonts w:hint="eastAsia"/>
          <w:color w:val="auto"/>
          <w:highlight w:val="none"/>
          <w:lang w:val="en-US" w:eastAsia="zh-CN"/>
        </w:rPr>
        <w:t>以下。各行业苯无组织排放苯浓度箱线图见</w:t>
      </w:r>
      <w:r>
        <w:rPr>
          <w:rFonts w:hint="eastAsia"/>
          <w:color w:val="auto"/>
          <w:highlight w:val="none"/>
          <w:lang w:val="en-US" w:eastAsia="zh-CN"/>
        </w:rPr>
        <w:fldChar w:fldCharType="begin"/>
      </w:r>
      <w:r>
        <w:rPr>
          <w:rFonts w:hint="eastAsia"/>
          <w:color w:val="auto"/>
          <w:highlight w:val="none"/>
          <w:lang w:val="en-US" w:eastAsia="zh-CN"/>
        </w:rPr>
        <w:instrText xml:space="preserve"> REF _Ref5657 \h </w:instrText>
      </w:r>
      <w:r>
        <w:rPr>
          <w:rFonts w:hint="eastAsia"/>
          <w:color w:val="auto"/>
          <w:highlight w:val="none"/>
          <w:lang w:val="en-US" w:eastAsia="zh-CN"/>
        </w:rPr>
        <w:fldChar w:fldCharType="separate"/>
      </w:r>
      <w:r>
        <w:rPr>
          <w:rFonts w:hint="default" w:ascii="Times New Roman" w:hAnsi="Times New Roman" w:cs="Times New Roman"/>
          <w:color w:val="000000" w:themeColor="text1"/>
          <w14:textFill>
            <w14:solidFill>
              <w14:schemeClr w14:val="tx1"/>
            </w14:solidFill>
          </w14:textFill>
        </w:rPr>
        <w:t>图10</w:t>
      </w:r>
      <w:r>
        <w:rPr>
          <w:rFonts w:hint="eastAsia"/>
          <w:color w:val="auto"/>
          <w:highlight w:val="none"/>
          <w:lang w:val="en-US" w:eastAsia="zh-CN"/>
        </w:rPr>
        <w:fldChar w:fldCharType="end"/>
      </w:r>
      <w:r>
        <w:rPr>
          <w:rFonts w:hint="eastAsia"/>
          <w:color w:val="auto"/>
          <w:highlight w:val="none"/>
          <w:lang w:val="en-US" w:eastAsia="zh-CN"/>
        </w:rPr>
        <w:t>。</w:t>
      </w:r>
    </w:p>
    <w:p w14:paraId="70B80C24">
      <w:pPr>
        <w:numPr>
          <w:ilvl w:val="0"/>
          <w:numId w:val="0"/>
        </w:numPr>
        <w:shd w:val="clear"/>
        <w:rPr>
          <w:rFonts w:hint="eastAsia"/>
          <w:color w:val="auto"/>
          <w:highlight w:val="none"/>
          <w:lang w:val="en-US" w:eastAsia="zh-CN"/>
        </w:rPr>
      </w:pPr>
    </w:p>
    <w:p w14:paraId="179ED78F">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hint="eastAsia"/>
          <w:color w:val="auto"/>
          <w:highlight w:val="none"/>
          <w:lang w:val="en-US" w:eastAsia="zh-CN"/>
        </w:rPr>
      </w:pPr>
      <w:r>
        <w:rPr>
          <w:color w:val="auto"/>
          <w:highlight w:val="none"/>
        </w:rPr>
        <w:drawing>
          <wp:inline distT="0" distB="0" distL="114300" distR="114300">
            <wp:extent cx="5008245" cy="3202305"/>
            <wp:effectExtent l="0" t="0" r="1905" b="762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8"/>
                    <a:srcRect t="9014" r="5133"/>
                    <a:stretch>
                      <a:fillRect/>
                    </a:stretch>
                  </pic:blipFill>
                  <pic:spPr>
                    <a:xfrm>
                      <a:off x="0" y="0"/>
                      <a:ext cx="5008245" cy="3202305"/>
                    </a:xfrm>
                    <a:prstGeom prst="rect">
                      <a:avLst/>
                    </a:prstGeom>
                    <a:noFill/>
                    <a:ln>
                      <a:noFill/>
                    </a:ln>
                  </pic:spPr>
                </pic:pic>
              </a:graphicData>
            </a:graphic>
          </wp:inline>
        </w:drawing>
      </w:r>
    </w:p>
    <w:p w14:paraId="3C2388E0">
      <w:pPr>
        <w:pStyle w:val="130"/>
        <w:shd w:val="clear"/>
        <w:bidi w:val="0"/>
        <w:ind w:leftChars="0"/>
        <w:jc w:val="center"/>
        <w:outlineLvl w:val="4"/>
        <w:rPr>
          <w:rFonts w:hint="default" w:ascii="Times New Roman" w:hAnsi="Times New Roman" w:cs="Times New Roman"/>
          <w:color w:val="000000" w:themeColor="text1"/>
          <w:highlight w:val="none"/>
          <w:lang w:val="en-US" w:eastAsia="zh-CN"/>
          <w14:textFill>
            <w14:solidFill>
              <w14:schemeClr w14:val="tx1"/>
            </w14:solidFill>
          </w14:textFill>
        </w:rPr>
      </w:pPr>
      <w:bookmarkStart w:id="105" w:name="_Ref5657"/>
      <w:r>
        <w:rPr>
          <w:rFonts w:hint="default" w:ascii="Times New Roman" w:hAnsi="Times New Roman" w:cs="Times New Roman"/>
          <w:color w:val="000000" w:themeColor="text1"/>
          <w:highlight w:val="none"/>
          <w14:textFill>
            <w14:solidFill>
              <w14:schemeClr w14:val="tx1"/>
            </w14:solidFill>
          </w14:textFill>
        </w:rPr>
        <w:t>图</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SEQ 图 \* ARABIC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10</w:t>
      </w:r>
      <w:r>
        <w:rPr>
          <w:rFonts w:hint="default" w:ascii="Times New Roman" w:hAnsi="Times New Roman" w:cs="Times New Roman"/>
          <w:color w:val="000000" w:themeColor="text1"/>
          <w:highlight w:val="none"/>
          <w14:textFill>
            <w14:solidFill>
              <w14:schemeClr w14:val="tx1"/>
            </w14:solidFill>
          </w14:textFill>
        </w:rPr>
        <w:fldChar w:fldCharType="end"/>
      </w:r>
      <w:bookmarkEnd w:id="105"/>
      <w:r>
        <w:rPr>
          <w:rFonts w:hint="default" w:ascii="Times New Roman" w:hAnsi="Times New Roman" w:cs="Times New Roman"/>
          <w:color w:val="000000" w:themeColor="text1"/>
          <w:highlight w:val="none"/>
          <w:lang w:val="en-US" w:eastAsia="zh-CN"/>
          <w14:textFill>
            <w14:solidFill>
              <w14:schemeClr w14:val="tx1"/>
            </w14:solidFill>
          </w14:textFill>
        </w:rPr>
        <w:t xml:space="preserve"> 无组织排放苯浓度箱线图</w:t>
      </w:r>
    </w:p>
    <w:p w14:paraId="1AE98090">
      <w:pPr>
        <w:numPr>
          <w:ilvl w:val="0"/>
          <w:numId w:val="9"/>
        </w:numPr>
        <w:shd w:val="clear"/>
        <w:rPr>
          <w:rFonts w:hint="default"/>
          <w:color w:val="auto"/>
          <w:highlight w:val="none"/>
          <w:lang w:val="en-US" w:eastAsia="zh-CN"/>
        </w:rPr>
      </w:pPr>
      <w:r>
        <w:rPr>
          <w:rFonts w:hint="eastAsia"/>
          <w:color w:val="auto"/>
          <w:highlight w:val="none"/>
          <w:lang w:val="en-US" w:eastAsia="zh-CN"/>
        </w:rPr>
        <w:t>苯系物：收集到工业涂装、其他溶剂使用行业、化工共14个行业178家企业626个有效数据，各行业苯系物浓度普遍低于1 mg/m</w:t>
      </w:r>
      <w:r>
        <w:rPr>
          <w:rFonts w:hint="eastAsia"/>
          <w:color w:val="auto"/>
          <w:highlight w:val="none"/>
          <w:vertAlign w:val="superscript"/>
          <w:lang w:val="en-US" w:eastAsia="zh-CN"/>
        </w:rPr>
        <w:t>3</w:t>
      </w:r>
      <w:r>
        <w:rPr>
          <w:rFonts w:hint="eastAsia"/>
          <w:color w:val="auto"/>
          <w:highlight w:val="none"/>
          <w:lang w:val="en-US" w:eastAsia="zh-CN"/>
        </w:rPr>
        <w:t>。各行业无组织排放苯系物浓度箱线图见</w:t>
      </w:r>
      <w:r>
        <w:rPr>
          <w:rFonts w:hint="eastAsia"/>
          <w:color w:val="auto"/>
          <w:highlight w:val="none"/>
          <w:lang w:val="en-US" w:eastAsia="zh-CN"/>
        </w:rPr>
        <w:fldChar w:fldCharType="begin"/>
      </w:r>
      <w:r>
        <w:rPr>
          <w:rFonts w:hint="eastAsia"/>
          <w:color w:val="auto"/>
          <w:highlight w:val="none"/>
          <w:lang w:val="en-US" w:eastAsia="zh-CN"/>
        </w:rPr>
        <w:instrText xml:space="preserve"> REF _Ref5696 \h </w:instrText>
      </w:r>
      <w:r>
        <w:rPr>
          <w:rFonts w:hint="eastAsia"/>
          <w:color w:val="auto"/>
          <w:highlight w:val="none"/>
          <w:lang w:val="en-US" w:eastAsia="zh-CN"/>
        </w:rPr>
        <w:fldChar w:fldCharType="separate"/>
      </w:r>
      <w:r>
        <w:rPr>
          <w:rFonts w:hint="default" w:ascii="Times New Roman" w:hAnsi="Times New Roman" w:cs="Times New Roman"/>
          <w:color w:val="000000" w:themeColor="text1"/>
          <w14:textFill>
            <w14:solidFill>
              <w14:schemeClr w14:val="tx1"/>
            </w14:solidFill>
          </w14:textFill>
        </w:rPr>
        <w:t>图11</w:t>
      </w:r>
      <w:r>
        <w:rPr>
          <w:rFonts w:hint="eastAsia"/>
          <w:color w:val="auto"/>
          <w:highlight w:val="none"/>
          <w:lang w:val="en-US" w:eastAsia="zh-CN"/>
        </w:rPr>
        <w:fldChar w:fldCharType="end"/>
      </w:r>
      <w:r>
        <w:rPr>
          <w:rFonts w:hint="eastAsia"/>
          <w:color w:val="auto"/>
          <w:highlight w:val="none"/>
          <w:lang w:val="en-US" w:eastAsia="zh-CN"/>
        </w:rPr>
        <w:t>。</w:t>
      </w:r>
    </w:p>
    <w:p w14:paraId="72D8715D">
      <w:pPr>
        <w:widowControl w:val="0"/>
        <w:numPr>
          <w:ilvl w:val="0"/>
          <w:numId w:val="0"/>
        </w:numPr>
        <w:shd w:val="clear"/>
        <w:spacing w:line="480" w:lineRule="exact"/>
        <w:jc w:val="both"/>
        <w:rPr>
          <w:rFonts w:hint="default"/>
          <w:color w:val="auto"/>
          <w:highlight w:val="none"/>
          <w:lang w:val="en-US" w:eastAsia="zh-CN"/>
        </w:rPr>
      </w:pPr>
    </w:p>
    <w:p w14:paraId="735BEC0A">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hint="default"/>
          <w:color w:val="auto"/>
          <w:highlight w:val="none"/>
          <w:lang w:val="en-US" w:eastAsia="zh-CN"/>
        </w:rPr>
      </w:pPr>
      <w:r>
        <w:rPr>
          <w:rFonts w:hint="default"/>
          <w:color w:val="auto"/>
          <w:highlight w:val="none"/>
          <w:lang w:val="en-US" w:eastAsia="zh-CN"/>
        </w:rPr>
        <w:drawing>
          <wp:inline distT="0" distB="0" distL="114300" distR="114300">
            <wp:extent cx="5497195" cy="3458210"/>
            <wp:effectExtent l="0" t="0" r="8255" b="8890"/>
            <wp:docPr id="28" name="图片 28" descr="da6e715e1c9592780e34f9aa308f48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a6e715e1c9592780e34f9aa308f482d"/>
                    <pic:cNvPicPr>
                      <a:picLocks noChangeAspect="1"/>
                    </pic:cNvPicPr>
                  </pic:nvPicPr>
                  <pic:blipFill>
                    <a:blip r:embed="rId29"/>
                    <a:srcRect t="9430" r="4024"/>
                    <a:stretch>
                      <a:fillRect/>
                    </a:stretch>
                  </pic:blipFill>
                  <pic:spPr>
                    <a:xfrm>
                      <a:off x="0" y="0"/>
                      <a:ext cx="5497195" cy="3458210"/>
                    </a:xfrm>
                    <a:prstGeom prst="rect">
                      <a:avLst/>
                    </a:prstGeom>
                  </pic:spPr>
                </pic:pic>
              </a:graphicData>
            </a:graphic>
          </wp:inline>
        </w:drawing>
      </w:r>
    </w:p>
    <w:p w14:paraId="4ADB8093">
      <w:pPr>
        <w:pStyle w:val="130"/>
        <w:shd w:val="clear"/>
        <w:bidi w:val="0"/>
        <w:ind w:leftChars="0"/>
        <w:jc w:val="center"/>
        <w:outlineLvl w:val="4"/>
        <w:rPr>
          <w:rFonts w:hint="default" w:ascii="Times New Roman" w:hAnsi="Times New Roman" w:cs="Times New Roman"/>
          <w:color w:val="000000" w:themeColor="text1"/>
          <w:highlight w:val="none"/>
          <w:lang w:val="en-US" w:eastAsia="zh-CN"/>
          <w14:textFill>
            <w14:solidFill>
              <w14:schemeClr w14:val="tx1"/>
            </w14:solidFill>
          </w14:textFill>
        </w:rPr>
      </w:pPr>
      <w:bookmarkStart w:id="106" w:name="_Ref5696"/>
      <w:r>
        <w:rPr>
          <w:rFonts w:hint="default" w:ascii="Times New Roman" w:hAnsi="Times New Roman" w:cs="Times New Roman"/>
          <w:color w:val="000000" w:themeColor="text1"/>
          <w:highlight w:val="none"/>
          <w14:textFill>
            <w14:solidFill>
              <w14:schemeClr w14:val="tx1"/>
            </w14:solidFill>
          </w14:textFill>
        </w:rPr>
        <w:t>图</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SEQ 图 \* ARABIC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11</w:t>
      </w:r>
      <w:r>
        <w:rPr>
          <w:rFonts w:hint="default" w:ascii="Times New Roman" w:hAnsi="Times New Roman" w:cs="Times New Roman"/>
          <w:color w:val="000000" w:themeColor="text1"/>
          <w:highlight w:val="none"/>
          <w14:textFill>
            <w14:solidFill>
              <w14:schemeClr w14:val="tx1"/>
            </w14:solidFill>
          </w14:textFill>
        </w:rPr>
        <w:fldChar w:fldCharType="end"/>
      </w:r>
      <w:bookmarkEnd w:id="106"/>
      <w:r>
        <w:rPr>
          <w:rFonts w:hint="default" w:ascii="Times New Roman" w:hAnsi="Times New Roman" w:cs="Times New Roman"/>
          <w:color w:val="000000" w:themeColor="text1"/>
          <w:highlight w:val="none"/>
          <w:lang w:val="en-US" w:eastAsia="zh-CN"/>
          <w14:textFill>
            <w14:solidFill>
              <w14:schemeClr w14:val="tx1"/>
            </w14:solidFill>
          </w14:textFill>
        </w:rPr>
        <w:t xml:space="preserve"> 无组织排放苯系物浓度箱线图</w:t>
      </w:r>
    </w:p>
    <w:p w14:paraId="568E3841">
      <w:pPr>
        <w:numPr>
          <w:ilvl w:val="0"/>
          <w:numId w:val="9"/>
        </w:numPr>
        <w:shd w:val="clear"/>
        <w:rPr>
          <w:rFonts w:hint="eastAsia"/>
          <w:color w:val="auto"/>
          <w:highlight w:val="none"/>
          <w:lang w:val="en-US" w:eastAsia="zh-CN"/>
        </w:rPr>
      </w:pPr>
      <w:r>
        <w:rPr>
          <w:rFonts w:hint="eastAsia"/>
          <w:color w:val="auto"/>
          <w:highlight w:val="none"/>
          <w:lang w:val="en-US" w:eastAsia="zh-CN"/>
        </w:rPr>
        <w:t>甲醛：收集到工业涂装、其他溶剂使用行业、化工共9个行业63家企业257个有效数据。各行业甲醛最高值总体低于0.9 mg/m</w:t>
      </w:r>
      <w:r>
        <w:rPr>
          <w:rFonts w:hint="eastAsia"/>
          <w:color w:val="auto"/>
          <w:highlight w:val="none"/>
          <w:vertAlign w:val="superscript"/>
          <w:lang w:val="en-US" w:eastAsia="zh-CN"/>
        </w:rPr>
        <w:t>3</w:t>
      </w:r>
      <w:r>
        <w:rPr>
          <w:rFonts w:hint="eastAsia"/>
          <w:color w:val="auto"/>
          <w:highlight w:val="none"/>
          <w:lang w:val="en-US" w:eastAsia="zh-CN"/>
        </w:rPr>
        <w:t>，除非金属矿物制品业（C30）以外，其余行业90%分位数总体低于0.2 mg/m</w:t>
      </w:r>
      <w:r>
        <w:rPr>
          <w:rFonts w:hint="eastAsia"/>
          <w:color w:val="auto"/>
          <w:highlight w:val="none"/>
          <w:vertAlign w:val="superscript"/>
          <w:lang w:val="en-US" w:eastAsia="zh-CN"/>
        </w:rPr>
        <w:t>3</w:t>
      </w:r>
      <w:r>
        <w:rPr>
          <w:rFonts w:hint="eastAsia"/>
          <w:color w:val="auto"/>
          <w:highlight w:val="none"/>
          <w:lang w:val="en-US" w:eastAsia="zh-CN"/>
        </w:rPr>
        <w:t>。各行业无组织排放甲醛浓度箱线图见</w:t>
      </w:r>
      <w:r>
        <w:rPr>
          <w:rFonts w:hint="eastAsia"/>
          <w:color w:val="auto"/>
          <w:highlight w:val="none"/>
          <w:lang w:val="en-US" w:eastAsia="zh-CN"/>
        </w:rPr>
        <w:fldChar w:fldCharType="begin"/>
      </w:r>
      <w:r>
        <w:rPr>
          <w:rFonts w:hint="eastAsia"/>
          <w:color w:val="auto"/>
          <w:highlight w:val="none"/>
          <w:lang w:val="en-US" w:eastAsia="zh-CN"/>
        </w:rPr>
        <w:instrText xml:space="preserve"> REF _Ref5758 \h </w:instrText>
      </w:r>
      <w:r>
        <w:rPr>
          <w:rFonts w:hint="eastAsia"/>
          <w:color w:val="auto"/>
          <w:highlight w:val="none"/>
          <w:lang w:val="en-US" w:eastAsia="zh-CN"/>
        </w:rPr>
        <w:fldChar w:fldCharType="separate"/>
      </w:r>
      <w:r>
        <w:rPr>
          <w:rFonts w:hint="default" w:ascii="Times New Roman" w:hAnsi="Times New Roman" w:cs="Times New Roman"/>
          <w:color w:val="000000" w:themeColor="text1"/>
          <w14:textFill>
            <w14:solidFill>
              <w14:schemeClr w14:val="tx1"/>
            </w14:solidFill>
          </w14:textFill>
        </w:rPr>
        <w:t>图12</w:t>
      </w:r>
      <w:r>
        <w:rPr>
          <w:rFonts w:hint="eastAsia"/>
          <w:color w:val="auto"/>
          <w:highlight w:val="none"/>
          <w:lang w:val="en-US" w:eastAsia="zh-CN"/>
        </w:rPr>
        <w:fldChar w:fldCharType="end"/>
      </w:r>
      <w:r>
        <w:rPr>
          <w:rFonts w:hint="eastAsia"/>
          <w:color w:val="auto"/>
          <w:highlight w:val="none"/>
          <w:lang w:val="en-US" w:eastAsia="zh-CN"/>
        </w:rPr>
        <w:t>。</w:t>
      </w:r>
    </w:p>
    <w:p w14:paraId="117A64C1">
      <w:pPr>
        <w:shd w:val="clear"/>
        <w:rPr>
          <w:rFonts w:hint="default"/>
          <w:color w:val="auto"/>
          <w:highlight w:val="none"/>
          <w:lang w:val="en-US" w:eastAsia="zh-CN"/>
        </w:rPr>
      </w:pPr>
    </w:p>
    <w:p w14:paraId="4429015B">
      <w:pPr>
        <w:keepNext/>
        <w:keepLines w:val="0"/>
        <w:pageBreakBefore w:val="0"/>
        <w:widowControl w:val="0"/>
        <w:shd w:val="clear"/>
        <w:kinsoku/>
        <w:wordWrap/>
        <w:overflowPunct/>
        <w:topLinePunct w:val="0"/>
        <w:autoSpaceDE/>
        <w:autoSpaceDN/>
        <w:bidi w:val="0"/>
        <w:adjustRightInd/>
        <w:snapToGrid/>
        <w:spacing w:line="240" w:lineRule="auto"/>
        <w:textAlignment w:val="auto"/>
        <w:rPr>
          <w:rFonts w:hint="default"/>
          <w:b/>
          <w:bCs/>
          <w:color w:val="auto"/>
          <w:highlight w:val="none"/>
          <w:lang w:val="en-US" w:eastAsia="zh-CN"/>
        </w:rPr>
      </w:pPr>
      <w:r>
        <w:rPr>
          <w:rFonts w:hint="default"/>
          <w:b/>
          <w:bCs/>
          <w:color w:val="auto"/>
          <w:highlight w:val="none"/>
          <w:lang w:val="en-US" w:eastAsia="zh-CN"/>
        </w:rPr>
        <w:drawing>
          <wp:inline distT="0" distB="0" distL="114300" distR="114300">
            <wp:extent cx="5433695" cy="3465830"/>
            <wp:effectExtent l="0" t="0" r="14605" b="1270"/>
            <wp:docPr id="23" name="图片 23" descr="f35700a813a600a785a3957fa243cb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35700a813a600a785a3957fa243cbbd"/>
                    <pic:cNvPicPr>
                      <a:picLocks noChangeAspect="1"/>
                    </pic:cNvPicPr>
                  </pic:nvPicPr>
                  <pic:blipFill>
                    <a:blip r:embed="rId30"/>
                    <a:srcRect t="9230" r="5133"/>
                    <a:stretch>
                      <a:fillRect/>
                    </a:stretch>
                  </pic:blipFill>
                  <pic:spPr>
                    <a:xfrm>
                      <a:off x="0" y="0"/>
                      <a:ext cx="5433695" cy="3465830"/>
                    </a:xfrm>
                    <a:prstGeom prst="rect">
                      <a:avLst/>
                    </a:prstGeom>
                  </pic:spPr>
                </pic:pic>
              </a:graphicData>
            </a:graphic>
          </wp:inline>
        </w:drawing>
      </w:r>
    </w:p>
    <w:p w14:paraId="57584F6C">
      <w:pPr>
        <w:pStyle w:val="130"/>
        <w:shd w:val="clear"/>
        <w:bidi w:val="0"/>
        <w:ind w:leftChars="0"/>
        <w:jc w:val="center"/>
        <w:outlineLvl w:val="4"/>
        <w:rPr>
          <w:rFonts w:hint="default" w:ascii="Times New Roman" w:hAnsi="Times New Roman" w:cs="Times New Roman"/>
          <w:color w:val="000000" w:themeColor="text1"/>
          <w:highlight w:val="none"/>
          <w:lang w:val="en-US" w:eastAsia="zh-CN"/>
          <w14:textFill>
            <w14:solidFill>
              <w14:schemeClr w14:val="tx1"/>
            </w14:solidFill>
          </w14:textFill>
        </w:rPr>
      </w:pPr>
      <w:bookmarkStart w:id="107" w:name="_Ref5758"/>
      <w:r>
        <w:rPr>
          <w:rFonts w:hint="default" w:ascii="Times New Roman" w:hAnsi="Times New Roman" w:cs="Times New Roman"/>
          <w:color w:val="000000" w:themeColor="text1"/>
          <w:highlight w:val="none"/>
          <w14:textFill>
            <w14:solidFill>
              <w14:schemeClr w14:val="tx1"/>
            </w14:solidFill>
          </w14:textFill>
        </w:rPr>
        <w:t>图</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SEQ 图 \* ARABIC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12</w:t>
      </w:r>
      <w:r>
        <w:rPr>
          <w:rFonts w:hint="default" w:ascii="Times New Roman" w:hAnsi="Times New Roman" w:cs="Times New Roman"/>
          <w:color w:val="000000" w:themeColor="text1"/>
          <w:highlight w:val="none"/>
          <w14:textFill>
            <w14:solidFill>
              <w14:schemeClr w14:val="tx1"/>
            </w14:solidFill>
          </w14:textFill>
        </w:rPr>
        <w:fldChar w:fldCharType="end"/>
      </w:r>
      <w:bookmarkEnd w:id="107"/>
      <w:r>
        <w:rPr>
          <w:rFonts w:hint="default" w:ascii="Times New Roman" w:hAnsi="Times New Roman" w:cs="Times New Roman"/>
          <w:color w:val="000000" w:themeColor="text1"/>
          <w:highlight w:val="none"/>
          <w:lang w:val="en-US" w:eastAsia="zh-CN"/>
          <w14:textFill>
            <w14:solidFill>
              <w14:schemeClr w14:val="tx1"/>
            </w14:solidFill>
          </w14:textFill>
        </w:rPr>
        <w:t xml:space="preserve"> 无组织排放甲醛浓度箱线图</w:t>
      </w:r>
    </w:p>
    <w:p w14:paraId="02D58212">
      <w:pPr>
        <w:pStyle w:val="4"/>
        <w:shd w:val="clear"/>
        <w:bidi w:val="0"/>
        <w:ind w:left="0" w:leftChars="0" w:firstLine="0" w:firstLineChars="0"/>
        <w:rPr>
          <w:rFonts w:hint="eastAsia"/>
          <w:color w:val="auto"/>
          <w:highlight w:val="none"/>
          <w:lang w:val="en-US" w:eastAsia="zh-CN"/>
        </w:rPr>
      </w:pPr>
      <w:r>
        <w:rPr>
          <w:rFonts w:hint="eastAsia"/>
          <w:color w:val="auto"/>
          <w:highlight w:val="none"/>
          <w:lang w:val="en-US" w:eastAsia="zh-CN"/>
        </w:rPr>
        <w:t>监督性监测数据</w:t>
      </w:r>
    </w:p>
    <w:p w14:paraId="392F13D0">
      <w:pPr>
        <w:shd w:val="clear"/>
        <w:rPr>
          <w:rFonts w:hint="default"/>
          <w:color w:val="auto"/>
          <w:sz w:val="24"/>
          <w:szCs w:val="24"/>
          <w:highlight w:val="none"/>
          <w:lang w:val="en-US" w:eastAsia="zh-CN"/>
        </w:rPr>
      </w:pPr>
      <w:r>
        <w:rPr>
          <w:rFonts w:hint="eastAsia"/>
          <w:color w:val="auto"/>
          <w:sz w:val="24"/>
          <w:szCs w:val="24"/>
          <w:highlight w:val="none"/>
          <w:lang w:val="en-US" w:eastAsia="zh-CN"/>
        </w:rPr>
        <w:t>收集到湖南省全行业监督性监测数据，整理后得到工业企业挥发性有机物有组织排放数据205条，涉及工业涂装、其他溶剂使用、化工等3个行业类别，涉及17个行业。</w:t>
      </w:r>
    </w:p>
    <w:p w14:paraId="1DC7F98E">
      <w:pPr>
        <w:shd w:val="clear"/>
        <w:rPr>
          <w:rFonts w:hint="default"/>
          <w:color w:val="auto"/>
          <w:sz w:val="24"/>
          <w:szCs w:val="24"/>
          <w:highlight w:val="none"/>
          <w:vertAlign w:val="baseline"/>
          <w:lang w:val="en-US" w:eastAsia="zh-CN"/>
        </w:rPr>
      </w:pPr>
      <w:r>
        <w:rPr>
          <w:rFonts w:hint="eastAsia"/>
          <w:color w:val="auto"/>
          <w:sz w:val="24"/>
          <w:szCs w:val="24"/>
          <w:highlight w:val="none"/>
          <w:lang w:val="en-US" w:eastAsia="zh-CN"/>
        </w:rPr>
        <w:t>工业涂装、其他溶剂使用行业及化工3类挥发性有机物排放工业源6个典型行业12家代表性企业18次监督性监测结果，苯排放浓度为</w:t>
      </w:r>
      <w:r>
        <w:rPr>
          <w:rFonts w:hint="default" w:ascii="Times New Roman" w:hAnsi="Times New Roman" w:eastAsia="宋体" w:cs="Times New Roman"/>
          <w:b w:val="0"/>
          <w:i w:val="0"/>
          <w:iCs w:val="0"/>
          <w:color w:val="auto"/>
          <w:kern w:val="0"/>
          <w:sz w:val="24"/>
          <w:szCs w:val="24"/>
          <w:highlight w:val="none"/>
          <w:u w:val="none"/>
          <w:lang w:val="en-US" w:eastAsia="zh-CN" w:bidi="ar"/>
        </w:rPr>
        <w:t>&lt;0.015</w:t>
      </w:r>
      <w:r>
        <w:rPr>
          <w:rFonts w:hint="eastAsia" w:cs="Times New Roman"/>
          <w:b w:val="0"/>
          <w:i w:val="0"/>
          <w:iCs w:val="0"/>
          <w:color w:val="auto"/>
          <w:kern w:val="0"/>
          <w:sz w:val="24"/>
          <w:szCs w:val="24"/>
          <w:highlight w:val="none"/>
          <w:u w:val="none"/>
          <w:lang w:val="en-US" w:eastAsia="zh-CN" w:bidi="ar"/>
        </w:rPr>
        <w:t>～</w:t>
      </w:r>
      <w:r>
        <w:rPr>
          <w:rFonts w:hint="default" w:ascii="Times New Roman" w:hAnsi="Times New Roman" w:eastAsia="宋体" w:cs="Times New Roman"/>
          <w:b w:val="0"/>
          <w:i w:val="0"/>
          <w:iCs w:val="0"/>
          <w:color w:val="auto"/>
          <w:kern w:val="0"/>
          <w:sz w:val="24"/>
          <w:szCs w:val="24"/>
          <w:highlight w:val="none"/>
          <w:u w:val="none"/>
          <w:lang w:val="en-US" w:eastAsia="zh-CN" w:bidi="ar"/>
        </w:rPr>
        <w:t>1</w:t>
      </w:r>
      <w:r>
        <w:rPr>
          <w:rFonts w:hint="eastAsia" w:cs="Times New Roman"/>
          <w:b w:val="0"/>
          <w:i w:val="0"/>
          <w:iCs w:val="0"/>
          <w:color w:val="auto"/>
          <w:kern w:val="0"/>
          <w:sz w:val="24"/>
          <w:szCs w:val="24"/>
          <w:highlight w:val="none"/>
          <w:u w:val="none"/>
          <w:lang w:val="en-US" w:eastAsia="zh-CN" w:bidi="ar"/>
        </w:rPr>
        <w:t xml:space="preserve"> 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lang w:val="en-US" w:eastAsia="zh-CN" w:bidi="ar"/>
        </w:rPr>
        <w:t>之间。其中仅1家汽车修理与维护企业的喷、烤漆房苯的浓度为1 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vertAlign w:val="baseline"/>
          <w:lang w:val="en-US" w:eastAsia="zh-CN" w:bidi="ar"/>
        </w:rPr>
        <w:t>，其余企业测定结果均低于</w:t>
      </w:r>
      <w:r>
        <w:rPr>
          <w:rFonts w:hint="eastAsia" w:cs="Times New Roman"/>
          <w:b w:val="0"/>
          <w:i w:val="0"/>
          <w:iCs w:val="0"/>
          <w:color w:val="auto"/>
          <w:kern w:val="0"/>
          <w:sz w:val="24"/>
          <w:szCs w:val="24"/>
          <w:highlight w:val="none"/>
          <w:u w:val="none"/>
          <w:lang w:val="en-US" w:eastAsia="zh-CN" w:bidi="ar"/>
        </w:rPr>
        <w:t>0.015 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vertAlign w:val="baseline"/>
          <w:lang w:val="en-US" w:eastAsia="zh-CN" w:bidi="ar"/>
        </w:rPr>
        <w:t>，见</w:t>
      </w:r>
      <w:r>
        <w:rPr>
          <w:rFonts w:hint="eastAsia" w:cs="Times New Roman"/>
          <w:b w:val="0"/>
          <w:i w:val="0"/>
          <w:iCs w:val="0"/>
          <w:color w:val="auto"/>
          <w:kern w:val="0"/>
          <w:sz w:val="24"/>
          <w:szCs w:val="24"/>
          <w:highlight w:val="none"/>
          <w:u w:val="none"/>
          <w:vertAlign w:val="baseline"/>
          <w:lang w:val="en-US" w:eastAsia="zh-CN" w:bidi="ar"/>
        </w:rPr>
        <w:fldChar w:fldCharType="begin"/>
      </w:r>
      <w:r>
        <w:rPr>
          <w:rFonts w:hint="eastAsia" w:cs="Times New Roman"/>
          <w:b w:val="0"/>
          <w:i w:val="0"/>
          <w:iCs w:val="0"/>
          <w:color w:val="auto"/>
          <w:kern w:val="0"/>
          <w:sz w:val="24"/>
          <w:szCs w:val="24"/>
          <w:highlight w:val="none"/>
          <w:u w:val="none"/>
          <w:vertAlign w:val="baseline"/>
          <w:lang w:val="en-US" w:eastAsia="zh-CN" w:bidi="ar"/>
        </w:rPr>
        <w:instrText xml:space="preserve"> REF _Ref5836 \h </w:instrText>
      </w:r>
      <w:r>
        <w:rPr>
          <w:rFonts w:hint="eastAsia" w:cs="Times New Roman"/>
          <w:b w:val="0"/>
          <w:i w:val="0"/>
          <w:iCs w:val="0"/>
          <w:color w:val="auto"/>
          <w:kern w:val="0"/>
          <w:sz w:val="24"/>
          <w:szCs w:val="24"/>
          <w:highlight w:val="none"/>
          <w:u w:val="none"/>
          <w:vertAlign w:val="baseline"/>
          <w:lang w:val="en-US" w:eastAsia="zh-CN" w:bidi="ar"/>
        </w:rPr>
        <w:fldChar w:fldCharType="separate"/>
      </w:r>
      <w:r>
        <w:t>表7</w:t>
      </w:r>
      <w:r>
        <w:rPr>
          <w:rFonts w:hint="eastAsia" w:cs="Times New Roman"/>
          <w:b w:val="0"/>
          <w:i w:val="0"/>
          <w:iCs w:val="0"/>
          <w:color w:val="auto"/>
          <w:kern w:val="0"/>
          <w:sz w:val="24"/>
          <w:szCs w:val="24"/>
          <w:highlight w:val="none"/>
          <w:u w:val="none"/>
          <w:vertAlign w:val="baseline"/>
          <w:lang w:val="en-US" w:eastAsia="zh-CN" w:bidi="ar"/>
        </w:rPr>
        <w:fldChar w:fldCharType="end"/>
      </w:r>
      <w:r>
        <w:rPr>
          <w:rFonts w:hint="eastAsia" w:cs="Times New Roman"/>
          <w:b w:val="0"/>
          <w:i w:val="0"/>
          <w:iCs w:val="0"/>
          <w:color w:val="auto"/>
          <w:kern w:val="0"/>
          <w:sz w:val="24"/>
          <w:szCs w:val="24"/>
          <w:highlight w:val="none"/>
          <w:u w:val="none"/>
          <w:vertAlign w:val="baseline"/>
          <w:lang w:val="en-US" w:eastAsia="zh-CN" w:bidi="ar"/>
        </w:rPr>
        <w:t>。</w:t>
      </w:r>
    </w:p>
    <w:p w14:paraId="4B034A49">
      <w:pPr>
        <w:shd w:val="clear"/>
        <w:rPr>
          <w:rFonts w:hint="eastAsia" w:cs="Times New Roman"/>
          <w:b w:val="0"/>
          <w:i w:val="0"/>
          <w:iCs w:val="0"/>
          <w:color w:val="auto"/>
          <w:kern w:val="0"/>
          <w:sz w:val="24"/>
          <w:szCs w:val="24"/>
          <w:highlight w:val="none"/>
          <w:u w:val="none"/>
          <w:vertAlign w:val="baseline"/>
          <w:lang w:val="en-US" w:eastAsia="zh-CN" w:bidi="ar"/>
        </w:rPr>
      </w:pPr>
      <w:r>
        <w:rPr>
          <w:rFonts w:hint="eastAsia"/>
          <w:color w:val="auto"/>
          <w:sz w:val="24"/>
          <w:szCs w:val="24"/>
          <w:highlight w:val="none"/>
          <w:lang w:val="en-US" w:eastAsia="zh-CN"/>
        </w:rPr>
        <w:t>工业涂装、其他溶剂使用行业及化工等3类挥发性有机物排放工业源8个典型行业14家代表性企业23次监督性监测结果，甲苯有组织排放浓度为</w:t>
      </w:r>
      <w:r>
        <w:rPr>
          <w:rFonts w:hint="default" w:ascii="Times New Roman" w:hAnsi="Times New Roman" w:eastAsia="宋体" w:cs="Times New Roman"/>
          <w:b w:val="0"/>
          <w:i w:val="0"/>
          <w:iCs w:val="0"/>
          <w:color w:val="auto"/>
          <w:kern w:val="0"/>
          <w:sz w:val="24"/>
          <w:szCs w:val="24"/>
          <w:highlight w:val="none"/>
          <w:u w:val="none"/>
          <w:lang w:val="en-US" w:eastAsia="zh-CN" w:bidi="ar"/>
        </w:rPr>
        <w:t>&lt;0.015</w:t>
      </w:r>
      <w:r>
        <w:rPr>
          <w:rFonts w:hint="eastAsia" w:cs="Times New Roman"/>
          <w:b w:val="0"/>
          <w:i w:val="0"/>
          <w:iCs w:val="0"/>
          <w:color w:val="auto"/>
          <w:kern w:val="0"/>
          <w:sz w:val="24"/>
          <w:szCs w:val="24"/>
          <w:highlight w:val="none"/>
          <w:u w:val="none"/>
          <w:lang w:val="en-US" w:eastAsia="zh-CN" w:bidi="ar"/>
        </w:rPr>
        <w:t>～</w:t>
      </w:r>
      <w:r>
        <w:rPr>
          <w:rFonts w:hint="default" w:ascii="Times New Roman" w:hAnsi="Times New Roman" w:eastAsia="宋体" w:cs="Times New Roman"/>
          <w:b w:val="0"/>
          <w:i w:val="0"/>
          <w:iCs w:val="0"/>
          <w:color w:val="auto"/>
          <w:kern w:val="0"/>
          <w:sz w:val="24"/>
          <w:szCs w:val="24"/>
          <w:highlight w:val="none"/>
          <w:u w:val="none"/>
          <w:lang w:val="en-US" w:eastAsia="zh-CN" w:bidi="ar"/>
        </w:rPr>
        <w:t>1</w:t>
      </w:r>
      <w:r>
        <w:rPr>
          <w:rFonts w:hint="eastAsia" w:cs="Times New Roman"/>
          <w:b w:val="0"/>
          <w:i w:val="0"/>
          <w:iCs w:val="0"/>
          <w:color w:val="auto"/>
          <w:kern w:val="0"/>
          <w:sz w:val="24"/>
          <w:szCs w:val="24"/>
          <w:highlight w:val="none"/>
          <w:u w:val="none"/>
          <w:lang w:val="en-US" w:eastAsia="zh-CN" w:bidi="ar"/>
        </w:rPr>
        <w:t>.7 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lang w:val="en-US" w:eastAsia="zh-CN" w:bidi="ar"/>
        </w:rPr>
        <w:t>之间。其中汽车整车制造、汽车零部件及配件制造行业及涂料制造、初级形态塑料及合成树脂制造存在甲苯浓度高于1 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vertAlign w:val="baseline"/>
          <w:lang w:val="en-US" w:eastAsia="zh-CN" w:bidi="ar"/>
        </w:rPr>
        <w:t>的情况，见</w:t>
      </w:r>
      <w:r>
        <w:rPr>
          <w:rFonts w:hint="eastAsia" w:cs="Times New Roman"/>
          <w:b w:val="0"/>
          <w:i w:val="0"/>
          <w:iCs w:val="0"/>
          <w:color w:val="auto"/>
          <w:kern w:val="0"/>
          <w:sz w:val="24"/>
          <w:szCs w:val="24"/>
          <w:highlight w:val="none"/>
          <w:u w:val="none"/>
          <w:vertAlign w:val="baseline"/>
          <w:lang w:val="en-US" w:eastAsia="zh-CN" w:bidi="ar"/>
        </w:rPr>
        <w:fldChar w:fldCharType="begin"/>
      </w:r>
      <w:r>
        <w:rPr>
          <w:rFonts w:hint="eastAsia" w:cs="Times New Roman"/>
          <w:b w:val="0"/>
          <w:i w:val="0"/>
          <w:iCs w:val="0"/>
          <w:color w:val="auto"/>
          <w:kern w:val="0"/>
          <w:sz w:val="24"/>
          <w:szCs w:val="24"/>
          <w:highlight w:val="none"/>
          <w:u w:val="none"/>
          <w:vertAlign w:val="baseline"/>
          <w:lang w:val="en-US" w:eastAsia="zh-CN" w:bidi="ar"/>
        </w:rPr>
        <w:instrText xml:space="preserve"> REF _Ref5872 \h </w:instrText>
      </w:r>
      <w:r>
        <w:rPr>
          <w:rFonts w:hint="eastAsia" w:cs="Times New Roman"/>
          <w:b w:val="0"/>
          <w:i w:val="0"/>
          <w:iCs w:val="0"/>
          <w:color w:val="auto"/>
          <w:kern w:val="0"/>
          <w:sz w:val="24"/>
          <w:szCs w:val="24"/>
          <w:highlight w:val="none"/>
          <w:u w:val="none"/>
          <w:vertAlign w:val="baseline"/>
          <w:lang w:val="en-US" w:eastAsia="zh-CN" w:bidi="ar"/>
        </w:rPr>
        <w:fldChar w:fldCharType="separate"/>
      </w:r>
      <w:r>
        <w:t>表8</w:t>
      </w:r>
      <w:r>
        <w:rPr>
          <w:rFonts w:hint="eastAsia" w:cs="Times New Roman"/>
          <w:b w:val="0"/>
          <w:i w:val="0"/>
          <w:iCs w:val="0"/>
          <w:color w:val="auto"/>
          <w:kern w:val="0"/>
          <w:sz w:val="24"/>
          <w:szCs w:val="24"/>
          <w:highlight w:val="none"/>
          <w:u w:val="none"/>
          <w:vertAlign w:val="baseline"/>
          <w:lang w:val="en-US" w:eastAsia="zh-CN" w:bidi="ar"/>
        </w:rPr>
        <w:fldChar w:fldCharType="end"/>
      </w:r>
      <w:r>
        <w:rPr>
          <w:rFonts w:hint="eastAsia" w:cs="Times New Roman"/>
          <w:b w:val="0"/>
          <w:i w:val="0"/>
          <w:iCs w:val="0"/>
          <w:color w:val="auto"/>
          <w:kern w:val="0"/>
          <w:sz w:val="24"/>
          <w:szCs w:val="24"/>
          <w:highlight w:val="none"/>
          <w:u w:val="none"/>
          <w:vertAlign w:val="baseline"/>
          <w:lang w:val="en-US" w:eastAsia="zh-CN" w:bidi="ar"/>
        </w:rPr>
        <w:t>。</w:t>
      </w:r>
    </w:p>
    <w:p w14:paraId="5F05996A">
      <w:pPr>
        <w:shd w:val="clear"/>
        <w:rPr>
          <w:rFonts w:hint="default" w:cs="Times New Roman"/>
          <w:b w:val="0"/>
          <w:i w:val="0"/>
          <w:iCs w:val="0"/>
          <w:color w:val="auto"/>
          <w:kern w:val="0"/>
          <w:sz w:val="24"/>
          <w:szCs w:val="24"/>
          <w:highlight w:val="none"/>
          <w:u w:val="none"/>
          <w:vertAlign w:val="baseline"/>
          <w:lang w:val="en-US" w:eastAsia="zh-CN" w:bidi="ar"/>
        </w:rPr>
      </w:pPr>
      <w:r>
        <w:rPr>
          <w:rFonts w:hint="eastAsia"/>
          <w:color w:val="auto"/>
          <w:sz w:val="24"/>
          <w:szCs w:val="24"/>
          <w:highlight w:val="none"/>
          <w:lang w:val="en-US" w:eastAsia="zh-CN"/>
        </w:rPr>
        <w:t>根据工业涂装、溶剂使用行业、化工、其他行业等4类挥发性有机物排放工业源8个典型行业13家代表性企业20次监督性监测，二甲苯有组织排放浓度为</w:t>
      </w:r>
      <w:r>
        <w:rPr>
          <w:rFonts w:hint="default" w:ascii="Times New Roman" w:hAnsi="Times New Roman" w:eastAsia="宋体" w:cs="Times New Roman"/>
          <w:b w:val="0"/>
          <w:i w:val="0"/>
          <w:iCs w:val="0"/>
          <w:color w:val="auto"/>
          <w:kern w:val="0"/>
          <w:sz w:val="24"/>
          <w:szCs w:val="24"/>
          <w:highlight w:val="none"/>
          <w:u w:val="none"/>
          <w:lang w:val="en-US" w:eastAsia="zh-CN" w:bidi="ar"/>
        </w:rPr>
        <w:t>&lt;0.0</w:t>
      </w:r>
      <w:r>
        <w:rPr>
          <w:rFonts w:hint="eastAsia" w:cs="Times New Roman"/>
          <w:b w:val="0"/>
          <w:i w:val="0"/>
          <w:iCs w:val="0"/>
          <w:color w:val="auto"/>
          <w:kern w:val="0"/>
          <w:sz w:val="24"/>
          <w:szCs w:val="24"/>
          <w:highlight w:val="none"/>
          <w:u w:val="none"/>
          <w:lang w:val="en-US" w:eastAsia="zh-CN" w:bidi="ar"/>
        </w:rPr>
        <w:t>04～8.38 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lang w:val="en-US" w:eastAsia="zh-CN" w:bidi="ar"/>
        </w:rPr>
        <w:t>之间，最高值来自一家制鞋企业。其中，6家企业二甲苯测定结果低于0.015 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vertAlign w:val="baseline"/>
          <w:lang w:val="en-US" w:eastAsia="zh-CN" w:bidi="ar"/>
        </w:rPr>
        <w:t xml:space="preserve">，7家企业甲苯浓度在0.1～0.9 </w:t>
      </w:r>
      <w:r>
        <w:rPr>
          <w:rFonts w:hint="eastAsia" w:cs="Times New Roman"/>
          <w:b w:val="0"/>
          <w:i w:val="0"/>
          <w:iCs w:val="0"/>
          <w:color w:val="auto"/>
          <w:kern w:val="0"/>
          <w:sz w:val="24"/>
          <w:szCs w:val="24"/>
          <w:highlight w:val="none"/>
          <w:u w:val="none"/>
          <w:lang w:val="en-US" w:eastAsia="zh-CN" w:bidi="ar"/>
        </w:rPr>
        <w:t>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vertAlign w:val="baseline"/>
          <w:lang w:val="en-US" w:eastAsia="zh-CN" w:bidi="ar"/>
        </w:rPr>
        <w:t>之间，3家</w:t>
      </w:r>
      <w:r>
        <w:rPr>
          <w:rFonts w:hint="eastAsia" w:cs="Times New Roman"/>
          <w:b w:val="0"/>
          <w:i w:val="0"/>
          <w:iCs w:val="0"/>
          <w:color w:val="auto"/>
          <w:kern w:val="0"/>
          <w:sz w:val="24"/>
          <w:szCs w:val="24"/>
          <w:highlight w:val="none"/>
          <w:u w:val="none"/>
          <w:lang w:val="en-US" w:eastAsia="zh-CN" w:bidi="ar"/>
        </w:rPr>
        <w:t>企业（汽车制造企业、非金属废料和碎屑加工处理企业和1家制鞋企业）二甲苯的浓度高于1 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vertAlign w:val="baseline"/>
          <w:lang w:val="en-US" w:eastAsia="zh-CN" w:bidi="ar"/>
        </w:rPr>
        <w:t>，见</w:t>
      </w:r>
      <w:r>
        <w:rPr>
          <w:rFonts w:hint="eastAsia" w:cs="Times New Roman"/>
          <w:b w:val="0"/>
          <w:i w:val="0"/>
          <w:iCs w:val="0"/>
          <w:color w:val="auto"/>
          <w:kern w:val="0"/>
          <w:sz w:val="24"/>
          <w:szCs w:val="24"/>
          <w:highlight w:val="none"/>
          <w:u w:val="none"/>
          <w:vertAlign w:val="baseline"/>
          <w:lang w:val="en-US" w:eastAsia="zh-CN" w:bidi="ar"/>
        </w:rPr>
        <w:fldChar w:fldCharType="begin"/>
      </w:r>
      <w:r>
        <w:rPr>
          <w:rFonts w:hint="eastAsia" w:cs="Times New Roman"/>
          <w:b w:val="0"/>
          <w:i w:val="0"/>
          <w:iCs w:val="0"/>
          <w:color w:val="auto"/>
          <w:kern w:val="0"/>
          <w:sz w:val="24"/>
          <w:szCs w:val="24"/>
          <w:highlight w:val="none"/>
          <w:u w:val="none"/>
          <w:vertAlign w:val="baseline"/>
          <w:lang w:val="en-US" w:eastAsia="zh-CN" w:bidi="ar"/>
        </w:rPr>
        <w:instrText xml:space="preserve"> REF _Ref5898 \h </w:instrText>
      </w:r>
      <w:r>
        <w:rPr>
          <w:rFonts w:hint="eastAsia" w:cs="Times New Roman"/>
          <w:b w:val="0"/>
          <w:i w:val="0"/>
          <w:iCs w:val="0"/>
          <w:color w:val="auto"/>
          <w:kern w:val="0"/>
          <w:sz w:val="24"/>
          <w:szCs w:val="24"/>
          <w:highlight w:val="none"/>
          <w:u w:val="none"/>
          <w:vertAlign w:val="baseline"/>
          <w:lang w:val="en-US" w:eastAsia="zh-CN" w:bidi="ar"/>
        </w:rPr>
        <w:fldChar w:fldCharType="separate"/>
      </w:r>
      <w:r>
        <w:t>表9</w:t>
      </w:r>
      <w:r>
        <w:rPr>
          <w:rFonts w:hint="eastAsia" w:cs="Times New Roman"/>
          <w:b w:val="0"/>
          <w:i w:val="0"/>
          <w:iCs w:val="0"/>
          <w:color w:val="auto"/>
          <w:kern w:val="0"/>
          <w:sz w:val="24"/>
          <w:szCs w:val="24"/>
          <w:highlight w:val="none"/>
          <w:u w:val="none"/>
          <w:vertAlign w:val="baseline"/>
          <w:lang w:val="en-US" w:eastAsia="zh-CN" w:bidi="ar"/>
        </w:rPr>
        <w:fldChar w:fldCharType="end"/>
      </w:r>
      <w:r>
        <w:rPr>
          <w:rFonts w:hint="eastAsia" w:cs="Times New Roman"/>
          <w:b w:val="0"/>
          <w:i w:val="0"/>
          <w:iCs w:val="0"/>
          <w:color w:val="auto"/>
          <w:kern w:val="0"/>
          <w:sz w:val="24"/>
          <w:szCs w:val="24"/>
          <w:highlight w:val="none"/>
          <w:u w:val="none"/>
          <w:vertAlign w:val="baseline"/>
          <w:lang w:val="en-US" w:eastAsia="zh-CN" w:bidi="ar"/>
        </w:rPr>
        <w:t>。</w:t>
      </w:r>
    </w:p>
    <w:p w14:paraId="02F69839">
      <w:pPr>
        <w:shd w:val="clear"/>
        <w:rPr>
          <w:rFonts w:hint="default"/>
          <w:color w:val="auto"/>
          <w:sz w:val="24"/>
          <w:szCs w:val="24"/>
          <w:highlight w:val="none"/>
          <w:vertAlign w:val="baseline"/>
          <w:lang w:val="en-US" w:eastAsia="zh-CN"/>
        </w:rPr>
      </w:pPr>
      <w:r>
        <w:rPr>
          <w:rFonts w:hint="eastAsia"/>
          <w:color w:val="auto"/>
          <w:sz w:val="24"/>
          <w:szCs w:val="24"/>
          <w:highlight w:val="none"/>
          <w:lang w:val="en-US" w:eastAsia="zh-CN"/>
        </w:rPr>
        <w:t>根据工业涂装、化工等2类挥发性有机物排放工业源4个典型行业11家代表性企业17次监督性监测，苯系物有组织排放浓度在</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24"/>
          <w:szCs w:val="24"/>
          <w:highlight w:val="none"/>
          <w:u w:val="none"/>
          <w:lang w:val="en-US" w:eastAsia="zh-CN" w:bidi="ar"/>
        </w:rPr>
        <w:t>0.0</w:t>
      </w:r>
      <w:r>
        <w:rPr>
          <w:rFonts w:hint="eastAsia" w:cs="Times New Roman"/>
          <w:b w:val="0"/>
          <w:i w:val="0"/>
          <w:iCs w:val="0"/>
          <w:color w:val="auto"/>
          <w:kern w:val="0"/>
          <w:sz w:val="24"/>
          <w:szCs w:val="24"/>
          <w:highlight w:val="none"/>
          <w:u w:val="none"/>
          <w:lang w:val="en-US" w:eastAsia="zh-CN" w:bidi="ar"/>
        </w:rPr>
        <w:t>15～2.82 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lang w:val="en-US" w:eastAsia="zh-CN" w:bidi="ar"/>
        </w:rPr>
        <w:t>之间，其中1家专用车辆制造企业和6家汽车修理与维护企业的测定值均在1 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lang w:val="en-US" w:eastAsia="zh-CN" w:bidi="ar"/>
        </w:rPr>
        <w:t>以下</w:t>
      </w:r>
      <w:r>
        <w:rPr>
          <w:rFonts w:hint="eastAsia" w:cs="Times New Roman"/>
          <w:b w:val="0"/>
          <w:i w:val="0"/>
          <w:iCs w:val="0"/>
          <w:color w:val="auto"/>
          <w:kern w:val="0"/>
          <w:sz w:val="24"/>
          <w:szCs w:val="24"/>
          <w:highlight w:val="none"/>
          <w:u w:val="none"/>
          <w:vertAlign w:val="baseline"/>
          <w:lang w:val="en-US" w:eastAsia="zh-CN" w:bidi="ar"/>
        </w:rPr>
        <w:t>。涂料制造企业和发电机及发电机组制造企业最高值分别为</w:t>
      </w:r>
      <w:r>
        <w:rPr>
          <w:rFonts w:hint="eastAsia" w:cs="Times New Roman"/>
          <w:b w:val="0"/>
          <w:i w:val="0"/>
          <w:iCs w:val="0"/>
          <w:color w:val="auto"/>
          <w:kern w:val="0"/>
          <w:sz w:val="24"/>
          <w:szCs w:val="24"/>
          <w:highlight w:val="none"/>
          <w:u w:val="none"/>
          <w:lang w:val="en-US" w:eastAsia="zh-CN" w:bidi="ar"/>
        </w:rPr>
        <w:t>2.82 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vertAlign w:val="baseline"/>
          <w:lang w:val="en-US" w:eastAsia="zh-CN" w:bidi="ar"/>
        </w:rPr>
        <w:t>和1.76</w:t>
      </w:r>
      <w:r>
        <w:rPr>
          <w:rFonts w:hint="eastAsia" w:cs="Times New Roman"/>
          <w:b w:val="0"/>
          <w:i w:val="0"/>
          <w:iCs w:val="0"/>
          <w:color w:val="auto"/>
          <w:kern w:val="0"/>
          <w:sz w:val="24"/>
          <w:szCs w:val="24"/>
          <w:highlight w:val="none"/>
          <w:u w:val="none"/>
          <w:lang w:val="en-US" w:eastAsia="zh-CN" w:bidi="ar"/>
        </w:rPr>
        <w:t xml:space="preserve"> 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vertAlign w:val="baseline"/>
          <w:lang w:val="en-US" w:eastAsia="zh-CN" w:bidi="ar"/>
        </w:rPr>
        <w:t>，见</w:t>
      </w:r>
      <w:r>
        <w:rPr>
          <w:rFonts w:hint="eastAsia" w:cs="Times New Roman"/>
          <w:b w:val="0"/>
          <w:i w:val="0"/>
          <w:iCs w:val="0"/>
          <w:color w:val="auto"/>
          <w:kern w:val="0"/>
          <w:sz w:val="24"/>
          <w:szCs w:val="24"/>
          <w:highlight w:val="none"/>
          <w:u w:val="none"/>
          <w:vertAlign w:val="baseline"/>
          <w:lang w:val="en-US" w:eastAsia="zh-CN" w:bidi="ar"/>
        </w:rPr>
        <w:fldChar w:fldCharType="begin"/>
      </w:r>
      <w:r>
        <w:rPr>
          <w:rFonts w:hint="eastAsia" w:cs="Times New Roman"/>
          <w:b w:val="0"/>
          <w:i w:val="0"/>
          <w:iCs w:val="0"/>
          <w:color w:val="auto"/>
          <w:kern w:val="0"/>
          <w:sz w:val="24"/>
          <w:szCs w:val="24"/>
          <w:highlight w:val="none"/>
          <w:u w:val="none"/>
          <w:vertAlign w:val="baseline"/>
          <w:lang w:val="en-US" w:eastAsia="zh-CN" w:bidi="ar"/>
        </w:rPr>
        <w:instrText xml:space="preserve"> REF _Ref5924 \h </w:instrText>
      </w:r>
      <w:r>
        <w:rPr>
          <w:rFonts w:hint="eastAsia" w:cs="Times New Roman"/>
          <w:b w:val="0"/>
          <w:i w:val="0"/>
          <w:iCs w:val="0"/>
          <w:color w:val="auto"/>
          <w:kern w:val="0"/>
          <w:sz w:val="24"/>
          <w:szCs w:val="24"/>
          <w:highlight w:val="none"/>
          <w:u w:val="none"/>
          <w:vertAlign w:val="baseline"/>
          <w:lang w:val="en-US" w:eastAsia="zh-CN" w:bidi="ar"/>
        </w:rPr>
        <w:fldChar w:fldCharType="separate"/>
      </w:r>
      <w:r>
        <w:t>表10</w:t>
      </w:r>
      <w:r>
        <w:rPr>
          <w:rFonts w:hint="eastAsia" w:cs="Times New Roman"/>
          <w:b w:val="0"/>
          <w:i w:val="0"/>
          <w:iCs w:val="0"/>
          <w:color w:val="auto"/>
          <w:kern w:val="0"/>
          <w:sz w:val="24"/>
          <w:szCs w:val="24"/>
          <w:highlight w:val="none"/>
          <w:u w:val="none"/>
          <w:vertAlign w:val="baseline"/>
          <w:lang w:val="en-US" w:eastAsia="zh-CN" w:bidi="ar"/>
        </w:rPr>
        <w:fldChar w:fldCharType="end"/>
      </w:r>
      <w:r>
        <w:rPr>
          <w:rFonts w:hint="eastAsia" w:cs="Times New Roman"/>
          <w:b w:val="0"/>
          <w:i w:val="0"/>
          <w:iCs w:val="0"/>
          <w:color w:val="auto"/>
          <w:kern w:val="0"/>
          <w:sz w:val="24"/>
          <w:szCs w:val="24"/>
          <w:highlight w:val="none"/>
          <w:u w:val="none"/>
          <w:vertAlign w:val="baseline"/>
          <w:lang w:val="en-US" w:eastAsia="zh-CN" w:bidi="ar"/>
        </w:rPr>
        <w:t>。</w:t>
      </w:r>
    </w:p>
    <w:p w14:paraId="480042A5">
      <w:pPr>
        <w:shd w:val="clear"/>
        <w:rPr>
          <w:rFonts w:hint="default" w:cs="Times New Roman"/>
          <w:b w:val="0"/>
          <w:i w:val="0"/>
          <w:iCs w:val="0"/>
          <w:color w:val="auto"/>
          <w:kern w:val="0"/>
          <w:sz w:val="24"/>
          <w:szCs w:val="24"/>
          <w:highlight w:val="none"/>
          <w:u w:val="none"/>
          <w:vertAlign w:val="baseline"/>
          <w:lang w:val="en-US" w:eastAsia="zh-CN" w:bidi="ar"/>
        </w:rPr>
      </w:pPr>
      <w:r>
        <w:rPr>
          <w:rFonts w:hint="eastAsia"/>
          <w:color w:val="auto"/>
          <w:sz w:val="24"/>
          <w:szCs w:val="24"/>
          <w:highlight w:val="none"/>
          <w:lang w:val="en-US" w:eastAsia="zh-CN"/>
        </w:rPr>
        <w:t>根据工业涂装、化工、其他行业等3类挥发性有机物排放工业源12个典型行业36家代表性企业53次监督性监测，非甲烷总烃有组织排放浓度在</w:t>
      </w:r>
      <w:r>
        <w:rPr>
          <w:rFonts w:hint="eastAsia" w:cs="Times New Roman"/>
          <w:b w:val="0"/>
          <w:i w:val="0"/>
          <w:iCs w:val="0"/>
          <w:color w:val="auto"/>
          <w:kern w:val="0"/>
          <w:sz w:val="24"/>
          <w:szCs w:val="24"/>
          <w:highlight w:val="none"/>
          <w:u w:val="none"/>
          <w:lang w:val="en-US" w:eastAsia="zh-CN" w:bidi="ar"/>
        </w:rPr>
        <w:t>0.17～41.6 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lang w:val="en-US" w:eastAsia="zh-CN" w:bidi="ar"/>
        </w:rPr>
        <w:t>之间，其中，14次测定结果≤1 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vertAlign w:val="baseline"/>
          <w:lang w:val="en-US" w:eastAsia="zh-CN" w:bidi="ar"/>
        </w:rPr>
        <w:t xml:space="preserve">，15次测定结果在1～2 </w:t>
      </w:r>
      <w:r>
        <w:rPr>
          <w:rFonts w:hint="eastAsia" w:cs="Times New Roman"/>
          <w:b w:val="0"/>
          <w:i w:val="0"/>
          <w:iCs w:val="0"/>
          <w:color w:val="auto"/>
          <w:kern w:val="0"/>
          <w:sz w:val="24"/>
          <w:szCs w:val="24"/>
          <w:highlight w:val="none"/>
          <w:u w:val="none"/>
          <w:lang w:val="en-US" w:eastAsia="zh-CN" w:bidi="ar"/>
        </w:rPr>
        <w:t>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vertAlign w:val="baseline"/>
          <w:lang w:val="en-US" w:eastAsia="zh-CN" w:bidi="ar"/>
        </w:rPr>
        <w:t>之间，5次测定结果在2～10 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vertAlign w:val="baseline"/>
          <w:lang w:val="en-US" w:eastAsia="zh-CN" w:bidi="ar"/>
        </w:rPr>
        <w:t>之间，2次测定结果在10～20 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vertAlign w:val="baseline"/>
          <w:lang w:val="en-US" w:eastAsia="zh-CN" w:bidi="ar"/>
        </w:rPr>
        <w:t>之间，1次测定结果在20～30 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vertAlign w:val="baseline"/>
          <w:lang w:val="en-US" w:eastAsia="zh-CN" w:bidi="ar"/>
        </w:rPr>
        <w:t>之间，1次结果大于40 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vertAlign w:val="baseline"/>
          <w:lang w:val="en-US" w:eastAsia="zh-CN" w:bidi="ar"/>
        </w:rPr>
        <w:t>。最高值来自1家改装车辆生产企业，见</w:t>
      </w:r>
      <w:r>
        <w:rPr>
          <w:rFonts w:hint="eastAsia" w:cs="Times New Roman"/>
          <w:b w:val="0"/>
          <w:i w:val="0"/>
          <w:iCs w:val="0"/>
          <w:color w:val="auto"/>
          <w:kern w:val="0"/>
          <w:sz w:val="24"/>
          <w:szCs w:val="24"/>
          <w:highlight w:val="none"/>
          <w:u w:val="none"/>
          <w:vertAlign w:val="baseline"/>
          <w:lang w:val="en-US" w:eastAsia="zh-CN" w:bidi="ar"/>
        </w:rPr>
        <w:fldChar w:fldCharType="begin"/>
      </w:r>
      <w:r>
        <w:rPr>
          <w:rFonts w:hint="eastAsia" w:cs="Times New Roman"/>
          <w:b w:val="0"/>
          <w:i w:val="0"/>
          <w:iCs w:val="0"/>
          <w:color w:val="auto"/>
          <w:kern w:val="0"/>
          <w:sz w:val="24"/>
          <w:szCs w:val="24"/>
          <w:highlight w:val="none"/>
          <w:u w:val="none"/>
          <w:vertAlign w:val="baseline"/>
          <w:lang w:val="en-US" w:eastAsia="zh-CN" w:bidi="ar"/>
        </w:rPr>
        <w:instrText xml:space="preserve"> REF _Ref5947 \h </w:instrText>
      </w:r>
      <w:r>
        <w:rPr>
          <w:rFonts w:hint="eastAsia" w:cs="Times New Roman"/>
          <w:b w:val="0"/>
          <w:i w:val="0"/>
          <w:iCs w:val="0"/>
          <w:color w:val="auto"/>
          <w:kern w:val="0"/>
          <w:sz w:val="24"/>
          <w:szCs w:val="24"/>
          <w:highlight w:val="none"/>
          <w:u w:val="none"/>
          <w:vertAlign w:val="baseline"/>
          <w:lang w:val="en-US" w:eastAsia="zh-CN" w:bidi="ar"/>
        </w:rPr>
        <w:fldChar w:fldCharType="separate"/>
      </w:r>
      <w:r>
        <w:t>表11</w:t>
      </w:r>
      <w:r>
        <w:rPr>
          <w:rFonts w:hint="eastAsia" w:cs="Times New Roman"/>
          <w:b w:val="0"/>
          <w:i w:val="0"/>
          <w:iCs w:val="0"/>
          <w:color w:val="auto"/>
          <w:kern w:val="0"/>
          <w:sz w:val="24"/>
          <w:szCs w:val="24"/>
          <w:highlight w:val="none"/>
          <w:u w:val="none"/>
          <w:vertAlign w:val="baseline"/>
          <w:lang w:val="en-US" w:eastAsia="zh-CN" w:bidi="ar"/>
        </w:rPr>
        <w:fldChar w:fldCharType="end"/>
      </w:r>
      <w:r>
        <w:rPr>
          <w:rFonts w:hint="eastAsia" w:cs="Times New Roman"/>
          <w:b w:val="0"/>
          <w:i w:val="0"/>
          <w:iCs w:val="0"/>
          <w:color w:val="auto"/>
          <w:kern w:val="0"/>
          <w:sz w:val="24"/>
          <w:szCs w:val="24"/>
          <w:highlight w:val="none"/>
          <w:u w:val="none"/>
          <w:vertAlign w:val="baseline"/>
          <w:lang w:val="en-US" w:eastAsia="zh-CN" w:bidi="ar"/>
        </w:rPr>
        <w:t>。</w:t>
      </w:r>
    </w:p>
    <w:p w14:paraId="3E77CEDF">
      <w:pPr>
        <w:shd w:val="clear"/>
        <w:rPr>
          <w:rFonts w:hint="default"/>
          <w:color w:val="auto"/>
          <w:sz w:val="24"/>
          <w:szCs w:val="24"/>
          <w:highlight w:val="none"/>
          <w:vertAlign w:val="baseline"/>
          <w:lang w:val="en-US" w:eastAsia="zh-CN"/>
        </w:rPr>
      </w:pPr>
      <w:r>
        <w:rPr>
          <w:rFonts w:hint="eastAsia"/>
          <w:color w:val="auto"/>
          <w:sz w:val="24"/>
          <w:szCs w:val="24"/>
          <w:highlight w:val="none"/>
          <w:lang w:val="en-US" w:eastAsia="zh-CN"/>
        </w:rPr>
        <w:t>工业涂装、其他溶剂使用行业、化工等3类挥发性有机物排放工业源11个典型行业20家代表性企业，38次监督性监测结果表明，挥发性有机物监督性监测浓度在</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24"/>
          <w:szCs w:val="24"/>
          <w:highlight w:val="none"/>
          <w:u w:val="none"/>
          <w:lang w:val="en-US" w:eastAsia="zh-CN" w:bidi="ar"/>
        </w:rPr>
        <w:t>0.</w:t>
      </w:r>
      <w:r>
        <w:rPr>
          <w:rFonts w:hint="eastAsia" w:cs="Times New Roman"/>
          <w:b w:val="0"/>
          <w:i w:val="0"/>
          <w:iCs w:val="0"/>
          <w:color w:val="auto"/>
          <w:kern w:val="0"/>
          <w:sz w:val="24"/>
          <w:szCs w:val="24"/>
          <w:highlight w:val="none"/>
          <w:u w:val="none"/>
          <w:lang w:val="en-US" w:eastAsia="zh-CN" w:bidi="ar"/>
        </w:rPr>
        <w:t>33～73.1 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lang w:val="en-US" w:eastAsia="zh-CN" w:bidi="ar"/>
        </w:rPr>
        <w:t>之间。其中，5次测定结果低于1 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vertAlign w:val="baseline"/>
          <w:lang w:val="en-US" w:eastAsia="zh-CN" w:bidi="ar"/>
        </w:rPr>
        <w:t xml:space="preserve">，22次测定结果在1～10 </w:t>
      </w:r>
      <w:r>
        <w:rPr>
          <w:rFonts w:hint="eastAsia" w:cs="Times New Roman"/>
          <w:b w:val="0"/>
          <w:i w:val="0"/>
          <w:iCs w:val="0"/>
          <w:color w:val="auto"/>
          <w:kern w:val="0"/>
          <w:sz w:val="24"/>
          <w:szCs w:val="24"/>
          <w:highlight w:val="none"/>
          <w:u w:val="none"/>
          <w:lang w:val="en-US" w:eastAsia="zh-CN" w:bidi="ar"/>
        </w:rPr>
        <w:t>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vertAlign w:val="baseline"/>
          <w:lang w:val="en-US" w:eastAsia="zh-CN" w:bidi="ar"/>
        </w:rPr>
        <w:t>之间，7次测定结果</w:t>
      </w:r>
      <w:r>
        <w:rPr>
          <w:rFonts w:hint="eastAsia" w:cs="Times New Roman"/>
          <w:b w:val="0"/>
          <w:i w:val="0"/>
          <w:iCs w:val="0"/>
          <w:color w:val="auto"/>
          <w:kern w:val="0"/>
          <w:sz w:val="24"/>
          <w:szCs w:val="24"/>
          <w:highlight w:val="none"/>
          <w:u w:val="none"/>
          <w:lang w:val="en-US" w:eastAsia="zh-CN" w:bidi="ar"/>
        </w:rPr>
        <w:t>在10～20 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vertAlign w:val="baseline"/>
          <w:lang w:val="en-US" w:eastAsia="zh-CN" w:bidi="ar"/>
        </w:rPr>
        <w:t>之间，1次测定结果在73.1 mg/m</w:t>
      </w:r>
      <w:r>
        <w:rPr>
          <w:rFonts w:hint="eastAsia" w:cs="Times New Roman"/>
          <w:b w:val="0"/>
          <w:i w:val="0"/>
          <w:iCs w:val="0"/>
          <w:color w:val="auto"/>
          <w:kern w:val="0"/>
          <w:sz w:val="24"/>
          <w:szCs w:val="24"/>
          <w:highlight w:val="none"/>
          <w:u w:val="none"/>
          <w:vertAlign w:val="superscript"/>
          <w:lang w:val="en-US" w:eastAsia="zh-CN" w:bidi="ar"/>
        </w:rPr>
        <w:t>3</w:t>
      </w:r>
      <w:r>
        <w:rPr>
          <w:rFonts w:hint="eastAsia" w:cs="Times New Roman"/>
          <w:b w:val="0"/>
          <w:i w:val="0"/>
          <w:iCs w:val="0"/>
          <w:color w:val="auto"/>
          <w:kern w:val="0"/>
          <w:sz w:val="24"/>
          <w:szCs w:val="24"/>
          <w:highlight w:val="none"/>
          <w:u w:val="none"/>
          <w:vertAlign w:val="baseline"/>
          <w:lang w:val="en-US" w:eastAsia="zh-CN" w:bidi="ar"/>
        </w:rPr>
        <w:t>。最高值来自1家化工企业，其生产范围包括涂料制造、香料、香精制造、化学试剂和助剂制造和化学农药制造，见</w:t>
      </w:r>
      <w:r>
        <w:rPr>
          <w:rFonts w:hint="eastAsia" w:cs="Times New Roman"/>
          <w:b w:val="0"/>
          <w:i w:val="0"/>
          <w:iCs w:val="0"/>
          <w:color w:val="auto"/>
          <w:kern w:val="0"/>
          <w:sz w:val="24"/>
          <w:szCs w:val="24"/>
          <w:highlight w:val="none"/>
          <w:u w:val="none"/>
          <w:vertAlign w:val="baseline"/>
          <w:lang w:val="en-US" w:eastAsia="zh-CN" w:bidi="ar"/>
        </w:rPr>
        <w:fldChar w:fldCharType="begin"/>
      </w:r>
      <w:r>
        <w:rPr>
          <w:rFonts w:hint="eastAsia" w:cs="Times New Roman"/>
          <w:b w:val="0"/>
          <w:i w:val="0"/>
          <w:iCs w:val="0"/>
          <w:color w:val="auto"/>
          <w:kern w:val="0"/>
          <w:sz w:val="24"/>
          <w:szCs w:val="24"/>
          <w:highlight w:val="none"/>
          <w:u w:val="none"/>
          <w:vertAlign w:val="baseline"/>
          <w:lang w:val="en-US" w:eastAsia="zh-CN" w:bidi="ar"/>
        </w:rPr>
        <w:instrText xml:space="preserve"> REF _Ref5970 \h </w:instrText>
      </w:r>
      <w:r>
        <w:rPr>
          <w:rFonts w:hint="eastAsia" w:cs="Times New Roman"/>
          <w:b w:val="0"/>
          <w:i w:val="0"/>
          <w:iCs w:val="0"/>
          <w:color w:val="auto"/>
          <w:kern w:val="0"/>
          <w:sz w:val="24"/>
          <w:szCs w:val="24"/>
          <w:highlight w:val="none"/>
          <w:u w:val="none"/>
          <w:vertAlign w:val="baseline"/>
          <w:lang w:val="en-US" w:eastAsia="zh-CN" w:bidi="ar"/>
        </w:rPr>
        <w:fldChar w:fldCharType="separate"/>
      </w:r>
      <w:r>
        <w:t>表12</w:t>
      </w:r>
      <w:r>
        <w:rPr>
          <w:rFonts w:hint="eastAsia" w:cs="Times New Roman"/>
          <w:b w:val="0"/>
          <w:i w:val="0"/>
          <w:iCs w:val="0"/>
          <w:color w:val="auto"/>
          <w:kern w:val="0"/>
          <w:sz w:val="24"/>
          <w:szCs w:val="24"/>
          <w:highlight w:val="none"/>
          <w:u w:val="none"/>
          <w:vertAlign w:val="baseline"/>
          <w:lang w:val="en-US" w:eastAsia="zh-CN" w:bidi="ar"/>
        </w:rPr>
        <w:fldChar w:fldCharType="end"/>
      </w:r>
      <w:r>
        <w:rPr>
          <w:rFonts w:hint="eastAsia" w:cs="Times New Roman"/>
          <w:b w:val="0"/>
          <w:i w:val="0"/>
          <w:iCs w:val="0"/>
          <w:color w:val="auto"/>
          <w:kern w:val="0"/>
          <w:sz w:val="24"/>
          <w:szCs w:val="24"/>
          <w:highlight w:val="none"/>
          <w:u w:val="none"/>
          <w:vertAlign w:val="baseline"/>
          <w:lang w:val="en-US" w:eastAsia="zh-CN" w:bidi="ar"/>
        </w:rPr>
        <w:t>。</w:t>
      </w:r>
    </w:p>
    <w:p w14:paraId="3DEFCC2C">
      <w:pPr>
        <w:pStyle w:val="129"/>
        <w:shd w:val="clear"/>
        <w:bidi w:val="0"/>
        <w:outlineLvl w:val="4"/>
        <w:rPr>
          <w:rFonts w:hint="default"/>
          <w:lang w:val="en-US" w:eastAsia="zh-CN"/>
        </w:rPr>
      </w:pPr>
      <w:bookmarkStart w:id="108" w:name="_Ref5836"/>
      <w:bookmarkStart w:id="109" w:name="_Ref5817"/>
      <w:r>
        <w:t>表</w:t>
      </w:r>
      <w:r>
        <w:fldChar w:fldCharType="begin"/>
      </w:r>
      <w:r>
        <w:instrText xml:space="preserve"> SEQ 表 \* ARABIC </w:instrText>
      </w:r>
      <w:r>
        <w:fldChar w:fldCharType="separate"/>
      </w:r>
      <w:r>
        <w:t>7</w:t>
      </w:r>
      <w:r>
        <w:fldChar w:fldCharType="end"/>
      </w:r>
      <w:bookmarkEnd w:id="108"/>
      <w:r>
        <w:rPr>
          <w:rFonts w:hint="eastAsia"/>
          <w:lang w:val="en-US" w:eastAsia="zh-CN"/>
        </w:rPr>
        <w:t xml:space="preserve"> 苯的监督性监测数据分布情况</w:t>
      </w:r>
      <w:bookmarkEnd w:id="109"/>
    </w:p>
    <w:tbl>
      <w:tblPr>
        <w:tblStyle w:val="3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1"/>
        <w:gridCol w:w="791"/>
        <w:gridCol w:w="2272"/>
        <w:gridCol w:w="711"/>
        <w:gridCol w:w="656"/>
        <w:gridCol w:w="1347"/>
        <w:gridCol w:w="2633"/>
      </w:tblGrid>
      <w:tr w14:paraId="1B014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blHeader/>
          <w:jc w:val="center"/>
        </w:trPr>
        <w:tc>
          <w:tcPr>
            <w:tcW w:w="2107" w:type="pct"/>
            <w:gridSpan w:val="3"/>
            <w:tcBorders>
              <w:top w:val="single" w:color="000000" w:sz="12" w:space="0"/>
              <w:left w:val="single" w:color="000000" w:sz="12" w:space="0"/>
              <w:bottom w:val="single" w:color="auto" w:sz="4" w:space="0"/>
              <w:right w:val="single" w:color="000000" w:sz="4" w:space="0"/>
              <w:tl2br w:val="nil"/>
            </w:tcBorders>
            <w:shd w:val="clear" w:color="auto" w:fill="FFFFFF"/>
            <w:noWrap/>
            <w:vAlign w:val="center"/>
          </w:tcPr>
          <w:p w14:paraId="2737DF9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行业基本情况</w:t>
            </w:r>
          </w:p>
        </w:tc>
        <w:tc>
          <w:tcPr>
            <w:tcW w:w="384" w:type="pct"/>
            <w:vMerge w:val="restart"/>
            <w:tcBorders>
              <w:top w:val="single" w:color="000000" w:sz="12" w:space="0"/>
              <w:left w:val="single" w:color="000000" w:sz="4" w:space="0"/>
              <w:right w:val="single" w:color="000000" w:sz="4" w:space="0"/>
            </w:tcBorders>
            <w:shd w:val="clear" w:color="auto" w:fill="FFFFFF"/>
            <w:noWrap/>
            <w:vAlign w:val="center"/>
          </w:tcPr>
          <w:p w14:paraId="08FC635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企业数量</w:t>
            </w:r>
          </w:p>
        </w:tc>
        <w:tc>
          <w:tcPr>
            <w:tcW w:w="355" w:type="pct"/>
            <w:vMerge w:val="restart"/>
            <w:tcBorders>
              <w:top w:val="single" w:color="000000" w:sz="12" w:space="0"/>
              <w:left w:val="single" w:color="000000" w:sz="4" w:space="0"/>
              <w:right w:val="single" w:color="000000" w:sz="4" w:space="0"/>
            </w:tcBorders>
            <w:shd w:val="clear" w:color="auto" w:fill="FFFFFF"/>
            <w:noWrap/>
            <w:vAlign w:val="center"/>
          </w:tcPr>
          <w:p w14:paraId="6A2FAD3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监测数据</w:t>
            </w:r>
          </w:p>
        </w:tc>
        <w:tc>
          <w:tcPr>
            <w:tcW w:w="728" w:type="pct"/>
            <w:vMerge w:val="restart"/>
            <w:tcBorders>
              <w:top w:val="single" w:color="000000" w:sz="12" w:space="0"/>
              <w:left w:val="single" w:color="000000" w:sz="4" w:space="0"/>
              <w:right w:val="single" w:color="000000" w:sz="4" w:space="0"/>
            </w:tcBorders>
            <w:shd w:val="clear" w:color="auto" w:fill="FFFFFF"/>
            <w:noWrap/>
            <w:vAlign w:val="center"/>
          </w:tcPr>
          <w:p w14:paraId="71A24DC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浓度</w:t>
            </w:r>
            <w:r>
              <w:rPr>
                <w:rFonts w:hint="eastAsia" w:cs="Times New Roman"/>
                <w:b w:val="0"/>
                <w:i w:val="0"/>
                <w:iCs w:val="0"/>
                <w:color w:val="auto"/>
                <w:kern w:val="0"/>
                <w:sz w:val="18"/>
                <w:szCs w:val="18"/>
                <w:highlight w:val="none"/>
                <w:u w:val="none"/>
                <w:lang w:val="en-US" w:eastAsia="zh-CN" w:bidi="ar"/>
              </w:rPr>
              <w:t>范围</w:t>
            </w:r>
            <w:r>
              <w:rPr>
                <w:rFonts w:hint="default" w:ascii="Times New Roman" w:hAnsi="Times New Roman" w:eastAsia="宋体" w:cs="Times New Roman"/>
                <w:b w:val="0"/>
                <w:i w:val="0"/>
                <w:iCs w:val="0"/>
                <w:color w:val="auto"/>
                <w:kern w:val="0"/>
                <w:sz w:val="18"/>
                <w:szCs w:val="18"/>
                <w:highlight w:val="none"/>
                <w:u w:val="none"/>
                <w:lang w:val="en-US" w:eastAsia="zh-CN" w:bidi="ar"/>
              </w:rPr>
              <w:br w:type="textWrapping"/>
            </w:r>
            <w:r>
              <w:rPr>
                <w:rFonts w:hint="eastAsia" w:ascii="Times New Roman" w:hAnsi="Times New Roman" w:cs="Times New Roman"/>
                <w:b w:val="0"/>
                <w:i w:val="0"/>
                <w:iCs w:val="0"/>
                <w:color w:val="auto"/>
                <w:kern w:val="0"/>
                <w:sz w:val="18"/>
                <w:szCs w:val="18"/>
                <w:highlight w:val="none"/>
                <w:u w:val="none"/>
                <w:lang w:val="en-US" w:eastAsia="zh-CN" w:bidi="ar"/>
              </w:rPr>
              <w:t>（mg/m</w:t>
            </w:r>
            <w:r>
              <w:rPr>
                <w:rFonts w:hint="eastAsia" w:ascii="Times New Roman" w:hAnsi="Times New Roman" w:cs="Times New Roman"/>
                <w:b w:val="0"/>
                <w:i w:val="0"/>
                <w:iCs w:val="0"/>
                <w:color w:val="auto"/>
                <w:kern w:val="0"/>
                <w:sz w:val="18"/>
                <w:szCs w:val="18"/>
                <w:highlight w:val="none"/>
                <w:u w:val="none"/>
                <w:vertAlign w:val="superscript"/>
                <w:lang w:val="en-US" w:eastAsia="zh-CN" w:bidi="ar"/>
              </w:rPr>
              <w:t>3</w:t>
            </w:r>
            <w:r>
              <w:rPr>
                <w:rFonts w:hint="eastAsia" w:ascii="Times New Roman" w:hAnsi="Times New Roman" w:cs="Times New Roman"/>
                <w:b w:val="0"/>
                <w:i w:val="0"/>
                <w:iCs w:val="0"/>
                <w:color w:val="auto"/>
                <w:kern w:val="0"/>
                <w:sz w:val="18"/>
                <w:szCs w:val="18"/>
                <w:highlight w:val="none"/>
                <w:u w:val="none"/>
                <w:lang w:val="en-US" w:eastAsia="zh-CN" w:bidi="ar"/>
              </w:rPr>
              <w:t>）</w:t>
            </w:r>
          </w:p>
        </w:tc>
        <w:tc>
          <w:tcPr>
            <w:tcW w:w="1423" w:type="pct"/>
            <w:vMerge w:val="restart"/>
            <w:tcBorders>
              <w:top w:val="single" w:color="000000" w:sz="12" w:space="0"/>
              <w:left w:val="single" w:color="000000" w:sz="4" w:space="0"/>
              <w:right w:val="single" w:color="000000" w:sz="12" w:space="0"/>
            </w:tcBorders>
            <w:shd w:val="clear" w:color="auto" w:fill="FFFFFF"/>
            <w:noWrap/>
            <w:vAlign w:val="center"/>
          </w:tcPr>
          <w:p w14:paraId="0198845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涉及设备\工艺</w:t>
            </w:r>
          </w:p>
        </w:tc>
      </w:tr>
      <w:tr w14:paraId="4CC58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blHeader/>
          <w:jc w:val="center"/>
        </w:trPr>
        <w:tc>
          <w:tcPr>
            <w:tcW w:w="449" w:type="pct"/>
            <w:tcBorders>
              <w:top w:val="single" w:color="auto" w:sz="4" w:space="0"/>
              <w:left w:val="single" w:color="000000" w:sz="12" w:space="0"/>
              <w:bottom w:val="single" w:color="000000" w:sz="4" w:space="0"/>
              <w:right w:val="single" w:color="000000" w:sz="4" w:space="0"/>
              <w:tl2br w:val="nil"/>
            </w:tcBorders>
            <w:shd w:val="clear" w:color="auto" w:fill="FFFFFF"/>
            <w:noWrap/>
            <w:vAlign w:val="center"/>
          </w:tcPr>
          <w:p w14:paraId="11FC52C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分类</w:t>
            </w:r>
          </w:p>
        </w:tc>
        <w:tc>
          <w:tcPr>
            <w:tcW w:w="427" w:type="pct"/>
            <w:tcBorders>
              <w:top w:val="single" w:color="auto" w:sz="4" w:space="0"/>
              <w:left w:val="single" w:color="000000" w:sz="4" w:space="0"/>
              <w:bottom w:val="single" w:color="000000" w:sz="4" w:space="0"/>
              <w:right w:val="single" w:color="000000" w:sz="4" w:space="0"/>
            </w:tcBorders>
            <w:shd w:val="clear" w:color="auto" w:fill="FFFFFF"/>
            <w:noWrap/>
            <w:vAlign w:val="center"/>
          </w:tcPr>
          <w:p w14:paraId="1C422A3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编码</w:t>
            </w:r>
          </w:p>
        </w:tc>
        <w:tc>
          <w:tcPr>
            <w:tcW w:w="1229" w:type="pct"/>
            <w:tcBorders>
              <w:top w:val="single" w:color="auto" w:sz="4" w:space="0"/>
              <w:left w:val="single" w:color="000000" w:sz="4" w:space="0"/>
              <w:bottom w:val="single" w:color="000000" w:sz="4" w:space="0"/>
              <w:right w:val="single" w:color="000000" w:sz="4" w:space="0"/>
            </w:tcBorders>
            <w:shd w:val="clear" w:color="auto" w:fill="FFFFFF"/>
            <w:noWrap/>
            <w:vAlign w:val="center"/>
          </w:tcPr>
          <w:p w14:paraId="08B9880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名称</w:t>
            </w:r>
          </w:p>
        </w:tc>
        <w:tc>
          <w:tcPr>
            <w:tcW w:w="384" w:type="pct"/>
            <w:vMerge w:val="continue"/>
            <w:tcBorders>
              <w:left w:val="single" w:color="000000" w:sz="4" w:space="0"/>
              <w:bottom w:val="single" w:color="000000" w:sz="4" w:space="0"/>
              <w:right w:val="single" w:color="000000" w:sz="4" w:space="0"/>
            </w:tcBorders>
            <w:shd w:val="clear" w:color="auto" w:fill="FFFFFF"/>
            <w:noWrap/>
            <w:vAlign w:val="center"/>
          </w:tcPr>
          <w:p w14:paraId="1018EA6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355" w:type="pct"/>
            <w:vMerge w:val="continue"/>
            <w:tcBorders>
              <w:left w:val="single" w:color="000000" w:sz="4" w:space="0"/>
              <w:bottom w:val="single" w:color="000000" w:sz="4" w:space="0"/>
              <w:right w:val="single" w:color="000000" w:sz="4" w:space="0"/>
            </w:tcBorders>
            <w:shd w:val="clear" w:color="auto" w:fill="FFFFFF"/>
            <w:noWrap/>
            <w:vAlign w:val="center"/>
          </w:tcPr>
          <w:p w14:paraId="3CEDB51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728" w:type="pct"/>
            <w:vMerge w:val="continue"/>
            <w:tcBorders>
              <w:left w:val="single" w:color="000000" w:sz="4" w:space="0"/>
              <w:bottom w:val="single" w:color="000000" w:sz="4" w:space="0"/>
              <w:right w:val="single" w:color="000000" w:sz="4" w:space="0"/>
            </w:tcBorders>
            <w:shd w:val="clear" w:color="auto" w:fill="FFFFFF"/>
            <w:noWrap/>
            <w:vAlign w:val="center"/>
          </w:tcPr>
          <w:p w14:paraId="70579F7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1423" w:type="pct"/>
            <w:vMerge w:val="continue"/>
            <w:tcBorders>
              <w:left w:val="single" w:color="000000" w:sz="4" w:space="0"/>
              <w:bottom w:val="single" w:color="000000" w:sz="4" w:space="0"/>
              <w:right w:val="single" w:color="000000" w:sz="12" w:space="0"/>
            </w:tcBorders>
            <w:shd w:val="clear" w:color="auto" w:fill="FFFFFF"/>
            <w:noWrap/>
            <w:vAlign w:val="center"/>
          </w:tcPr>
          <w:p w14:paraId="612D360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r>
      <w:tr w14:paraId="7B9AE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49" w:type="pct"/>
            <w:vMerge w:val="restart"/>
            <w:tcBorders>
              <w:top w:val="single" w:color="000000" w:sz="4" w:space="0"/>
              <w:left w:val="single" w:color="000000" w:sz="12" w:space="0"/>
              <w:right w:val="single" w:color="000000" w:sz="4" w:space="0"/>
            </w:tcBorders>
            <w:shd w:val="clear" w:color="auto" w:fill="FFFFFF"/>
            <w:noWrap/>
            <w:vAlign w:val="center"/>
          </w:tcPr>
          <w:p w14:paraId="4B60115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工业涂装</w:t>
            </w:r>
          </w:p>
        </w:tc>
        <w:tc>
          <w:tcPr>
            <w:tcW w:w="4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C7D5B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C34</w:t>
            </w:r>
          </w:p>
        </w:tc>
        <w:tc>
          <w:tcPr>
            <w:tcW w:w="12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CAB3E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生产专用车辆制造、生产专用起重机制造</w:t>
            </w:r>
          </w:p>
        </w:tc>
        <w:tc>
          <w:tcPr>
            <w:tcW w:w="3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41CAF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6DB03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4</w:t>
            </w:r>
          </w:p>
        </w:tc>
        <w:tc>
          <w:tcPr>
            <w:tcW w:w="7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4B5EE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0.015</w:t>
            </w:r>
          </w:p>
        </w:tc>
        <w:tc>
          <w:tcPr>
            <w:tcW w:w="1423"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2BE3230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整车涂装、底漆、面漆喷涂</w:t>
            </w:r>
          </w:p>
        </w:tc>
      </w:tr>
      <w:tr w14:paraId="58F7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jc w:val="center"/>
        </w:trPr>
        <w:tc>
          <w:tcPr>
            <w:tcW w:w="449" w:type="pct"/>
            <w:vMerge w:val="continue"/>
            <w:tcBorders>
              <w:left w:val="single" w:color="000000" w:sz="12" w:space="0"/>
              <w:right w:val="single" w:color="000000" w:sz="4" w:space="0"/>
            </w:tcBorders>
            <w:shd w:val="clear" w:color="auto" w:fill="FFFFFF"/>
            <w:noWrap/>
            <w:vAlign w:val="center"/>
          </w:tcPr>
          <w:p w14:paraId="0A6643CD">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48ACA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C38</w:t>
            </w:r>
          </w:p>
        </w:tc>
        <w:tc>
          <w:tcPr>
            <w:tcW w:w="12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ECD32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绝缘制品制造、发电机及发电机组</w:t>
            </w:r>
          </w:p>
        </w:tc>
        <w:tc>
          <w:tcPr>
            <w:tcW w:w="3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015A2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1DACE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3</w:t>
            </w:r>
          </w:p>
        </w:tc>
        <w:tc>
          <w:tcPr>
            <w:tcW w:w="7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17008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0.015</w:t>
            </w:r>
          </w:p>
        </w:tc>
        <w:tc>
          <w:tcPr>
            <w:tcW w:w="1423"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7DA101C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废气焚烧热风炉、活性炭净化器、辊涂烘干房</w:t>
            </w:r>
          </w:p>
        </w:tc>
      </w:tr>
      <w:tr w14:paraId="31D08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jc w:val="center"/>
        </w:trPr>
        <w:tc>
          <w:tcPr>
            <w:tcW w:w="449" w:type="pct"/>
            <w:vMerge w:val="continue"/>
            <w:tcBorders>
              <w:left w:val="single" w:color="000000" w:sz="12" w:space="0"/>
              <w:bottom w:val="single" w:color="000000" w:sz="4" w:space="0"/>
              <w:right w:val="single" w:color="000000" w:sz="4" w:space="0"/>
            </w:tcBorders>
            <w:shd w:val="clear" w:color="auto" w:fill="FFFFFF"/>
            <w:noWrap/>
            <w:vAlign w:val="center"/>
          </w:tcPr>
          <w:p w14:paraId="7A3403A4">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E2EED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lang w:val="en-US"/>
              </w:rPr>
            </w:pPr>
            <w:r>
              <w:rPr>
                <w:rFonts w:hint="default" w:ascii="Times New Roman" w:hAnsi="Times New Roman" w:eastAsia="宋体" w:cs="Times New Roman"/>
                <w:b w:val="0"/>
                <w:i w:val="0"/>
                <w:iCs w:val="0"/>
                <w:color w:val="auto"/>
                <w:kern w:val="0"/>
                <w:sz w:val="18"/>
                <w:szCs w:val="18"/>
                <w:highlight w:val="none"/>
                <w:u w:val="none"/>
                <w:lang w:val="en-US" w:eastAsia="zh-CN" w:bidi="ar"/>
              </w:rPr>
              <w:t>O81</w:t>
            </w:r>
            <w:r>
              <w:rPr>
                <w:rFonts w:hint="eastAsia" w:cs="Times New Roman"/>
                <w:b w:val="0"/>
                <w:i w:val="0"/>
                <w:iCs w:val="0"/>
                <w:color w:val="auto"/>
                <w:kern w:val="0"/>
                <w:sz w:val="18"/>
                <w:szCs w:val="18"/>
                <w:highlight w:val="none"/>
                <w:u w:val="none"/>
                <w:lang w:val="en-US" w:eastAsia="zh-CN" w:bidi="ar"/>
              </w:rPr>
              <w:t>1</w:t>
            </w:r>
          </w:p>
        </w:tc>
        <w:tc>
          <w:tcPr>
            <w:tcW w:w="12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F1B06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汽车修理与维护</w:t>
            </w:r>
          </w:p>
        </w:tc>
        <w:tc>
          <w:tcPr>
            <w:tcW w:w="3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0D58A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3</w:t>
            </w: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220EF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3</w:t>
            </w:r>
          </w:p>
        </w:tc>
        <w:tc>
          <w:tcPr>
            <w:tcW w:w="7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A7412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0.015</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1423"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5ADF42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喷、烤漆房</w:t>
            </w:r>
          </w:p>
        </w:tc>
      </w:tr>
      <w:tr w14:paraId="3D94D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6" w:hRule="atLeast"/>
          <w:jc w:val="center"/>
        </w:trPr>
        <w:tc>
          <w:tcPr>
            <w:tcW w:w="449"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AF64CC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其他溶剂使用行业</w:t>
            </w:r>
          </w:p>
        </w:tc>
        <w:tc>
          <w:tcPr>
            <w:tcW w:w="4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2C19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lang w:val="en-US"/>
              </w:rPr>
            </w:pPr>
            <w:r>
              <w:rPr>
                <w:rFonts w:hint="default" w:ascii="Times New Roman" w:hAnsi="Times New Roman" w:eastAsia="宋体" w:cs="Times New Roman"/>
                <w:b w:val="0"/>
                <w:i w:val="0"/>
                <w:iCs w:val="0"/>
                <w:color w:val="auto"/>
                <w:kern w:val="0"/>
                <w:sz w:val="18"/>
                <w:szCs w:val="18"/>
                <w:highlight w:val="none"/>
                <w:u w:val="none"/>
                <w:lang w:val="en-US" w:eastAsia="zh-CN" w:bidi="ar"/>
              </w:rPr>
              <w:t>C19</w:t>
            </w:r>
            <w:r>
              <w:rPr>
                <w:rFonts w:hint="eastAsia" w:cs="Times New Roman"/>
                <w:b w:val="0"/>
                <w:i w:val="0"/>
                <w:iCs w:val="0"/>
                <w:color w:val="auto"/>
                <w:kern w:val="0"/>
                <w:sz w:val="18"/>
                <w:szCs w:val="18"/>
                <w:highlight w:val="none"/>
                <w:u w:val="none"/>
                <w:lang w:val="en-US" w:eastAsia="zh-CN" w:bidi="ar"/>
              </w:rPr>
              <w:t>5</w:t>
            </w:r>
          </w:p>
        </w:tc>
        <w:tc>
          <w:tcPr>
            <w:tcW w:w="12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94189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制鞋业</w:t>
            </w:r>
          </w:p>
        </w:tc>
        <w:tc>
          <w:tcPr>
            <w:tcW w:w="3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BC0A0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D3A06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7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1D510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0.015</w:t>
            </w:r>
          </w:p>
        </w:tc>
        <w:tc>
          <w:tcPr>
            <w:tcW w:w="1423"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30BD92C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车间废气排放口、UV组烘箱</w:t>
            </w:r>
          </w:p>
        </w:tc>
      </w:tr>
      <w:tr w14:paraId="4C104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jc w:val="center"/>
        </w:trPr>
        <w:tc>
          <w:tcPr>
            <w:tcW w:w="449" w:type="pct"/>
            <w:vMerge w:val="restart"/>
            <w:tcBorders>
              <w:top w:val="single" w:color="000000" w:sz="4" w:space="0"/>
              <w:left w:val="single" w:color="000000" w:sz="12" w:space="0"/>
              <w:right w:val="single" w:color="000000" w:sz="4" w:space="0"/>
            </w:tcBorders>
            <w:shd w:val="clear" w:color="auto" w:fill="FFFFFF"/>
            <w:noWrap/>
            <w:vAlign w:val="center"/>
          </w:tcPr>
          <w:p w14:paraId="589422E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化工</w:t>
            </w:r>
          </w:p>
        </w:tc>
        <w:tc>
          <w:tcPr>
            <w:tcW w:w="4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77F2E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C26</w:t>
            </w:r>
          </w:p>
        </w:tc>
        <w:tc>
          <w:tcPr>
            <w:tcW w:w="12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480B1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涂料制造</w:t>
            </w:r>
          </w:p>
        </w:tc>
        <w:tc>
          <w:tcPr>
            <w:tcW w:w="3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55326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4</w:t>
            </w: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DA729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9</w:t>
            </w:r>
          </w:p>
        </w:tc>
        <w:tc>
          <w:tcPr>
            <w:tcW w:w="7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3196F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0.015</w:t>
            </w:r>
          </w:p>
        </w:tc>
        <w:tc>
          <w:tcPr>
            <w:tcW w:w="1423" w:type="pct"/>
            <w:tcBorders>
              <w:top w:val="single" w:color="000000" w:sz="4" w:space="0"/>
              <w:left w:val="single" w:color="000000" w:sz="4" w:space="0"/>
              <w:bottom w:val="single" w:color="000000" w:sz="4" w:space="0"/>
              <w:right w:val="single" w:color="000000" w:sz="12" w:space="0"/>
            </w:tcBorders>
            <w:shd w:val="clear" w:color="auto" w:fill="FFFFFF"/>
            <w:noWrap/>
            <w:vAlign w:val="bottom"/>
          </w:tcPr>
          <w:p w14:paraId="0F3AAC7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热熔釜、配料罐、调漆罐、热炼车间、色漆车间、分散机、高速搅拌机</w:t>
            </w:r>
          </w:p>
        </w:tc>
      </w:tr>
      <w:tr w14:paraId="14268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jc w:val="center"/>
        </w:trPr>
        <w:tc>
          <w:tcPr>
            <w:tcW w:w="449" w:type="pct"/>
            <w:vMerge w:val="continue"/>
            <w:tcBorders>
              <w:left w:val="single" w:color="000000" w:sz="12" w:space="0"/>
              <w:bottom w:val="single" w:color="000000" w:sz="4" w:space="0"/>
              <w:right w:val="single" w:color="000000" w:sz="4" w:space="0"/>
            </w:tcBorders>
            <w:shd w:val="clear" w:color="auto" w:fill="FFFFFF"/>
            <w:noWrap/>
            <w:vAlign w:val="center"/>
          </w:tcPr>
          <w:p w14:paraId="56E43805">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E24C2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C29</w:t>
            </w:r>
          </w:p>
        </w:tc>
        <w:tc>
          <w:tcPr>
            <w:tcW w:w="1229"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49BB7A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塑料人造革、合成革制造</w:t>
            </w:r>
          </w:p>
        </w:tc>
        <w:tc>
          <w:tcPr>
            <w:tcW w:w="3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2510B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35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F54DC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7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BB01B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0.004</w:t>
            </w:r>
          </w:p>
        </w:tc>
        <w:tc>
          <w:tcPr>
            <w:tcW w:w="1423" w:type="pct"/>
            <w:tcBorders>
              <w:top w:val="single" w:color="000000" w:sz="4" w:space="0"/>
              <w:left w:val="single" w:color="000000" w:sz="4" w:space="0"/>
              <w:bottom w:val="single" w:color="000000" w:sz="4" w:space="0"/>
              <w:right w:val="single" w:color="000000" w:sz="12" w:space="0"/>
            </w:tcBorders>
            <w:shd w:val="clear" w:color="auto" w:fill="FFFFFF"/>
            <w:noWrap/>
            <w:vAlign w:val="bottom"/>
          </w:tcPr>
          <w:p w14:paraId="593AFD8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密炼机</w:t>
            </w:r>
          </w:p>
        </w:tc>
      </w:tr>
      <w:tr w14:paraId="48526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jc w:val="center"/>
        </w:trPr>
        <w:tc>
          <w:tcPr>
            <w:tcW w:w="449" w:type="pct"/>
            <w:tcBorders>
              <w:top w:val="single" w:color="000000" w:sz="4" w:space="0"/>
              <w:left w:val="single" w:color="000000" w:sz="12" w:space="0"/>
              <w:bottom w:val="single" w:color="000000" w:sz="12" w:space="0"/>
              <w:right w:val="single" w:color="auto" w:sz="4" w:space="0"/>
            </w:tcBorders>
            <w:shd w:val="clear" w:color="auto" w:fill="FFFFFF"/>
            <w:noWrap/>
            <w:vAlign w:val="center"/>
          </w:tcPr>
          <w:p w14:paraId="4CB64DF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合计</w:t>
            </w:r>
          </w:p>
        </w:tc>
        <w:tc>
          <w:tcPr>
            <w:tcW w:w="1657" w:type="pct"/>
            <w:gridSpan w:val="2"/>
            <w:tcBorders>
              <w:top w:val="single" w:color="000000" w:sz="4" w:space="0"/>
              <w:left w:val="single" w:color="auto" w:sz="4" w:space="0"/>
              <w:bottom w:val="single" w:color="000000" w:sz="12" w:space="0"/>
              <w:right w:val="single" w:color="000000" w:sz="4" w:space="0"/>
            </w:tcBorders>
            <w:shd w:val="clear" w:color="auto" w:fill="FFFFFF"/>
            <w:noWrap/>
            <w:vAlign w:val="center"/>
          </w:tcPr>
          <w:p w14:paraId="39972C2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6</w:t>
            </w:r>
          </w:p>
        </w:tc>
        <w:tc>
          <w:tcPr>
            <w:tcW w:w="384"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5B6FC91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12</w:t>
            </w:r>
          </w:p>
        </w:tc>
        <w:tc>
          <w:tcPr>
            <w:tcW w:w="355"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1FBBC96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18</w:t>
            </w:r>
          </w:p>
        </w:tc>
        <w:tc>
          <w:tcPr>
            <w:tcW w:w="728"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1FF83F2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0.015</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1423" w:type="pct"/>
            <w:tcBorders>
              <w:top w:val="single" w:color="000000" w:sz="4" w:space="0"/>
              <w:left w:val="single" w:color="000000" w:sz="4" w:space="0"/>
              <w:bottom w:val="single" w:color="000000" w:sz="12" w:space="0"/>
              <w:right w:val="single" w:color="000000" w:sz="12" w:space="0"/>
            </w:tcBorders>
            <w:shd w:val="clear" w:color="auto" w:fill="FFFFFF"/>
            <w:noWrap/>
            <w:vAlign w:val="bottom"/>
          </w:tcPr>
          <w:p w14:paraId="1E75DF5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lang w:eastAsia="zh-CN"/>
              </w:rPr>
            </w:pPr>
            <w:r>
              <w:rPr>
                <w:rFonts w:hint="default" w:ascii="Times New Roman" w:hAnsi="Times New Roman" w:eastAsia="宋体" w:cs="Times New Roman"/>
                <w:b w:val="0"/>
                <w:i w:val="0"/>
                <w:iCs w:val="0"/>
                <w:color w:val="auto"/>
                <w:sz w:val="18"/>
                <w:szCs w:val="18"/>
                <w:highlight w:val="none"/>
                <w:u w:val="none"/>
                <w:lang w:eastAsia="zh-CN"/>
              </w:rPr>
              <w:t>——</w:t>
            </w:r>
          </w:p>
        </w:tc>
      </w:tr>
    </w:tbl>
    <w:p w14:paraId="210AA3DC">
      <w:pPr>
        <w:shd w:val="clear"/>
        <w:rPr>
          <w:rFonts w:hint="eastAsia"/>
          <w:color w:val="auto"/>
          <w:highlight w:val="none"/>
          <w:lang w:val="en-US" w:eastAsia="zh-CN"/>
        </w:rPr>
      </w:pPr>
    </w:p>
    <w:p w14:paraId="5D4F1CD4">
      <w:pPr>
        <w:pStyle w:val="129"/>
        <w:shd w:val="clear"/>
        <w:bidi w:val="0"/>
        <w:outlineLvl w:val="4"/>
        <w:rPr>
          <w:rFonts w:hint="default"/>
          <w:lang w:val="en-US" w:eastAsia="zh-CN"/>
        </w:rPr>
      </w:pPr>
      <w:bookmarkStart w:id="110" w:name="_Ref5872"/>
      <w:r>
        <w:t>表</w:t>
      </w:r>
      <w:r>
        <w:fldChar w:fldCharType="begin"/>
      </w:r>
      <w:r>
        <w:instrText xml:space="preserve"> SEQ 表 \* ARABIC </w:instrText>
      </w:r>
      <w:r>
        <w:fldChar w:fldCharType="separate"/>
      </w:r>
      <w:r>
        <w:t>8</w:t>
      </w:r>
      <w:r>
        <w:fldChar w:fldCharType="end"/>
      </w:r>
      <w:bookmarkEnd w:id="110"/>
      <w:r>
        <w:rPr>
          <w:rFonts w:hint="eastAsia"/>
          <w:lang w:val="en-US" w:eastAsia="zh-CN"/>
        </w:rPr>
        <w:t xml:space="preserve"> 甲苯的监督性监测数据分布情况</w:t>
      </w:r>
    </w:p>
    <w:tbl>
      <w:tblPr>
        <w:tblStyle w:val="34"/>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50"/>
        <w:gridCol w:w="787"/>
        <w:gridCol w:w="2281"/>
        <w:gridCol w:w="683"/>
        <w:gridCol w:w="683"/>
        <w:gridCol w:w="1401"/>
        <w:gridCol w:w="2557"/>
      </w:tblGrid>
      <w:tr w14:paraId="718C0E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blHeader/>
        </w:trPr>
        <w:tc>
          <w:tcPr>
            <w:tcW w:w="2119" w:type="pct"/>
            <w:gridSpan w:val="3"/>
            <w:tcBorders>
              <w:tl2br w:val="nil"/>
              <w:tr2bl w:val="nil"/>
            </w:tcBorders>
            <w:shd w:val="clear" w:color="auto" w:fill="FFFFFF"/>
            <w:noWrap/>
            <w:vAlign w:val="center"/>
          </w:tcPr>
          <w:p w14:paraId="0EA57CD2">
            <w:pPr>
              <w:keepNext/>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cs="Times New Roman"/>
                <w:b w:val="0"/>
                <w:i w:val="0"/>
                <w:iCs w:val="0"/>
                <w:color w:val="auto"/>
                <w:kern w:val="0"/>
                <w:sz w:val="18"/>
                <w:szCs w:val="18"/>
                <w:highlight w:val="none"/>
                <w:u w:val="none"/>
                <w:lang w:val="en-US" w:eastAsia="zh-CN" w:bidi="ar"/>
              </w:rPr>
              <w:t>行业基本情况</w:t>
            </w:r>
          </w:p>
        </w:tc>
        <w:tc>
          <w:tcPr>
            <w:tcW w:w="369" w:type="pct"/>
            <w:vMerge w:val="restart"/>
            <w:tcBorders>
              <w:tl2br w:val="nil"/>
              <w:tr2bl w:val="nil"/>
            </w:tcBorders>
            <w:shd w:val="clear" w:color="auto" w:fill="FFFFFF"/>
            <w:noWrap/>
            <w:vAlign w:val="center"/>
          </w:tcPr>
          <w:p w14:paraId="12266363">
            <w:pPr>
              <w:keepNext/>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企业数量</w:t>
            </w:r>
          </w:p>
        </w:tc>
        <w:tc>
          <w:tcPr>
            <w:tcW w:w="369" w:type="pct"/>
            <w:vMerge w:val="restart"/>
            <w:tcBorders>
              <w:tl2br w:val="nil"/>
              <w:tr2bl w:val="nil"/>
            </w:tcBorders>
            <w:shd w:val="clear" w:color="auto" w:fill="FFFFFF"/>
            <w:noWrap/>
            <w:vAlign w:val="center"/>
          </w:tcPr>
          <w:p w14:paraId="36BD4832">
            <w:pPr>
              <w:keepNext/>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监测数据</w:t>
            </w:r>
          </w:p>
        </w:tc>
        <w:tc>
          <w:tcPr>
            <w:tcW w:w="757" w:type="pct"/>
            <w:vMerge w:val="restart"/>
            <w:tcBorders>
              <w:tl2br w:val="nil"/>
              <w:tr2bl w:val="nil"/>
            </w:tcBorders>
            <w:shd w:val="clear" w:color="auto" w:fill="FFFFFF"/>
            <w:noWrap/>
            <w:vAlign w:val="center"/>
          </w:tcPr>
          <w:p w14:paraId="67322764">
            <w:pPr>
              <w:keepNext/>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浓度</w:t>
            </w:r>
            <w:r>
              <w:rPr>
                <w:rFonts w:hint="eastAsia" w:cs="Times New Roman"/>
                <w:b w:val="0"/>
                <w:i w:val="0"/>
                <w:iCs w:val="0"/>
                <w:color w:val="auto"/>
                <w:kern w:val="0"/>
                <w:sz w:val="18"/>
                <w:szCs w:val="18"/>
                <w:highlight w:val="none"/>
                <w:u w:val="none"/>
                <w:lang w:val="en-US" w:eastAsia="zh-CN" w:bidi="ar"/>
              </w:rPr>
              <w:t>范围</w:t>
            </w:r>
            <w:r>
              <w:rPr>
                <w:rFonts w:hint="default" w:ascii="Times New Roman" w:hAnsi="Times New Roman" w:eastAsia="宋体" w:cs="Times New Roman"/>
                <w:b w:val="0"/>
                <w:i w:val="0"/>
                <w:iCs w:val="0"/>
                <w:color w:val="auto"/>
                <w:kern w:val="0"/>
                <w:sz w:val="18"/>
                <w:szCs w:val="18"/>
                <w:highlight w:val="none"/>
                <w:u w:val="none"/>
                <w:lang w:val="en-US" w:eastAsia="zh-CN" w:bidi="ar"/>
              </w:rPr>
              <w:br w:type="textWrapping"/>
            </w:r>
            <w:r>
              <w:rPr>
                <w:rFonts w:hint="eastAsia" w:ascii="Times New Roman" w:hAnsi="Times New Roman" w:cs="Times New Roman"/>
                <w:b w:val="0"/>
                <w:i w:val="0"/>
                <w:iCs w:val="0"/>
                <w:color w:val="auto"/>
                <w:kern w:val="0"/>
                <w:sz w:val="18"/>
                <w:szCs w:val="18"/>
                <w:highlight w:val="none"/>
                <w:u w:val="none"/>
                <w:lang w:val="en-US" w:eastAsia="zh-CN" w:bidi="ar"/>
              </w:rPr>
              <w:t>（mg/m</w:t>
            </w:r>
            <w:r>
              <w:rPr>
                <w:rFonts w:hint="eastAsia" w:ascii="Times New Roman" w:hAnsi="Times New Roman" w:cs="Times New Roman"/>
                <w:b w:val="0"/>
                <w:i w:val="0"/>
                <w:iCs w:val="0"/>
                <w:color w:val="auto"/>
                <w:kern w:val="0"/>
                <w:sz w:val="18"/>
                <w:szCs w:val="18"/>
                <w:highlight w:val="none"/>
                <w:u w:val="none"/>
                <w:vertAlign w:val="superscript"/>
                <w:lang w:val="en-US" w:eastAsia="zh-CN" w:bidi="ar"/>
              </w:rPr>
              <w:t>3</w:t>
            </w:r>
            <w:r>
              <w:rPr>
                <w:rFonts w:hint="eastAsia" w:ascii="Times New Roman" w:hAnsi="Times New Roman" w:cs="Times New Roman"/>
                <w:b w:val="0"/>
                <w:i w:val="0"/>
                <w:iCs w:val="0"/>
                <w:color w:val="auto"/>
                <w:kern w:val="0"/>
                <w:sz w:val="18"/>
                <w:szCs w:val="18"/>
                <w:highlight w:val="none"/>
                <w:u w:val="none"/>
                <w:lang w:val="en-US" w:eastAsia="zh-CN" w:bidi="ar"/>
              </w:rPr>
              <w:t>）</w:t>
            </w:r>
          </w:p>
        </w:tc>
        <w:tc>
          <w:tcPr>
            <w:tcW w:w="1383" w:type="pct"/>
            <w:vMerge w:val="restart"/>
            <w:tcBorders>
              <w:tl2br w:val="nil"/>
              <w:tr2bl w:val="nil"/>
            </w:tcBorders>
            <w:shd w:val="clear" w:color="auto" w:fill="FFFFFF"/>
            <w:noWrap/>
            <w:vAlign w:val="center"/>
          </w:tcPr>
          <w:p w14:paraId="19667067">
            <w:pPr>
              <w:keepNext/>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涉及设备\工艺</w:t>
            </w:r>
          </w:p>
        </w:tc>
      </w:tr>
      <w:tr w14:paraId="5102C0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blHeader/>
        </w:trPr>
        <w:tc>
          <w:tcPr>
            <w:tcW w:w="459" w:type="pct"/>
            <w:tcBorders>
              <w:tl2br w:val="nil"/>
              <w:tr2bl w:val="nil"/>
            </w:tcBorders>
            <w:shd w:val="clear" w:color="auto" w:fill="FFFFFF"/>
            <w:noWrap/>
            <w:vAlign w:val="center"/>
          </w:tcPr>
          <w:p w14:paraId="42237E6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分类</w:t>
            </w:r>
          </w:p>
        </w:tc>
        <w:tc>
          <w:tcPr>
            <w:tcW w:w="425" w:type="pct"/>
            <w:tcBorders>
              <w:tl2br w:val="nil"/>
              <w:tr2bl w:val="nil"/>
            </w:tcBorders>
            <w:shd w:val="clear" w:color="auto" w:fill="FFFFFF"/>
            <w:noWrap/>
            <w:vAlign w:val="center"/>
          </w:tcPr>
          <w:p w14:paraId="6A9A302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编码</w:t>
            </w:r>
          </w:p>
        </w:tc>
        <w:tc>
          <w:tcPr>
            <w:tcW w:w="1234" w:type="pct"/>
            <w:tcBorders>
              <w:tl2br w:val="nil"/>
              <w:tr2bl w:val="nil"/>
            </w:tcBorders>
            <w:shd w:val="clear" w:color="auto" w:fill="FFFFFF"/>
            <w:noWrap/>
            <w:vAlign w:val="center"/>
          </w:tcPr>
          <w:p w14:paraId="21A6DD8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名称</w:t>
            </w:r>
          </w:p>
        </w:tc>
        <w:tc>
          <w:tcPr>
            <w:tcW w:w="369" w:type="pct"/>
            <w:vMerge w:val="continue"/>
            <w:tcBorders>
              <w:tl2br w:val="nil"/>
              <w:tr2bl w:val="nil"/>
            </w:tcBorders>
            <w:shd w:val="clear" w:color="auto" w:fill="FFFFFF"/>
            <w:noWrap/>
            <w:vAlign w:val="center"/>
          </w:tcPr>
          <w:p w14:paraId="7B28C29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369" w:type="pct"/>
            <w:vMerge w:val="continue"/>
            <w:tcBorders>
              <w:tl2br w:val="nil"/>
              <w:tr2bl w:val="nil"/>
            </w:tcBorders>
            <w:shd w:val="clear" w:color="auto" w:fill="FFFFFF"/>
            <w:noWrap/>
            <w:vAlign w:val="center"/>
          </w:tcPr>
          <w:p w14:paraId="6CFA425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757" w:type="pct"/>
            <w:vMerge w:val="continue"/>
            <w:tcBorders>
              <w:tl2br w:val="nil"/>
              <w:tr2bl w:val="nil"/>
            </w:tcBorders>
            <w:shd w:val="clear" w:color="auto" w:fill="FFFFFF"/>
            <w:noWrap/>
            <w:vAlign w:val="center"/>
          </w:tcPr>
          <w:p w14:paraId="206D14F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1383" w:type="pct"/>
            <w:vMerge w:val="continue"/>
            <w:tcBorders>
              <w:tl2br w:val="nil"/>
              <w:tr2bl w:val="nil"/>
            </w:tcBorders>
            <w:shd w:val="clear" w:color="auto" w:fill="FFFFFF"/>
            <w:noWrap/>
            <w:vAlign w:val="center"/>
          </w:tcPr>
          <w:p w14:paraId="12AEBA3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r>
      <w:tr w14:paraId="67F01C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459" w:type="pct"/>
            <w:vMerge w:val="restart"/>
            <w:tcBorders>
              <w:tl2br w:val="nil"/>
              <w:tr2bl w:val="nil"/>
            </w:tcBorders>
            <w:shd w:val="clear" w:color="auto" w:fill="FFFFFF"/>
            <w:noWrap/>
            <w:vAlign w:val="center"/>
          </w:tcPr>
          <w:p w14:paraId="0764A1B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工业涂装</w:t>
            </w:r>
          </w:p>
        </w:tc>
        <w:tc>
          <w:tcPr>
            <w:tcW w:w="425" w:type="pct"/>
            <w:tcBorders>
              <w:tl2br w:val="nil"/>
              <w:tr2bl w:val="nil"/>
            </w:tcBorders>
            <w:shd w:val="clear" w:color="auto" w:fill="FFFFFF"/>
            <w:noWrap/>
            <w:vAlign w:val="center"/>
          </w:tcPr>
          <w:p w14:paraId="6EDD3BD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C34</w:t>
            </w:r>
          </w:p>
        </w:tc>
        <w:tc>
          <w:tcPr>
            <w:tcW w:w="1234" w:type="pct"/>
            <w:tcBorders>
              <w:tl2br w:val="nil"/>
              <w:tr2bl w:val="nil"/>
            </w:tcBorders>
            <w:shd w:val="clear" w:color="auto" w:fill="FFFFFF"/>
            <w:noWrap/>
            <w:vAlign w:val="center"/>
          </w:tcPr>
          <w:p w14:paraId="60E5ACB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生产专用车辆制造、生产专用起重机制造</w:t>
            </w:r>
          </w:p>
        </w:tc>
        <w:tc>
          <w:tcPr>
            <w:tcW w:w="369" w:type="pct"/>
            <w:tcBorders>
              <w:tl2br w:val="nil"/>
              <w:tr2bl w:val="nil"/>
            </w:tcBorders>
            <w:shd w:val="clear" w:color="auto" w:fill="FFFFFF"/>
            <w:noWrap/>
            <w:vAlign w:val="center"/>
          </w:tcPr>
          <w:p w14:paraId="0255841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369" w:type="pct"/>
            <w:tcBorders>
              <w:tl2br w:val="nil"/>
              <w:tr2bl w:val="nil"/>
            </w:tcBorders>
            <w:shd w:val="clear" w:color="auto" w:fill="FFFFFF"/>
            <w:noWrap/>
            <w:vAlign w:val="center"/>
          </w:tcPr>
          <w:p w14:paraId="7ADFEF4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4</w:t>
            </w:r>
          </w:p>
        </w:tc>
        <w:tc>
          <w:tcPr>
            <w:tcW w:w="757" w:type="pct"/>
            <w:tcBorders>
              <w:tl2br w:val="nil"/>
              <w:tr2bl w:val="nil"/>
            </w:tcBorders>
            <w:shd w:val="clear" w:color="auto" w:fill="FFFFFF"/>
            <w:noWrap/>
            <w:vAlign w:val="center"/>
          </w:tcPr>
          <w:p w14:paraId="6AAB927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0.015</w:t>
            </w:r>
          </w:p>
        </w:tc>
        <w:tc>
          <w:tcPr>
            <w:tcW w:w="1383" w:type="pct"/>
            <w:tcBorders>
              <w:tl2br w:val="nil"/>
              <w:tr2bl w:val="nil"/>
            </w:tcBorders>
            <w:shd w:val="clear" w:color="auto" w:fill="FFFFFF"/>
            <w:noWrap/>
            <w:vAlign w:val="center"/>
          </w:tcPr>
          <w:p w14:paraId="70EBFA0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整车涂装、底漆、面漆喷涂</w:t>
            </w:r>
          </w:p>
        </w:tc>
      </w:tr>
      <w:tr w14:paraId="2686FB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459" w:type="pct"/>
            <w:vMerge w:val="continue"/>
            <w:tcBorders>
              <w:tl2br w:val="nil"/>
              <w:tr2bl w:val="nil"/>
            </w:tcBorders>
            <w:shd w:val="clear" w:color="auto" w:fill="FFFFFF"/>
            <w:noWrap/>
            <w:vAlign w:val="center"/>
          </w:tcPr>
          <w:p w14:paraId="72A9A85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b w:val="0"/>
                <w:i w:val="0"/>
                <w:iCs w:val="0"/>
                <w:color w:val="auto"/>
                <w:sz w:val="18"/>
                <w:szCs w:val="18"/>
                <w:highlight w:val="none"/>
                <w:u w:val="none"/>
              </w:rPr>
            </w:pPr>
          </w:p>
        </w:tc>
        <w:tc>
          <w:tcPr>
            <w:tcW w:w="425" w:type="pct"/>
            <w:tcBorders>
              <w:tl2br w:val="nil"/>
              <w:tr2bl w:val="nil"/>
            </w:tcBorders>
            <w:shd w:val="clear" w:color="auto" w:fill="FFFFFF"/>
            <w:noWrap/>
            <w:vAlign w:val="center"/>
          </w:tcPr>
          <w:p w14:paraId="2A29FF6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C35</w:t>
            </w:r>
          </w:p>
        </w:tc>
        <w:tc>
          <w:tcPr>
            <w:tcW w:w="1234" w:type="pct"/>
            <w:tcBorders>
              <w:tl2br w:val="nil"/>
              <w:tr2bl w:val="nil"/>
            </w:tcBorders>
            <w:shd w:val="clear" w:color="auto" w:fill="FFFFFF"/>
            <w:noWrap/>
            <w:vAlign w:val="center"/>
          </w:tcPr>
          <w:p w14:paraId="6A03D17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食品、酒、饮料及茶生产专用设备制造</w:t>
            </w:r>
          </w:p>
        </w:tc>
        <w:tc>
          <w:tcPr>
            <w:tcW w:w="369" w:type="pct"/>
            <w:tcBorders>
              <w:tl2br w:val="nil"/>
              <w:tr2bl w:val="nil"/>
            </w:tcBorders>
            <w:shd w:val="clear" w:color="auto" w:fill="FFFFFF"/>
            <w:noWrap/>
            <w:vAlign w:val="center"/>
          </w:tcPr>
          <w:p w14:paraId="775DF82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369" w:type="pct"/>
            <w:tcBorders>
              <w:tl2br w:val="nil"/>
              <w:tr2bl w:val="nil"/>
            </w:tcBorders>
            <w:shd w:val="clear" w:color="auto" w:fill="FFFFFF"/>
            <w:noWrap/>
            <w:vAlign w:val="center"/>
          </w:tcPr>
          <w:p w14:paraId="15572AF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757" w:type="pct"/>
            <w:tcBorders>
              <w:tl2br w:val="nil"/>
              <w:tr2bl w:val="nil"/>
            </w:tcBorders>
            <w:shd w:val="clear" w:color="auto" w:fill="FFFFFF"/>
            <w:noWrap/>
            <w:vAlign w:val="center"/>
          </w:tcPr>
          <w:p w14:paraId="6910316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val="0"/>
                <w:i w:val="0"/>
                <w:iCs w:val="0"/>
                <w:color w:val="auto"/>
                <w:sz w:val="18"/>
                <w:szCs w:val="18"/>
                <w:highlight w:val="none"/>
                <w:u w:val="none"/>
                <w:lang w:val="en-US"/>
              </w:rPr>
            </w:pPr>
            <w:r>
              <w:rPr>
                <w:rFonts w:hint="default" w:ascii="Times New Roman" w:hAnsi="Times New Roman" w:eastAsia="宋体" w:cs="Times New Roman"/>
                <w:b w:val="0"/>
                <w:i w:val="0"/>
                <w:iCs w:val="0"/>
                <w:color w:val="auto"/>
                <w:kern w:val="0"/>
                <w:sz w:val="18"/>
                <w:szCs w:val="18"/>
                <w:highlight w:val="none"/>
                <w:u w:val="none"/>
                <w:lang w:val="en-US" w:eastAsia="zh-CN" w:bidi="ar"/>
              </w:rPr>
              <w:t>0.5</w:t>
            </w:r>
            <w:r>
              <w:rPr>
                <w:rFonts w:hint="eastAsia" w:ascii="Times New Roman" w:hAnsi="Times New Roman" w:eastAsia="宋体" w:cs="Times New Roman"/>
                <w:b w:val="0"/>
                <w:i w:val="0"/>
                <w:iCs w:val="0"/>
                <w:color w:val="auto"/>
                <w:kern w:val="0"/>
                <w:sz w:val="18"/>
                <w:szCs w:val="18"/>
                <w:highlight w:val="none"/>
                <w:u w:val="none"/>
                <w:lang w:val="en-US" w:eastAsia="zh-CN" w:bidi="ar"/>
              </w:rPr>
              <w:t>8</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0.6</w:t>
            </w:r>
            <w:r>
              <w:rPr>
                <w:rFonts w:hint="eastAsia" w:ascii="Times New Roman" w:hAnsi="Times New Roman" w:eastAsia="宋体" w:cs="Times New Roman"/>
                <w:b w:val="0"/>
                <w:i w:val="0"/>
                <w:iCs w:val="0"/>
                <w:color w:val="auto"/>
                <w:kern w:val="0"/>
                <w:sz w:val="18"/>
                <w:szCs w:val="18"/>
                <w:highlight w:val="none"/>
                <w:u w:val="none"/>
                <w:lang w:val="en-US" w:eastAsia="zh-CN" w:bidi="ar"/>
              </w:rPr>
              <w:t>6</w:t>
            </w:r>
          </w:p>
        </w:tc>
        <w:tc>
          <w:tcPr>
            <w:tcW w:w="1383" w:type="pct"/>
            <w:tcBorders>
              <w:tl2br w:val="nil"/>
              <w:tr2bl w:val="nil"/>
            </w:tcBorders>
            <w:shd w:val="clear" w:color="auto" w:fill="FFFFFF"/>
            <w:noWrap/>
            <w:vAlign w:val="bottom"/>
          </w:tcPr>
          <w:p w14:paraId="6164E90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喷漆房、晾干</w:t>
            </w:r>
          </w:p>
        </w:tc>
      </w:tr>
      <w:tr w14:paraId="431D48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459" w:type="pct"/>
            <w:vMerge w:val="continue"/>
            <w:tcBorders>
              <w:tl2br w:val="nil"/>
              <w:tr2bl w:val="nil"/>
            </w:tcBorders>
            <w:shd w:val="clear" w:color="auto" w:fill="FFFFFF"/>
            <w:noWrap/>
            <w:vAlign w:val="center"/>
          </w:tcPr>
          <w:p w14:paraId="18A432F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b w:val="0"/>
                <w:i w:val="0"/>
                <w:iCs w:val="0"/>
                <w:color w:val="auto"/>
                <w:sz w:val="18"/>
                <w:szCs w:val="18"/>
                <w:highlight w:val="none"/>
                <w:u w:val="none"/>
              </w:rPr>
            </w:pPr>
          </w:p>
        </w:tc>
        <w:tc>
          <w:tcPr>
            <w:tcW w:w="425" w:type="pct"/>
            <w:tcBorders>
              <w:tl2br w:val="nil"/>
              <w:tr2bl w:val="nil"/>
            </w:tcBorders>
            <w:shd w:val="clear" w:color="auto" w:fill="FFFFFF"/>
            <w:noWrap/>
            <w:vAlign w:val="center"/>
          </w:tcPr>
          <w:p w14:paraId="00280BA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C36</w:t>
            </w:r>
          </w:p>
        </w:tc>
        <w:tc>
          <w:tcPr>
            <w:tcW w:w="1234" w:type="pct"/>
            <w:tcBorders>
              <w:tl2br w:val="nil"/>
              <w:tr2bl w:val="nil"/>
            </w:tcBorders>
            <w:shd w:val="clear" w:color="auto" w:fill="FFFFFF"/>
            <w:noWrap/>
            <w:vAlign w:val="center"/>
          </w:tcPr>
          <w:p w14:paraId="01C7FAA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汽车整车制造、汽车零部件及配件制造</w:t>
            </w:r>
          </w:p>
        </w:tc>
        <w:tc>
          <w:tcPr>
            <w:tcW w:w="369" w:type="pct"/>
            <w:tcBorders>
              <w:tl2br w:val="nil"/>
              <w:tr2bl w:val="nil"/>
            </w:tcBorders>
            <w:shd w:val="clear" w:color="auto" w:fill="FFFFFF"/>
            <w:noWrap/>
            <w:vAlign w:val="center"/>
          </w:tcPr>
          <w:p w14:paraId="7A888E7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369" w:type="pct"/>
            <w:tcBorders>
              <w:tl2br w:val="nil"/>
              <w:tr2bl w:val="nil"/>
            </w:tcBorders>
            <w:shd w:val="clear" w:color="auto" w:fill="FFFFFF"/>
            <w:noWrap/>
            <w:vAlign w:val="center"/>
          </w:tcPr>
          <w:p w14:paraId="13895E1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5</w:t>
            </w:r>
          </w:p>
        </w:tc>
        <w:tc>
          <w:tcPr>
            <w:tcW w:w="757" w:type="pct"/>
            <w:tcBorders>
              <w:tl2br w:val="nil"/>
              <w:tr2bl w:val="nil"/>
            </w:tcBorders>
            <w:shd w:val="clear" w:color="auto" w:fill="FFFFFF"/>
            <w:noWrap/>
            <w:vAlign w:val="center"/>
          </w:tcPr>
          <w:p w14:paraId="2A2E9C0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0.01</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1.7</w:t>
            </w:r>
          </w:p>
        </w:tc>
        <w:tc>
          <w:tcPr>
            <w:tcW w:w="1383" w:type="pct"/>
            <w:tcBorders>
              <w:tl2br w:val="nil"/>
              <w:tr2bl w:val="nil"/>
            </w:tcBorders>
            <w:shd w:val="clear" w:color="auto" w:fill="FFFFFF"/>
            <w:noWrap/>
            <w:vAlign w:val="bottom"/>
          </w:tcPr>
          <w:p w14:paraId="2C95701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电机工厂浸漆、保险杠喷漆、车桥厂、乘用车整车喷涂及烘干</w:t>
            </w:r>
          </w:p>
        </w:tc>
      </w:tr>
      <w:tr w14:paraId="04E6E2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459" w:type="pct"/>
            <w:vMerge w:val="continue"/>
            <w:tcBorders>
              <w:tl2br w:val="nil"/>
              <w:tr2bl w:val="nil"/>
            </w:tcBorders>
            <w:shd w:val="clear" w:color="auto" w:fill="FFFFFF"/>
            <w:noWrap/>
            <w:vAlign w:val="center"/>
          </w:tcPr>
          <w:p w14:paraId="79FF816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rPr>
                <w:rFonts w:hint="default" w:ascii="Times New Roman" w:hAnsi="Times New Roman" w:eastAsia="宋体" w:cs="Times New Roman"/>
                <w:b w:val="0"/>
                <w:i w:val="0"/>
                <w:iCs w:val="0"/>
                <w:color w:val="auto"/>
                <w:sz w:val="18"/>
                <w:szCs w:val="18"/>
                <w:highlight w:val="none"/>
                <w:u w:val="none"/>
              </w:rPr>
            </w:pPr>
          </w:p>
        </w:tc>
        <w:tc>
          <w:tcPr>
            <w:tcW w:w="425" w:type="pct"/>
            <w:tcBorders>
              <w:tl2br w:val="nil"/>
              <w:tr2bl w:val="nil"/>
            </w:tcBorders>
            <w:shd w:val="clear" w:color="auto" w:fill="FFFFFF"/>
            <w:noWrap/>
            <w:vAlign w:val="center"/>
          </w:tcPr>
          <w:p w14:paraId="11B4D24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C38</w:t>
            </w:r>
          </w:p>
        </w:tc>
        <w:tc>
          <w:tcPr>
            <w:tcW w:w="1234" w:type="pct"/>
            <w:tcBorders>
              <w:tl2br w:val="nil"/>
              <w:tr2bl w:val="nil"/>
            </w:tcBorders>
            <w:shd w:val="clear" w:color="auto" w:fill="FFFFFF"/>
            <w:noWrap/>
            <w:vAlign w:val="center"/>
          </w:tcPr>
          <w:p w14:paraId="550BE34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绝缘制品制造、发电机及发电机组</w:t>
            </w:r>
          </w:p>
        </w:tc>
        <w:tc>
          <w:tcPr>
            <w:tcW w:w="369" w:type="pct"/>
            <w:tcBorders>
              <w:tl2br w:val="nil"/>
              <w:tr2bl w:val="nil"/>
            </w:tcBorders>
            <w:shd w:val="clear" w:color="auto" w:fill="FFFFFF"/>
            <w:noWrap/>
            <w:vAlign w:val="center"/>
          </w:tcPr>
          <w:p w14:paraId="566140B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369" w:type="pct"/>
            <w:tcBorders>
              <w:tl2br w:val="nil"/>
              <w:tr2bl w:val="nil"/>
            </w:tcBorders>
            <w:shd w:val="clear" w:color="auto" w:fill="FFFFFF"/>
            <w:noWrap/>
            <w:vAlign w:val="center"/>
          </w:tcPr>
          <w:p w14:paraId="1E33C1C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3</w:t>
            </w:r>
          </w:p>
        </w:tc>
        <w:tc>
          <w:tcPr>
            <w:tcW w:w="757" w:type="pct"/>
            <w:tcBorders>
              <w:tl2br w:val="nil"/>
              <w:tr2bl w:val="nil"/>
            </w:tcBorders>
            <w:shd w:val="clear" w:color="auto" w:fill="FFFFFF"/>
            <w:noWrap/>
            <w:vAlign w:val="center"/>
          </w:tcPr>
          <w:p w14:paraId="70F7234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0.015</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0.11</w:t>
            </w:r>
          </w:p>
        </w:tc>
        <w:tc>
          <w:tcPr>
            <w:tcW w:w="1383" w:type="pct"/>
            <w:tcBorders>
              <w:tl2br w:val="nil"/>
              <w:tr2bl w:val="nil"/>
            </w:tcBorders>
            <w:shd w:val="clear" w:color="auto" w:fill="FFFFFF"/>
            <w:noWrap/>
            <w:vAlign w:val="bottom"/>
          </w:tcPr>
          <w:p w14:paraId="7868098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废气焚烧热风炉、活性炭净化器、辊涂烘干房</w:t>
            </w:r>
          </w:p>
        </w:tc>
      </w:tr>
      <w:tr w14:paraId="161840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459" w:type="pct"/>
            <w:tcBorders>
              <w:tl2br w:val="nil"/>
              <w:tr2bl w:val="nil"/>
            </w:tcBorders>
            <w:shd w:val="clear" w:color="auto" w:fill="FFFFFF"/>
            <w:noWrap/>
            <w:vAlign w:val="center"/>
          </w:tcPr>
          <w:p w14:paraId="6049C8F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其他溶剂使用行业</w:t>
            </w:r>
          </w:p>
        </w:tc>
        <w:tc>
          <w:tcPr>
            <w:tcW w:w="425" w:type="pct"/>
            <w:tcBorders>
              <w:tl2br w:val="nil"/>
              <w:tr2bl w:val="nil"/>
            </w:tcBorders>
            <w:shd w:val="clear" w:color="auto" w:fill="FFFFFF"/>
            <w:noWrap/>
            <w:vAlign w:val="center"/>
          </w:tcPr>
          <w:p w14:paraId="721E8F1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rPr>
            </w:pPr>
            <w:r>
              <w:rPr>
                <w:rFonts w:hint="default" w:ascii="Times New Roman" w:hAnsi="Times New Roman" w:eastAsia="宋体" w:cs="Times New Roman"/>
                <w:b w:val="0"/>
                <w:i w:val="0"/>
                <w:iCs w:val="0"/>
                <w:color w:val="auto"/>
                <w:kern w:val="0"/>
                <w:sz w:val="18"/>
                <w:szCs w:val="18"/>
                <w:highlight w:val="none"/>
                <w:u w:val="none"/>
                <w:lang w:val="en-US" w:eastAsia="zh-CN" w:bidi="ar"/>
              </w:rPr>
              <w:t>C19</w:t>
            </w:r>
            <w:r>
              <w:rPr>
                <w:rFonts w:hint="eastAsia" w:cs="Times New Roman"/>
                <w:b w:val="0"/>
                <w:i w:val="0"/>
                <w:iCs w:val="0"/>
                <w:color w:val="auto"/>
                <w:kern w:val="0"/>
                <w:sz w:val="18"/>
                <w:szCs w:val="18"/>
                <w:highlight w:val="none"/>
                <w:u w:val="none"/>
                <w:lang w:val="en-US" w:eastAsia="zh-CN" w:bidi="ar"/>
              </w:rPr>
              <w:t>5</w:t>
            </w:r>
          </w:p>
        </w:tc>
        <w:tc>
          <w:tcPr>
            <w:tcW w:w="1234" w:type="pct"/>
            <w:tcBorders>
              <w:tl2br w:val="nil"/>
              <w:tr2bl w:val="nil"/>
            </w:tcBorders>
            <w:shd w:val="clear" w:color="auto" w:fill="FFFFFF"/>
            <w:noWrap/>
            <w:vAlign w:val="center"/>
          </w:tcPr>
          <w:p w14:paraId="4EAD746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制鞋业</w:t>
            </w:r>
          </w:p>
        </w:tc>
        <w:tc>
          <w:tcPr>
            <w:tcW w:w="369" w:type="pct"/>
            <w:tcBorders>
              <w:tl2br w:val="nil"/>
              <w:tr2bl w:val="nil"/>
            </w:tcBorders>
            <w:shd w:val="clear" w:color="auto" w:fill="FFFFFF"/>
            <w:noWrap/>
            <w:vAlign w:val="center"/>
          </w:tcPr>
          <w:p w14:paraId="69CCF0F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369" w:type="pct"/>
            <w:tcBorders>
              <w:tl2br w:val="nil"/>
              <w:tr2bl w:val="nil"/>
            </w:tcBorders>
            <w:shd w:val="clear" w:color="auto" w:fill="FFFFFF"/>
            <w:noWrap/>
            <w:vAlign w:val="center"/>
          </w:tcPr>
          <w:p w14:paraId="792E838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757" w:type="pct"/>
            <w:tcBorders>
              <w:tl2br w:val="nil"/>
              <w:tr2bl w:val="nil"/>
            </w:tcBorders>
            <w:shd w:val="clear" w:color="auto" w:fill="FFFFFF"/>
            <w:noWrap/>
            <w:vAlign w:val="center"/>
          </w:tcPr>
          <w:p w14:paraId="7D073A4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0.015</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0.9</w:t>
            </w:r>
          </w:p>
        </w:tc>
        <w:tc>
          <w:tcPr>
            <w:tcW w:w="1383" w:type="pct"/>
            <w:tcBorders>
              <w:tl2br w:val="nil"/>
              <w:tr2bl w:val="nil"/>
            </w:tcBorders>
            <w:shd w:val="clear" w:color="auto" w:fill="FFFFFF"/>
            <w:noWrap/>
            <w:vAlign w:val="center"/>
          </w:tcPr>
          <w:p w14:paraId="09A2B8B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车间废气排放口、UV组烘箱</w:t>
            </w:r>
          </w:p>
        </w:tc>
      </w:tr>
      <w:tr w14:paraId="751743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459" w:type="pct"/>
            <w:vMerge w:val="restart"/>
            <w:tcBorders>
              <w:tl2br w:val="nil"/>
              <w:tr2bl w:val="nil"/>
            </w:tcBorders>
            <w:shd w:val="clear" w:color="auto" w:fill="FFFFFF"/>
            <w:noWrap/>
            <w:vAlign w:val="center"/>
          </w:tcPr>
          <w:p w14:paraId="2E18957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化工</w:t>
            </w:r>
          </w:p>
        </w:tc>
        <w:tc>
          <w:tcPr>
            <w:tcW w:w="425" w:type="pct"/>
            <w:tcBorders>
              <w:tl2br w:val="nil"/>
              <w:tr2bl w:val="nil"/>
            </w:tcBorders>
            <w:shd w:val="clear" w:color="auto" w:fill="FFFFFF"/>
            <w:noWrap/>
            <w:vAlign w:val="center"/>
          </w:tcPr>
          <w:p w14:paraId="788C906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C26</w:t>
            </w:r>
          </w:p>
        </w:tc>
        <w:tc>
          <w:tcPr>
            <w:tcW w:w="1234" w:type="pct"/>
            <w:tcBorders>
              <w:tl2br w:val="nil"/>
              <w:tr2bl w:val="nil"/>
            </w:tcBorders>
            <w:shd w:val="clear" w:color="auto" w:fill="FFFFFF"/>
            <w:noWrap/>
            <w:vAlign w:val="center"/>
          </w:tcPr>
          <w:p w14:paraId="653EDDC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涂料制造、初级形态塑料及合成树脂制造</w:t>
            </w:r>
          </w:p>
        </w:tc>
        <w:tc>
          <w:tcPr>
            <w:tcW w:w="369" w:type="pct"/>
            <w:tcBorders>
              <w:tl2br w:val="nil"/>
              <w:tr2bl w:val="nil"/>
            </w:tcBorders>
            <w:shd w:val="clear" w:color="auto" w:fill="FFFFFF"/>
            <w:noWrap/>
            <w:vAlign w:val="center"/>
          </w:tcPr>
          <w:p w14:paraId="0A05B60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3</w:t>
            </w:r>
          </w:p>
        </w:tc>
        <w:tc>
          <w:tcPr>
            <w:tcW w:w="369" w:type="pct"/>
            <w:tcBorders>
              <w:tl2br w:val="nil"/>
              <w:tr2bl w:val="nil"/>
            </w:tcBorders>
            <w:shd w:val="clear" w:color="auto" w:fill="FFFFFF"/>
            <w:noWrap/>
            <w:vAlign w:val="center"/>
          </w:tcPr>
          <w:p w14:paraId="5E2B7FF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4</w:t>
            </w:r>
          </w:p>
        </w:tc>
        <w:tc>
          <w:tcPr>
            <w:tcW w:w="757" w:type="pct"/>
            <w:tcBorders>
              <w:tl2br w:val="nil"/>
              <w:tr2bl w:val="nil"/>
            </w:tcBorders>
            <w:shd w:val="clear" w:color="auto" w:fill="FFFFFF"/>
            <w:noWrap/>
            <w:vAlign w:val="center"/>
          </w:tcPr>
          <w:p w14:paraId="04F7409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0.015</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1.44</w:t>
            </w:r>
          </w:p>
        </w:tc>
        <w:tc>
          <w:tcPr>
            <w:tcW w:w="1383" w:type="pct"/>
            <w:tcBorders>
              <w:tl2br w:val="nil"/>
              <w:tr2bl w:val="nil"/>
            </w:tcBorders>
            <w:shd w:val="clear" w:color="auto" w:fill="FFFFFF"/>
            <w:noWrap/>
            <w:vAlign w:val="bottom"/>
          </w:tcPr>
          <w:p w14:paraId="6851D06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色漆车间、真空泵</w:t>
            </w:r>
          </w:p>
        </w:tc>
      </w:tr>
      <w:tr w14:paraId="0042A3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59" w:type="pct"/>
            <w:vMerge w:val="continue"/>
            <w:tcBorders>
              <w:tl2br w:val="nil"/>
              <w:tr2bl w:val="nil"/>
            </w:tcBorders>
            <w:shd w:val="clear" w:color="auto" w:fill="FFFFFF"/>
            <w:noWrap/>
            <w:vAlign w:val="center"/>
          </w:tcPr>
          <w:p w14:paraId="70F14E44">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25" w:type="pct"/>
            <w:tcBorders>
              <w:tl2br w:val="nil"/>
              <w:tr2bl w:val="nil"/>
            </w:tcBorders>
            <w:shd w:val="clear" w:color="auto" w:fill="FFFFFF"/>
            <w:noWrap/>
            <w:vAlign w:val="center"/>
          </w:tcPr>
          <w:p w14:paraId="08082A7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C27</w:t>
            </w:r>
          </w:p>
        </w:tc>
        <w:tc>
          <w:tcPr>
            <w:tcW w:w="1234" w:type="pct"/>
            <w:tcBorders>
              <w:tl2br w:val="nil"/>
              <w:tr2bl w:val="nil"/>
            </w:tcBorders>
            <w:shd w:val="clear" w:color="auto" w:fill="FFFFFF"/>
            <w:noWrap/>
            <w:vAlign w:val="center"/>
          </w:tcPr>
          <w:p w14:paraId="3B23A5A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化学药品原料药制造</w:t>
            </w:r>
          </w:p>
        </w:tc>
        <w:tc>
          <w:tcPr>
            <w:tcW w:w="369" w:type="pct"/>
            <w:tcBorders>
              <w:tl2br w:val="nil"/>
              <w:tr2bl w:val="nil"/>
            </w:tcBorders>
            <w:shd w:val="clear" w:color="auto" w:fill="FFFFFF"/>
            <w:noWrap/>
            <w:vAlign w:val="center"/>
          </w:tcPr>
          <w:p w14:paraId="07B245E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369" w:type="pct"/>
            <w:tcBorders>
              <w:tl2br w:val="nil"/>
              <w:tr2bl w:val="nil"/>
            </w:tcBorders>
            <w:shd w:val="clear" w:color="auto" w:fill="FFFFFF"/>
            <w:noWrap/>
            <w:vAlign w:val="center"/>
          </w:tcPr>
          <w:p w14:paraId="1468367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757" w:type="pct"/>
            <w:tcBorders>
              <w:tl2br w:val="nil"/>
              <w:tr2bl w:val="nil"/>
            </w:tcBorders>
            <w:shd w:val="clear" w:color="auto" w:fill="FFFFFF"/>
            <w:noWrap/>
            <w:vAlign w:val="center"/>
          </w:tcPr>
          <w:p w14:paraId="49D1CE1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0.01</w:t>
            </w:r>
          </w:p>
        </w:tc>
        <w:tc>
          <w:tcPr>
            <w:tcW w:w="1383" w:type="pct"/>
            <w:tcBorders>
              <w:tl2br w:val="nil"/>
              <w:tr2bl w:val="nil"/>
            </w:tcBorders>
            <w:shd w:val="clear" w:color="auto" w:fill="FFFFFF"/>
            <w:noWrap/>
            <w:vAlign w:val="center"/>
          </w:tcPr>
          <w:p w14:paraId="1B95E9C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排气塔</w:t>
            </w:r>
          </w:p>
        </w:tc>
      </w:tr>
      <w:tr w14:paraId="4A285D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459" w:type="pct"/>
            <w:vMerge w:val="continue"/>
            <w:tcBorders>
              <w:tl2br w:val="nil"/>
              <w:tr2bl w:val="nil"/>
            </w:tcBorders>
            <w:shd w:val="clear" w:color="auto" w:fill="FFFFFF"/>
            <w:noWrap/>
            <w:vAlign w:val="center"/>
          </w:tcPr>
          <w:p w14:paraId="05534C68">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25" w:type="pct"/>
            <w:tcBorders>
              <w:tl2br w:val="nil"/>
              <w:tr2bl w:val="nil"/>
            </w:tcBorders>
            <w:shd w:val="clear" w:color="auto" w:fill="FFFFFF"/>
            <w:noWrap/>
            <w:vAlign w:val="center"/>
          </w:tcPr>
          <w:p w14:paraId="46C4B88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C29</w:t>
            </w:r>
          </w:p>
        </w:tc>
        <w:tc>
          <w:tcPr>
            <w:tcW w:w="1234" w:type="pct"/>
            <w:tcBorders>
              <w:tl2br w:val="nil"/>
              <w:tr2bl w:val="nil"/>
            </w:tcBorders>
            <w:shd w:val="clear" w:color="auto" w:fill="FFFFFF"/>
            <w:noWrap/>
            <w:vAlign w:val="center"/>
          </w:tcPr>
          <w:p w14:paraId="0B9F4AB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轮胎制造、塑料人造革、合成革制造</w:t>
            </w:r>
          </w:p>
        </w:tc>
        <w:tc>
          <w:tcPr>
            <w:tcW w:w="369" w:type="pct"/>
            <w:tcBorders>
              <w:tl2br w:val="nil"/>
              <w:tr2bl w:val="nil"/>
            </w:tcBorders>
            <w:shd w:val="clear" w:color="auto" w:fill="FFFFFF"/>
            <w:noWrap/>
            <w:vAlign w:val="center"/>
          </w:tcPr>
          <w:p w14:paraId="4087DEA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369" w:type="pct"/>
            <w:tcBorders>
              <w:tl2br w:val="nil"/>
              <w:tr2bl w:val="nil"/>
            </w:tcBorders>
            <w:shd w:val="clear" w:color="auto" w:fill="FFFFFF"/>
            <w:noWrap/>
            <w:vAlign w:val="center"/>
          </w:tcPr>
          <w:p w14:paraId="211D119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757" w:type="pct"/>
            <w:tcBorders>
              <w:tl2br w:val="nil"/>
              <w:tr2bl w:val="nil"/>
            </w:tcBorders>
            <w:shd w:val="clear" w:color="auto" w:fill="FFFFFF"/>
            <w:noWrap/>
            <w:vAlign w:val="center"/>
          </w:tcPr>
          <w:p w14:paraId="66CA353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rPr>
            </w:pPr>
            <w:r>
              <w:rPr>
                <w:rFonts w:hint="default" w:ascii="Times New Roman" w:hAnsi="Times New Roman" w:eastAsia="宋体" w:cs="Times New Roman"/>
                <w:b w:val="0"/>
                <w:i w:val="0"/>
                <w:iCs w:val="0"/>
                <w:color w:val="auto"/>
                <w:kern w:val="0"/>
                <w:sz w:val="18"/>
                <w:szCs w:val="18"/>
                <w:highlight w:val="none"/>
                <w:u w:val="none"/>
                <w:lang w:val="en-US" w:eastAsia="zh-CN" w:bidi="ar"/>
              </w:rPr>
              <w:t>0.0</w:t>
            </w:r>
            <w:r>
              <w:rPr>
                <w:rFonts w:hint="eastAsia" w:cs="Times New Roman"/>
                <w:b w:val="0"/>
                <w:i w:val="0"/>
                <w:iCs w:val="0"/>
                <w:color w:val="auto"/>
                <w:kern w:val="0"/>
                <w:sz w:val="18"/>
                <w:szCs w:val="18"/>
                <w:highlight w:val="none"/>
                <w:u w:val="none"/>
                <w:lang w:val="en-US" w:eastAsia="zh-CN" w:bidi="ar"/>
              </w:rPr>
              <w:t>9</w:t>
            </w:r>
          </w:p>
        </w:tc>
        <w:tc>
          <w:tcPr>
            <w:tcW w:w="1383" w:type="pct"/>
            <w:tcBorders>
              <w:tl2br w:val="nil"/>
              <w:tr2bl w:val="nil"/>
            </w:tcBorders>
            <w:shd w:val="clear" w:color="auto" w:fill="FFFFFF"/>
            <w:noWrap/>
            <w:vAlign w:val="center"/>
          </w:tcPr>
          <w:p w14:paraId="60F6764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密炼机</w:t>
            </w:r>
          </w:p>
        </w:tc>
      </w:tr>
      <w:tr w14:paraId="15F24A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59" w:type="pct"/>
            <w:tcBorders>
              <w:tl2br w:val="nil"/>
              <w:tr2bl w:val="nil"/>
            </w:tcBorders>
            <w:shd w:val="clear" w:color="auto" w:fill="FFFFFF"/>
            <w:noWrap/>
            <w:vAlign w:val="center"/>
          </w:tcPr>
          <w:p w14:paraId="5CD5B57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合计</w:t>
            </w:r>
          </w:p>
        </w:tc>
        <w:tc>
          <w:tcPr>
            <w:tcW w:w="1659" w:type="pct"/>
            <w:gridSpan w:val="2"/>
            <w:tcBorders>
              <w:tl2br w:val="nil"/>
              <w:tr2bl w:val="nil"/>
            </w:tcBorders>
            <w:shd w:val="clear" w:color="auto" w:fill="FFFFFF"/>
            <w:noWrap/>
            <w:vAlign w:val="center"/>
          </w:tcPr>
          <w:p w14:paraId="517E5B0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rPr>
            </w:pPr>
            <w:r>
              <w:rPr>
                <w:rFonts w:hint="default" w:ascii="Times New Roman" w:hAnsi="Times New Roman" w:cs="Times New Roman"/>
                <w:b w:val="0"/>
                <w:i w:val="0"/>
                <w:iCs w:val="0"/>
                <w:color w:val="auto"/>
                <w:kern w:val="0"/>
                <w:sz w:val="18"/>
                <w:szCs w:val="18"/>
                <w:highlight w:val="none"/>
                <w:u w:val="none"/>
                <w:lang w:val="en-US" w:eastAsia="zh-CN" w:bidi="ar"/>
              </w:rPr>
              <w:t>8</w:t>
            </w:r>
          </w:p>
        </w:tc>
        <w:tc>
          <w:tcPr>
            <w:tcW w:w="369" w:type="pct"/>
            <w:tcBorders>
              <w:tl2br w:val="nil"/>
              <w:tr2bl w:val="nil"/>
            </w:tcBorders>
            <w:shd w:val="clear" w:color="auto" w:fill="FFFFFF"/>
            <w:noWrap/>
            <w:vAlign w:val="center"/>
          </w:tcPr>
          <w:p w14:paraId="3D0932A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14</w:t>
            </w:r>
          </w:p>
        </w:tc>
        <w:tc>
          <w:tcPr>
            <w:tcW w:w="369" w:type="pct"/>
            <w:tcBorders>
              <w:tl2br w:val="nil"/>
              <w:tr2bl w:val="nil"/>
            </w:tcBorders>
            <w:shd w:val="clear" w:color="auto" w:fill="FFFFFF"/>
            <w:noWrap/>
            <w:vAlign w:val="center"/>
          </w:tcPr>
          <w:p w14:paraId="51F07E4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23</w:t>
            </w:r>
          </w:p>
        </w:tc>
        <w:tc>
          <w:tcPr>
            <w:tcW w:w="757" w:type="pct"/>
            <w:tcBorders>
              <w:tl2br w:val="nil"/>
              <w:tr2bl w:val="nil"/>
            </w:tcBorders>
            <w:shd w:val="clear" w:color="auto" w:fill="FFFFFF"/>
            <w:noWrap/>
            <w:vAlign w:val="center"/>
          </w:tcPr>
          <w:p w14:paraId="1F9E85A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0.015</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1.7</w:t>
            </w:r>
          </w:p>
        </w:tc>
        <w:tc>
          <w:tcPr>
            <w:tcW w:w="1383" w:type="pct"/>
            <w:tcBorders>
              <w:tl2br w:val="nil"/>
              <w:tr2bl w:val="nil"/>
            </w:tcBorders>
            <w:shd w:val="clear" w:color="auto" w:fill="FFFFFF"/>
            <w:noWrap/>
            <w:vAlign w:val="center"/>
          </w:tcPr>
          <w:p w14:paraId="5E2338D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lang w:eastAsia="zh-CN"/>
              </w:rPr>
            </w:pPr>
            <w:r>
              <w:rPr>
                <w:rFonts w:hint="default" w:ascii="Times New Roman" w:hAnsi="Times New Roman" w:eastAsia="宋体" w:cs="Times New Roman"/>
                <w:b w:val="0"/>
                <w:i w:val="0"/>
                <w:iCs w:val="0"/>
                <w:color w:val="auto"/>
                <w:sz w:val="18"/>
                <w:szCs w:val="18"/>
                <w:highlight w:val="none"/>
                <w:u w:val="none"/>
                <w:lang w:eastAsia="zh-CN"/>
              </w:rPr>
              <w:t>——</w:t>
            </w:r>
          </w:p>
        </w:tc>
      </w:tr>
    </w:tbl>
    <w:p w14:paraId="2750796A">
      <w:pPr>
        <w:shd w:val="clear"/>
        <w:rPr>
          <w:rFonts w:hint="eastAsia"/>
          <w:color w:val="auto"/>
          <w:highlight w:val="none"/>
          <w:lang w:val="en-US" w:eastAsia="zh-CN"/>
        </w:rPr>
      </w:pPr>
    </w:p>
    <w:p w14:paraId="23F39226">
      <w:pPr>
        <w:pStyle w:val="129"/>
        <w:shd w:val="clear"/>
        <w:bidi w:val="0"/>
        <w:outlineLvl w:val="4"/>
        <w:rPr>
          <w:rFonts w:hint="default"/>
          <w:lang w:val="en-US" w:eastAsia="zh-CN"/>
        </w:rPr>
      </w:pPr>
      <w:bookmarkStart w:id="111" w:name="_Ref5898"/>
      <w:r>
        <w:t>表</w:t>
      </w:r>
      <w:r>
        <w:fldChar w:fldCharType="begin"/>
      </w:r>
      <w:r>
        <w:instrText xml:space="preserve"> SEQ 表 \* ARABIC </w:instrText>
      </w:r>
      <w:r>
        <w:fldChar w:fldCharType="separate"/>
      </w:r>
      <w:r>
        <w:t>9</w:t>
      </w:r>
      <w:r>
        <w:fldChar w:fldCharType="end"/>
      </w:r>
      <w:bookmarkEnd w:id="111"/>
      <w:r>
        <w:rPr>
          <w:rFonts w:hint="eastAsia"/>
          <w:lang w:val="en-US" w:eastAsia="zh-CN"/>
        </w:rPr>
        <w:t xml:space="preserve"> 二甲苯的监督性监测数据分布情况</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31"/>
        <w:gridCol w:w="821"/>
        <w:gridCol w:w="2266"/>
        <w:gridCol w:w="683"/>
        <w:gridCol w:w="683"/>
        <w:gridCol w:w="1378"/>
        <w:gridCol w:w="2580"/>
      </w:tblGrid>
      <w:tr w14:paraId="2F5A9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17" w:hRule="atLeast"/>
          <w:tblHeader/>
        </w:trPr>
        <w:tc>
          <w:tcPr>
            <w:tcW w:w="2119" w:type="pct"/>
            <w:gridSpan w:val="3"/>
            <w:tcBorders>
              <w:top w:val="single" w:color="000000" w:sz="12" w:space="0"/>
              <w:left w:val="single" w:color="000000" w:sz="12" w:space="0"/>
              <w:bottom w:val="single" w:color="auto" w:sz="4" w:space="0"/>
              <w:right w:val="single" w:color="000000" w:sz="4" w:space="0"/>
              <w:tl2br w:val="nil"/>
            </w:tcBorders>
            <w:shd w:val="clear" w:color="auto" w:fill="FFFFFF"/>
            <w:noWrap/>
            <w:vAlign w:val="center"/>
          </w:tcPr>
          <w:p w14:paraId="6DBFA62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cs="Times New Roman"/>
                <w:b w:val="0"/>
                <w:i w:val="0"/>
                <w:iCs w:val="0"/>
                <w:color w:val="auto"/>
                <w:kern w:val="0"/>
                <w:sz w:val="18"/>
                <w:szCs w:val="18"/>
                <w:highlight w:val="none"/>
                <w:u w:val="none"/>
                <w:lang w:val="en-US" w:eastAsia="zh-CN" w:bidi="ar"/>
              </w:rPr>
              <w:t>行业基本情况</w:t>
            </w:r>
          </w:p>
        </w:tc>
        <w:tc>
          <w:tcPr>
            <w:tcW w:w="369" w:type="pct"/>
            <w:vMerge w:val="restart"/>
            <w:tcBorders>
              <w:top w:val="single" w:color="000000" w:sz="12" w:space="0"/>
              <w:left w:val="single" w:color="000000" w:sz="4" w:space="0"/>
              <w:right w:val="single" w:color="000000" w:sz="4" w:space="0"/>
            </w:tcBorders>
            <w:shd w:val="clear" w:color="auto" w:fill="FFFFFF"/>
            <w:noWrap/>
            <w:vAlign w:val="center"/>
          </w:tcPr>
          <w:p w14:paraId="21D6AE4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企业数量</w:t>
            </w:r>
          </w:p>
        </w:tc>
        <w:tc>
          <w:tcPr>
            <w:tcW w:w="369" w:type="pct"/>
            <w:vMerge w:val="restart"/>
            <w:tcBorders>
              <w:top w:val="single" w:color="000000" w:sz="12" w:space="0"/>
              <w:left w:val="single" w:color="000000" w:sz="4" w:space="0"/>
              <w:right w:val="single" w:color="000000" w:sz="4" w:space="0"/>
            </w:tcBorders>
            <w:shd w:val="clear" w:color="auto" w:fill="FFFFFF"/>
            <w:noWrap/>
            <w:vAlign w:val="center"/>
          </w:tcPr>
          <w:p w14:paraId="53C2AB1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监测数据</w:t>
            </w:r>
          </w:p>
        </w:tc>
        <w:tc>
          <w:tcPr>
            <w:tcW w:w="745" w:type="pct"/>
            <w:vMerge w:val="restart"/>
            <w:tcBorders>
              <w:top w:val="single" w:color="000000" w:sz="12" w:space="0"/>
              <w:left w:val="single" w:color="000000" w:sz="4" w:space="0"/>
              <w:right w:val="single" w:color="000000" w:sz="4" w:space="0"/>
            </w:tcBorders>
            <w:shd w:val="clear" w:color="auto" w:fill="FFFFFF"/>
            <w:noWrap/>
            <w:vAlign w:val="center"/>
          </w:tcPr>
          <w:p w14:paraId="5D7017C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浓度</w:t>
            </w:r>
            <w:r>
              <w:rPr>
                <w:rFonts w:hint="eastAsia" w:cs="Times New Roman"/>
                <w:b w:val="0"/>
                <w:i w:val="0"/>
                <w:iCs w:val="0"/>
                <w:color w:val="auto"/>
                <w:kern w:val="0"/>
                <w:sz w:val="18"/>
                <w:szCs w:val="18"/>
                <w:highlight w:val="none"/>
                <w:u w:val="none"/>
                <w:lang w:val="en-US" w:eastAsia="zh-CN" w:bidi="ar"/>
              </w:rPr>
              <w:t>范围</w:t>
            </w:r>
            <w:r>
              <w:rPr>
                <w:rFonts w:hint="default" w:ascii="Times New Roman" w:hAnsi="Times New Roman" w:eastAsia="宋体" w:cs="Times New Roman"/>
                <w:b w:val="0"/>
                <w:i w:val="0"/>
                <w:iCs w:val="0"/>
                <w:color w:val="auto"/>
                <w:kern w:val="0"/>
                <w:sz w:val="18"/>
                <w:szCs w:val="18"/>
                <w:highlight w:val="none"/>
                <w:u w:val="none"/>
                <w:lang w:val="en-US" w:eastAsia="zh-CN" w:bidi="ar"/>
              </w:rPr>
              <w:br w:type="textWrapping"/>
            </w:r>
            <w:r>
              <w:rPr>
                <w:rFonts w:hint="eastAsia" w:ascii="Times New Roman" w:hAnsi="Times New Roman" w:cs="Times New Roman"/>
                <w:b w:val="0"/>
                <w:i w:val="0"/>
                <w:iCs w:val="0"/>
                <w:color w:val="auto"/>
                <w:kern w:val="0"/>
                <w:sz w:val="18"/>
                <w:szCs w:val="18"/>
                <w:highlight w:val="none"/>
                <w:u w:val="none"/>
                <w:lang w:val="en-US" w:eastAsia="zh-CN" w:bidi="ar"/>
              </w:rPr>
              <w:t>（mg/m</w:t>
            </w:r>
            <w:r>
              <w:rPr>
                <w:rFonts w:hint="eastAsia" w:ascii="Times New Roman" w:hAnsi="Times New Roman" w:cs="Times New Roman"/>
                <w:b w:val="0"/>
                <w:i w:val="0"/>
                <w:iCs w:val="0"/>
                <w:color w:val="auto"/>
                <w:kern w:val="0"/>
                <w:sz w:val="18"/>
                <w:szCs w:val="18"/>
                <w:highlight w:val="none"/>
                <w:u w:val="none"/>
                <w:vertAlign w:val="superscript"/>
                <w:lang w:val="en-US" w:eastAsia="zh-CN" w:bidi="ar"/>
              </w:rPr>
              <w:t>3</w:t>
            </w:r>
            <w:r>
              <w:rPr>
                <w:rFonts w:hint="eastAsia" w:ascii="Times New Roman" w:hAnsi="Times New Roman" w:cs="Times New Roman"/>
                <w:b w:val="0"/>
                <w:i w:val="0"/>
                <w:iCs w:val="0"/>
                <w:color w:val="auto"/>
                <w:kern w:val="0"/>
                <w:sz w:val="18"/>
                <w:szCs w:val="18"/>
                <w:highlight w:val="none"/>
                <w:u w:val="none"/>
                <w:lang w:val="en-US" w:eastAsia="zh-CN" w:bidi="ar"/>
              </w:rPr>
              <w:t>）</w:t>
            </w:r>
          </w:p>
        </w:tc>
        <w:tc>
          <w:tcPr>
            <w:tcW w:w="1395" w:type="pct"/>
            <w:vMerge w:val="restart"/>
            <w:tcBorders>
              <w:top w:val="single" w:color="000000" w:sz="12" w:space="0"/>
              <w:left w:val="single" w:color="000000" w:sz="4" w:space="0"/>
              <w:right w:val="single" w:color="000000" w:sz="12" w:space="0"/>
            </w:tcBorders>
            <w:shd w:val="clear" w:color="auto" w:fill="FFFFFF"/>
            <w:noWrap/>
            <w:vAlign w:val="center"/>
          </w:tcPr>
          <w:p w14:paraId="409A4DB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涉及设备\工艺</w:t>
            </w:r>
          </w:p>
        </w:tc>
      </w:tr>
      <w:tr w14:paraId="29398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7" w:hRule="atLeast"/>
          <w:tblHeader/>
        </w:trPr>
        <w:tc>
          <w:tcPr>
            <w:tcW w:w="449" w:type="pct"/>
            <w:tcBorders>
              <w:top w:val="single" w:color="auto" w:sz="4" w:space="0"/>
              <w:left w:val="single" w:color="000000" w:sz="12" w:space="0"/>
              <w:bottom w:val="single" w:color="000000" w:sz="4" w:space="0"/>
              <w:right w:val="single" w:color="000000" w:sz="4" w:space="0"/>
              <w:tl2br w:val="nil"/>
            </w:tcBorders>
            <w:shd w:val="clear" w:color="auto" w:fill="FFFFFF"/>
            <w:noWrap/>
            <w:vAlign w:val="center"/>
          </w:tcPr>
          <w:p w14:paraId="47461AF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分类</w:t>
            </w:r>
          </w:p>
        </w:tc>
        <w:tc>
          <w:tcPr>
            <w:tcW w:w="444" w:type="pct"/>
            <w:tcBorders>
              <w:top w:val="single" w:color="auto" w:sz="4" w:space="0"/>
              <w:left w:val="single" w:color="000000" w:sz="4" w:space="0"/>
              <w:bottom w:val="single" w:color="000000" w:sz="4" w:space="0"/>
              <w:right w:val="single" w:color="000000" w:sz="4" w:space="0"/>
            </w:tcBorders>
            <w:shd w:val="clear" w:color="auto" w:fill="FFFFFF"/>
            <w:noWrap/>
            <w:vAlign w:val="center"/>
          </w:tcPr>
          <w:p w14:paraId="13130E4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编码</w:t>
            </w:r>
          </w:p>
        </w:tc>
        <w:tc>
          <w:tcPr>
            <w:tcW w:w="1225" w:type="pct"/>
            <w:tcBorders>
              <w:top w:val="single" w:color="auto" w:sz="4" w:space="0"/>
              <w:left w:val="single" w:color="000000" w:sz="4" w:space="0"/>
              <w:bottom w:val="single" w:color="000000" w:sz="4" w:space="0"/>
              <w:right w:val="single" w:color="000000" w:sz="4" w:space="0"/>
            </w:tcBorders>
            <w:shd w:val="clear" w:color="auto" w:fill="FFFFFF"/>
            <w:noWrap/>
            <w:vAlign w:val="center"/>
          </w:tcPr>
          <w:p w14:paraId="626A2F2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名称</w:t>
            </w:r>
          </w:p>
        </w:tc>
        <w:tc>
          <w:tcPr>
            <w:tcW w:w="369" w:type="pct"/>
            <w:vMerge w:val="continue"/>
            <w:tcBorders>
              <w:left w:val="single" w:color="000000" w:sz="4" w:space="0"/>
              <w:bottom w:val="single" w:color="000000" w:sz="4" w:space="0"/>
              <w:right w:val="single" w:color="000000" w:sz="4" w:space="0"/>
            </w:tcBorders>
            <w:shd w:val="clear" w:color="auto" w:fill="FFFFFF"/>
            <w:noWrap/>
            <w:vAlign w:val="center"/>
          </w:tcPr>
          <w:p w14:paraId="42F536F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369" w:type="pct"/>
            <w:vMerge w:val="continue"/>
            <w:tcBorders>
              <w:left w:val="single" w:color="000000" w:sz="4" w:space="0"/>
              <w:bottom w:val="single" w:color="000000" w:sz="4" w:space="0"/>
              <w:right w:val="single" w:color="000000" w:sz="4" w:space="0"/>
            </w:tcBorders>
            <w:shd w:val="clear" w:color="auto" w:fill="FFFFFF"/>
            <w:noWrap/>
            <w:vAlign w:val="center"/>
          </w:tcPr>
          <w:p w14:paraId="11422D4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745" w:type="pct"/>
            <w:vMerge w:val="continue"/>
            <w:tcBorders>
              <w:left w:val="single" w:color="000000" w:sz="4" w:space="0"/>
              <w:bottom w:val="single" w:color="000000" w:sz="4" w:space="0"/>
              <w:right w:val="single" w:color="000000" w:sz="4" w:space="0"/>
            </w:tcBorders>
            <w:shd w:val="clear" w:color="auto" w:fill="FFFFFF"/>
            <w:noWrap/>
            <w:vAlign w:val="center"/>
          </w:tcPr>
          <w:p w14:paraId="11950F6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1395" w:type="pct"/>
            <w:vMerge w:val="continue"/>
            <w:tcBorders>
              <w:left w:val="single" w:color="000000" w:sz="4" w:space="0"/>
              <w:bottom w:val="single" w:color="000000" w:sz="4" w:space="0"/>
              <w:right w:val="single" w:color="000000" w:sz="12" w:space="0"/>
            </w:tcBorders>
            <w:shd w:val="clear" w:color="auto" w:fill="FFFFFF"/>
            <w:noWrap/>
            <w:vAlign w:val="center"/>
          </w:tcPr>
          <w:p w14:paraId="38FEFF6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r>
      <w:tr w14:paraId="22DF5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449" w:type="pct"/>
            <w:vMerge w:val="restart"/>
            <w:tcBorders>
              <w:top w:val="single" w:color="000000" w:sz="12" w:space="0"/>
              <w:left w:val="single" w:color="000000" w:sz="12" w:space="0"/>
              <w:right w:val="single" w:color="000000" w:sz="4" w:space="0"/>
              <w:tl2br w:val="nil"/>
            </w:tcBorders>
            <w:shd w:val="clear" w:color="auto" w:fill="FFFFFF"/>
            <w:noWrap/>
            <w:vAlign w:val="center"/>
          </w:tcPr>
          <w:p w14:paraId="229C9AB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工业涂装</w:t>
            </w:r>
          </w:p>
        </w:tc>
        <w:tc>
          <w:tcPr>
            <w:tcW w:w="444"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21C940C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C34</w:t>
            </w:r>
          </w:p>
        </w:tc>
        <w:tc>
          <w:tcPr>
            <w:tcW w:w="1225"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7FB5263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生产专用车辆制造、生产专用起重机制造</w:t>
            </w:r>
          </w:p>
        </w:tc>
        <w:tc>
          <w:tcPr>
            <w:tcW w:w="369"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11EA0DA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369"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7DCE090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4</w:t>
            </w:r>
          </w:p>
        </w:tc>
        <w:tc>
          <w:tcPr>
            <w:tcW w:w="745"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0C91348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0.015</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0.32</w:t>
            </w:r>
          </w:p>
        </w:tc>
        <w:tc>
          <w:tcPr>
            <w:tcW w:w="1395" w:type="pct"/>
            <w:tcBorders>
              <w:top w:val="single" w:color="000000" w:sz="12" w:space="0"/>
              <w:left w:val="single" w:color="000000" w:sz="4" w:space="0"/>
              <w:bottom w:val="single" w:color="000000" w:sz="4" w:space="0"/>
              <w:right w:val="single" w:color="000000" w:sz="12" w:space="0"/>
            </w:tcBorders>
            <w:shd w:val="clear" w:color="auto" w:fill="FFFFFF"/>
            <w:noWrap/>
            <w:vAlign w:val="center"/>
          </w:tcPr>
          <w:p w14:paraId="0C67796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整车涂装、底漆、面漆喷涂</w:t>
            </w:r>
          </w:p>
        </w:tc>
      </w:tr>
      <w:tr w14:paraId="171E4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449" w:type="pct"/>
            <w:vMerge w:val="continue"/>
            <w:tcBorders>
              <w:left w:val="single" w:color="000000" w:sz="12" w:space="0"/>
              <w:right w:val="single" w:color="000000" w:sz="4" w:space="0"/>
            </w:tcBorders>
            <w:shd w:val="clear" w:color="auto" w:fill="FFFFFF"/>
            <w:noWrap/>
            <w:vAlign w:val="center"/>
          </w:tcPr>
          <w:p w14:paraId="054B4BC9">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1C4A2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C35</w:t>
            </w:r>
          </w:p>
        </w:tc>
        <w:tc>
          <w:tcPr>
            <w:tcW w:w="122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CF4B68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食品、酒、饮料及茶生产专用设备制造</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F50C3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B7581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7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168B9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0.032</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0.078</w:t>
            </w:r>
          </w:p>
        </w:tc>
        <w:tc>
          <w:tcPr>
            <w:tcW w:w="1395"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CE9241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喷漆房、晾干</w:t>
            </w:r>
          </w:p>
        </w:tc>
      </w:tr>
      <w:tr w14:paraId="4894E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449" w:type="pct"/>
            <w:vMerge w:val="continue"/>
            <w:tcBorders>
              <w:left w:val="single" w:color="000000" w:sz="12" w:space="0"/>
              <w:right w:val="single" w:color="000000" w:sz="4" w:space="0"/>
            </w:tcBorders>
            <w:shd w:val="clear" w:color="auto" w:fill="FFFFFF"/>
            <w:noWrap/>
            <w:vAlign w:val="center"/>
          </w:tcPr>
          <w:p w14:paraId="2C4910C1">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981D4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C36</w:t>
            </w:r>
          </w:p>
        </w:tc>
        <w:tc>
          <w:tcPr>
            <w:tcW w:w="122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AFA57D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汽车整车制造、汽车零部件及配件制造</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53B0A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691C3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5</w:t>
            </w:r>
          </w:p>
        </w:tc>
        <w:tc>
          <w:tcPr>
            <w:tcW w:w="7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7D434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0.015</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1.56</w:t>
            </w:r>
          </w:p>
        </w:tc>
        <w:tc>
          <w:tcPr>
            <w:tcW w:w="1395" w:type="pct"/>
            <w:tcBorders>
              <w:top w:val="single" w:color="000000" w:sz="4" w:space="0"/>
              <w:left w:val="single" w:color="000000" w:sz="4" w:space="0"/>
              <w:bottom w:val="single" w:color="000000" w:sz="4" w:space="0"/>
              <w:right w:val="single" w:color="000000" w:sz="12" w:space="0"/>
            </w:tcBorders>
            <w:shd w:val="clear" w:color="auto" w:fill="FFFFFF"/>
            <w:noWrap/>
            <w:vAlign w:val="bottom"/>
          </w:tcPr>
          <w:p w14:paraId="04D527F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电机工厂浸漆、保险杠喷漆、车桥厂、乘用车整车喷涂及烘干</w:t>
            </w:r>
          </w:p>
        </w:tc>
      </w:tr>
      <w:tr w14:paraId="15E5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449" w:type="pct"/>
            <w:vMerge w:val="continue"/>
            <w:tcBorders>
              <w:left w:val="single" w:color="000000" w:sz="12" w:space="0"/>
              <w:bottom w:val="single" w:color="000000" w:sz="4" w:space="0"/>
              <w:right w:val="single" w:color="000000" w:sz="4" w:space="0"/>
            </w:tcBorders>
            <w:shd w:val="clear" w:color="auto" w:fill="FFFFFF"/>
            <w:noWrap/>
            <w:vAlign w:val="center"/>
          </w:tcPr>
          <w:p w14:paraId="1FAEA694">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BBB67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C38</w:t>
            </w:r>
          </w:p>
        </w:tc>
        <w:tc>
          <w:tcPr>
            <w:tcW w:w="122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5D2C4D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发电机及发电机组制造</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084A1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DD87D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7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0FA86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0.005</w:t>
            </w:r>
          </w:p>
        </w:tc>
        <w:tc>
          <w:tcPr>
            <w:tcW w:w="1395"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0CB6668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辊涂烘干房</w:t>
            </w:r>
          </w:p>
        </w:tc>
      </w:tr>
      <w:tr w14:paraId="2BB2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449"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54FBEB6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其他溶剂使用行业</w:t>
            </w: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09DC7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lang w:val="en-US"/>
              </w:rPr>
            </w:pPr>
            <w:r>
              <w:rPr>
                <w:rFonts w:hint="default" w:ascii="Times New Roman" w:hAnsi="Times New Roman" w:eastAsia="宋体" w:cs="Times New Roman"/>
                <w:b w:val="0"/>
                <w:i w:val="0"/>
                <w:iCs w:val="0"/>
                <w:color w:val="auto"/>
                <w:kern w:val="0"/>
                <w:sz w:val="18"/>
                <w:szCs w:val="18"/>
                <w:highlight w:val="none"/>
                <w:u w:val="none"/>
                <w:lang w:val="en-US" w:eastAsia="zh-CN" w:bidi="ar"/>
              </w:rPr>
              <w:t>C19</w:t>
            </w:r>
            <w:r>
              <w:rPr>
                <w:rFonts w:hint="eastAsia" w:cs="Times New Roman"/>
                <w:b w:val="0"/>
                <w:i w:val="0"/>
                <w:iCs w:val="0"/>
                <w:color w:val="auto"/>
                <w:kern w:val="0"/>
                <w:sz w:val="18"/>
                <w:szCs w:val="18"/>
                <w:highlight w:val="none"/>
                <w:u w:val="none"/>
                <w:lang w:val="en-US" w:eastAsia="zh-CN" w:bidi="ar"/>
              </w:rPr>
              <w:t>5</w:t>
            </w:r>
          </w:p>
        </w:tc>
        <w:tc>
          <w:tcPr>
            <w:tcW w:w="12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06F5B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制鞋业</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FE30E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5DB1C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7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A237D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0.015</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8.38</w:t>
            </w:r>
          </w:p>
        </w:tc>
        <w:tc>
          <w:tcPr>
            <w:tcW w:w="1395"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741C7FB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车间废气排放口、UV组烘箱</w:t>
            </w:r>
          </w:p>
        </w:tc>
      </w:tr>
      <w:tr w14:paraId="6E331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449" w:type="pct"/>
            <w:vMerge w:val="restart"/>
            <w:tcBorders>
              <w:top w:val="single" w:color="000000" w:sz="4" w:space="0"/>
              <w:left w:val="single" w:color="000000" w:sz="12" w:space="0"/>
              <w:right w:val="single" w:color="000000" w:sz="4" w:space="0"/>
            </w:tcBorders>
            <w:shd w:val="clear" w:color="auto" w:fill="FFFFFF"/>
            <w:noWrap/>
            <w:vAlign w:val="center"/>
          </w:tcPr>
          <w:p w14:paraId="17E0D6A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化工行业</w:t>
            </w: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DB613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C26</w:t>
            </w:r>
          </w:p>
        </w:tc>
        <w:tc>
          <w:tcPr>
            <w:tcW w:w="12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B5651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涂料制造、初级形态塑料及合成树脂制造</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24AD7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B88ED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3</w:t>
            </w:r>
          </w:p>
        </w:tc>
        <w:tc>
          <w:tcPr>
            <w:tcW w:w="7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580CD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0.015</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0.5</w:t>
            </w:r>
            <w:r>
              <w:rPr>
                <w:rFonts w:hint="eastAsia" w:ascii="Times New Roman" w:hAnsi="Times New Roman" w:eastAsia="宋体" w:cs="Times New Roman"/>
                <w:b w:val="0"/>
                <w:i w:val="0"/>
                <w:iCs w:val="0"/>
                <w:color w:val="auto"/>
                <w:kern w:val="0"/>
                <w:sz w:val="18"/>
                <w:szCs w:val="18"/>
                <w:highlight w:val="none"/>
                <w:u w:val="none"/>
                <w:lang w:val="en-US" w:eastAsia="zh-CN" w:bidi="ar"/>
              </w:rPr>
              <w:t>8</w:t>
            </w:r>
          </w:p>
        </w:tc>
        <w:tc>
          <w:tcPr>
            <w:tcW w:w="1395" w:type="pct"/>
            <w:tcBorders>
              <w:top w:val="single" w:color="000000" w:sz="4" w:space="0"/>
              <w:left w:val="single" w:color="000000" w:sz="4" w:space="0"/>
              <w:bottom w:val="single" w:color="000000" w:sz="4" w:space="0"/>
              <w:right w:val="single" w:color="000000" w:sz="12" w:space="0"/>
            </w:tcBorders>
            <w:shd w:val="clear" w:color="auto" w:fill="FFFFFF"/>
            <w:noWrap/>
            <w:vAlign w:val="bottom"/>
          </w:tcPr>
          <w:p w14:paraId="3767FE7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色漆车间、真空泵</w:t>
            </w:r>
          </w:p>
        </w:tc>
      </w:tr>
      <w:tr w14:paraId="0D6F6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449" w:type="pct"/>
            <w:vMerge w:val="continue"/>
            <w:tcBorders>
              <w:left w:val="single" w:color="000000" w:sz="12" w:space="0"/>
              <w:bottom w:val="single" w:color="000000" w:sz="4" w:space="0"/>
              <w:right w:val="single" w:color="000000" w:sz="4" w:space="0"/>
            </w:tcBorders>
            <w:shd w:val="clear" w:color="auto" w:fill="FFFFFF"/>
            <w:noWrap/>
            <w:vAlign w:val="center"/>
          </w:tcPr>
          <w:p w14:paraId="6285125C">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E13C1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C29</w:t>
            </w:r>
          </w:p>
        </w:tc>
        <w:tc>
          <w:tcPr>
            <w:tcW w:w="122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D16AC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轮胎制造、塑料人造革、合成革制造</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14C56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C0387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7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CF3C3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0.004</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0.01</w:t>
            </w:r>
          </w:p>
        </w:tc>
        <w:tc>
          <w:tcPr>
            <w:tcW w:w="1395"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262B1A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无组织废气、密炼机</w:t>
            </w:r>
          </w:p>
        </w:tc>
      </w:tr>
      <w:tr w14:paraId="3180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449"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281314F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其他行业</w:t>
            </w:r>
          </w:p>
        </w:tc>
        <w:tc>
          <w:tcPr>
            <w:tcW w:w="4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AC461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C42</w:t>
            </w:r>
          </w:p>
        </w:tc>
        <w:tc>
          <w:tcPr>
            <w:tcW w:w="122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73432DC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非金属废料和碎屑加工处理</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047A1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A5A54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7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7A324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1.08</w:t>
            </w:r>
          </w:p>
        </w:tc>
        <w:tc>
          <w:tcPr>
            <w:tcW w:w="1395"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43D2C99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挤出机</w:t>
            </w:r>
          </w:p>
        </w:tc>
      </w:tr>
      <w:tr w14:paraId="05D4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449" w:type="pct"/>
            <w:tcBorders>
              <w:top w:val="single" w:color="000000" w:sz="4" w:space="0"/>
              <w:left w:val="single" w:color="000000" w:sz="12" w:space="0"/>
              <w:bottom w:val="single" w:color="000000" w:sz="12" w:space="0"/>
              <w:right w:val="single" w:color="auto" w:sz="4" w:space="0"/>
            </w:tcBorders>
            <w:shd w:val="clear" w:color="auto" w:fill="FFFFFF"/>
            <w:noWrap/>
            <w:vAlign w:val="center"/>
          </w:tcPr>
          <w:p w14:paraId="77F2364B">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合计</w:t>
            </w:r>
          </w:p>
        </w:tc>
        <w:tc>
          <w:tcPr>
            <w:tcW w:w="1670" w:type="pct"/>
            <w:gridSpan w:val="2"/>
            <w:tcBorders>
              <w:top w:val="single" w:color="000000" w:sz="4" w:space="0"/>
              <w:left w:val="single" w:color="auto" w:sz="4" w:space="0"/>
              <w:bottom w:val="single" w:color="000000" w:sz="12" w:space="0"/>
              <w:right w:val="single" w:color="000000" w:sz="4" w:space="0"/>
            </w:tcBorders>
            <w:shd w:val="clear" w:color="auto" w:fill="FFFFFF"/>
            <w:noWrap/>
            <w:vAlign w:val="center"/>
          </w:tcPr>
          <w:p w14:paraId="153F458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8</w:t>
            </w:r>
          </w:p>
        </w:tc>
        <w:tc>
          <w:tcPr>
            <w:tcW w:w="369"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0D0AB8F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13</w:t>
            </w:r>
          </w:p>
        </w:tc>
        <w:tc>
          <w:tcPr>
            <w:tcW w:w="369"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33C4954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20</w:t>
            </w:r>
          </w:p>
        </w:tc>
        <w:tc>
          <w:tcPr>
            <w:tcW w:w="745"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69C5144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0.004</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8.38</w:t>
            </w:r>
          </w:p>
        </w:tc>
        <w:tc>
          <w:tcPr>
            <w:tcW w:w="1395" w:type="pct"/>
            <w:tcBorders>
              <w:top w:val="single" w:color="000000" w:sz="4" w:space="0"/>
              <w:left w:val="single" w:color="000000" w:sz="4" w:space="0"/>
              <w:bottom w:val="single" w:color="000000" w:sz="12" w:space="0"/>
              <w:right w:val="single" w:color="000000" w:sz="12" w:space="0"/>
            </w:tcBorders>
            <w:shd w:val="clear" w:color="auto" w:fill="FFFFFF"/>
            <w:noWrap/>
            <w:vAlign w:val="center"/>
          </w:tcPr>
          <w:p w14:paraId="3786685E">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lang w:eastAsia="zh-CN"/>
              </w:rPr>
            </w:pPr>
            <w:r>
              <w:rPr>
                <w:rFonts w:hint="default" w:ascii="Times New Roman" w:hAnsi="Times New Roman" w:eastAsia="宋体" w:cs="Times New Roman"/>
                <w:b w:val="0"/>
                <w:i w:val="0"/>
                <w:iCs w:val="0"/>
                <w:color w:val="auto"/>
                <w:sz w:val="18"/>
                <w:szCs w:val="18"/>
                <w:highlight w:val="none"/>
                <w:u w:val="none"/>
                <w:lang w:eastAsia="zh-CN"/>
              </w:rPr>
              <w:t>——</w:t>
            </w:r>
          </w:p>
        </w:tc>
      </w:tr>
    </w:tbl>
    <w:p w14:paraId="7CE86DCE">
      <w:pPr>
        <w:shd w:val="clear"/>
        <w:rPr>
          <w:rFonts w:hint="eastAsia"/>
          <w:color w:val="auto"/>
          <w:highlight w:val="none"/>
          <w:lang w:val="en-US" w:eastAsia="zh-CN"/>
        </w:rPr>
      </w:pPr>
    </w:p>
    <w:p w14:paraId="128FB2D1">
      <w:pPr>
        <w:pStyle w:val="129"/>
        <w:shd w:val="clear"/>
        <w:bidi w:val="0"/>
        <w:outlineLvl w:val="4"/>
        <w:rPr>
          <w:rFonts w:hint="default"/>
          <w:lang w:val="en-US" w:eastAsia="zh-CN"/>
        </w:rPr>
      </w:pPr>
      <w:bookmarkStart w:id="112" w:name="_Ref5924"/>
      <w:r>
        <w:t>表</w:t>
      </w:r>
      <w:r>
        <w:fldChar w:fldCharType="begin"/>
      </w:r>
      <w:r>
        <w:instrText xml:space="preserve"> SEQ 表 \* ARABIC </w:instrText>
      </w:r>
      <w:r>
        <w:fldChar w:fldCharType="separate"/>
      </w:r>
      <w:r>
        <w:t>10</w:t>
      </w:r>
      <w:r>
        <w:fldChar w:fldCharType="end"/>
      </w:r>
      <w:bookmarkEnd w:id="112"/>
      <w:r>
        <w:rPr>
          <w:rFonts w:hint="eastAsia"/>
          <w:lang w:val="en-US" w:eastAsia="zh-CN"/>
        </w:rPr>
        <w:t xml:space="preserve"> </w:t>
      </w:r>
      <w:r>
        <w:rPr>
          <w:rFonts w:hint="default"/>
          <w:lang w:val="en-US" w:eastAsia="zh-CN"/>
        </w:rPr>
        <w:t>苯系物的监督性监测数据分布情况</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20"/>
        <w:gridCol w:w="817"/>
        <w:gridCol w:w="2283"/>
        <w:gridCol w:w="668"/>
        <w:gridCol w:w="690"/>
        <w:gridCol w:w="1399"/>
        <w:gridCol w:w="2565"/>
      </w:tblGrid>
      <w:tr w14:paraId="7C5B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 w:hRule="atLeast"/>
          <w:tblHeader/>
        </w:trPr>
        <w:tc>
          <w:tcPr>
            <w:tcW w:w="2120" w:type="pct"/>
            <w:gridSpan w:val="3"/>
            <w:tcBorders>
              <w:top w:val="single" w:color="000000" w:sz="12" w:space="0"/>
              <w:left w:val="single" w:color="000000" w:sz="12" w:space="0"/>
              <w:bottom w:val="single" w:color="auto" w:sz="4" w:space="0"/>
              <w:right w:val="single" w:color="000000" w:sz="4" w:space="0"/>
              <w:tl2br w:val="nil"/>
            </w:tcBorders>
            <w:shd w:val="clear" w:color="auto" w:fill="FFFFFF"/>
            <w:noWrap/>
            <w:vAlign w:val="center"/>
          </w:tcPr>
          <w:p w14:paraId="0229DCC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cs="Times New Roman"/>
                <w:b w:val="0"/>
                <w:i w:val="0"/>
                <w:iCs w:val="0"/>
                <w:color w:val="auto"/>
                <w:kern w:val="0"/>
                <w:sz w:val="18"/>
                <w:szCs w:val="18"/>
                <w:highlight w:val="none"/>
                <w:u w:val="none"/>
                <w:lang w:val="en-US" w:eastAsia="zh-CN" w:bidi="ar"/>
              </w:rPr>
              <w:t>行业基本情况</w:t>
            </w:r>
          </w:p>
        </w:tc>
        <w:tc>
          <w:tcPr>
            <w:tcW w:w="361" w:type="pct"/>
            <w:vMerge w:val="restart"/>
            <w:tcBorders>
              <w:top w:val="single" w:color="000000" w:sz="12" w:space="0"/>
              <w:left w:val="single" w:color="000000" w:sz="4" w:space="0"/>
              <w:right w:val="single" w:color="000000" w:sz="4" w:space="0"/>
            </w:tcBorders>
            <w:shd w:val="clear" w:color="auto" w:fill="FFFFFF"/>
            <w:noWrap/>
            <w:vAlign w:val="center"/>
          </w:tcPr>
          <w:p w14:paraId="53F9472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企业数量</w:t>
            </w:r>
          </w:p>
        </w:tc>
        <w:tc>
          <w:tcPr>
            <w:tcW w:w="373" w:type="pct"/>
            <w:vMerge w:val="restart"/>
            <w:tcBorders>
              <w:top w:val="single" w:color="000000" w:sz="12" w:space="0"/>
              <w:left w:val="single" w:color="000000" w:sz="4" w:space="0"/>
              <w:right w:val="single" w:color="000000" w:sz="4" w:space="0"/>
            </w:tcBorders>
            <w:shd w:val="clear" w:color="auto" w:fill="FFFFFF"/>
            <w:noWrap/>
            <w:vAlign w:val="center"/>
          </w:tcPr>
          <w:p w14:paraId="667D84F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监测数据</w:t>
            </w:r>
          </w:p>
        </w:tc>
        <w:tc>
          <w:tcPr>
            <w:tcW w:w="756" w:type="pct"/>
            <w:vMerge w:val="restart"/>
            <w:tcBorders>
              <w:top w:val="single" w:color="000000" w:sz="12" w:space="0"/>
              <w:left w:val="single" w:color="000000" w:sz="4" w:space="0"/>
              <w:right w:val="single" w:color="000000" w:sz="4" w:space="0"/>
            </w:tcBorders>
            <w:shd w:val="clear" w:color="auto" w:fill="FFFFFF"/>
            <w:noWrap/>
            <w:vAlign w:val="center"/>
          </w:tcPr>
          <w:p w14:paraId="42C9D1F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浓度</w:t>
            </w:r>
            <w:r>
              <w:rPr>
                <w:rFonts w:hint="eastAsia" w:cs="Times New Roman"/>
                <w:b w:val="0"/>
                <w:i w:val="0"/>
                <w:iCs w:val="0"/>
                <w:color w:val="auto"/>
                <w:kern w:val="0"/>
                <w:sz w:val="18"/>
                <w:szCs w:val="18"/>
                <w:highlight w:val="none"/>
                <w:u w:val="none"/>
                <w:lang w:val="en-US" w:eastAsia="zh-CN" w:bidi="ar"/>
              </w:rPr>
              <w:t>范围</w:t>
            </w:r>
            <w:r>
              <w:rPr>
                <w:rFonts w:hint="default" w:ascii="Times New Roman" w:hAnsi="Times New Roman" w:eastAsia="宋体" w:cs="Times New Roman"/>
                <w:b w:val="0"/>
                <w:i w:val="0"/>
                <w:iCs w:val="0"/>
                <w:color w:val="auto"/>
                <w:kern w:val="0"/>
                <w:sz w:val="18"/>
                <w:szCs w:val="18"/>
                <w:highlight w:val="none"/>
                <w:u w:val="none"/>
                <w:lang w:val="en-US" w:eastAsia="zh-CN" w:bidi="ar"/>
              </w:rPr>
              <w:br w:type="textWrapping"/>
            </w:r>
            <w:r>
              <w:rPr>
                <w:rFonts w:hint="eastAsia" w:ascii="Times New Roman" w:hAnsi="Times New Roman" w:cs="Times New Roman"/>
                <w:b w:val="0"/>
                <w:i w:val="0"/>
                <w:iCs w:val="0"/>
                <w:color w:val="auto"/>
                <w:kern w:val="0"/>
                <w:sz w:val="18"/>
                <w:szCs w:val="18"/>
                <w:highlight w:val="none"/>
                <w:u w:val="none"/>
                <w:lang w:val="en-US" w:eastAsia="zh-CN" w:bidi="ar"/>
              </w:rPr>
              <w:t>（mg/m</w:t>
            </w:r>
            <w:r>
              <w:rPr>
                <w:rFonts w:hint="eastAsia" w:ascii="Times New Roman" w:hAnsi="Times New Roman" w:cs="Times New Roman"/>
                <w:b w:val="0"/>
                <w:i w:val="0"/>
                <w:iCs w:val="0"/>
                <w:color w:val="auto"/>
                <w:kern w:val="0"/>
                <w:sz w:val="18"/>
                <w:szCs w:val="18"/>
                <w:highlight w:val="none"/>
                <w:u w:val="none"/>
                <w:vertAlign w:val="superscript"/>
                <w:lang w:val="en-US" w:eastAsia="zh-CN" w:bidi="ar"/>
              </w:rPr>
              <w:t>3</w:t>
            </w:r>
            <w:r>
              <w:rPr>
                <w:rFonts w:hint="eastAsia" w:ascii="Times New Roman" w:hAnsi="Times New Roman" w:cs="Times New Roman"/>
                <w:b w:val="0"/>
                <w:i w:val="0"/>
                <w:iCs w:val="0"/>
                <w:color w:val="auto"/>
                <w:kern w:val="0"/>
                <w:sz w:val="18"/>
                <w:szCs w:val="18"/>
                <w:highlight w:val="none"/>
                <w:u w:val="none"/>
                <w:lang w:val="en-US" w:eastAsia="zh-CN" w:bidi="ar"/>
              </w:rPr>
              <w:t>）</w:t>
            </w:r>
          </w:p>
        </w:tc>
        <w:tc>
          <w:tcPr>
            <w:tcW w:w="1387" w:type="pct"/>
            <w:vMerge w:val="restart"/>
            <w:tcBorders>
              <w:top w:val="single" w:color="000000" w:sz="12" w:space="0"/>
              <w:left w:val="single" w:color="000000" w:sz="4" w:space="0"/>
              <w:right w:val="single" w:color="000000" w:sz="12" w:space="0"/>
            </w:tcBorders>
            <w:shd w:val="clear" w:color="auto" w:fill="FFFFFF"/>
            <w:noWrap/>
            <w:vAlign w:val="center"/>
          </w:tcPr>
          <w:p w14:paraId="53167CD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涉及设备\工艺</w:t>
            </w:r>
          </w:p>
        </w:tc>
      </w:tr>
      <w:tr w14:paraId="1CFA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9" w:hRule="atLeast"/>
          <w:tblHeader/>
        </w:trPr>
        <w:tc>
          <w:tcPr>
            <w:tcW w:w="443" w:type="pct"/>
            <w:tcBorders>
              <w:top w:val="single" w:color="auto" w:sz="4" w:space="0"/>
              <w:left w:val="single" w:color="000000" w:sz="12" w:space="0"/>
              <w:bottom w:val="single" w:color="000000" w:sz="4" w:space="0"/>
              <w:right w:val="single" w:color="000000" w:sz="4" w:space="0"/>
              <w:tl2br w:val="nil"/>
            </w:tcBorders>
            <w:shd w:val="clear" w:color="auto" w:fill="FFFFFF"/>
            <w:noWrap/>
            <w:vAlign w:val="center"/>
          </w:tcPr>
          <w:p w14:paraId="6FC0C96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分类</w:t>
            </w:r>
          </w:p>
        </w:tc>
        <w:tc>
          <w:tcPr>
            <w:tcW w:w="442" w:type="pct"/>
            <w:tcBorders>
              <w:top w:val="single" w:color="auto" w:sz="4" w:space="0"/>
              <w:left w:val="single" w:color="000000" w:sz="4" w:space="0"/>
              <w:bottom w:val="single" w:color="000000" w:sz="4" w:space="0"/>
              <w:right w:val="single" w:color="000000" w:sz="4" w:space="0"/>
            </w:tcBorders>
            <w:shd w:val="clear" w:color="auto" w:fill="FFFFFF"/>
            <w:noWrap/>
            <w:vAlign w:val="center"/>
          </w:tcPr>
          <w:p w14:paraId="34A95E3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编码</w:t>
            </w:r>
          </w:p>
        </w:tc>
        <w:tc>
          <w:tcPr>
            <w:tcW w:w="1235" w:type="pct"/>
            <w:tcBorders>
              <w:top w:val="single" w:color="auto" w:sz="4" w:space="0"/>
              <w:left w:val="single" w:color="000000" w:sz="4" w:space="0"/>
              <w:bottom w:val="single" w:color="000000" w:sz="4" w:space="0"/>
              <w:right w:val="single" w:color="000000" w:sz="4" w:space="0"/>
            </w:tcBorders>
            <w:shd w:val="clear" w:color="auto" w:fill="FFFFFF"/>
            <w:noWrap/>
            <w:vAlign w:val="center"/>
          </w:tcPr>
          <w:p w14:paraId="3381867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名称</w:t>
            </w:r>
          </w:p>
        </w:tc>
        <w:tc>
          <w:tcPr>
            <w:tcW w:w="361" w:type="pct"/>
            <w:vMerge w:val="continue"/>
            <w:tcBorders>
              <w:left w:val="single" w:color="000000" w:sz="4" w:space="0"/>
              <w:bottom w:val="single" w:color="000000" w:sz="4" w:space="0"/>
              <w:right w:val="single" w:color="000000" w:sz="4" w:space="0"/>
            </w:tcBorders>
            <w:shd w:val="clear" w:color="auto" w:fill="FFFFFF"/>
            <w:noWrap/>
            <w:vAlign w:val="center"/>
          </w:tcPr>
          <w:p w14:paraId="45E4B4D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373" w:type="pct"/>
            <w:vMerge w:val="continue"/>
            <w:tcBorders>
              <w:left w:val="single" w:color="000000" w:sz="4" w:space="0"/>
              <w:bottom w:val="single" w:color="000000" w:sz="4" w:space="0"/>
              <w:right w:val="single" w:color="000000" w:sz="4" w:space="0"/>
            </w:tcBorders>
            <w:shd w:val="clear" w:color="auto" w:fill="FFFFFF"/>
            <w:noWrap/>
            <w:vAlign w:val="center"/>
          </w:tcPr>
          <w:p w14:paraId="6D7A999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756" w:type="pct"/>
            <w:vMerge w:val="continue"/>
            <w:tcBorders>
              <w:left w:val="single" w:color="000000" w:sz="4" w:space="0"/>
              <w:bottom w:val="single" w:color="000000" w:sz="4" w:space="0"/>
              <w:right w:val="single" w:color="000000" w:sz="4" w:space="0"/>
            </w:tcBorders>
            <w:shd w:val="clear" w:color="auto" w:fill="FFFFFF"/>
            <w:noWrap/>
            <w:vAlign w:val="center"/>
          </w:tcPr>
          <w:p w14:paraId="72A5911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1387" w:type="pct"/>
            <w:vMerge w:val="continue"/>
            <w:tcBorders>
              <w:left w:val="single" w:color="000000" w:sz="4" w:space="0"/>
              <w:bottom w:val="single" w:color="000000" w:sz="4" w:space="0"/>
              <w:right w:val="single" w:color="000000" w:sz="12" w:space="0"/>
            </w:tcBorders>
            <w:shd w:val="clear" w:color="auto" w:fill="FFFFFF"/>
            <w:noWrap/>
            <w:vAlign w:val="center"/>
          </w:tcPr>
          <w:p w14:paraId="6F53AA9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r>
      <w:tr w14:paraId="5328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43" w:type="pct"/>
            <w:vMerge w:val="restart"/>
            <w:tcBorders>
              <w:top w:val="single" w:color="000000" w:sz="12" w:space="0"/>
              <w:left w:val="single" w:color="000000" w:sz="12" w:space="0"/>
              <w:right w:val="single" w:color="000000" w:sz="4" w:space="0"/>
              <w:tl2br w:val="nil"/>
            </w:tcBorders>
            <w:shd w:val="clear" w:color="auto" w:fill="FFFFFF"/>
            <w:noWrap/>
            <w:vAlign w:val="center"/>
          </w:tcPr>
          <w:p w14:paraId="7D61400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工业涂装</w:t>
            </w:r>
          </w:p>
        </w:tc>
        <w:tc>
          <w:tcPr>
            <w:tcW w:w="442"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2EAA11A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C34</w:t>
            </w:r>
          </w:p>
        </w:tc>
        <w:tc>
          <w:tcPr>
            <w:tcW w:w="1235"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3E9CDE6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生产专用车辆制造</w:t>
            </w:r>
          </w:p>
        </w:tc>
        <w:tc>
          <w:tcPr>
            <w:tcW w:w="361"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658A62F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373"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5D47D12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3</w:t>
            </w:r>
          </w:p>
        </w:tc>
        <w:tc>
          <w:tcPr>
            <w:tcW w:w="756"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77FA914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0.015</w:t>
            </w:r>
          </w:p>
        </w:tc>
        <w:tc>
          <w:tcPr>
            <w:tcW w:w="1387" w:type="pct"/>
            <w:tcBorders>
              <w:top w:val="single" w:color="000000" w:sz="12" w:space="0"/>
              <w:left w:val="single" w:color="000000" w:sz="4" w:space="0"/>
              <w:bottom w:val="single" w:color="000000" w:sz="4" w:space="0"/>
              <w:right w:val="single" w:color="000000" w:sz="12" w:space="0"/>
            </w:tcBorders>
            <w:shd w:val="clear" w:color="auto" w:fill="FFFFFF"/>
            <w:noWrap/>
            <w:vAlign w:val="center"/>
          </w:tcPr>
          <w:p w14:paraId="12B0FAB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底漆、面漆喷涂</w:t>
            </w:r>
          </w:p>
        </w:tc>
      </w:tr>
      <w:tr w14:paraId="0A63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443" w:type="pct"/>
            <w:vMerge w:val="continue"/>
            <w:tcBorders>
              <w:left w:val="single" w:color="000000" w:sz="12" w:space="0"/>
              <w:right w:val="single" w:color="000000" w:sz="4" w:space="0"/>
            </w:tcBorders>
            <w:shd w:val="clear" w:color="auto" w:fill="FFFFFF"/>
            <w:noWrap/>
            <w:vAlign w:val="center"/>
          </w:tcPr>
          <w:p w14:paraId="03583F87">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B80D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C38</w:t>
            </w:r>
          </w:p>
        </w:tc>
        <w:tc>
          <w:tcPr>
            <w:tcW w:w="1235"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BC1213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发电机及发电机组制造</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3CAA2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73D31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7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E75DE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0.129</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1.76</w:t>
            </w:r>
          </w:p>
        </w:tc>
        <w:tc>
          <w:tcPr>
            <w:tcW w:w="1387"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3D727B8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调漆间、辊涂烘干房</w:t>
            </w:r>
          </w:p>
        </w:tc>
      </w:tr>
      <w:tr w14:paraId="2827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443" w:type="pct"/>
            <w:vMerge w:val="continue"/>
            <w:tcBorders>
              <w:left w:val="single" w:color="000000" w:sz="12" w:space="0"/>
              <w:bottom w:val="single" w:color="000000" w:sz="4" w:space="0"/>
              <w:right w:val="single" w:color="000000" w:sz="4" w:space="0"/>
            </w:tcBorders>
            <w:shd w:val="clear" w:color="auto" w:fill="FFFFFF"/>
            <w:noWrap/>
            <w:vAlign w:val="center"/>
          </w:tcPr>
          <w:p w14:paraId="65475986">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4D479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lang w:val="en-US"/>
              </w:rPr>
            </w:pPr>
            <w:r>
              <w:rPr>
                <w:rFonts w:hint="default" w:ascii="Times New Roman" w:hAnsi="Times New Roman" w:eastAsia="宋体" w:cs="Times New Roman"/>
                <w:b w:val="0"/>
                <w:i w:val="0"/>
                <w:iCs w:val="0"/>
                <w:color w:val="auto"/>
                <w:kern w:val="0"/>
                <w:sz w:val="18"/>
                <w:szCs w:val="18"/>
                <w:highlight w:val="none"/>
                <w:u w:val="none"/>
                <w:lang w:val="en-US" w:eastAsia="zh-CN" w:bidi="ar"/>
              </w:rPr>
              <w:t>O81</w:t>
            </w:r>
            <w:r>
              <w:rPr>
                <w:rFonts w:hint="eastAsia" w:cs="Times New Roman"/>
                <w:b w:val="0"/>
                <w:i w:val="0"/>
                <w:iCs w:val="0"/>
                <w:color w:val="auto"/>
                <w:kern w:val="0"/>
                <w:sz w:val="18"/>
                <w:szCs w:val="18"/>
                <w:highlight w:val="none"/>
                <w:u w:val="none"/>
                <w:lang w:val="en-US" w:eastAsia="zh-CN" w:bidi="ar"/>
              </w:rPr>
              <w:t>1</w:t>
            </w:r>
          </w:p>
        </w:tc>
        <w:tc>
          <w:tcPr>
            <w:tcW w:w="12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8CAD9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汽车修理与维护</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7680C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6</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D8FC1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6</w:t>
            </w:r>
          </w:p>
        </w:tc>
        <w:tc>
          <w:tcPr>
            <w:tcW w:w="7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46121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0.04</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0.82</w:t>
            </w:r>
          </w:p>
        </w:tc>
        <w:tc>
          <w:tcPr>
            <w:tcW w:w="1387"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EBC1FA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喷、烤漆房</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中涂车间</w:t>
            </w:r>
          </w:p>
        </w:tc>
      </w:tr>
      <w:tr w14:paraId="045A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443"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1BF1C9F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化工</w:t>
            </w:r>
          </w:p>
        </w:tc>
        <w:tc>
          <w:tcPr>
            <w:tcW w:w="4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9D38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C26</w:t>
            </w:r>
          </w:p>
        </w:tc>
        <w:tc>
          <w:tcPr>
            <w:tcW w:w="12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D2C0D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涂料制造</w:t>
            </w:r>
          </w:p>
        </w:tc>
        <w:tc>
          <w:tcPr>
            <w:tcW w:w="3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D9012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3</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1CE4D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6</w:t>
            </w:r>
          </w:p>
        </w:tc>
        <w:tc>
          <w:tcPr>
            <w:tcW w:w="7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A30D3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0.034</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2.82</w:t>
            </w:r>
          </w:p>
        </w:tc>
        <w:tc>
          <w:tcPr>
            <w:tcW w:w="1387"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41BBF6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分散机、调漆罐、热熔釜、配料罐、搅拌机</w:t>
            </w:r>
          </w:p>
        </w:tc>
      </w:tr>
      <w:tr w14:paraId="11739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43" w:type="pct"/>
            <w:tcBorders>
              <w:top w:val="single" w:color="000000" w:sz="4" w:space="0"/>
              <w:left w:val="single" w:color="000000" w:sz="12" w:space="0"/>
              <w:bottom w:val="single" w:color="000000" w:sz="12" w:space="0"/>
              <w:right w:val="single" w:color="auto" w:sz="4" w:space="0"/>
            </w:tcBorders>
            <w:shd w:val="clear" w:color="auto" w:fill="FFFFFF"/>
            <w:noWrap/>
            <w:vAlign w:val="center"/>
          </w:tcPr>
          <w:p w14:paraId="48CE9F2D">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kern w:val="0"/>
                <w:sz w:val="18"/>
                <w:szCs w:val="18"/>
                <w:highlight w:val="none"/>
                <w:u w:val="none"/>
                <w:lang w:val="en-US" w:eastAsia="zh-CN" w:bidi="ar"/>
              </w:rPr>
              <w:t>合计</w:t>
            </w:r>
          </w:p>
        </w:tc>
        <w:tc>
          <w:tcPr>
            <w:tcW w:w="1677" w:type="pct"/>
            <w:gridSpan w:val="2"/>
            <w:tcBorders>
              <w:top w:val="single" w:color="000000" w:sz="4" w:space="0"/>
              <w:left w:val="single" w:color="auto" w:sz="4" w:space="0"/>
              <w:bottom w:val="single" w:color="000000" w:sz="12" w:space="0"/>
              <w:right w:val="single" w:color="000000" w:sz="4" w:space="0"/>
            </w:tcBorders>
            <w:shd w:val="clear" w:color="auto" w:fill="FFFFFF"/>
            <w:noWrap/>
            <w:vAlign w:val="center"/>
          </w:tcPr>
          <w:p w14:paraId="61D6CBE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4</w:t>
            </w:r>
          </w:p>
        </w:tc>
        <w:tc>
          <w:tcPr>
            <w:tcW w:w="361"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68A8319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11</w:t>
            </w:r>
          </w:p>
        </w:tc>
        <w:tc>
          <w:tcPr>
            <w:tcW w:w="373"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4A49883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17</w:t>
            </w:r>
          </w:p>
        </w:tc>
        <w:tc>
          <w:tcPr>
            <w:tcW w:w="756"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2A18716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0.015</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2.82</w:t>
            </w:r>
          </w:p>
        </w:tc>
        <w:tc>
          <w:tcPr>
            <w:tcW w:w="1387" w:type="pct"/>
            <w:tcBorders>
              <w:top w:val="single" w:color="000000" w:sz="4" w:space="0"/>
              <w:left w:val="single" w:color="000000" w:sz="4" w:space="0"/>
              <w:bottom w:val="single" w:color="000000" w:sz="12" w:space="0"/>
              <w:right w:val="single" w:color="000000" w:sz="12" w:space="0"/>
            </w:tcBorders>
            <w:shd w:val="clear" w:color="auto" w:fill="FFFFFF"/>
            <w:noWrap/>
            <w:vAlign w:val="center"/>
          </w:tcPr>
          <w:p w14:paraId="123EEAF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w:t>
            </w:r>
          </w:p>
        </w:tc>
      </w:tr>
    </w:tbl>
    <w:p w14:paraId="3206D66E">
      <w:pPr>
        <w:shd w:val="clear"/>
        <w:rPr>
          <w:rFonts w:hint="default" w:ascii="Times New Roman" w:hAnsi="Times New Roman" w:cs="Times New Roman"/>
          <w:color w:val="auto"/>
          <w:highlight w:val="none"/>
          <w:lang w:val="en-US" w:eastAsia="zh-CN"/>
        </w:rPr>
      </w:pPr>
    </w:p>
    <w:p w14:paraId="4D8A3A40">
      <w:pPr>
        <w:pStyle w:val="129"/>
        <w:shd w:val="clear"/>
        <w:bidi w:val="0"/>
        <w:outlineLvl w:val="4"/>
        <w:rPr>
          <w:rFonts w:hint="default"/>
          <w:lang w:val="en-US" w:eastAsia="zh-CN"/>
        </w:rPr>
      </w:pPr>
      <w:bookmarkStart w:id="113" w:name="_Ref5947"/>
      <w:r>
        <w:t>表</w:t>
      </w:r>
      <w:r>
        <w:fldChar w:fldCharType="begin"/>
      </w:r>
      <w:r>
        <w:instrText xml:space="preserve"> SEQ 表 \* ARABIC </w:instrText>
      </w:r>
      <w:r>
        <w:fldChar w:fldCharType="separate"/>
      </w:r>
      <w:r>
        <w:t>11</w:t>
      </w:r>
      <w:r>
        <w:fldChar w:fldCharType="end"/>
      </w:r>
      <w:bookmarkEnd w:id="113"/>
      <w:r>
        <w:rPr>
          <w:rFonts w:hint="eastAsia"/>
          <w:lang w:val="en-US" w:eastAsia="zh-CN"/>
        </w:rPr>
        <w:t xml:space="preserve"> </w:t>
      </w:r>
      <w:r>
        <w:rPr>
          <w:rFonts w:hint="default"/>
          <w:lang w:val="en-US" w:eastAsia="zh-CN"/>
        </w:rPr>
        <w:t>非甲烷总烃的监督性监测数据分布情况</w:t>
      </w:r>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4"/>
        <w:gridCol w:w="780"/>
        <w:gridCol w:w="2152"/>
        <w:gridCol w:w="683"/>
        <w:gridCol w:w="690"/>
        <w:gridCol w:w="1399"/>
        <w:gridCol w:w="2565"/>
      </w:tblGrid>
      <w:tr w14:paraId="77EAD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blHeader/>
        </w:trPr>
        <w:tc>
          <w:tcPr>
            <w:tcW w:w="2112" w:type="pct"/>
            <w:gridSpan w:val="3"/>
            <w:tcBorders>
              <w:top w:val="single" w:color="000000" w:sz="12" w:space="0"/>
              <w:left w:val="single" w:color="000000" w:sz="12" w:space="0"/>
              <w:bottom w:val="single" w:color="auto" w:sz="4" w:space="0"/>
              <w:right w:val="single" w:color="000000" w:sz="4" w:space="0"/>
              <w:tl2br w:val="nil"/>
            </w:tcBorders>
            <w:shd w:val="clear" w:color="auto" w:fill="FFFFFF"/>
            <w:noWrap/>
            <w:vAlign w:val="center"/>
          </w:tcPr>
          <w:p w14:paraId="3ADEE6D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cs="Times New Roman"/>
                <w:b w:val="0"/>
                <w:i w:val="0"/>
                <w:iCs w:val="0"/>
                <w:color w:val="auto"/>
                <w:kern w:val="0"/>
                <w:sz w:val="18"/>
                <w:szCs w:val="18"/>
                <w:highlight w:val="none"/>
                <w:u w:val="none"/>
                <w:lang w:val="en-US" w:eastAsia="zh-CN" w:bidi="ar"/>
              </w:rPr>
              <w:t>行业基本情况</w:t>
            </w:r>
          </w:p>
        </w:tc>
        <w:tc>
          <w:tcPr>
            <w:tcW w:w="369" w:type="pct"/>
            <w:vMerge w:val="restart"/>
            <w:tcBorders>
              <w:top w:val="single" w:color="000000" w:sz="12" w:space="0"/>
              <w:left w:val="single" w:color="000000" w:sz="4" w:space="0"/>
              <w:right w:val="single" w:color="000000" w:sz="4" w:space="0"/>
            </w:tcBorders>
            <w:shd w:val="clear" w:color="auto" w:fill="FFFFFF"/>
            <w:noWrap/>
            <w:vAlign w:val="center"/>
          </w:tcPr>
          <w:p w14:paraId="21D9F7A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企业数量</w:t>
            </w:r>
          </w:p>
        </w:tc>
        <w:tc>
          <w:tcPr>
            <w:tcW w:w="373" w:type="pct"/>
            <w:vMerge w:val="restart"/>
            <w:tcBorders>
              <w:top w:val="single" w:color="000000" w:sz="12" w:space="0"/>
              <w:left w:val="single" w:color="000000" w:sz="4" w:space="0"/>
              <w:right w:val="single" w:color="000000" w:sz="4" w:space="0"/>
            </w:tcBorders>
            <w:shd w:val="clear" w:color="auto" w:fill="FFFFFF"/>
            <w:noWrap/>
            <w:vAlign w:val="center"/>
          </w:tcPr>
          <w:p w14:paraId="20DC085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监测数据</w:t>
            </w:r>
          </w:p>
        </w:tc>
        <w:tc>
          <w:tcPr>
            <w:tcW w:w="756" w:type="pct"/>
            <w:vMerge w:val="restart"/>
            <w:tcBorders>
              <w:top w:val="single" w:color="000000" w:sz="12" w:space="0"/>
              <w:left w:val="single" w:color="000000" w:sz="4" w:space="0"/>
              <w:right w:val="single" w:color="000000" w:sz="4" w:space="0"/>
            </w:tcBorders>
            <w:shd w:val="clear" w:color="auto" w:fill="FFFFFF"/>
            <w:noWrap/>
            <w:vAlign w:val="center"/>
          </w:tcPr>
          <w:p w14:paraId="3FDA6CA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浓度</w:t>
            </w:r>
            <w:r>
              <w:rPr>
                <w:rFonts w:hint="eastAsia" w:cs="Times New Roman"/>
                <w:b w:val="0"/>
                <w:i w:val="0"/>
                <w:iCs w:val="0"/>
                <w:color w:val="auto"/>
                <w:kern w:val="0"/>
                <w:sz w:val="18"/>
                <w:szCs w:val="18"/>
                <w:highlight w:val="none"/>
                <w:u w:val="none"/>
                <w:lang w:val="en-US" w:eastAsia="zh-CN" w:bidi="ar"/>
              </w:rPr>
              <w:t>范围</w:t>
            </w:r>
            <w:r>
              <w:rPr>
                <w:rFonts w:hint="default" w:ascii="Times New Roman" w:hAnsi="Times New Roman" w:eastAsia="宋体" w:cs="Times New Roman"/>
                <w:b w:val="0"/>
                <w:i w:val="0"/>
                <w:iCs w:val="0"/>
                <w:color w:val="auto"/>
                <w:kern w:val="0"/>
                <w:sz w:val="18"/>
                <w:szCs w:val="18"/>
                <w:highlight w:val="none"/>
                <w:u w:val="none"/>
                <w:lang w:val="en-US" w:eastAsia="zh-CN" w:bidi="ar"/>
              </w:rPr>
              <w:br w:type="textWrapping"/>
            </w:r>
            <w:r>
              <w:rPr>
                <w:rFonts w:hint="eastAsia" w:ascii="Times New Roman" w:hAnsi="Times New Roman" w:cs="Times New Roman"/>
                <w:b w:val="0"/>
                <w:i w:val="0"/>
                <w:iCs w:val="0"/>
                <w:color w:val="auto"/>
                <w:kern w:val="0"/>
                <w:sz w:val="18"/>
                <w:szCs w:val="18"/>
                <w:highlight w:val="none"/>
                <w:u w:val="none"/>
                <w:lang w:val="en-US" w:eastAsia="zh-CN" w:bidi="ar"/>
              </w:rPr>
              <w:t>（mg/m</w:t>
            </w:r>
            <w:r>
              <w:rPr>
                <w:rFonts w:hint="eastAsia" w:ascii="Times New Roman" w:hAnsi="Times New Roman" w:cs="Times New Roman"/>
                <w:b w:val="0"/>
                <w:i w:val="0"/>
                <w:iCs w:val="0"/>
                <w:color w:val="auto"/>
                <w:kern w:val="0"/>
                <w:sz w:val="18"/>
                <w:szCs w:val="18"/>
                <w:highlight w:val="none"/>
                <w:u w:val="none"/>
                <w:vertAlign w:val="superscript"/>
                <w:lang w:val="en-US" w:eastAsia="zh-CN" w:bidi="ar"/>
              </w:rPr>
              <w:t>3</w:t>
            </w:r>
            <w:r>
              <w:rPr>
                <w:rFonts w:hint="eastAsia" w:ascii="Times New Roman" w:hAnsi="Times New Roman" w:cs="Times New Roman"/>
                <w:b w:val="0"/>
                <w:i w:val="0"/>
                <w:iCs w:val="0"/>
                <w:color w:val="auto"/>
                <w:kern w:val="0"/>
                <w:sz w:val="18"/>
                <w:szCs w:val="18"/>
                <w:highlight w:val="none"/>
                <w:u w:val="none"/>
                <w:lang w:val="en-US" w:eastAsia="zh-CN" w:bidi="ar"/>
              </w:rPr>
              <w:t>）</w:t>
            </w:r>
          </w:p>
        </w:tc>
        <w:tc>
          <w:tcPr>
            <w:tcW w:w="1387" w:type="pct"/>
            <w:vMerge w:val="restart"/>
            <w:tcBorders>
              <w:top w:val="single" w:color="000000" w:sz="12" w:space="0"/>
              <w:left w:val="single" w:color="000000" w:sz="4" w:space="0"/>
              <w:right w:val="single" w:color="000000" w:sz="12" w:space="0"/>
            </w:tcBorders>
            <w:shd w:val="clear" w:color="auto" w:fill="FFFFFF"/>
            <w:noWrap/>
            <w:vAlign w:val="center"/>
          </w:tcPr>
          <w:p w14:paraId="1DD2689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涉及设备\工艺</w:t>
            </w:r>
          </w:p>
        </w:tc>
      </w:tr>
      <w:tr w14:paraId="7F676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blHeader/>
        </w:trPr>
        <w:tc>
          <w:tcPr>
            <w:tcW w:w="526" w:type="pct"/>
            <w:tcBorders>
              <w:top w:val="single" w:color="auto" w:sz="4" w:space="0"/>
              <w:left w:val="single" w:color="000000" w:sz="12" w:space="0"/>
              <w:bottom w:val="single" w:color="000000" w:sz="4" w:space="0"/>
              <w:right w:val="single" w:color="000000" w:sz="4" w:space="0"/>
              <w:tl2br w:val="nil"/>
            </w:tcBorders>
            <w:shd w:val="clear" w:color="auto" w:fill="FFFFFF"/>
            <w:noWrap/>
            <w:vAlign w:val="center"/>
          </w:tcPr>
          <w:p w14:paraId="1B500B8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分类</w:t>
            </w:r>
          </w:p>
        </w:tc>
        <w:tc>
          <w:tcPr>
            <w:tcW w:w="421" w:type="pct"/>
            <w:tcBorders>
              <w:top w:val="single" w:color="auto" w:sz="4" w:space="0"/>
              <w:left w:val="single" w:color="000000" w:sz="4" w:space="0"/>
              <w:bottom w:val="single" w:color="000000" w:sz="4" w:space="0"/>
              <w:right w:val="single" w:color="000000" w:sz="4" w:space="0"/>
            </w:tcBorders>
            <w:shd w:val="clear" w:color="auto" w:fill="FFFFFF"/>
            <w:noWrap/>
            <w:vAlign w:val="center"/>
          </w:tcPr>
          <w:p w14:paraId="0763AA7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编码</w:t>
            </w:r>
          </w:p>
        </w:tc>
        <w:tc>
          <w:tcPr>
            <w:tcW w:w="1164" w:type="pct"/>
            <w:tcBorders>
              <w:top w:val="single" w:color="auto" w:sz="4" w:space="0"/>
              <w:left w:val="single" w:color="000000" w:sz="4" w:space="0"/>
              <w:bottom w:val="single" w:color="000000" w:sz="4" w:space="0"/>
              <w:right w:val="single" w:color="000000" w:sz="4" w:space="0"/>
            </w:tcBorders>
            <w:shd w:val="clear" w:color="auto" w:fill="FFFFFF"/>
            <w:noWrap/>
            <w:vAlign w:val="center"/>
          </w:tcPr>
          <w:p w14:paraId="76AAD59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名称</w:t>
            </w:r>
          </w:p>
        </w:tc>
        <w:tc>
          <w:tcPr>
            <w:tcW w:w="369" w:type="pct"/>
            <w:vMerge w:val="continue"/>
            <w:tcBorders>
              <w:left w:val="single" w:color="000000" w:sz="4" w:space="0"/>
              <w:bottom w:val="single" w:color="000000" w:sz="4" w:space="0"/>
              <w:right w:val="single" w:color="000000" w:sz="4" w:space="0"/>
            </w:tcBorders>
            <w:shd w:val="clear" w:color="auto" w:fill="FFFFFF"/>
            <w:noWrap/>
            <w:vAlign w:val="center"/>
          </w:tcPr>
          <w:p w14:paraId="097BC92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373" w:type="pct"/>
            <w:vMerge w:val="continue"/>
            <w:tcBorders>
              <w:left w:val="single" w:color="000000" w:sz="4" w:space="0"/>
              <w:bottom w:val="single" w:color="000000" w:sz="4" w:space="0"/>
              <w:right w:val="single" w:color="000000" w:sz="4" w:space="0"/>
            </w:tcBorders>
            <w:shd w:val="clear" w:color="auto" w:fill="FFFFFF"/>
            <w:noWrap/>
            <w:vAlign w:val="center"/>
          </w:tcPr>
          <w:p w14:paraId="21F3311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756" w:type="pct"/>
            <w:vMerge w:val="continue"/>
            <w:tcBorders>
              <w:left w:val="single" w:color="000000" w:sz="4" w:space="0"/>
              <w:bottom w:val="single" w:color="000000" w:sz="4" w:space="0"/>
              <w:right w:val="single" w:color="000000" w:sz="4" w:space="0"/>
            </w:tcBorders>
            <w:shd w:val="clear" w:color="auto" w:fill="FFFFFF"/>
            <w:noWrap/>
            <w:vAlign w:val="center"/>
          </w:tcPr>
          <w:p w14:paraId="5EDF3F2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1387" w:type="pct"/>
            <w:vMerge w:val="continue"/>
            <w:tcBorders>
              <w:left w:val="single" w:color="000000" w:sz="4" w:space="0"/>
              <w:bottom w:val="single" w:color="000000" w:sz="4" w:space="0"/>
              <w:right w:val="single" w:color="000000" w:sz="12" w:space="0"/>
            </w:tcBorders>
            <w:shd w:val="clear" w:color="auto" w:fill="FFFFFF"/>
            <w:noWrap/>
            <w:vAlign w:val="center"/>
          </w:tcPr>
          <w:p w14:paraId="722E525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r>
      <w:tr w14:paraId="710B9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26" w:type="pct"/>
            <w:vMerge w:val="restart"/>
            <w:tcBorders>
              <w:top w:val="single" w:color="000000" w:sz="12" w:space="0"/>
              <w:left w:val="single" w:color="000000" w:sz="12" w:space="0"/>
              <w:right w:val="single" w:color="000000" w:sz="4" w:space="0"/>
              <w:tl2br w:val="nil"/>
            </w:tcBorders>
            <w:shd w:val="clear" w:color="auto" w:fill="FFFFFF"/>
            <w:noWrap/>
            <w:vAlign w:val="center"/>
          </w:tcPr>
          <w:p w14:paraId="6F6DB6D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工业涂装</w:t>
            </w:r>
          </w:p>
        </w:tc>
        <w:tc>
          <w:tcPr>
            <w:tcW w:w="421"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7BCF5C1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C21</w:t>
            </w:r>
          </w:p>
        </w:tc>
        <w:tc>
          <w:tcPr>
            <w:tcW w:w="1164"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41307DF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木质家具制造</w:t>
            </w:r>
          </w:p>
        </w:tc>
        <w:tc>
          <w:tcPr>
            <w:tcW w:w="369"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3857D42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373"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3555652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756"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3DEAEFE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5.2</w:t>
            </w:r>
          </w:p>
        </w:tc>
        <w:tc>
          <w:tcPr>
            <w:tcW w:w="1387" w:type="pct"/>
            <w:tcBorders>
              <w:top w:val="single" w:color="000000" w:sz="12" w:space="0"/>
              <w:left w:val="single" w:color="000000" w:sz="4" w:space="0"/>
              <w:bottom w:val="single" w:color="000000" w:sz="4" w:space="0"/>
              <w:right w:val="single" w:color="000000" w:sz="12" w:space="0"/>
            </w:tcBorders>
            <w:shd w:val="clear" w:color="auto" w:fill="FFFFFF"/>
            <w:noWrap/>
            <w:vAlign w:val="center"/>
          </w:tcPr>
          <w:p w14:paraId="7F2EB20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调漆间</w:t>
            </w:r>
          </w:p>
        </w:tc>
      </w:tr>
      <w:tr w14:paraId="43BC7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526" w:type="pct"/>
            <w:vMerge w:val="continue"/>
            <w:tcBorders>
              <w:left w:val="single" w:color="000000" w:sz="12" w:space="0"/>
              <w:right w:val="single" w:color="000000" w:sz="4" w:space="0"/>
            </w:tcBorders>
            <w:shd w:val="clear" w:color="auto" w:fill="FFFFFF"/>
            <w:noWrap/>
            <w:vAlign w:val="center"/>
          </w:tcPr>
          <w:p w14:paraId="09A3B5FB">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E4729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C32</w:t>
            </w:r>
          </w:p>
        </w:tc>
        <w:tc>
          <w:tcPr>
            <w:tcW w:w="116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5C323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铝压延加工、有色金属合金制造</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BD74A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C3DD4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7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67F46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0.17</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0.74</w:t>
            </w:r>
          </w:p>
        </w:tc>
        <w:tc>
          <w:tcPr>
            <w:tcW w:w="1387"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3B517D7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UV光氧一体机、有组织废气</w:t>
            </w:r>
          </w:p>
        </w:tc>
      </w:tr>
      <w:tr w14:paraId="00FBD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26" w:type="pct"/>
            <w:vMerge w:val="continue"/>
            <w:tcBorders>
              <w:left w:val="single" w:color="000000" w:sz="12" w:space="0"/>
              <w:right w:val="single" w:color="000000" w:sz="4" w:space="0"/>
            </w:tcBorders>
            <w:shd w:val="clear" w:color="auto" w:fill="FFFFFF"/>
            <w:noWrap/>
            <w:vAlign w:val="center"/>
          </w:tcPr>
          <w:p w14:paraId="0AFCDAB0">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541F6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C34</w:t>
            </w:r>
          </w:p>
        </w:tc>
        <w:tc>
          <w:tcPr>
            <w:tcW w:w="116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0E66C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生产专用车辆制造</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04D27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AA637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3</w:t>
            </w:r>
          </w:p>
        </w:tc>
        <w:tc>
          <w:tcPr>
            <w:tcW w:w="7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68E28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0.54</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41.6</w:t>
            </w:r>
          </w:p>
        </w:tc>
        <w:tc>
          <w:tcPr>
            <w:tcW w:w="1387"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974460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底漆、面漆涂装</w:t>
            </w:r>
          </w:p>
        </w:tc>
      </w:tr>
      <w:tr w14:paraId="62422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526" w:type="pct"/>
            <w:vMerge w:val="continue"/>
            <w:tcBorders>
              <w:left w:val="single" w:color="000000" w:sz="12" w:space="0"/>
              <w:right w:val="single" w:color="000000" w:sz="4" w:space="0"/>
            </w:tcBorders>
            <w:shd w:val="clear" w:color="auto" w:fill="FFFFFF"/>
            <w:noWrap/>
            <w:vAlign w:val="center"/>
          </w:tcPr>
          <w:p w14:paraId="395508FF">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5E385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C36</w:t>
            </w:r>
          </w:p>
        </w:tc>
        <w:tc>
          <w:tcPr>
            <w:tcW w:w="116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DFC5E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汽车整车制造、汽车零部件及配件制造</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8549C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BF25E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5</w:t>
            </w:r>
          </w:p>
        </w:tc>
        <w:tc>
          <w:tcPr>
            <w:tcW w:w="7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E6AE7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0.45</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2.08</w:t>
            </w:r>
          </w:p>
        </w:tc>
        <w:tc>
          <w:tcPr>
            <w:tcW w:w="1387" w:type="pct"/>
            <w:tcBorders>
              <w:top w:val="single" w:color="000000" w:sz="4" w:space="0"/>
              <w:left w:val="single" w:color="000000" w:sz="4" w:space="0"/>
              <w:bottom w:val="single" w:color="000000" w:sz="4" w:space="0"/>
              <w:right w:val="single" w:color="000000" w:sz="12" w:space="0"/>
            </w:tcBorders>
            <w:shd w:val="clear" w:color="auto" w:fill="FFFFFF"/>
            <w:noWrap/>
            <w:vAlign w:val="bottom"/>
          </w:tcPr>
          <w:p w14:paraId="7211798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电机工厂浸漆、保险杠喷漆、车桥厂、乘用车整车喷涂及烘干</w:t>
            </w:r>
          </w:p>
        </w:tc>
      </w:tr>
      <w:tr w14:paraId="25668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26" w:type="pct"/>
            <w:vMerge w:val="continue"/>
            <w:tcBorders>
              <w:left w:val="single" w:color="000000" w:sz="12" w:space="0"/>
              <w:right w:val="single" w:color="000000" w:sz="4" w:space="0"/>
            </w:tcBorders>
            <w:shd w:val="clear" w:color="auto" w:fill="FFFFFF"/>
            <w:noWrap/>
            <w:vAlign w:val="center"/>
          </w:tcPr>
          <w:p w14:paraId="4B82982A">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6CCE0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C37</w:t>
            </w:r>
          </w:p>
        </w:tc>
        <w:tc>
          <w:tcPr>
            <w:tcW w:w="1164"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2D67681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铁路专用设备及器材、配件制造</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6C259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4E000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7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A7A88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0.23</w:t>
            </w:r>
          </w:p>
        </w:tc>
        <w:tc>
          <w:tcPr>
            <w:tcW w:w="1387" w:type="pct"/>
            <w:tcBorders>
              <w:top w:val="single" w:color="000000" w:sz="4" w:space="0"/>
              <w:left w:val="single" w:color="000000" w:sz="4" w:space="0"/>
              <w:bottom w:val="single" w:color="000000" w:sz="4" w:space="0"/>
              <w:right w:val="single" w:color="000000" w:sz="12" w:space="0"/>
            </w:tcBorders>
            <w:shd w:val="clear" w:color="auto" w:fill="FFFFFF"/>
            <w:noWrap/>
            <w:vAlign w:val="bottom"/>
          </w:tcPr>
          <w:p w14:paraId="261A716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电热恒温干燥箱</w:t>
            </w:r>
          </w:p>
        </w:tc>
      </w:tr>
      <w:tr w14:paraId="36C16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26" w:type="pct"/>
            <w:vMerge w:val="continue"/>
            <w:tcBorders>
              <w:left w:val="single" w:color="000000" w:sz="12" w:space="0"/>
              <w:right w:val="single" w:color="000000" w:sz="4" w:space="0"/>
            </w:tcBorders>
            <w:shd w:val="clear" w:color="auto" w:fill="FFFFFF"/>
            <w:noWrap/>
            <w:vAlign w:val="center"/>
          </w:tcPr>
          <w:p w14:paraId="1C137D85">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3A11C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C38</w:t>
            </w:r>
          </w:p>
        </w:tc>
        <w:tc>
          <w:tcPr>
            <w:tcW w:w="116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AFE98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锂离子电池制造、绝缘制品制造、发电机及发电机组制造</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77245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3</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913D3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6</w:t>
            </w:r>
          </w:p>
        </w:tc>
        <w:tc>
          <w:tcPr>
            <w:tcW w:w="7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56448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0.07</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13.9</w:t>
            </w:r>
          </w:p>
        </w:tc>
        <w:tc>
          <w:tcPr>
            <w:tcW w:w="1387"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1AE841D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涂布废气排放口、废气焚烧热风炉、活性炭净化器、调漆间、辊涂烘干房</w:t>
            </w:r>
          </w:p>
        </w:tc>
      </w:tr>
      <w:tr w14:paraId="03FA9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526" w:type="pct"/>
            <w:vMerge w:val="continue"/>
            <w:tcBorders>
              <w:left w:val="single" w:color="000000" w:sz="12" w:space="0"/>
              <w:bottom w:val="single" w:color="000000" w:sz="4" w:space="0"/>
              <w:right w:val="single" w:color="000000" w:sz="4" w:space="0"/>
            </w:tcBorders>
            <w:shd w:val="clear" w:color="auto" w:fill="FFFFFF"/>
            <w:noWrap/>
            <w:vAlign w:val="center"/>
          </w:tcPr>
          <w:p w14:paraId="5CB2C378">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87CC8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lang w:val="en-US"/>
              </w:rPr>
            </w:pPr>
            <w:r>
              <w:rPr>
                <w:rFonts w:hint="default" w:ascii="Times New Roman" w:hAnsi="Times New Roman" w:eastAsia="宋体" w:cs="Times New Roman"/>
                <w:b w:val="0"/>
                <w:i w:val="0"/>
                <w:iCs w:val="0"/>
                <w:color w:val="auto"/>
                <w:kern w:val="0"/>
                <w:sz w:val="18"/>
                <w:szCs w:val="18"/>
                <w:highlight w:val="none"/>
                <w:u w:val="none"/>
                <w:lang w:val="en-US" w:eastAsia="zh-CN" w:bidi="ar"/>
              </w:rPr>
              <w:t>O81</w:t>
            </w:r>
            <w:r>
              <w:rPr>
                <w:rFonts w:hint="eastAsia" w:cs="Times New Roman"/>
                <w:b w:val="0"/>
                <w:i w:val="0"/>
                <w:iCs w:val="0"/>
                <w:color w:val="auto"/>
                <w:kern w:val="0"/>
                <w:sz w:val="18"/>
                <w:szCs w:val="18"/>
                <w:highlight w:val="none"/>
                <w:u w:val="none"/>
                <w:lang w:val="en-US" w:eastAsia="zh-CN" w:bidi="ar"/>
              </w:rPr>
              <w:t>1</w:t>
            </w:r>
          </w:p>
        </w:tc>
        <w:tc>
          <w:tcPr>
            <w:tcW w:w="116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CA878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汽车修理与维护</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1D118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4</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AA122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4</w:t>
            </w:r>
          </w:p>
        </w:tc>
        <w:tc>
          <w:tcPr>
            <w:tcW w:w="7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006A4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0.56</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5.70</w:t>
            </w:r>
          </w:p>
        </w:tc>
        <w:tc>
          <w:tcPr>
            <w:tcW w:w="1387"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5F91F65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喷、烤漆房</w:t>
            </w:r>
          </w:p>
        </w:tc>
      </w:tr>
      <w:tr w14:paraId="18B6A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26" w:type="pct"/>
            <w:vMerge w:val="restart"/>
            <w:tcBorders>
              <w:top w:val="single" w:color="000000" w:sz="4" w:space="0"/>
              <w:left w:val="single" w:color="000000" w:sz="12" w:space="0"/>
              <w:right w:val="single" w:color="000000" w:sz="4" w:space="0"/>
            </w:tcBorders>
            <w:shd w:val="clear" w:color="auto" w:fill="FFFFFF"/>
            <w:noWrap/>
            <w:vAlign w:val="center"/>
          </w:tcPr>
          <w:p w14:paraId="7B969B1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化工</w:t>
            </w:r>
          </w:p>
        </w:tc>
        <w:tc>
          <w:tcPr>
            <w:tcW w:w="42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E33B5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C26</w:t>
            </w:r>
          </w:p>
        </w:tc>
        <w:tc>
          <w:tcPr>
            <w:tcW w:w="116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67546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涂料制造、初级形态塑料及合成树脂制造、有机化学原料制造</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6333D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42565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16</w:t>
            </w:r>
          </w:p>
        </w:tc>
        <w:tc>
          <w:tcPr>
            <w:tcW w:w="7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EE748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0.54</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8.14</w:t>
            </w:r>
          </w:p>
        </w:tc>
        <w:tc>
          <w:tcPr>
            <w:tcW w:w="1387"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10167CE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色漆车间、热炼车间、分散机、蓄热式高温焚烧氧化处理设施、VOCs活性炭+催化燃烧装置、焚烧炉等</w:t>
            </w:r>
          </w:p>
        </w:tc>
      </w:tr>
      <w:tr w14:paraId="3A82C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26" w:type="pct"/>
            <w:vMerge w:val="continue"/>
            <w:tcBorders>
              <w:left w:val="single" w:color="000000" w:sz="12" w:space="0"/>
              <w:right w:val="single" w:color="000000" w:sz="4" w:space="0"/>
            </w:tcBorders>
            <w:shd w:val="clear" w:color="auto" w:fill="FFFFFF"/>
            <w:noWrap/>
            <w:vAlign w:val="center"/>
          </w:tcPr>
          <w:p w14:paraId="797AE811">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D63D4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C27</w:t>
            </w:r>
          </w:p>
        </w:tc>
        <w:tc>
          <w:tcPr>
            <w:tcW w:w="1164"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0203A1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化学药品原料药制造</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F8774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5</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7B608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5</w:t>
            </w:r>
          </w:p>
        </w:tc>
        <w:tc>
          <w:tcPr>
            <w:tcW w:w="7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51A37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0.97</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1.55</w:t>
            </w:r>
          </w:p>
        </w:tc>
        <w:tc>
          <w:tcPr>
            <w:tcW w:w="1387"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16950E2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排气塔、结晶罐</w:t>
            </w:r>
          </w:p>
        </w:tc>
      </w:tr>
      <w:tr w14:paraId="64414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526" w:type="pct"/>
            <w:vMerge w:val="continue"/>
            <w:tcBorders>
              <w:left w:val="single" w:color="000000" w:sz="12" w:space="0"/>
              <w:bottom w:val="single" w:color="000000" w:sz="4" w:space="0"/>
              <w:right w:val="single" w:color="000000" w:sz="4" w:space="0"/>
            </w:tcBorders>
            <w:shd w:val="clear" w:color="auto" w:fill="FFFFFF"/>
            <w:noWrap/>
            <w:vAlign w:val="center"/>
          </w:tcPr>
          <w:p w14:paraId="38AD8B27">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0CD6F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C29</w:t>
            </w:r>
          </w:p>
        </w:tc>
        <w:tc>
          <w:tcPr>
            <w:tcW w:w="116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3BCA9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轮胎制造\塑料丝、绳及编织品制造\塑料薄膜制造</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62D57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4</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9CBA6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8</w:t>
            </w:r>
          </w:p>
        </w:tc>
        <w:tc>
          <w:tcPr>
            <w:tcW w:w="7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4E7CA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0.46</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4.18</w:t>
            </w:r>
          </w:p>
        </w:tc>
        <w:tc>
          <w:tcPr>
            <w:tcW w:w="1387"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753E849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挤出机、密炼机、高速涂覆机、柔板印刷机、四、六色凹版印刷机</w:t>
            </w:r>
          </w:p>
        </w:tc>
      </w:tr>
      <w:tr w14:paraId="464C4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526" w:type="pct"/>
            <w:vMerge w:val="restart"/>
            <w:tcBorders>
              <w:top w:val="single" w:color="000000" w:sz="4" w:space="0"/>
              <w:left w:val="single" w:color="000000" w:sz="12" w:space="0"/>
              <w:right w:val="single" w:color="000000" w:sz="4" w:space="0"/>
            </w:tcBorders>
            <w:shd w:val="clear" w:color="auto" w:fill="FFFFFF"/>
            <w:noWrap/>
            <w:vAlign w:val="center"/>
          </w:tcPr>
          <w:p w14:paraId="2CBA0F6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其他行业</w:t>
            </w:r>
          </w:p>
        </w:tc>
        <w:tc>
          <w:tcPr>
            <w:tcW w:w="42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7A1D0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C42</w:t>
            </w:r>
          </w:p>
        </w:tc>
        <w:tc>
          <w:tcPr>
            <w:tcW w:w="116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E4232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非金属废料和碎屑加工处理</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8D69E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0ADE7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7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FC8B4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5.89</w:t>
            </w:r>
          </w:p>
        </w:tc>
        <w:tc>
          <w:tcPr>
            <w:tcW w:w="1387"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7D16D7C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挤出机</w:t>
            </w:r>
          </w:p>
        </w:tc>
      </w:tr>
      <w:tr w14:paraId="7CF91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526" w:type="pct"/>
            <w:vMerge w:val="continue"/>
            <w:tcBorders>
              <w:left w:val="single" w:color="000000" w:sz="12" w:space="0"/>
              <w:bottom w:val="single" w:color="000000" w:sz="4" w:space="0"/>
              <w:right w:val="single" w:color="000000" w:sz="4" w:space="0"/>
            </w:tcBorders>
            <w:shd w:val="clear" w:color="auto" w:fill="FFFFFF"/>
            <w:noWrap/>
            <w:vAlign w:val="center"/>
          </w:tcPr>
          <w:p w14:paraId="0CF107D8">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5AB3D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C13</w:t>
            </w:r>
          </w:p>
        </w:tc>
        <w:tc>
          <w:tcPr>
            <w:tcW w:w="1164"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B5A875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屠宰及肉类加工</w:t>
            </w:r>
          </w:p>
        </w:tc>
        <w:tc>
          <w:tcPr>
            <w:tcW w:w="3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84D4E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3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ADEA0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7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538A7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2.42</w:t>
            </w:r>
          </w:p>
        </w:tc>
        <w:tc>
          <w:tcPr>
            <w:tcW w:w="1387" w:type="pct"/>
            <w:tcBorders>
              <w:top w:val="single" w:color="000000" w:sz="4" w:space="0"/>
              <w:left w:val="single" w:color="000000" w:sz="4" w:space="0"/>
              <w:bottom w:val="single" w:color="000000" w:sz="4" w:space="0"/>
              <w:right w:val="single" w:color="000000" w:sz="12" w:space="0"/>
            </w:tcBorders>
            <w:shd w:val="clear" w:color="auto" w:fill="FFFFFF"/>
            <w:noWrap/>
            <w:vAlign w:val="bottom"/>
          </w:tcPr>
          <w:p w14:paraId="7BAF781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无害化处理设备</w:t>
            </w:r>
          </w:p>
        </w:tc>
      </w:tr>
      <w:tr w14:paraId="0FBBD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526" w:type="pct"/>
            <w:tcBorders>
              <w:top w:val="single" w:color="000000" w:sz="4" w:space="0"/>
              <w:left w:val="single" w:color="000000" w:sz="12" w:space="0"/>
              <w:bottom w:val="single" w:color="000000" w:sz="12" w:space="0"/>
              <w:right w:val="single" w:color="auto" w:sz="4" w:space="0"/>
            </w:tcBorders>
            <w:shd w:val="clear" w:color="auto" w:fill="FFFFFF"/>
            <w:noWrap/>
            <w:vAlign w:val="center"/>
          </w:tcPr>
          <w:p w14:paraId="4AD3A9A8">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kern w:val="0"/>
                <w:sz w:val="18"/>
                <w:szCs w:val="18"/>
                <w:highlight w:val="none"/>
                <w:u w:val="none"/>
                <w:lang w:val="en-US" w:eastAsia="zh-CN" w:bidi="ar"/>
              </w:rPr>
              <w:t>合计</w:t>
            </w:r>
          </w:p>
        </w:tc>
        <w:tc>
          <w:tcPr>
            <w:tcW w:w="1586" w:type="pct"/>
            <w:gridSpan w:val="2"/>
            <w:tcBorders>
              <w:top w:val="single" w:color="000000" w:sz="4" w:space="0"/>
              <w:left w:val="single" w:color="auto" w:sz="4" w:space="0"/>
              <w:bottom w:val="single" w:color="000000" w:sz="12" w:space="0"/>
              <w:right w:val="single" w:color="000000" w:sz="4" w:space="0"/>
            </w:tcBorders>
            <w:shd w:val="clear" w:color="auto" w:fill="FFFFFF"/>
            <w:noWrap/>
            <w:vAlign w:val="center"/>
          </w:tcPr>
          <w:p w14:paraId="75755AB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12</w:t>
            </w:r>
          </w:p>
        </w:tc>
        <w:tc>
          <w:tcPr>
            <w:tcW w:w="369"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5D1C422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36</w:t>
            </w:r>
          </w:p>
        </w:tc>
        <w:tc>
          <w:tcPr>
            <w:tcW w:w="373"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45E99F1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53</w:t>
            </w:r>
          </w:p>
        </w:tc>
        <w:tc>
          <w:tcPr>
            <w:tcW w:w="756"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0E6AED8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0.17</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41.6</w:t>
            </w:r>
          </w:p>
        </w:tc>
        <w:tc>
          <w:tcPr>
            <w:tcW w:w="1387" w:type="pct"/>
            <w:tcBorders>
              <w:top w:val="single" w:color="000000" w:sz="4" w:space="0"/>
              <w:left w:val="single" w:color="000000" w:sz="4" w:space="0"/>
              <w:bottom w:val="single" w:color="000000" w:sz="12" w:space="0"/>
              <w:right w:val="single" w:color="000000" w:sz="12" w:space="0"/>
            </w:tcBorders>
            <w:shd w:val="clear" w:color="auto" w:fill="FFFFFF"/>
            <w:noWrap/>
            <w:vAlign w:val="center"/>
          </w:tcPr>
          <w:p w14:paraId="55B019CB">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lang w:eastAsia="zh-CN"/>
              </w:rPr>
            </w:pPr>
            <w:r>
              <w:rPr>
                <w:rFonts w:hint="default" w:ascii="Times New Roman" w:hAnsi="Times New Roman" w:eastAsia="宋体" w:cs="Times New Roman"/>
                <w:b w:val="0"/>
                <w:i w:val="0"/>
                <w:iCs w:val="0"/>
                <w:color w:val="auto"/>
                <w:sz w:val="18"/>
                <w:szCs w:val="18"/>
                <w:highlight w:val="none"/>
                <w:u w:val="none"/>
                <w:lang w:eastAsia="zh-CN"/>
              </w:rPr>
              <w:t>——</w:t>
            </w:r>
          </w:p>
        </w:tc>
      </w:tr>
    </w:tbl>
    <w:p w14:paraId="77441F83">
      <w:pPr>
        <w:shd w:val="clear"/>
        <w:rPr>
          <w:rFonts w:hint="default" w:ascii="Times New Roman" w:hAnsi="Times New Roman" w:cs="Times New Roman"/>
          <w:color w:val="auto"/>
          <w:highlight w:val="none"/>
          <w:lang w:val="en-US" w:eastAsia="zh-CN"/>
        </w:rPr>
      </w:pPr>
    </w:p>
    <w:p w14:paraId="41E2763F">
      <w:pPr>
        <w:pStyle w:val="129"/>
        <w:shd w:val="clear"/>
        <w:bidi w:val="0"/>
        <w:outlineLvl w:val="4"/>
        <w:rPr>
          <w:rFonts w:hint="default"/>
          <w:lang w:val="en-US" w:eastAsia="zh-CN"/>
        </w:rPr>
      </w:pPr>
      <w:bookmarkStart w:id="114" w:name="_Ref5970"/>
      <w:r>
        <w:t>表</w:t>
      </w:r>
      <w:r>
        <w:fldChar w:fldCharType="begin"/>
      </w:r>
      <w:r>
        <w:instrText xml:space="preserve"> SEQ 表 \* ARABIC </w:instrText>
      </w:r>
      <w:r>
        <w:fldChar w:fldCharType="separate"/>
      </w:r>
      <w:r>
        <w:t>12</w:t>
      </w:r>
      <w:r>
        <w:fldChar w:fldCharType="end"/>
      </w:r>
      <w:bookmarkEnd w:id="114"/>
      <w:r>
        <w:rPr>
          <w:rFonts w:hint="eastAsia"/>
          <w:lang w:val="en-US" w:eastAsia="zh-CN"/>
        </w:rPr>
        <w:t xml:space="preserve"> </w:t>
      </w:r>
      <w:r>
        <w:rPr>
          <w:rFonts w:hint="default"/>
          <w:lang w:val="en-US" w:eastAsia="zh-CN"/>
        </w:rPr>
        <w:t>VOCs的监督性监测数据分布情况</w:t>
      </w:r>
    </w:p>
    <w:tbl>
      <w:tblPr>
        <w:tblStyle w:val="3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5"/>
        <w:gridCol w:w="810"/>
        <w:gridCol w:w="2115"/>
        <w:gridCol w:w="720"/>
        <w:gridCol w:w="660"/>
        <w:gridCol w:w="1415"/>
        <w:gridCol w:w="2558"/>
      </w:tblGrid>
      <w:tr w14:paraId="1CA1B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blHeader/>
        </w:trPr>
        <w:tc>
          <w:tcPr>
            <w:tcW w:w="2104" w:type="pct"/>
            <w:gridSpan w:val="3"/>
            <w:tcBorders>
              <w:top w:val="single" w:color="000000" w:sz="12" w:space="0"/>
              <w:left w:val="single" w:color="000000" w:sz="12" w:space="0"/>
              <w:bottom w:val="single" w:color="auto" w:sz="4" w:space="0"/>
              <w:right w:val="single" w:color="000000" w:sz="4" w:space="0"/>
              <w:tl2br w:val="nil"/>
            </w:tcBorders>
            <w:shd w:val="clear" w:color="auto" w:fill="FFFFFF"/>
            <w:noWrap/>
            <w:vAlign w:val="center"/>
          </w:tcPr>
          <w:p w14:paraId="35EC59C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cs="Times New Roman"/>
                <w:b w:val="0"/>
                <w:i w:val="0"/>
                <w:iCs w:val="0"/>
                <w:color w:val="auto"/>
                <w:kern w:val="0"/>
                <w:sz w:val="18"/>
                <w:szCs w:val="18"/>
                <w:highlight w:val="none"/>
                <w:u w:val="none"/>
                <w:lang w:val="en-US" w:eastAsia="zh-CN" w:bidi="ar"/>
              </w:rPr>
              <w:t>行业类别</w:t>
            </w:r>
          </w:p>
        </w:tc>
        <w:tc>
          <w:tcPr>
            <w:tcW w:w="389" w:type="pct"/>
            <w:vMerge w:val="restart"/>
            <w:tcBorders>
              <w:top w:val="single" w:color="000000" w:sz="12" w:space="0"/>
              <w:left w:val="single" w:color="000000" w:sz="4" w:space="0"/>
              <w:right w:val="single" w:color="000000" w:sz="4" w:space="0"/>
            </w:tcBorders>
            <w:shd w:val="clear" w:color="auto" w:fill="FFFFFF"/>
            <w:noWrap/>
            <w:vAlign w:val="center"/>
          </w:tcPr>
          <w:p w14:paraId="781FA4B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企业数量</w:t>
            </w:r>
          </w:p>
        </w:tc>
        <w:tc>
          <w:tcPr>
            <w:tcW w:w="357" w:type="pct"/>
            <w:vMerge w:val="restart"/>
            <w:tcBorders>
              <w:top w:val="single" w:color="000000" w:sz="12" w:space="0"/>
              <w:left w:val="single" w:color="000000" w:sz="4" w:space="0"/>
              <w:right w:val="single" w:color="000000" w:sz="4" w:space="0"/>
            </w:tcBorders>
            <w:shd w:val="clear" w:color="auto" w:fill="FFFFFF"/>
            <w:noWrap/>
            <w:vAlign w:val="center"/>
          </w:tcPr>
          <w:p w14:paraId="55BC51A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监测数据</w:t>
            </w:r>
          </w:p>
        </w:tc>
        <w:tc>
          <w:tcPr>
            <w:tcW w:w="765" w:type="pct"/>
            <w:vMerge w:val="restart"/>
            <w:tcBorders>
              <w:top w:val="single" w:color="000000" w:sz="12" w:space="0"/>
              <w:left w:val="single" w:color="000000" w:sz="4" w:space="0"/>
              <w:right w:val="single" w:color="000000" w:sz="4" w:space="0"/>
            </w:tcBorders>
            <w:shd w:val="clear" w:color="auto" w:fill="FFFFFF"/>
            <w:noWrap/>
            <w:vAlign w:val="center"/>
          </w:tcPr>
          <w:p w14:paraId="6519787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浓度</w:t>
            </w:r>
            <w:r>
              <w:rPr>
                <w:rFonts w:hint="eastAsia" w:cs="Times New Roman"/>
                <w:b w:val="0"/>
                <w:i w:val="0"/>
                <w:iCs w:val="0"/>
                <w:color w:val="auto"/>
                <w:kern w:val="0"/>
                <w:sz w:val="18"/>
                <w:szCs w:val="18"/>
                <w:highlight w:val="none"/>
                <w:u w:val="none"/>
                <w:lang w:val="en-US" w:eastAsia="zh-CN" w:bidi="ar"/>
              </w:rPr>
              <w:t>范围</w:t>
            </w:r>
            <w:r>
              <w:rPr>
                <w:rFonts w:hint="default" w:ascii="Times New Roman" w:hAnsi="Times New Roman" w:eastAsia="宋体" w:cs="Times New Roman"/>
                <w:b w:val="0"/>
                <w:i w:val="0"/>
                <w:iCs w:val="0"/>
                <w:color w:val="auto"/>
                <w:kern w:val="0"/>
                <w:sz w:val="18"/>
                <w:szCs w:val="18"/>
                <w:highlight w:val="none"/>
                <w:u w:val="none"/>
                <w:lang w:val="en-US" w:eastAsia="zh-CN" w:bidi="ar"/>
              </w:rPr>
              <w:br w:type="textWrapping"/>
            </w:r>
            <w:r>
              <w:rPr>
                <w:rFonts w:hint="eastAsia" w:ascii="Times New Roman" w:hAnsi="Times New Roman" w:cs="Times New Roman"/>
                <w:b w:val="0"/>
                <w:i w:val="0"/>
                <w:iCs w:val="0"/>
                <w:color w:val="auto"/>
                <w:kern w:val="0"/>
                <w:sz w:val="18"/>
                <w:szCs w:val="18"/>
                <w:highlight w:val="none"/>
                <w:u w:val="none"/>
                <w:lang w:val="en-US" w:eastAsia="zh-CN" w:bidi="ar"/>
              </w:rPr>
              <w:t>（mg/m</w:t>
            </w:r>
            <w:r>
              <w:rPr>
                <w:rFonts w:hint="eastAsia" w:ascii="Times New Roman" w:hAnsi="Times New Roman" w:cs="Times New Roman"/>
                <w:b w:val="0"/>
                <w:i w:val="0"/>
                <w:iCs w:val="0"/>
                <w:color w:val="auto"/>
                <w:kern w:val="0"/>
                <w:sz w:val="18"/>
                <w:szCs w:val="18"/>
                <w:highlight w:val="none"/>
                <w:u w:val="none"/>
                <w:vertAlign w:val="superscript"/>
                <w:lang w:val="en-US" w:eastAsia="zh-CN" w:bidi="ar"/>
              </w:rPr>
              <w:t>3</w:t>
            </w:r>
            <w:r>
              <w:rPr>
                <w:rFonts w:hint="eastAsia" w:ascii="Times New Roman" w:hAnsi="Times New Roman" w:cs="Times New Roman"/>
                <w:b w:val="0"/>
                <w:i w:val="0"/>
                <w:iCs w:val="0"/>
                <w:color w:val="auto"/>
                <w:kern w:val="0"/>
                <w:sz w:val="18"/>
                <w:szCs w:val="18"/>
                <w:highlight w:val="none"/>
                <w:u w:val="none"/>
                <w:lang w:val="en-US" w:eastAsia="zh-CN" w:bidi="ar"/>
              </w:rPr>
              <w:t>）</w:t>
            </w:r>
          </w:p>
        </w:tc>
        <w:tc>
          <w:tcPr>
            <w:tcW w:w="1383" w:type="pct"/>
            <w:vMerge w:val="restart"/>
            <w:tcBorders>
              <w:top w:val="single" w:color="000000" w:sz="12" w:space="0"/>
              <w:left w:val="single" w:color="000000" w:sz="4" w:space="0"/>
              <w:right w:val="single" w:color="000000" w:sz="12" w:space="0"/>
            </w:tcBorders>
            <w:shd w:val="clear" w:color="auto" w:fill="FFFFFF"/>
            <w:noWrap/>
            <w:vAlign w:val="center"/>
          </w:tcPr>
          <w:p w14:paraId="04802AC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涉及设备\工艺</w:t>
            </w:r>
          </w:p>
        </w:tc>
      </w:tr>
      <w:tr w14:paraId="2F6B4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blHeader/>
        </w:trPr>
        <w:tc>
          <w:tcPr>
            <w:tcW w:w="522" w:type="pct"/>
            <w:tcBorders>
              <w:top w:val="single" w:color="auto" w:sz="4" w:space="0"/>
              <w:left w:val="single" w:color="000000" w:sz="12" w:space="0"/>
              <w:bottom w:val="single" w:color="000000" w:sz="4" w:space="0"/>
              <w:right w:val="single" w:color="000000" w:sz="4" w:space="0"/>
              <w:tl2br w:val="nil"/>
            </w:tcBorders>
            <w:shd w:val="clear" w:color="auto" w:fill="FFFFFF"/>
            <w:noWrap/>
            <w:vAlign w:val="center"/>
          </w:tcPr>
          <w:p w14:paraId="2D2174A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分类</w:t>
            </w:r>
          </w:p>
        </w:tc>
        <w:tc>
          <w:tcPr>
            <w:tcW w:w="438" w:type="pct"/>
            <w:tcBorders>
              <w:top w:val="single" w:color="auto" w:sz="4" w:space="0"/>
              <w:left w:val="single" w:color="000000" w:sz="4" w:space="0"/>
              <w:bottom w:val="single" w:color="000000" w:sz="4" w:space="0"/>
              <w:right w:val="single" w:color="000000" w:sz="4" w:space="0"/>
            </w:tcBorders>
            <w:shd w:val="clear" w:color="auto" w:fill="FFFFFF"/>
            <w:noWrap/>
            <w:vAlign w:val="center"/>
          </w:tcPr>
          <w:p w14:paraId="5B44BFC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编码</w:t>
            </w:r>
          </w:p>
        </w:tc>
        <w:tc>
          <w:tcPr>
            <w:tcW w:w="1144" w:type="pct"/>
            <w:tcBorders>
              <w:top w:val="single" w:color="auto" w:sz="4" w:space="0"/>
              <w:left w:val="single" w:color="000000" w:sz="4" w:space="0"/>
              <w:bottom w:val="single" w:color="000000" w:sz="4" w:space="0"/>
              <w:right w:val="single" w:color="000000" w:sz="4" w:space="0"/>
            </w:tcBorders>
            <w:shd w:val="clear" w:color="auto" w:fill="FFFFFF"/>
            <w:noWrap/>
            <w:vAlign w:val="center"/>
          </w:tcPr>
          <w:p w14:paraId="28014E6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名称</w:t>
            </w:r>
          </w:p>
        </w:tc>
        <w:tc>
          <w:tcPr>
            <w:tcW w:w="389" w:type="pct"/>
            <w:vMerge w:val="continue"/>
            <w:tcBorders>
              <w:left w:val="single" w:color="000000" w:sz="4" w:space="0"/>
              <w:bottom w:val="single" w:color="000000" w:sz="4" w:space="0"/>
              <w:right w:val="single" w:color="000000" w:sz="4" w:space="0"/>
            </w:tcBorders>
            <w:shd w:val="clear" w:color="auto" w:fill="FFFFFF"/>
            <w:noWrap/>
            <w:vAlign w:val="center"/>
          </w:tcPr>
          <w:p w14:paraId="731D746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357" w:type="pct"/>
            <w:vMerge w:val="continue"/>
            <w:tcBorders>
              <w:left w:val="single" w:color="000000" w:sz="4" w:space="0"/>
              <w:bottom w:val="single" w:color="000000" w:sz="4" w:space="0"/>
              <w:right w:val="single" w:color="000000" w:sz="4" w:space="0"/>
            </w:tcBorders>
            <w:shd w:val="clear" w:color="auto" w:fill="FFFFFF"/>
            <w:noWrap/>
            <w:vAlign w:val="center"/>
          </w:tcPr>
          <w:p w14:paraId="51CE2A6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765" w:type="pct"/>
            <w:vMerge w:val="continue"/>
            <w:tcBorders>
              <w:left w:val="single" w:color="000000" w:sz="4" w:space="0"/>
              <w:bottom w:val="single" w:color="000000" w:sz="4" w:space="0"/>
              <w:right w:val="single" w:color="000000" w:sz="4" w:space="0"/>
            </w:tcBorders>
            <w:shd w:val="clear" w:color="auto" w:fill="FFFFFF"/>
            <w:noWrap/>
            <w:vAlign w:val="center"/>
          </w:tcPr>
          <w:p w14:paraId="396A8F6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1383" w:type="pct"/>
            <w:vMerge w:val="continue"/>
            <w:tcBorders>
              <w:left w:val="single" w:color="000000" w:sz="4" w:space="0"/>
              <w:bottom w:val="single" w:color="000000" w:sz="4" w:space="0"/>
              <w:right w:val="single" w:color="000000" w:sz="12" w:space="0"/>
            </w:tcBorders>
            <w:shd w:val="clear" w:color="auto" w:fill="FFFFFF"/>
            <w:noWrap/>
            <w:vAlign w:val="center"/>
          </w:tcPr>
          <w:p w14:paraId="3D0AB50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r>
      <w:tr w14:paraId="7865C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22" w:type="pct"/>
            <w:vMerge w:val="restart"/>
            <w:tcBorders>
              <w:top w:val="single" w:color="000000" w:sz="12" w:space="0"/>
              <w:left w:val="single" w:color="000000" w:sz="12" w:space="0"/>
              <w:right w:val="single" w:color="000000" w:sz="4" w:space="0"/>
              <w:tl2br w:val="nil"/>
            </w:tcBorders>
            <w:shd w:val="clear" w:color="auto" w:fill="FFFFFF"/>
            <w:noWrap/>
            <w:vAlign w:val="center"/>
          </w:tcPr>
          <w:p w14:paraId="3E6E2E3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工业涂装</w:t>
            </w:r>
          </w:p>
        </w:tc>
        <w:tc>
          <w:tcPr>
            <w:tcW w:w="438"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3DAE96E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C32</w:t>
            </w:r>
          </w:p>
        </w:tc>
        <w:tc>
          <w:tcPr>
            <w:tcW w:w="1144" w:type="pct"/>
            <w:tcBorders>
              <w:top w:val="single" w:color="000000" w:sz="12" w:space="0"/>
              <w:left w:val="single" w:color="000000" w:sz="4" w:space="0"/>
              <w:bottom w:val="single" w:color="000000" w:sz="4" w:space="0"/>
              <w:right w:val="single" w:color="000000" w:sz="4" w:space="0"/>
            </w:tcBorders>
            <w:shd w:val="clear" w:color="auto" w:fill="FFFFFF"/>
            <w:noWrap/>
            <w:vAlign w:val="bottom"/>
          </w:tcPr>
          <w:p w14:paraId="4FF5E60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铝压延加工</w:t>
            </w:r>
          </w:p>
        </w:tc>
        <w:tc>
          <w:tcPr>
            <w:tcW w:w="389"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4D4D30C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357"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21C92D9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765"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399EFE9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4.63</w:t>
            </w:r>
          </w:p>
        </w:tc>
        <w:tc>
          <w:tcPr>
            <w:tcW w:w="1383" w:type="pct"/>
            <w:tcBorders>
              <w:top w:val="single" w:color="000000" w:sz="12" w:space="0"/>
              <w:left w:val="single" w:color="000000" w:sz="4" w:space="0"/>
              <w:bottom w:val="single" w:color="000000" w:sz="4" w:space="0"/>
              <w:right w:val="single" w:color="000000" w:sz="12" w:space="0"/>
            </w:tcBorders>
            <w:shd w:val="clear" w:color="auto" w:fill="FFFFFF"/>
            <w:noWrap/>
            <w:vAlign w:val="bottom"/>
          </w:tcPr>
          <w:p w14:paraId="2A7311E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固化</w:t>
            </w:r>
          </w:p>
        </w:tc>
      </w:tr>
      <w:tr w14:paraId="4F38B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22" w:type="pct"/>
            <w:vMerge w:val="continue"/>
            <w:tcBorders>
              <w:left w:val="single" w:color="000000" w:sz="12" w:space="0"/>
              <w:right w:val="single" w:color="000000" w:sz="4" w:space="0"/>
            </w:tcBorders>
            <w:shd w:val="clear" w:color="auto" w:fill="FFFFFF"/>
            <w:noWrap/>
            <w:vAlign w:val="center"/>
          </w:tcPr>
          <w:p w14:paraId="027542F9">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38"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90C3E5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C35</w:t>
            </w:r>
          </w:p>
        </w:tc>
        <w:tc>
          <w:tcPr>
            <w:tcW w:w="11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2B666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食品、酒、饮料及茶生产专用设备制造</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C66BC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9CFAB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7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7BA64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2.69</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2.77</w:t>
            </w:r>
          </w:p>
        </w:tc>
        <w:tc>
          <w:tcPr>
            <w:tcW w:w="1383"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1A4070D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晾干、喷漆房</w:t>
            </w:r>
          </w:p>
        </w:tc>
      </w:tr>
      <w:tr w14:paraId="69C4C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22" w:type="pct"/>
            <w:vMerge w:val="continue"/>
            <w:tcBorders>
              <w:left w:val="single" w:color="000000" w:sz="12" w:space="0"/>
              <w:right w:val="single" w:color="000000" w:sz="4" w:space="0"/>
            </w:tcBorders>
            <w:shd w:val="clear" w:color="auto" w:fill="FFFFFF"/>
            <w:noWrap/>
            <w:vAlign w:val="center"/>
          </w:tcPr>
          <w:p w14:paraId="5FD523C2">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79A76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C36</w:t>
            </w:r>
          </w:p>
        </w:tc>
        <w:tc>
          <w:tcPr>
            <w:tcW w:w="11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A9335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汽车整车制造、汽车零部件及配件制造</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5998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114DC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5</w:t>
            </w:r>
          </w:p>
        </w:tc>
        <w:tc>
          <w:tcPr>
            <w:tcW w:w="7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253A0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1.1</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14.8</w:t>
            </w:r>
          </w:p>
        </w:tc>
        <w:tc>
          <w:tcPr>
            <w:tcW w:w="1383"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289A13B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电机工厂浸漆、保险杠喷漆、车桥厂、乘用车整车喷涂及烘干</w:t>
            </w:r>
          </w:p>
        </w:tc>
      </w:tr>
      <w:tr w14:paraId="1DD87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22" w:type="pct"/>
            <w:vMerge w:val="continue"/>
            <w:tcBorders>
              <w:left w:val="single" w:color="000000" w:sz="12" w:space="0"/>
              <w:bottom w:val="single" w:color="000000" w:sz="4" w:space="0"/>
              <w:right w:val="single" w:color="000000" w:sz="4" w:space="0"/>
            </w:tcBorders>
            <w:shd w:val="clear" w:color="auto" w:fill="FFFFFF"/>
            <w:noWrap/>
            <w:vAlign w:val="center"/>
          </w:tcPr>
          <w:p w14:paraId="1F27FAC2">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C1500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C38</w:t>
            </w:r>
          </w:p>
        </w:tc>
        <w:tc>
          <w:tcPr>
            <w:tcW w:w="1144"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FF2BF9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发电机及发电机组制造</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129ED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82235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7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CD2DD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0.51</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3.91</w:t>
            </w:r>
          </w:p>
        </w:tc>
        <w:tc>
          <w:tcPr>
            <w:tcW w:w="1383"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4B96C45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调漆间、辊涂烘干房</w:t>
            </w:r>
          </w:p>
        </w:tc>
      </w:tr>
      <w:tr w14:paraId="78B8F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22" w:type="pct"/>
            <w:vMerge w:val="restart"/>
            <w:tcBorders>
              <w:top w:val="single" w:color="000000" w:sz="4" w:space="0"/>
              <w:left w:val="single" w:color="000000" w:sz="12" w:space="0"/>
              <w:right w:val="single" w:color="000000" w:sz="4" w:space="0"/>
            </w:tcBorders>
            <w:shd w:val="clear" w:color="auto" w:fill="FFFFFF"/>
            <w:noWrap/>
            <w:vAlign w:val="center"/>
          </w:tcPr>
          <w:p w14:paraId="2D66B08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其他溶剂使用行业</w:t>
            </w:r>
          </w:p>
        </w:tc>
        <w:tc>
          <w:tcPr>
            <w:tcW w:w="4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FB6C2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lang w:val="en-US"/>
              </w:rPr>
            </w:pPr>
            <w:r>
              <w:rPr>
                <w:rFonts w:hint="default" w:ascii="Times New Roman" w:hAnsi="Times New Roman" w:eastAsia="宋体" w:cs="Times New Roman"/>
                <w:b w:val="0"/>
                <w:i w:val="0"/>
                <w:iCs w:val="0"/>
                <w:color w:val="auto"/>
                <w:kern w:val="0"/>
                <w:sz w:val="18"/>
                <w:szCs w:val="18"/>
                <w:highlight w:val="none"/>
                <w:u w:val="none"/>
                <w:lang w:val="en-US" w:eastAsia="zh-CN" w:bidi="ar"/>
              </w:rPr>
              <w:t>C19</w:t>
            </w:r>
            <w:r>
              <w:rPr>
                <w:rFonts w:hint="eastAsia" w:cs="Times New Roman"/>
                <w:b w:val="0"/>
                <w:i w:val="0"/>
                <w:iCs w:val="0"/>
                <w:color w:val="auto"/>
                <w:kern w:val="0"/>
                <w:sz w:val="18"/>
                <w:szCs w:val="18"/>
                <w:highlight w:val="none"/>
                <w:u w:val="none"/>
                <w:lang w:val="en-US" w:eastAsia="zh-CN" w:bidi="ar"/>
              </w:rPr>
              <w:t>5</w:t>
            </w:r>
          </w:p>
        </w:tc>
        <w:tc>
          <w:tcPr>
            <w:tcW w:w="11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9463B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制鞋业</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EF07E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B78DB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7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C37DA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1.11</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18.7</w:t>
            </w:r>
          </w:p>
        </w:tc>
        <w:tc>
          <w:tcPr>
            <w:tcW w:w="1383"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1566966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车间废气排放口、UV组烘箱</w:t>
            </w:r>
          </w:p>
        </w:tc>
      </w:tr>
      <w:tr w14:paraId="0A266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22" w:type="pct"/>
            <w:vMerge w:val="continue"/>
            <w:tcBorders>
              <w:left w:val="single" w:color="000000" w:sz="12" w:space="0"/>
              <w:right w:val="single" w:color="000000" w:sz="4" w:space="0"/>
            </w:tcBorders>
            <w:shd w:val="clear" w:color="auto" w:fill="FFFFFF"/>
            <w:noWrap/>
            <w:vAlign w:val="center"/>
          </w:tcPr>
          <w:p w14:paraId="4CD201FE">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D890A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C23</w:t>
            </w:r>
          </w:p>
        </w:tc>
        <w:tc>
          <w:tcPr>
            <w:tcW w:w="1144"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FB1368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包装装潢及其他印刷</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E467A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96337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7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A1649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4.1</w:t>
            </w:r>
          </w:p>
        </w:tc>
        <w:tc>
          <w:tcPr>
            <w:tcW w:w="1383"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737EE6E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干式复合机</w:t>
            </w:r>
          </w:p>
        </w:tc>
      </w:tr>
      <w:tr w14:paraId="5666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22" w:type="pct"/>
            <w:vMerge w:val="continue"/>
            <w:tcBorders>
              <w:left w:val="single" w:color="000000" w:sz="12" w:space="0"/>
              <w:bottom w:val="single" w:color="000000" w:sz="4" w:space="0"/>
              <w:right w:val="single" w:color="000000" w:sz="4" w:space="0"/>
            </w:tcBorders>
            <w:shd w:val="clear" w:color="auto" w:fill="FFFFFF"/>
            <w:noWrap/>
            <w:vAlign w:val="center"/>
          </w:tcPr>
          <w:p w14:paraId="03F1E8CB">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288C4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C30</w:t>
            </w:r>
          </w:p>
        </w:tc>
        <w:tc>
          <w:tcPr>
            <w:tcW w:w="1144"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16E6C0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石墨及碳素制品制造</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89FF6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B808A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7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D6C6A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17</w:t>
            </w:r>
          </w:p>
        </w:tc>
        <w:tc>
          <w:tcPr>
            <w:tcW w:w="1383" w:type="pct"/>
            <w:tcBorders>
              <w:top w:val="single" w:color="000000" w:sz="4" w:space="0"/>
              <w:left w:val="single" w:color="000000" w:sz="4" w:space="0"/>
              <w:bottom w:val="single" w:color="000000" w:sz="4" w:space="0"/>
              <w:right w:val="single" w:color="000000" w:sz="12" w:space="0"/>
            </w:tcBorders>
            <w:shd w:val="clear" w:color="auto" w:fill="FFFFFF"/>
            <w:noWrap/>
            <w:vAlign w:val="bottom"/>
          </w:tcPr>
          <w:p w14:paraId="3D7EA57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热沉积炉</w:t>
            </w:r>
          </w:p>
        </w:tc>
      </w:tr>
      <w:tr w14:paraId="1AC01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22" w:type="pct"/>
            <w:vMerge w:val="restart"/>
            <w:tcBorders>
              <w:top w:val="single" w:color="000000" w:sz="4" w:space="0"/>
              <w:left w:val="single" w:color="000000" w:sz="12" w:space="0"/>
              <w:right w:val="single" w:color="000000" w:sz="4" w:space="0"/>
            </w:tcBorders>
            <w:shd w:val="clear" w:color="auto" w:fill="FFFFFF"/>
            <w:noWrap/>
            <w:vAlign w:val="center"/>
          </w:tcPr>
          <w:p w14:paraId="10BAE08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化工</w:t>
            </w:r>
          </w:p>
        </w:tc>
        <w:tc>
          <w:tcPr>
            <w:tcW w:w="4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85DF3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C26</w:t>
            </w:r>
          </w:p>
        </w:tc>
        <w:tc>
          <w:tcPr>
            <w:tcW w:w="1144"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51E54C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涂料制造\香料、香精制造\化学试剂和助剂制造\化学农药制造</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1F9BC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5</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B441F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11</w:t>
            </w:r>
          </w:p>
        </w:tc>
        <w:tc>
          <w:tcPr>
            <w:tcW w:w="7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9FF25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0.56</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73.1</w:t>
            </w:r>
          </w:p>
        </w:tc>
        <w:tc>
          <w:tcPr>
            <w:tcW w:w="1383"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0F3AC89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热熔釜、调漆罐、配料罐、高速搅拌机、氧化塔等</w:t>
            </w:r>
          </w:p>
        </w:tc>
      </w:tr>
      <w:tr w14:paraId="27969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22" w:type="pct"/>
            <w:vMerge w:val="continue"/>
            <w:tcBorders>
              <w:left w:val="single" w:color="000000" w:sz="12" w:space="0"/>
              <w:right w:val="single" w:color="000000" w:sz="4" w:space="0"/>
            </w:tcBorders>
            <w:shd w:val="clear" w:color="auto" w:fill="FFFFFF"/>
            <w:noWrap/>
            <w:vAlign w:val="center"/>
          </w:tcPr>
          <w:p w14:paraId="2BDFAB1E">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19026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C27</w:t>
            </w:r>
          </w:p>
        </w:tc>
        <w:tc>
          <w:tcPr>
            <w:tcW w:w="1144"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24DC80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化学药品原料药制造</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D0801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3B443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w:t>
            </w:r>
          </w:p>
        </w:tc>
        <w:tc>
          <w:tcPr>
            <w:tcW w:w="7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69C8B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2.01</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2.38</w:t>
            </w:r>
          </w:p>
        </w:tc>
        <w:tc>
          <w:tcPr>
            <w:tcW w:w="1383"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05F5B88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排气塔</w:t>
            </w:r>
          </w:p>
        </w:tc>
      </w:tr>
      <w:tr w14:paraId="5FA99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22" w:type="pct"/>
            <w:vMerge w:val="continue"/>
            <w:tcBorders>
              <w:left w:val="single" w:color="000000" w:sz="12" w:space="0"/>
              <w:bottom w:val="single" w:color="000000" w:sz="4" w:space="0"/>
              <w:right w:val="single" w:color="000000" w:sz="4" w:space="0"/>
            </w:tcBorders>
            <w:shd w:val="clear" w:color="auto" w:fill="FFFFFF"/>
            <w:noWrap/>
            <w:vAlign w:val="center"/>
          </w:tcPr>
          <w:p w14:paraId="33397DF0">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p>
        </w:tc>
        <w:tc>
          <w:tcPr>
            <w:tcW w:w="4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725A8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C29</w:t>
            </w:r>
          </w:p>
        </w:tc>
        <w:tc>
          <w:tcPr>
            <w:tcW w:w="1144"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510E57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塑料薄膜制造；塑料丝、绳及编织品制造；塑料零件及其他塑料制品制造</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BE964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4</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86750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10</w:t>
            </w:r>
          </w:p>
        </w:tc>
        <w:tc>
          <w:tcPr>
            <w:tcW w:w="7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92AE0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0.33</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15.3</w:t>
            </w:r>
          </w:p>
        </w:tc>
        <w:tc>
          <w:tcPr>
            <w:tcW w:w="1383" w:type="pct"/>
            <w:tcBorders>
              <w:top w:val="single" w:color="000000" w:sz="4" w:space="0"/>
              <w:left w:val="single" w:color="000000" w:sz="4" w:space="0"/>
              <w:bottom w:val="single" w:color="000000" w:sz="4" w:space="0"/>
              <w:right w:val="single" w:color="000000" w:sz="12" w:space="0"/>
            </w:tcBorders>
            <w:shd w:val="clear" w:color="auto" w:fill="FFFFFF"/>
            <w:noWrap/>
            <w:vAlign w:val="bottom"/>
          </w:tcPr>
          <w:p w14:paraId="5F817E9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高速涂覆机、密炼机、四、六色凹版印刷机</w:t>
            </w:r>
          </w:p>
        </w:tc>
      </w:tr>
      <w:tr w14:paraId="6C052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22"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54849AF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其他</w:t>
            </w:r>
          </w:p>
        </w:tc>
        <w:tc>
          <w:tcPr>
            <w:tcW w:w="4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C4749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C22</w:t>
            </w:r>
          </w:p>
        </w:tc>
        <w:tc>
          <w:tcPr>
            <w:tcW w:w="1144"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C13049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其他纸制品制造</w:t>
            </w:r>
          </w:p>
        </w:tc>
        <w:tc>
          <w:tcPr>
            <w:tcW w:w="38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6DD6B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3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957CB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w:t>
            </w:r>
          </w:p>
        </w:tc>
        <w:tc>
          <w:tcPr>
            <w:tcW w:w="76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CE451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2.21</w:t>
            </w:r>
          </w:p>
        </w:tc>
        <w:tc>
          <w:tcPr>
            <w:tcW w:w="1383" w:type="pct"/>
            <w:tcBorders>
              <w:top w:val="single" w:color="000000" w:sz="4" w:space="0"/>
              <w:left w:val="single" w:color="000000" w:sz="4" w:space="0"/>
              <w:bottom w:val="single" w:color="000000" w:sz="4" w:space="0"/>
              <w:right w:val="single" w:color="000000" w:sz="12" w:space="0"/>
            </w:tcBorders>
            <w:shd w:val="clear" w:color="auto" w:fill="FFFFFF"/>
            <w:noWrap/>
            <w:vAlign w:val="bottom"/>
          </w:tcPr>
          <w:p w14:paraId="51241B1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浸渍干燥机</w:t>
            </w:r>
          </w:p>
        </w:tc>
      </w:tr>
      <w:tr w14:paraId="0BD57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22" w:type="pct"/>
            <w:tcBorders>
              <w:top w:val="single" w:color="000000" w:sz="4" w:space="0"/>
              <w:left w:val="single" w:color="000000" w:sz="12" w:space="0"/>
              <w:bottom w:val="single" w:color="000000" w:sz="12" w:space="0"/>
              <w:right w:val="single" w:color="auto" w:sz="4" w:space="0"/>
            </w:tcBorders>
            <w:shd w:val="clear" w:color="auto" w:fill="FFFFFF"/>
            <w:noWrap/>
            <w:vAlign w:val="center"/>
          </w:tcPr>
          <w:p w14:paraId="55072428">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合计</w:t>
            </w:r>
          </w:p>
        </w:tc>
        <w:tc>
          <w:tcPr>
            <w:tcW w:w="1582" w:type="pct"/>
            <w:gridSpan w:val="2"/>
            <w:tcBorders>
              <w:top w:val="single" w:color="000000" w:sz="4" w:space="0"/>
              <w:left w:val="single" w:color="auto" w:sz="4" w:space="0"/>
              <w:bottom w:val="single" w:color="000000" w:sz="12" w:space="0"/>
              <w:right w:val="single" w:color="000000" w:sz="4" w:space="0"/>
            </w:tcBorders>
            <w:shd w:val="clear" w:color="auto" w:fill="FFFFFF"/>
            <w:noWrap/>
            <w:vAlign w:val="center"/>
          </w:tcPr>
          <w:p w14:paraId="4078705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11</w:t>
            </w:r>
          </w:p>
        </w:tc>
        <w:tc>
          <w:tcPr>
            <w:tcW w:w="389"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02778EA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20</w:t>
            </w:r>
          </w:p>
        </w:tc>
        <w:tc>
          <w:tcPr>
            <w:tcW w:w="357"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15190A5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38</w:t>
            </w:r>
          </w:p>
        </w:tc>
        <w:tc>
          <w:tcPr>
            <w:tcW w:w="765"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60559D6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0.33</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73.1</w:t>
            </w:r>
          </w:p>
        </w:tc>
        <w:tc>
          <w:tcPr>
            <w:tcW w:w="1383" w:type="pct"/>
            <w:tcBorders>
              <w:top w:val="single" w:color="000000" w:sz="4" w:space="0"/>
              <w:left w:val="single" w:color="000000" w:sz="4" w:space="0"/>
              <w:bottom w:val="single" w:color="000000" w:sz="12" w:space="0"/>
              <w:right w:val="single" w:color="000000" w:sz="12" w:space="0"/>
            </w:tcBorders>
            <w:shd w:val="clear" w:color="auto" w:fill="FFFFFF"/>
            <w:noWrap/>
            <w:vAlign w:val="bottom"/>
          </w:tcPr>
          <w:p w14:paraId="31E828F3">
            <w:pPr>
              <w:keepNext w:val="0"/>
              <w:keepLines w:val="0"/>
              <w:pageBreakBefore w:val="0"/>
              <w:widowControl/>
              <w:shd w:val="clear"/>
              <w:kinsoku/>
              <w:wordWrap/>
              <w:overflowPunct/>
              <w:topLinePunct w:val="0"/>
              <w:autoSpaceDE/>
              <w:autoSpaceDN/>
              <w:bidi w:val="0"/>
              <w:adjustRightInd/>
              <w:snapToGrid/>
              <w:spacing w:line="240" w:lineRule="auto"/>
              <w:ind w:firstLine="0" w:firstLineChars="0"/>
              <w:rPr>
                <w:rFonts w:hint="eastAsia" w:ascii="Times New Roman" w:hAnsi="Times New Roman" w:eastAsia="宋体" w:cs="Times New Roman"/>
                <w:b w:val="0"/>
                <w:i w:val="0"/>
                <w:iCs w:val="0"/>
                <w:color w:val="auto"/>
                <w:sz w:val="18"/>
                <w:szCs w:val="18"/>
                <w:highlight w:val="none"/>
                <w:u w:val="none"/>
                <w:lang w:eastAsia="zh-CN"/>
              </w:rPr>
            </w:pPr>
            <w:r>
              <w:rPr>
                <w:rFonts w:hint="eastAsia" w:ascii="Times New Roman" w:hAnsi="Times New Roman" w:eastAsia="宋体" w:cs="Times New Roman"/>
                <w:b w:val="0"/>
                <w:i w:val="0"/>
                <w:iCs w:val="0"/>
                <w:color w:val="auto"/>
                <w:sz w:val="18"/>
                <w:szCs w:val="18"/>
                <w:highlight w:val="none"/>
                <w:u w:val="none"/>
                <w:lang w:eastAsia="zh-CN"/>
              </w:rPr>
              <w:t>——</w:t>
            </w:r>
          </w:p>
        </w:tc>
      </w:tr>
    </w:tbl>
    <w:p w14:paraId="76E1BFF5">
      <w:pPr>
        <w:shd w:val="clear"/>
        <w:rPr>
          <w:rFonts w:hint="default" w:ascii="Times New Roman" w:hAnsi="Times New Roman" w:cs="Times New Roman"/>
          <w:color w:val="auto"/>
          <w:highlight w:val="none"/>
          <w:lang w:val="en-US" w:eastAsia="zh-CN"/>
        </w:rPr>
      </w:pPr>
    </w:p>
    <w:p w14:paraId="438629F8">
      <w:pPr>
        <w:pStyle w:val="4"/>
        <w:shd w:val="clear"/>
        <w:bidi w:val="0"/>
        <w:ind w:left="0" w:leftChars="0" w:firstLine="0" w:firstLineChars="0"/>
        <w:rPr>
          <w:color w:val="auto"/>
          <w:highlight w:val="none"/>
        </w:rPr>
      </w:pPr>
      <w:r>
        <w:rPr>
          <w:rFonts w:hint="eastAsia"/>
          <w:color w:val="auto"/>
          <w:highlight w:val="none"/>
          <w:lang w:val="en-US" w:eastAsia="zh-CN"/>
        </w:rPr>
        <w:t>委托监测情况</w:t>
      </w:r>
    </w:p>
    <w:p w14:paraId="5333C6B6">
      <w:pPr>
        <w:keepNext w:val="0"/>
        <w:keepLines w:val="0"/>
        <w:widowControl/>
        <w:suppressLineNumbers w:val="0"/>
        <w:shd w:val="clear"/>
        <w:spacing w:before="0" w:beforeAutospacing="0"/>
        <w:ind w:left="0" w:firstLine="0"/>
        <w:jc w:val="both"/>
        <w:rPr>
          <w:rFonts w:hint="default" w:ascii="Times New Roman" w:hAnsi="Times New Roman" w:eastAsia="Segoe UI" w:cs="Times New Roman"/>
          <w:i w:val="0"/>
          <w:iCs w:val="0"/>
          <w:caps w:val="0"/>
          <w:color w:val="auto"/>
          <w:spacing w:val="0"/>
          <w:sz w:val="24"/>
          <w:szCs w:val="24"/>
          <w:highlight w:val="none"/>
        </w:rPr>
      </w:pP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收集到相关行业委托监测数据，整理后得到工业企业挥发性有机物有组织排放数据374条</w:t>
      </w:r>
      <w:r>
        <w:rPr>
          <w:rFonts w:hint="eastAsia" w:eastAsia="Segoe UI" w:cs="Times New Roman"/>
          <w:i w:val="0"/>
          <w:iCs w:val="0"/>
          <w:caps w:val="0"/>
          <w:color w:val="auto"/>
          <w:spacing w:val="0"/>
          <w:kern w:val="0"/>
          <w:sz w:val="24"/>
          <w:szCs w:val="24"/>
          <w:highlight w:val="none"/>
          <w:shd w:val="clear" w:fill="FFFFFF"/>
          <w:lang w:val="en-US" w:eastAsia="zh-CN" w:bidi="ar"/>
        </w:rPr>
        <w:t>。其中，</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工业涂装、其他溶剂使用行业及化工3类挥发性有机物排放工业源4个典型行业8家代表性企业21次委托监测结果，苯排放浓度为0</w:t>
      </w:r>
      <w:r>
        <w:rPr>
          <w:rFonts w:hint="eastAsia" w:eastAsia="Segoe UI" w:cs="Times New Roman"/>
          <w:i w:val="0"/>
          <w:iCs w:val="0"/>
          <w:caps w:val="0"/>
          <w:color w:val="auto"/>
          <w:spacing w:val="0"/>
          <w:kern w:val="0"/>
          <w:sz w:val="24"/>
          <w:szCs w:val="24"/>
          <w:highlight w:val="none"/>
          <w:shd w:val="clear" w:fill="FFFFFF"/>
          <w:lang w:val="en-US" w:eastAsia="zh-CN" w:bidi="ar"/>
        </w:rPr>
        <w:t>～</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1.05</w:t>
      </w:r>
      <w:r>
        <w:rPr>
          <w:rFonts w:hint="eastAsia" w:eastAsia="Segoe UI" w:cs="Times New Roman"/>
          <w:i w:val="0"/>
          <w:iCs w:val="0"/>
          <w:caps w:val="0"/>
          <w:color w:val="auto"/>
          <w:spacing w:val="0"/>
          <w:kern w:val="0"/>
          <w:sz w:val="24"/>
          <w:szCs w:val="24"/>
          <w:highlight w:val="none"/>
          <w:shd w:val="clear" w:fill="FFFFFF"/>
          <w:lang w:val="en-US" w:eastAsia="zh-CN" w:bidi="ar"/>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之间。其中仅1家家具制造业企业的调漆、喷漆工艺苯的浓度为1.05</w:t>
      </w:r>
      <w:r>
        <w:rPr>
          <w:rFonts w:hint="eastAsia" w:eastAsia="Segoe UI" w:cs="Times New Roman"/>
          <w:i w:val="0"/>
          <w:iCs w:val="0"/>
          <w:caps w:val="0"/>
          <w:color w:val="auto"/>
          <w:spacing w:val="0"/>
          <w:kern w:val="0"/>
          <w:sz w:val="24"/>
          <w:szCs w:val="24"/>
          <w:highlight w:val="none"/>
          <w:shd w:val="clear" w:fill="FFFFFF"/>
          <w:lang w:val="en-US" w:eastAsia="zh-CN" w:bidi="ar"/>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，其余企业测定结果均低于1</w:t>
      </w:r>
      <w:r>
        <w:rPr>
          <w:rFonts w:hint="eastAsia" w:eastAsia="Segoe UI" w:cs="Times New Roman"/>
          <w:i w:val="0"/>
          <w:iCs w:val="0"/>
          <w:caps w:val="0"/>
          <w:color w:val="auto"/>
          <w:spacing w:val="0"/>
          <w:kern w:val="0"/>
          <w:sz w:val="24"/>
          <w:szCs w:val="24"/>
          <w:highlight w:val="none"/>
          <w:shd w:val="clear" w:fill="FFFFFF"/>
          <w:lang w:val="en-US" w:eastAsia="zh-CN" w:bidi="ar"/>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（包装印刷业2家均为0</w:t>
      </w:r>
      <w:r>
        <w:rPr>
          <w:rFonts w:hint="eastAsia" w:eastAsia="Segoe UI" w:cs="Times New Roman"/>
          <w:i w:val="0"/>
          <w:iCs w:val="0"/>
          <w:caps w:val="0"/>
          <w:color w:val="auto"/>
          <w:spacing w:val="0"/>
          <w:kern w:val="0"/>
          <w:sz w:val="24"/>
          <w:szCs w:val="24"/>
          <w:highlight w:val="none"/>
          <w:shd w:val="clear" w:fill="FFFFFF"/>
          <w:lang w:val="en-US" w:eastAsia="zh-CN" w:bidi="ar"/>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，汽车制造业4家最高0.202</w:t>
      </w:r>
      <w:r>
        <w:rPr>
          <w:rFonts w:hint="eastAsia" w:eastAsia="Segoe UI" w:cs="Times New Roman"/>
          <w:i w:val="0"/>
          <w:iCs w:val="0"/>
          <w:caps w:val="0"/>
          <w:color w:val="auto"/>
          <w:spacing w:val="0"/>
          <w:kern w:val="0"/>
          <w:sz w:val="24"/>
          <w:szCs w:val="24"/>
          <w:highlight w:val="none"/>
          <w:shd w:val="clear" w:fill="FFFFFF"/>
          <w:lang w:val="en-US" w:eastAsia="zh-CN" w:bidi="ar"/>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，橡胶和塑料制造业1家最高0.715</w:t>
      </w:r>
      <w:r>
        <w:rPr>
          <w:rFonts w:hint="eastAsia" w:eastAsia="Segoe UI" w:cs="Times New Roman"/>
          <w:i w:val="0"/>
          <w:iCs w:val="0"/>
          <w:caps w:val="0"/>
          <w:color w:val="auto"/>
          <w:spacing w:val="0"/>
          <w:kern w:val="0"/>
          <w:sz w:val="24"/>
          <w:szCs w:val="24"/>
          <w:highlight w:val="none"/>
          <w:shd w:val="clear" w:fill="FFFFFF"/>
          <w:lang w:val="en-US" w:eastAsia="zh-CN" w:bidi="ar"/>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w:t>
      </w:r>
      <w:r>
        <w:rPr>
          <w:rFonts w:hint="eastAsia" w:cs="Times New Roman"/>
          <w:b w:val="0"/>
          <w:i w:val="0"/>
          <w:iCs w:val="0"/>
          <w:color w:val="auto"/>
          <w:kern w:val="0"/>
          <w:sz w:val="24"/>
          <w:szCs w:val="24"/>
          <w:highlight w:val="none"/>
          <w:u w:val="none"/>
          <w:vertAlign w:val="baseline"/>
          <w:lang w:val="en-US" w:eastAsia="zh-CN" w:bidi="ar"/>
        </w:rPr>
        <w:t>，见</w:t>
      </w:r>
      <w:r>
        <w:rPr>
          <w:rFonts w:hint="eastAsia" w:cs="Times New Roman"/>
          <w:b w:val="0"/>
          <w:i w:val="0"/>
          <w:iCs w:val="0"/>
          <w:color w:val="auto"/>
          <w:kern w:val="0"/>
          <w:sz w:val="24"/>
          <w:szCs w:val="24"/>
          <w:highlight w:val="none"/>
          <w:u w:val="none"/>
          <w:vertAlign w:val="baseline"/>
          <w:lang w:val="en-US" w:eastAsia="zh-CN" w:bidi="ar"/>
        </w:rPr>
        <w:fldChar w:fldCharType="begin"/>
      </w:r>
      <w:r>
        <w:rPr>
          <w:rFonts w:hint="eastAsia" w:cs="Times New Roman"/>
          <w:b w:val="0"/>
          <w:i w:val="0"/>
          <w:iCs w:val="0"/>
          <w:color w:val="auto"/>
          <w:kern w:val="0"/>
          <w:sz w:val="24"/>
          <w:szCs w:val="24"/>
          <w:highlight w:val="none"/>
          <w:u w:val="none"/>
          <w:vertAlign w:val="baseline"/>
          <w:lang w:val="en-US" w:eastAsia="zh-CN" w:bidi="ar"/>
        </w:rPr>
        <w:instrText xml:space="preserve"> REF _Ref6045 \h </w:instrText>
      </w:r>
      <w:r>
        <w:rPr>
          <w:rFonts w:hint="eastAsia" w:cs="Times New Roman"/>
          <w:b w:val="0"/>
          <w:i w:val="0"/>
          <w:iCs w:val="0"/>
          <w:color w:val="auto"/>
          <w:kern w:val="0"/>
          <w:sz w:val="24"/>
          <w:szCs w:val="24"/>
          <w:highlight w:val="none"/>
          <w:u w:val="none"/>
          <w:vertAlign w:val="baseline"/>
          <w:lang w:val="en-US" w:eastAsia="zh-CN" w:bidi="ar"/>
        </w:rPr>
        <w:fldChar w:fldCharType="separate"/>
      </w:r>
      <w:r>
        <w:t>表13</w:t>
      </w:r>
      <w:r>
        <w:rPr>
          <w:rFonts w:hint="eastAsia" w:cs="Times New Roman"/>
          <w:b w:val="0"/>
          <w:i w:val="0"/>
          <w:iCs w:val="0"/>
          <w:color w:val="auto"/>
          <w:kern w:val="0"/>
          <w:sz w:val="24"/>
          <w:szCs w:val="24"/>
          <w:highlight w:val="none"/>
          <w:u w:val="none"/>
          <w:vertAlign w:val="baseline"/>
          <w:lang w:val="en-US" w:eastAsia="zh-CN" w:bidi="ar"/>
        </w:rPr>
        <w:fldChar w:fldCharType="end"/>
      </w:r>
      <w:r>
        <w:rPr>
          <w:rFonts w:hint="eastAsia" w:cs="Times New Roman"/>
          <w:b w:val="0"/>
          <w:i w:val="0"/>
          <w:iCs w:val="0"/>
          <w:color w:val="auto"/>
          <w:kern w:val="0"/>
          <w:sz w:val="24"/>
          <w:szCs w:val="24"/>
          <w:highlight w:val="none"/>
          <w:u w:val="none"/>
          <w:vertAlign w:val="baseline"/>
          <w:lang w:val="en-US" w:eastAsia="zh-CN" w:bidi="ar"/>
        </w:rPr>
        <w:t>。</w:t>
      </w:r>
    </w:p>
    <w:p w14:paraId="168B46CD">
      <w:pPr>
        <w:keepNext w:val="0"/>
        <w:keepLines w:val="0"/>
        <w:widowControl/>
        <w:suppressLineNumbers w:val="0"/>
        <w:shd w:val="clear"/>
        <w:ind w:left="0" w:firstLine="0"/>
        <w:jc w:val="both"/>
        <w:rPr>
          <w:rFonts w:hint="default" w:ascii="Times New Roman" w:hAnsi="Times New Roman" w:eastAsia="Segoe UI" w:cs="Times New Roman"/>
          <w:i w:val="0"/>
          <w:iCs w:val="0"/>
          <w:caps w:val="0"/>
          <w:color w:val="auto"/>
          <w:spacing w:val="0"/>
          <w:sz w:val="24"/>
          <w:szCs w:val="24"/>
          <w:highlight w:val="none"/>
        </w:rPr>
      </w:pP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工业涂装、其他溶剂使用行业及化工等3类挥发性有机物排放工业源5个典型行业10家代表性企业24次委托监测结果，甲苯有组织排放浓度为0</w:t>
      </w:r>
      <w:r>
        <w:rPr>
          <w:rFonts w:hint="eastAsia" w:eastAsia="Segoe UI" w:cs="Times New Roman"/>
          <w:i w:val="0"/>
          <w:iCs w:val="0"/>
          <w:caps w:val="0"/>
          <w:color w:val="auto"/>
          <w:spacing w:val="0"/>
          <w:kern w:val="0"/>
          <w:sz w:val="24"/>
          <w:szCs w:val="24"/>
          <w:highlight w:val="none"/>
          <w:shd w:val="clear" w:fill="FFFFFF"/>
          <w:lang w:val="en-US" w:eastAsia="zh-CN" w:bidi="ar"/>
        </w:rPr>
        <w:t>～</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6.62</w:t>
      </w:r>
      <w:r>
        <w:rPr>
          <w:rFonts w:hint="eastAsia" w:eastAsia="Segoe UI" w:cs="Times New Roman"/>
          <w:i w:val="0"/>
          <w:iCs w:val="0"/>
          <w:caps w:val="0"/>
          <w:color w:val="auto"/>
          <w:spacing w:val="0"/>
          <w:kern w:val="0"/>
          <w:sz w:val="24"/>
          <w:szCs w:val="24"/>
          <w:highlight w:val="none"/>
          <w:shd w:val="clear" w:fill="FFFFFF"/>
          <w:lang w:val="en-US" w:eastAsia="zh-CN" w:bidi="ar"/>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之间。其中家具制造业1家</w:t>
      </w:r>
      <w:r>
        <w:rPr>
          <w:rFonts w:hint="eastAsia" w:eastAsia="Segoe UI" w:cs="Times New Roman"/>
          <w:i w:val="0"/>
          <w:iCs w:val="0"/>
          <w:caps w:val="0"/>
          <w:color w:val="auto"/>
          <w:spacing w:val="0"/>
          <w:kern w:val="0"/>
          <w:sz w:val="24"/>
          <w:szCs w:val="24"/>
          <w:highlight w:val="none"/>
          <w:shd w:val="clear" w:fill="FFFFFF"/>
          <w:lang w:val="en-US" w:eastAsia="zh-CN" w:bidi="ar"/>
        </w:rPr>
        <w:t>未检出</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、橡胶和塑料制造业1家最高0.195</w:t>
      </w:r>
      <w:r>
        <w:rPr>
          <w:rFonts w:hint="eastAsia" w:eastAsia="Segoe UI" w:cs="Times New Roman"/>
          <w:i w:val="0"/>
          <w:iCs w:val="0"/>
          <w:caps w:val="0"/>
          <w:color w:val="auto"/>
          <w:spacing w:val="0"/>
          <w:kern w:val="0"/>
          <w:sz w:val="24"/>
          <w:szCs w:val="24"/>
          <w:highlight w:val="none"/>
          <w:shd w:val="clear" w:fill="FFFFFF"/>
          <w:lang w:val="en-US" w:eastAsia="zh-CN" w:bidi="ar"/>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eastAsia" w:eastAsia="Segoe UI" w:cs="Times New Roman"/>
          <w:i w:val="0"/>
          <w:iCs w:val="0"/>
          <w:caps w:val="0"/>
          <w:color w:val="auto"/>
          <w:spacing w:val="0"/>
          <w:kern w:val="0"/>
          <w:sz w:val="24"/>
          <w:szCs w:val="24"/>
          <w:highlight w:val="none"/>
          <w:shd w:val="clear" w:fill="FFFFFF"/>
          <w:lang w:val="en-US" w:eastAsia="zh-CN" w:bidi="ar"/>
        </w:rPr>
        <w:t>，</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化学原料和化学制品制造业1家0.633</w:t>
      </w:r>
      <w:r>
        <w:rPr>
          <w:rFonts w:hint="eastAsia" w:eastAsia="Segoe UI" w:cs="Times New Roman"/>
          <w:i w:val="0"/>
          <w:iCs w:val="0"/>
          <w:caps w:val="0"/>
          <w:color w:val="auto"/>
          <w:spacing w:val="0"/>
          <w:kern w:val="0"/>
          <w:sz w:val="24"/>
          <w:szCs w:val="24"/>
          <w:highlight w:val="none"/>
          <w:shd w:val="clear" w:fill="FFFFFF"/>
          <w:lang w:val="en-US" w:eastAsia="zh-CN" w:bidi="ar"/>
        </w:rPr>
        <w:t>～</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0.754</w:t>
      </w:r>
      <w:r>
        <w:rPr>
          <w:rFonts w:hint="eastAsia" w:eastAsia="Segoe UI" w:cs="Times New Roman"/>
          <w:i w:val="0"/>
          <w:iCs w:val="0"/>
          <w:caps w:val="0"/>
          <w:color w:val="auto"/>
          <w:spacing w:val="0"/>
          <w:kern w:val="0"/>
          <w:sz w:val="24"/>
          <w:szCs w:val="24"/>
          <w:highlight w:val="none"/>
          <w:shd w:val="clear" w:fill="FFFFFF"/>
          <w:lang w:val="en-US" w:eastAsia="zh-CN" w:bidi="ar"/>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、汽车制造业部分0</w:t>
      </w:r>
      <w:r>
        <w:rPr>
          <w:rFonts w:hint="eastAsia" w:eastAsia="Segoe UI" w:cs="Times New Roman"/>
          <w:i w:val="0"/>
          <w:iCs w:val="0"/>
          <w:caps w:val="0"/>
          <w:color w:val="auto"/>
          <w:spacing w:val="0"/>
          <w:kern w:val="0"/>
          <w:sz w:val="24"/>
          <w:szCs w:val="24"/>
          <w:highlight w:val="none"/>
          <w:shd w:val="clear" w:fill="FFFFFF"/>
          <w:lang w:val="en-US" w:eastAsia="zh-CN" w:bidi="ar"/>
        </w:rPr>
        <w:t>～</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6.62</w:t>
      </w:r>
      <w:r>
        <w:rPr>
          <w:rFonts w:hint="eastAsia" w:eastAsia="Segoe UI" w:cs="Times New Roman"/>
          <w:i w:val="0"/>
          <w:iCs w:val="0"/>
          <w:caps w:val="0"/>
          <w:color w:val="auto"/>
          <w:spacing w:val="0"/>
          <w:kern w:val="0"/>
          <w:sz w:val="24"/>
          <w:szCs w:val="24"/>
          <w:highlight w:val="none"/>
          <w:shd w:val="clear" w:fill="FFFFFF"/>
          <w:lang w:val="en-US" w:eastAsia="zh-CN" w:bidi="ar"/>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、包装印刷业部分0.2</w:t>
      </w:r>
      <w:r>
        <w:rPr>
          <w:rFonts w:hint="eastAsia" w:eastAsia="Segoe UI" w:cs="Times New Roman"/>
          <w:i w:val="0"/>
          <w:iCs w:val="0"/>
          <w:caps w:val="0"/>
          <w:color w:val="auto"/>
          <w:spacing w:val="0"/>
          <w:kern w:val="0"/>
          <w:sz w:val="24"/>
          <w:szCs w:val="24"/>
          <w:highlight w:val="none"/>
          <w:shd w:val="clear" w:fill="FFFFFF"/>
          <w:lang w:val="en-US" w:eastAsia="zh-CN" w:bidi="ar"/>
        </w:rPr>
        <w:t>～</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3.38</w:t>
      </w:r>
      <w:r>
        <w:rPr>
          <w:rFonts w:hint="eastAsia" w:eastAsia="Segoe UI" w:cs="Times New Roman"/>
          <w:i w:val="0"/>
          <w:iCs w:val="0"/>
          <w:caps w:val="0"/>
          <w:color w:val="auto"/>
          <w:spacing w:val="0"/>
          <w:kern w:val="0"/>
          <w:sz w:val="24"/>
          <w:szCs w:val="24"/>
          <w:highlight w:val="none"/>
          <w:shd w:val="clear" w:fill="FFFFFF"/>
          <w:lang w:val="en-US" w:eastAsia="zh-CN" w:bidi="ar"/>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eastAsia" w:eastAsia="Segoe UI" w:cs="Times New Roman"/>
          <w:i w:val="0"/>
          <w:iCs w:val="0"/>
          <w:caps w:val="0"/>
          <w:color w:val="auto"/>
          <w:spacing w:val="0"/>
          <w:kern w:val="0"/>
          <w:sz w:val="24"/>
          <w:szCs w:val="24"/>
          <w:highlight w:val="none"/>
          <w:shd w:val="clear" w:fill="FFFFFF"/>
          <w:lang w:val="en-US" w:eastAsia="zh-CN" w:bidi="ar"/>
        </w:rPr>
        <w:t>。</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汽车制造业部分最高6.62</w:t>
      </w:r>
      <w:r>
        <w:rPr>
          <w:rFonts w:hint="eastAsia" w:eastAsia="Segoe UI" w:cs="Times New Roman"/>
          <w:i w:val="0"/>
          <w:iCs w:val="0"/>
          <w:caps w:val="0"/>
          <w:color w:val="auto"/>
          <w:spacing w:val="0"/>
          <w:kern w:val="0"/>
          <w:sz w:val="24"/>
          <w:szCs w:val="24"/>
          <w:highlight w:val="none"/>
          <w:shd w:val="clear" w:fill="FFFFFF"/>
          <w:lang w:val="en-US" w:eastAsia="zh-CN" w:bidi="ar"/>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、包装印刷业部分最高3.38</w:t>
      </w:r>
      <w:r>
        <w:rPr>
          <w:rFonts w:hint="eastAsia" w:eastAsia="Segoe UI" w:cs="Times New Roman"/>
          <w:i w:val="0"/>
          <w:iCs w:val="0"/>
          <w:caps w:val="0"/>
          <w:color w:val="auto"/>
          <w:spacing w:val="0"/>
          <w:kern w:val="0"/>
          <w:sz w:val="24"/>
          <w:szCs w:val="24"/>
          <w:highlight w:val="none"/>
          <w:shd w:val="clear" w:fill="FFFFFF"/>
          <w:lang w:val="en-US" w:eastAsia="zh-CN" w:bidi="ar"/>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eastAsia" w:cs="Times New Roman"/>
          <w:b w:val="0"/>
          <w:i w:val="0"/>
          <w:iCs w:val="0"/>
          <w:color w:val="auto"/>
          <w:kern w:val="0"/>
          <w:sz w:val="24"/>
          <w:szCs w:val="24"/>
          <w:highlight w:val="none"/>
          <w:u w:val="none"/>
          <w:vertAlign w:val="baseline"/>
          <w:lang w:val="en-US" w:eastAsia="zh-CN" w:bidi="ar"/>
        </w:rPr>
        <w:t>，见</w:t>
      </w:r>
      <w:r>
        <w:rPr>
          <w:rFonts w:hint="eastAsia" w:cs="Times New Roman"/>
          <w:b w:val="0"/>
          <w:i w:val="0"/>
          <w:iCs w:val="0"/>
          <w:color w:val="auto"/>
          <w:kern w:val="0"/>
          <w:sz w:val="24"/>
          <w:szCs w:val="24"/>
          <w:highlight w:val="none"/>
          <w:u w:val="none"/>
          <w:vertAlign w:val="baseline"/>
          <w:lang w:val="en-US" w:eastAsia="zh-CN" w:bidi="ar"/>
        </w:rPr>
        <w:fldChar w:fldCharType="begin"/>
      </w:r>
      <w:r>
        <w:rPr>
          <w:rFonts w:hint="eastAsia" w:cs="Times New Roman"/>
          <w:b w:val="0"/>
          <w:i w:val="0"/>
          <w:iCs w:val="0"/>
          <w:color w:val="auto"/>
          <w:kern w:val="0"/>
          <w:sz w:val="24"/>
          <w:szCs w:val="24"/>
          <w:highlight w:val="none"/>
          <w:u w:val="none"/>
          <w:vertAlign w:val="baseline"/>
          <w:lang w:val="en-US" w:eastAsia="zh-CN" w:bidi="ar"/>
        </w:rPr>
        <w:instrText xml:space="preserve"> REF _Ref6068 \h </w:instrText>
      </w:r>
      <w:r>
        <w:rPr>
          <w:rFonts w:hint="eastAsia" w:cs="Times New Roman"/>
          <w:b w:val="0"/>
          <w:i w:val="0"/>
          <w:iCs w:val="0"/>
          <w:color w:val="auto"/>
          <w:kern w:val="0"/>
          <w:sz w:val="24"/>
          <w:szCs w:val="24"/>
          <w:highlight w:val="none"/>
          <w:u w:val="none"/>
          <w:vertAlign w:val="baseline"/>
          <w:lang w:val="en-US" w:eastAsia="zh-CN" w:bidi="ar"/>
        </w:rPr>
        <w:fldChar w:fldCharType="separate"/>
      </w:r>
      <w:r>
        <w:rPr>
          <w:rFonts w:ascii="Times New Roman" w:hAnsi="Times New Roman" w:cs="Times New Roman"/>
        </w:rPr>
        <w:t>表14</w:t>
      </w:r>
      <w:r>
        <w:rPr>
          <w:rFonts w:hint="eastAsia" w:cs="Times New Roman"/>
          <w:b w:val="0"/>
          <w:i w:val="0"/>
          <w:iCs w:val="0"/>
          <w:color w:val="auto"/>
          <w:kern w:val="0"/>
          <w:sz w:val="24"/>
          <w:szCs w:val="24"/>
          <w:highlight w:val="none"/>
          <w:u w:val="none"/>
          <w:vertAlign w:val="baseline"/>
          <w:lang w:val="en-US" w:eastAsia="zh-CN" w:bidi="ar"/>
        </w:rPr>
        <w:fldChar w:fldCharType="end"/>
      </w:r>
      <w:r>
        <w:rPr>
          <w:rFonts w:hint="eastAsia" w:cs="Times New Roman"/>
          <w:b w:val="0"/>
          <w:i w:val="0"/>
          <w:iCs w:val="0"/>
          <w:color w:val="auto"/>
          <w:kern w:val="0"/>
          <w:sz w:val="24"/>
          <w:szCs w:val="24"/>
          <w:highlight w:val="none"/>
          <w:u w:val="none"/>
          <w:vertAlign w:val="baseline"/>
          <w:lang w:val="en-US" w:eastAsia="zh-CN" w:bidi="ar"/>
        </w:rPr>
        <w:t>。</w:t>
      </w:r>
    </w:p>
    <w:p w14:paraId="01A2A244">
      <w:pPr>
        <w:keepNext w:val="0"/>
        <w:keepLines w:val="0"/>
        <w:widowControl/>
        <w:suppressLineNumbers w:val="0"/>
        <w:shd w:val="clear"/>
        <w:ind w:left="0" w:firstLine="0"/>
        <w:jc w:val="both"/>
        <w:rPr>
          <w:rFonts w:hint="default" w:ascii="Times New Roman" w:hAnsi="Times New Roman" w:eastAsia="Segoe UI" w:cs="Times New Roman"/>
          <w:i w:val="0"/>
          <w:iCs w:val="0"/>
          <w:caps w:val="0"/>
          <w:color w:val="auto"/>
          <w:spacing w:val="0"/>
          <w:sz w:val="24"/>
          <w:szCs w:val="24"/>
          <w:highlight w:val="none"/>
        </w:rPr>
      </w:pP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根据工业涂装、其他溶剂使用行业、化工等3类挥发性有机物排放工业源5个典型行业</w:t>
      </w:r>
      <w:r>
        <w:rPr>
          <w:rFonts w:hint="eastAsia" w:eastAsia="Segoe UI" w:cs="Times New Roman"/>
          <w:i w:val="0"/>
          <w:iCs w:val="0"/>
          <w:caps w:val="0"/>
          <w:color w:val="auto"/>
          <w:spacing w:val="0"/>
          <w:kern w:val="0"/>
          <w:sz w:val="24"/>
          <w:szCs w:val="24"/>
          <w:highlight w:val="none"/>
          <w:shd w:val="clear" w:fill="FFFFFF"/>
          <w:lang w:val="en-US" w:eastAsia="zh-CN" w:bidi="ar"/>
        </w:rPr>
        <w:t>9</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家代表性企业</w:t>
      </w:r>
      <w:r>
        <w:rPr>
          <w:rFonts w:hint="eastAsia" w:eastAsia="Segoe UI" w:cs="Times New Roman"/>
          <w:i w:val="0"/>
          <w:iCs w:val="0"/>
          <w:caps w:val="0"/>
          <w:color w:val="auto"/>
          <w:spacing w:val="0"/>
          <w:kern w:val="0"/>
          <w:sz w:val="24"/>
          <w:szCs w:val="24"/>
          <w:highlight w:val="none"/>
          <w:shd w:val="clear" w:fill="FFFFFF"/>
          <w:lang w:val="en-US" w:eastAsia="zh-CN" w:bidi="ar"/>
        </w:rPr>
        <w:t>20</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次委托监测，二甲苯有组织排放浓度为0</w:t>
      </w:r>
      <w:r>
        <w:rPr>
          <w:rFonts w:hint="eastAsia" w:eastAsia="Segoe UI" w:cs="Times New Roman"/>
          <w:i w:val="0"/>
          <w:iCs w:val="0"/>
          <w:caps w:val="0"/>
          <w:color w:val="auto"/>
          <w:spacing w:val="0"/>
          <w:kern w:val="0"/>
          <w:sz w:val="24"/>
          <w:szCs w:val="24"/>
          <w:highlight w:val="none"/>
          <w:shd w:val="clear" w:fill="FFFFFF"/>
          <w:lang w:val="en-US" w:eastAsia="zh-CN" w:bidi="ar"/>
        </w:rPr>
        <w:t>～</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3.86</w:t>
      </w:r>
      <w:r>
        <w:rPr>
          <w:rFonts w:hint="eastAsia" w:eastAsia="Segoe UI" w:cs="Times New Roman"/>
          <w:i w:val="0"/>
          <w:iCs w:val="0"/>
          <w:caps w:val="0"/>
          <w:color w:val="auto"/>
          <w:spacing w:val="0"/>
          <w:kern w:val="0"/>
          <w:sz w:val="24"/>
          <w:szCs w:val="24"/>
          <w:highlight w:val="none"/>
          <w:shd w:val="clear" w:fill="FFFFFF"/>
          <w:lang w:val="en-US" w:eastAsia="zh-CN" w:bidi="ar"/>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之间。其中家具制造业1家</w:t>
      </w:r>
      <w:r>
        <w:rPr>
          <w:rFonts w:hint="eastAsia" w:eastAsia="Segoe UI" w:cs="Times New Roman"/>
          <w:i w:val="0"/>
          <w:iCs w:val="0"/>
          <w:caps w:val="0"/>
          <w:color w:val="auto"/>
          <w:spacing w:val="0"/>
          <w:kern w:val="0"/>
          <w:sz w:val="24"/>
          <w:szCs w:val="24"/>
          <w:highlight w:val="none"/>
          <w:shd w:val="clear" w:fill="FFFFFF"/>
          <w:lang w:val="en-US" w:eastAsia="zh-CN" w:bidi="ar"/>
        </w:rPr>
        <w:t>未检出</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、橡胶和塑料制造业1家未检出、汽车制造业4家</w:t>
      </w:r>
      <w:r>
        <w:rPr>
          <w:rFonts w:hint="eastAsia" w:eastAsia="Segoe UI" w:cs="Times New Roman"/>
          <w:i w:val="0"/>
          <w:iCs w:val="0"/>
          <w:caps w:val="0"/>
          <w:color w:val="auto"/>
          <w:spacing w:val="0"/>
          <w:kern w:val="0"/>
          <w:sz w:val="24"/>
          <w:szCs w:val="24"/>
          <w:highlight w:val="none"/>
          <w:shd w:val="clear" w:fill="FFFFFF"/>
          <w:lang w:val="en-US" w:eastAsia="zh-CN" w:bidi="ar"/>
        </w:rPr>
        <w:t>浓度未</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0</w:t>
      </w:r>
      <w:r>
        <w:rPr>
          <w:rFonts w:hint="eastAsia" w:eastAsia="Segoe UI" w:cs="Times New Roman"/>
          <w:i w:val="0"/>
          <w:iCs w:val="0"/>
          <w:caps w:val="0"/>
          <w:color w:val="auto"/>
          <w:spacing w:val="0"/>
          <w:kern w:val="0"/>
          <w:sz w:val="24"/>
          <w:szCs w:val="24"/>
          <w:highlight w:val="none"/>
          <w:shd w:val="clear" w:fill="FFFFFF"/>
          <w:lang w:val="en-US" w:eastAsia="zh-CN" w:bidi="ar"/>
        </w:rPr>
        <w:t>～</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0.454</w:t>
      </w:r>
      <w:r>
        <w:rPr>
          <w:rFonts w:hint="eastAsia" w:eastAsia="Segoe UI" w:cs="Times New Roman"/>
          <w:i w:val="0"/>
          <w:iCs w:val="0"/>
          <w:caps w:val="0"/>
          <w:color w:val="auto"/>
          <w:spacing w:val="0"/>
          <w:kern w:val="0"/>
          <w:sz w:val="24"/>
          <w:szCs w:val="24"/>
          <w:highlight w:val="none"/>
          <w:shd w:val="clear" w:fill="FFFFFF"/>
          <w:lang w:val="en-US" w:eastAsia="zh-CN" w:bidi="ar"/>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，包装印刷业3家</w:t>
      </w:r>
      <w:r>
        <w:rPr>
          <w:rFonts w:hint="eastAsia" w:eastAsia="Segoe UI" w:cs="Times New Roman"/>
          <w:i w:val="0"/>
          <w:iCs w:val="0"/>
          <w:caps w:val="0"/>
          <w:color w:val="auto"/>
          <w:spacing w:val="0"/>
          <w:kern w:val="0"/>
          <w:sz w:val="24"/>
          <w:szCs w:val="24"/>
          <w:highlight w:val="none"/>
          <w:shd w:val="clear" w:fill="FFFFFF"/>
          <w:lang w:val="en-US" w:eastAsia="zh-CN" w:bidi="ar"/>
        </w:rPr>
        <w:t>浓度为</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0</w:t>
      </w:r>
      <w:r>
        <w:rPr>
          <w:rFonts w:hint="eastAsia" w:eastAsia="Segoe UI" w:cs="Times New Roman"/>
          <w:i w:val="0"/>
          <w:iCs w:val="0"/>
          <w:caps w:val="0"/>
          <w:color w:val="auto"/>
          <w:spacing w:val="0"/>
          <w:kern w:val="0"/>
          <w:sz w:val="24"/>
          <w:szCs w:val="24"/>
          <w:highlight w:val="none"/>
          <w:shd w:val="clear" w:fill="FFFFFF"/>
          <w:lang w:val="en-US" w:eastAsia="zh-CN" w:bidi="ar"/>
        </w:rPr>
        <w:t>～</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3.86</w:t>
      </w:r>
      <w:r>
        <w:rPr>
          <w:rFonts w:hint="eastAsia" w:eastAsia="Segoe UI" w:cs="Times New Roman"/>
          <w:i w:val="0"/>
          <w:iCs w:val="0"/>
          <w:caps w:val="0"/>
          <w:color w:val="auto"/>
          <w:spacing w:val="0"/>
          <w:kern w:val="0"/>
          <w:sz w:val="24"/>
          <w:szCs w:val="24"/>
          <w:highlight w:val="none"/>
          <w:shd w:val="clear" w:fill="FFFFFF"/>
          <w:lang w:val="en-US" w:eastAsia="zh-CN" w:bidi="ar"/>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eastAsia" w:cs="Times New Roman"/>
          <w:b w:val="0"/>
          <w:i w:val="0"/>
          <w:iCs w:val="0"/>
          <w:color w:val="auto"/>
          <w:kern w:val="0"/>
          <w:sz w:val="24"/>
          <w:szCs w:val="24"/>
          <w:highlight w:val="none"/>
          <w:u w:val="none"/>
          <w:vertAlign w:val="baseline"/>
          <w:lang w:val="en-US" w:eastAsia="zh-CN" w:bidi="ar"/>
        </w:rPr>
        <w:t>，见</w:t>
      </w:r>
      <w:r>
        <w:rPr>
          <w:rFonts w:hint="eastAsia" w:cs="Times New Roman"/>
          <w:b w:val="0"/>
          <w:i w:val="0"/>
          <w:iCs w:val="0"/>
          <w:color w:val="auto"/>
          <w:kern w:val="0"/>
          <w:sz w:val="24"/>
          <w:szCs w:val="24"/>
          <w:highlight w:val="none"/>
          <w:u w:val="none"/>
          <w:vertAlign w:val="baseline"/>
          <w:lang w:val="en-US" w:eastAsia="zh-CN" w:bidi="ar"/>
        </w:rPr>
        <w:fldChar w:fldCharType="begin"/>
      </w:r>
      <w:r>
        <w:rPr>
          <w:rFonts w:hint="eastAsia" w:cs="Times New Roman"/>
          <w:b w:val="0"/>
          <w:i w:val="0"/>
          <w:iCs w:val="0"/>
          <w:color w:val="auto"/>
          <w:kern w:val="0"/>
          <w:sz w:val="24"/>
          <w:szCs w:val="24"/>
          <w:highlight w:val="none"/>
          <w:u w:val="none"/>
          <w:vertAlign w:val="baseline"/>
          <w:lang w:val="en-US" w:eastAsia="zh-CN" w:bidi="ar"/>
        </w:rPr>
        <w:instrText xml:space="preserve"> REF _Ref6107 \h </w:instrText>
      </w:r>
      <w:r>
        <w:rPr>
          <w:rFonts w:hint="eastAsia" w:cs="Times New Roman"/>
          <w:b w:val="0"/>
          <w:i w:val="0"/>
          <w:iCs w:val="0"/>
          <w:color w:val="auto"/>
          <w:kern w:val="0"/>
          <w:sz w:val="24"/>
          <w:szCs w:val="24"/>
          <w:highlight w:val="none"/>
          <w:u w:val="none"/>
          <w:vertAlign w:val="baseline"/>
          <w:lang w:val="en-US" w:eastAsia="zh-CN" w:bidi="ar"/>
        </w:rPr>
        <w:fldChar w:fldCharType="separate"/>
      </w:r>
      <w:r>
        <w:rPr>
          <w:rFonts w:ascii="Times New Roman" w:hAnsi="Times New Roman" w:cs="Times New Roman"/>
        </w:rPr>
        <w:t>表15</w:t>
      </w:r>
      <w:r>
        <w:rPr>
          <w:rFonts w:hint="eastAsia" w:cs="Times New Roman"/>
          <w:b w:val="0"/>
          <w:i w:val="0"/>
          <w:iCs w:val="0"/>
          <w:color w:val="auto"/>
          <w:kern w:val="0"/>
          <w:sz w:val="24"/>
          <w:szCs w:val="24"/>
          <w:highlight w:val="none"/>
          <w:u w:val="none"/>
          <w:vertAlign w:val="baseline"/>
          <w:lang w:val="en-US" w:eastAsia="zh-CN" w:bidi="ar"/>
        </w:rPr>
        <w:fldChar w:fldCharType="end"/>
      </w:r>
      <w:r>
        <w:rPr>
          <w:rFonts w:hint="eastAsia" w:cs="Times New Roman"/>
          <w:b w:val="0"/>
          <w:i w:val="0"/>
          <w:iCs w:val="0"/>
          <w:color w:val="auto"/>
          <w:kern w:val="0"/>
          <w:sz w:val="24"/>
          <w:szCs w:val="24"/>
          <w:highlight w:val="none"/>
          <w:u w:val="none"/>
          <w:vertAlign w:val="baseline"/>
          <w:lang w:val="en-US" w:eastAsia="zh-CN" w:bidi="ar"/>
        </w:rPr>
        <w:t>。</w:t>
      </w:r>
    </w:p>
    <w:p w14:paraId="1E751B43">
      <w:pPr>
        <w:keepNext w:val="0"/>
        <w:keepLines w:val="0"/>
        <w:widowControl/>
        <w:suppressLineNumbers w:val="0"/>
        <w:shd w:val="clear"/>
        <w:ind w:left="0" w:firstLine="0"/>
        <w:jc w:val="both"/>
        <w:rPr>
          <w:rFonts w:hint="default" w:ascii="Times New Roman" w:hAnsi="Times New Roman" w:eastAsia="Segoe UI" w:cs="Times New Roman"/>
          <w:i w:val="0"/>
          <w:iCs w:val="0"/>
          <w:caps w:val="0"/>
          <w:color w:val="auto"/>
          <w:spacing w:val="0"/>
          <w:sz w:val="24"/>
          <w:szCs w:val="24"/>
          <w:highlight w:val="none"/>
        </w:rPr>
      </w:pP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根据工业涂装、化工等2类挥发性有机物排放工业源3个典型行业8家代表性企业22次委托监测，苯系物有组织排放浓度为0</w:t>
      </w:r>
      <w:r>
        <w:rPr>
          <w:rFonts w:hint="eastAsia" w:eastAsia="Segoe UI" w:cs="Times New Roman"/>
          <w:i w:val="0"/>
          <w:iCs w:val="0"/>
          <w:caps w:val="0"/>
          <w:color w:val="auto"/>
          <w:spacing w:val="0"/>
          <w:kern w:val="0"/>
          <w:sz w:val="24"/>
          <w:szCs w:val="24"/>
          <w:highlight w:val="none"/>
          <w:shd w:val="clear" w:fill="FFFFFF"/>
          <w:lang w:val="en-US" w:eastAsia="zh-CN" w:bidi="ar"/>
        </w:rPr>
        <w:t>～</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39.8</w:t>
      </w:r>
      <w:r>
        <w:rPr>
          <w:rFonts w:hint="eastAsia" w:eastAsia="Segoe UI" w:cs="Times New Roman"/>
          <w:i w:val="0"/>
          <w:iCs w:val="0"/>
          <w:caps w:val="0"/>
          <w:color w:val="auto"/>
          <w:spacing w:val="0"/>
          <w:kern w:val="0"/>
          <w:sz w:val="24"/>
          <w:szCs w:val="24"/>
          <w:highlight w:val="none"/>
          <w:shd w:val="clear" w:fill="FFFFFF"/>
          <w:lang w:val="en-US" w:eastAsia="zh-CN" w:bidi="ar"/>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之间，汽车制造业</w:t>
      </w:r>
      <w:r>
        <w:rPr>
          <w:rFonts w:hint="eastAsia" w:eastAsia="Segoe UI" w:cs="Times New Roman"/>
          <w:i w:val="0"/>
          <w:iCs w:val="0"/>
          <w:caps w:val="0"/>
          <w:color w:val="auto"/>
          <w:spacing w:val="0"/>
          <w:kern w:val="0"/>
          <w:sz w:val="24"/>
          <w:szCs w:val="24"/>
          <w:highlight w:val="none"/>
          <w:shd w:val="clear" w:fill="FFFFFF"/>
          <w:lang w:val="en-US" w:eastAsia="zh-CN" w:bidi="ar"/>
        </w:rPr>
        <w:t>浓度在</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0.229</w:t>
      </w:r>
      <w:r>
        <w:rPr>
          <w:rFonts w:hint="eastAsia" w:eastAsia="Segoe UI" w:cs="Times New Roman"/>
          <w:i w:val="0"/>
          <w:iCs w:val="0"/>
          <w:caps w:val="0"/>
          <w:color w:val="auto"/>
          <w:spacing w:val="0"/>
          <w:kern w:val="0"/>
          <w:sz w:val="24"/>
          <w:szCs w:val="24"/>
          <w:highlight w:val="none"/>
          <w:shd w:val="clear" w:fill="FFFFFF"/>
          <w:lang w:val="en-US" w:eastAsia="zh-CN" w:bidi="ar"/>
        </w:rPr>
        <w:t>～</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39.8</w:t>
      </w:r>
      <w:r>
        <w:rPr>
          <w:rFonts w:hint="eastAsia" w:eastAsia="Segoe UI" w:cs="Times New Roman"/>
          <w:i w:val="0"/>
          <w:iCs w:val="0"/>
          <w:caps w:val="0"/>
          <w:color w:val="auto"/>
          <w:spacing w:val="0"/>
          <w:kern w:val="0"/>
          <w:sz w:val="24"/>
          <w:szCs w:val="24"/>
          <w:highlight w:val="none"/>
          <w:shd w:val="clear" w:fill="FFFFFF"/>
          <w:lang w:val="en-US" w:eastAsia="zh-CN" w:bidi="ar"/>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eastAsia" w:eastAsia="Segoe UI" w:cs="Times New Roman"/>
          <w:i w:val="0"/>
          <w:iCs w:val="0"/>
          <w:caps w:val="0"/>
          <w:color w:val="auto"/>
          <w:spacing w:val="0"/>
          <w:kern w:val="0"/>
          <w:sz w:val="24"/>
          <w:szCs w:val="24"/>
          <w:highlight w:val="none"/>
          <w:shd w:val="clear" w:fill="FFFFFF"/>
          <w:lang w:val="en-US" w:eastAsia="zh-CN" w:bidi="ar"/>
        </w:rPr>
        <w:t>之间，</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化学原料和化学制品制造业 C26</w:t>
      </w:r>
      <w:r>
        <w:rPr>
          <w:rFonts w:hint="eastAsia" w:eastAsia="Segoe UI" w:cs="Times New Roman"/>
          <w:i w:val="0"/>
          <w:iCs w:val="0"/>
          <w:caps w:val="0"/>
          <w:color w:val="auto"/>
          <w:spacing w:val="0"/>
          <w:kern w:val="0"/>
          <w:sz w:val="24"/>
          <w:szCs w:val="24"/>
          <w:highlight w:val="none"/>
          <w:shd w:val="clear" w:fill="FFFFFF"/>
          <w:lang w:val="en-US" w:eastAsia="zh-CN" w:bidi="ar"/>
        </w:rPr>
        <w:t>浓度在</w:t>
      </w:r>
      <w:r>
        <w:rPr>
          <w:rFonts w:hint="default" w:ascii="Times New Roman" w:hAnsi="Times New Roman" w:cs="Times New Roman"/>
          <w:b w:val="0"/>
          <w:i w:val="0"/>
          <w:iCs w:val="0"/>
          <w:color w:val="auto"/>
          <w:sz w:val="24"/>
          <w:szCs w:val="24"/>
          <w:highlight w:val="none"/>
          <w:u w:val="none"/>
          <w:lang w:val="en-US" w:eastAsia="zh-CN"/>
        </w:rPr>
        <w:t>0</w:t>
      </w:r>
      <w:r>
        <w:rPr>
          <w:rFonts w:hint="eastAsia" w:cs="Times New Roman"/>
          <w:b w:val="0"/>
          <w:i w:val="0"/>
          <w:iCs w:val="0"/>
          <w:color w:val="auto"/>
          <w:sz w:val="24"/>
          <w:szCs w:val="24"/>
          <w:highlight w:val="none"/>
          <w:u w:val="none"/>
          <w:lang w:val="en-US" w:eastAsia="zh-CN"/>
        </w:rPr>
        <w:t>～</w:t>
      </w:r>
      <w:r>
        <w:rPr>
          <w:rFonts w:hint="default" w:ascii="Times New Roman" w:hAnsi="Times New Roman" w:cs="Times New Roman"/>
          <w:b w:val="0"/>
          <w:i w:val="0"/>
          <w:iCs w:val="0"/>
          <w:color w:val="auto"/>
          <w:sz w:val="24"/>
          <w:szCs w:val="24"/>
          <w:highlight w:val="none"/>
          <w:u w:val="none"/>
          <w:lang w:val="en-US" w:eastAsia="zh-CN"/>
        </w:rPr>
        <w:t>3.81</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mg/m³ 之间</w:t>
      </w:r>
      <w:r>
        <w:rPr>
          <w:rFonts w:hint="eastAsia" w:eastAsia="Segoe UI" w:cs="Times New Roman"/>
          <w:i w:val="0"/>
          <w:iCs w:val="0"/>
          <w:caps w:val="0"/>
          <w:color w:val="auto"/>
          <w:spacing w:val="0"/>
          <w:kern w:val="0"/>
          <w:sz w:val="24"/>
          <w:szCs w:val="24"/>
          <w:highlight w:val="none"/>
          <w:shd w:val="clear" w:fill="FFFFFF"/>
          <w:lang w:val="en-US" w:eastAsia="zh-CN" w:bidi="ar"/>
        </w:rPr>
        <w:t>，</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金属船舶制造 C37</w:t>
      </w:r>
      <w:r>
        <w:rPr>
          <w:rFonts w:hint="eastAsia" w:eastAsia="Segoe UI" w:cs="Times New Roman"/>
          <w:i w:val="0"/>
          <w:iCs w:val="0"/>
          <w:caps w:val="0"/>
          <w:color w:val="auto"/>
          <w:spacing w:val="0"/>
          <w:kern w:val="0"/>
          <w:sz w:val="24"/>
          <w:szCs w:val="24"/>
          <w:highlight w:val="none"/>
          <w:shd w:val="clear" w:fill="FFFFFF"/>
          <w:lang w:val="en-US" w:eastAsia="zh-CN" w:bidi="ar"/>
        </w:rPr>
        <w:t xml:space="preserve">监测数据低于1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eastAsia" w:cs="Times New Roman"/>
          <w:b w:val="0"/>
          <w:i w:val="0"/>
          <w:iCs w:val="0"/>
          <w:color w:val="auto"/>
          <w:kern w:val="0"/>
          <w:sz w:val="24"/>
          <w:szCs w:val="24"/>
          <w:highlight w:val="none"/>
          <w:u w:val="none"/>
          <w:vertAlign w:val="baseline"/>
          <w:lang w:val="en-US" w:eastAsia="zh-CN" w:bidi="ar"/>
        </w:rPr>
        <w:t>，见</w:t>
      </w:r>
      <w:r>
        <w:rPr>
          <w:rFonts w:hint="eastAsia" w:cs="Times New Roman"/>
          <w:b w:val="0"/>
          <w:i w:val="0"/>
          <w:iCs w:val="0"/>
          <w:color w:val="auto"/>
          <w:kern w:val="0"/>
          <w:sz w:val="24"/>
          <w:szCs w:val="24"/>
          <w:highlight w:val="none"/>
          <w:u w:val="none"/>
          <w:vertAlign w:val="baseline"/>
          <w:lang w:val="en-US" w:eastAsia="zh-CN" w:bidi="ar"/>
        </w:rPr>
        <w:fldChar w:fldCharType="begin"/>
      </w:r>
      <w:r>
        <w:rPr>
          <w:rFonts w:hint="eastAsia" w:cs="Times New Roman"/>
          <w:b w:val="0"/>
          <w:i w:val="0"/>
          <w:iCs w:val="0"/>
          <w:color w:val="auto"/>
          <w:kern w:val="0"/>
          <w:sz w:val="24"/>
          <w:szCs w:val="24"/>
          <w:highlight w:val="none"/>
          <w:u w:val="none"/>
          <w:vertAlign w:val="baseline"/>
          <w:lang w:val="en-US" w:eastAsia="zh-CN" w:bidi="ar"/>
        </w:rPr>
        <w:instrText xml:space="preserve"> REF _Ref6133 \h </w:instrText>
      </w:r>
      <w:r>
        <w:rPr>
          <w:rFonts w:hint="eastAsia" w:cs="Times New Roman"/>
          <w:b w:val="0"/>
          <w:i w:val="0"/>
          <w:iCs w:val="0"/>
          <w:color w:val="auto"/>
          <w:kern w:val="0"/>
          <w:sz w:val="24"/>
          <w:szCs w:val="24"/>
          <w:highlight w:val="none"/>
          <w:u w:val="none"/>
          <w:vertAlign w:val="baseline"/>
          <w:lang w:val="en-US" w:eastAsia="zh-CN" w:bidi="ar"/>
        </w:rPr>
        <w:fldChar w:fldCharType="separate"/>
      </w:r>
      <w:r>
        <w:rPr>
          <w:rFonts w:ascii="Times New Roman" w:hAnsi="Times New Roman" w:cs="Times New Roman"/>
        </w:rPr>
        <w:t>表16</w:t>
      </w:r>
      <w:r>
        <w:rPr>
          <w:rFonts w:hint="eastAsia" w:cs="Times New Roman"/>
          <w:b w:val="0"/>
          <w:i w:val="0"/>
          <w:iCs w:val="0"/>
          <w:color w:val="auto"/>
          <w:kern w:val="0"/>
          <w:sz w:val="24"/>
          <w:szCs w:val="24"/>
          <w:highlight w:val="none"/>
          <w:u w:val="none"/>
          <w:vertAlign w:val="baseline"/>
          <w:lang w:val="en-US" w:eastAsia="zh-CN" w:bidi="ar"/>
        </w:rPr>
        <w:fldChar w:fldCharType="end"/>
      </w:r>
      <w:r>
        <w:rPr>
          <w:rFonts w:hint="eastAsia" w:cs="Times New Roman"/>
          <w:b w:val="0"/>
          <w:i w:val="0"/>
          <w:iCs w:val="0"/>
          <w:color w:val="auto"/>
          <w:kern w:val="0"/>
          <w:sz w:val="24"/>
          <w:szCs w:val="24"/>
          <w:highlight w:val="none"/>
          <w:u w:val="none"/>
          <w:vertAlign w:val="baseline"/>
          <w:lang w:val="en-US" w:eastAsia="zh-CN" w:bidi="ar"/>
        </w:rPr>
        <w:t>。</w:t>
      </w:r>
    </w:p>
    <w:p w14:paraId="3BF6B684">
      <w:pPr>
        <w:keepNext w:val="0"/>
        <w:keepLines w:val="0"/>
        <w:widowControl/>
        <w:suppressLineNumbers w:val="0"/>
        <w:shd w:val="clear" w:fill="FFFFFF"/>
        <w:ind w:left="0" w:firstLine="0"/>
        <w:jc w:val="both"/>
        <w:rPr>
          <w:rFonts w:hint="default" w:ascii="Times New Roman" w:hAnsi="Times New Roman" w:eastAsia="Segoe UI" w:cs="Times New Roman"/>
          <w:i w:val="0"/>
          <w:iCs w:val="0"/>
          <w:caps w:val="0"/>
          <w:color w:val="auto"/>
          <w:spacing w:val="0"/>
          <w:sz w:val="24"/>
          <w:szCs w:val="24"/>
          <w:highlight w:val="none"/>
          <w:lang w:val="en-US"/>
        </w:rPr>
      </w:pP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根据工业涂装、化工、其他溶剂使用行业等3类挥发性有机物排放工业源5个典型行业18家代表性企业136次委托监测，非甲烷总烃有组织排放浓度为0</w:t>
      </w:r>
      <w:r>
        <w:rPr>
          <w:rFonts w:hint="eastAsia" w:eastAsia="Segoe UI" w:cs="Times New Roman"/>
          <w:i w:val="0"/>
          <w:iCs w:val="0"/>
          <w:caps w:val="0"/>
          <w:color w:val="auto"/>
          <w:spacing w:val="0"/>
          <w:kern w:val="0"/>
          <w:sz w:val="24"/>
          <w:szCs w:val="24"/>
          <w:highlight w:val="none"/>
          <w:shd w:val="clear" w:fill="FFFFFF"/>
          <w:lang w:val="en-US" w:eastAsia="zh-CN" w:bidi="ar"/>
        </w:rPr>
        <w:t>～</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48.7</w:t>
      </w:r>
      <w:r>
        <w:rPr>
          <w:rFonts w:hint="eastAsia" w:eastAsia="Segoe UI" w:cs="Times New Roman"/>
          <w:i w:val="0"/>
          <w:iCs w:val="0"/>
          <w:caps w:val="0"/>
          <w:color w:val="auto"/>
          <w:spacing w:val="0"/>
          <w:kern w:val="0"/>
          <w:sz w:val="24"/>
          <w:szCs w:val="24"/>
          <w:highlight w:val="none"/>
          <w:shd w:val="clear" w:fill="FFFFFF"/>
          <w:lang w:val="en-US" w:eastAsia="zh-CN" w:bidi="ar"/>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之间</w:t>
      </w:r>
      <w:r>
        <w:rPr>
          <w:rFonts w:hint="eastAsia" w:eastAsia="Segoe UI" w:cs="Times New Roman"/>
          <w:i w:val="0"/>
          <w:iCs w:val="0"/>
          <w:caps w:val="0"/>
          <w:color w:val="auto"/>
          <w:spacing w:val="0"/>
          <w:kern w:val="0"/>
          <w:sz w:val="24"/>
          <w:szCs w:val="24"/>
          <w:highlight w:val="none"/>
          <w:shd w:val="clear" w:fill="FFFFFF"/>
          <w:lang w:val="en-US" w:eastAsia="zh-CN" w:bidi="ar"/>
        </w:rPr>
        <w:t>。</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其中</w:t>
      </w:r>
      <w:r>
        <w:rPr>
          <w:rFonts w:hint="eastAsia" w:eastAsia="Segoe UI" w:cs="Times New Roman"/>
          <w:i w:val="0"/>
          <w:iCs w:val="0"/>
          <w:caps w:val="0"/>
          <w:color w:val="auto"/>
          <w:spacing w:val="0"/>
          <w:kern w:val="0"/>
          <w:sz w:val="24"/>
          <w:szCs w:val="24"/>
          <w:highlight w:val="none"/>
          <w:shd w:val="clear" w:fill="FFFFFF"/>
          <w:lang w:val="en-US" w:eastAsia="zh-CN" w:bidi="ar"/>
        </w:rPr>
        <w:t>，</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橡胶和塑料制造业2家未检出，汽车制造业</w:t>
      </w:r>
      <w:r>
        <w:rPr>
          <w:rFonts w:hint="eastAsia" w:eastAsia="Segoe UI" w:cs="Times New Roman"/>
          <w:i w:val="0"/>
          <w:iCs w:val="0"/>
          <w:caps w:val="0"/>
          <w:color w:val="auto"/>
          <w:spacing w:val="0"/>
          <w:kern w:val="0"/>
          <w:sz w:val="24"/>
          <w:szCs w:val="24"/>
          <w:highlight w:val="none"/>
          <w:shd w:val="clear" w:fill="FFFFFF"/>
          <w:lang w:val="en-US" w:eastAsia="zh-CN" w:bidi="ar"/>
        </w:rPr>
        <w:t xml:space="preserve">最高浓度为48.7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eastAsia" w:eastAsia="Segoe UI" w:cs="Times New Roman"/>
          <w:i w:val="0"/>
          <w:iCs w:val="0"/>
          <w:caps w:val="0"/>
          <w:color w:val="auto"/>
          <w:spacing w:val="0"/>
          <w:kern w:val="0"/>
          <w:sz w:val="24"/>
          <w:szCs w:val="24"/>
          <w:highlight w:val="none"/>
          <w:shd w:val="clear" w:fill="FFFFFF"/>
          <w:lang w:val="en-US" w:eastAsia="zh-CN" w:bidi="ar"/>
        </w:rPr>
        <w:t>，</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印刷业</w:t>
      </w:r>
      <w:r>
        <w:rPr>
          <w:rFonts w:hint="eastAsia" w:eastAsia="Segoe UI" w:cs="Times New Roman"/>
          <w:i w:val="0"/>
          <w:iCs w:val="0"/>
          <w:caps w:val="0"/>
          <w:color w:val="auto"/>
          <w:spacing w:val="0"/>
          <w:kern w:val="0"/>
          <w:sz w:val="24"/>
          <w:szCs w:val="24"/>
          <w:highlight w:val="none"/>
          <w:shd w:val="clear" w:fill="FFFFFF"/>
          <w:lang w:val="en-US" w:eastAsia="zh-CN" w:bidi="ar"/>
        </w:rPr>
        <w:t>浓度在</w:t>
      </w:r>
      <w:r>
        <w:rPr>
          <w:rFonts w:hint="default" w:ascii="Times New Roman" w:hAnsi="Times New Roman" w:cs="Times New Roman"/>
          <w:b w:val="0"/>
          <w:i w:val="0"/>
          <w:iCs w:val="0"/>
          <w:color w:val="auto"/>
          <w:kern w:val="0"/>
          <w:sz w:val="24"/>
          <w:szCs w:val="24"/>
          <w:highlight w:val="none"/>
          <w:u w:val="none"/>
          <w:lang w:val="en-US" w:eastAsia="zh-CN" w:bidi="ar"/>
        </w:rPr>
        <w:t>2.1</w:t>
      </w:r>
      <w:r>
        <w:rPr>
          <w:rFonts w:hint="eastAsia" w:cs="Times New Roman"/>
          <w:b w:val="0"/>
          <w:i w:val="0"/>
          <w:iCs w:val="0"/>
          <w:color w:val="auto"/>
          <w:kern w:val="0"/>
          <w:sz w:val="24"/>
          <w:szCs w:val="24"/>
          <w:highlight w:val="none"/>
          <w:u w:val="none"/>
          <w:lang w:val="en-US" w:eastAsia="zh-CN" w:bidi="ar"/>
        </w:rPr>
        <w:t>～</w:t>
      </w:r>
      <w:r>
        <w:rPr>
          <w:rFonts w:hint="default" w:ascii="Times New Roman" w:hAnsi="Times New Roman" w:cs="Times New Roman"/>
          <w:b w:val="0"/>
          <w:i w:val="0"/>
          <w:iCs w:val="0"/>
          <w:color w:val="auto"/>
          <w:kern w:val="0"/>
          <w:sz w:val="24"/>
          <w:szCs w:val="24"/>
          <w:highlight w:val="none"/>
          <w:u w:val="none"/>
          <w:lang w:val="en-US" w:eastAsia="zh-CN" w:bidi="ar"/>
        </w:rPr>
        <w:t>35.3</w:t>
      </w:r>
      <w:r>
        <w:rPr>
          <w:rFonts w:hint="eastAsia" w:cs="Times New Roman"/>
          <w:b w:val="0"/>
          <w:i w:val="0"/>
          <w:iCs w:val="0"/>
          <w:color w:val="auto"/>
          <w:kern w:val="0"/>
          <w:sz w:val="24"/>
          <w:szCs w:val="24"/>
          <w:highlight w:val="none"/>
          <w:u w:val="none"/>
          <w:lang w:val="en-US" w:eastAsia="zh-CN" w:bidi="ar"/>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之间</w:t>
      </w:r>
      <w:r>
        <w:rPr>
          <w:rFonts w:hint="eastAsia" w:eastAsia="Segoe UI" w:cs="Times New Roman"/>
          <w:i w:val="0"/>
          <w:iCs w:val="0"/>
          <w:caps w:val="0"/>
          <w:color w:val="auto"/>
          <w:spacing w:val="0"/>
          <w:kern w:val="0"/>
          <w:sz w:val="24"/>
          <w:szCs w:val="24"/>
          <w:highlight w:val="none"/>
          <w:shd w:val="clear" w:fill="FFFFFF"/>
          <w:lang w:val="en-US" w:eastAsia="zh-CN" w:bidi="ar"/>
        </w:rPr>
        <w:t>，</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锂离子电池制造</w:t>
      </w:r>
      <w:r>
        <w:rPr>
          <w:rFonts w:hint="eastAsia" w:eastAsia="Segoe UI" w:cs="Times New Roman"/>
          <w:i w:val="0"/>
          <w:iCs w:val="0"/>
          <w:caps w:val="0"/>
          <w:color w:val="auto"/>
          <w:spacing w:val="0"/>
          <w:kern w:val="0"/>
          <w:sz w:val="24"/>
          <w:szCs w:val="24"/>
          <w:highlight w:val="none"/>
          <w:shd w:val="clear" w:fill="FFFFFF"/>
          <w:lang w:val="en-US" w:eastAsia="zh-CN" w:bidi="ar"/>
        </w:rPr>
        <w:t>业在</w:t>
      </w:r>
      <w:r>
        <w:rPr>
          <w:rFonts w:hint="eastAsia" w:cs="Times New Roman"/>
          <w:b w:val="0"/>
          <w:color w:val="auto"/>
          <w:sz w:val="24"/>
          <w:szCs w:val="24"/>
          <w:highlight w:val="none"/>
          <w:lang w:val="en-US" w:eastAsia="zh-CN"/>
        </w:rPr>
        <w:t xml:space="preserve">6.41～31.5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之间</w:t>
      </w:r>
      <w:r>
        <w:rPr>
          <w:rFonts w:hint="eastAsia" w:eastAsia="Segoe UI" w:cs="Times New Roman"/>
          <w:i w:val="0"/>
          <w:iCs w:val="0"/>
          <w:caps w:val="0"/>
          <w:color w:val="auto"/>
          <w:spacing w:val="0"/>
          <w:kern w:val="0"/>
          <w:sz w:val="24"/>
          <w:szCs w:val="24"/>
          <w:highlight w:val="none"/>
          <w:shd w:val="clear" w:fill="FFFFFF"/>
          <w:lang w:val="en-US" w:eastAsia="zh-CN" w:bidi="ar"/>
        </w:rPr>
        <w:t>。</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化学原料和化学制品制造业</w:t>
      </w:r>
      <w:r>
        <w:rPr>
          <w:rFonts w:hint="eastAsia" w:eastAsia="Segoe UI" w:cs="Times New Roman"/>
          <w:i w:val="0"/>
          <w:iCs w:val="0"/>
          <w:caps w:val="0"/>
          <w:color w:val="auto"/>
          <w:spacing w:val="0"/>
          <w:kern w:val="0"/>
          <w:sz w:val="24"/>
          <w:szCs w:val="24"/>
          <w:highlight w:val="none"/>
          <w:shd w:val="clear" w:fill="FFFFFF"/>
          <w:lang w:val="en-US" w:eastAsia="zh-CN" w:bidi="ar"/>
        </w:rPr>
        <w:t>浓度在</w:t>
      </w:r>
      <w:r>
        <w:rPr>
          <w:rFonts w:hint="default" w:ascii="Times New Roman" w:hAnsi="Times New Roman" w:cs="Times New Roman"/>
          <w:b w:val="0"/>
          <w:i w:val="0"/>
          <w:iCs w:val="0"/>
          <w:color w:val="auto"/>
          <w:sz w:val="24"/>
          <w:szCs w:val="24"/>
          <w:highlight w:val="none"/>
          <w:u w:val="none"/>
          <w:lang w:val="en-US" w:eastAsia="zh-CN"/>
        </w:rPr>
        <w:t>1.05</w:t>
      </w:r>
      <w:r>
        <w:rPr>
          <w:rFonts w:hint="eastAsia" w:cs="Times New Roman"/>
          <w:b w:val="0"/>
          <w:i w:val="0"/>
          <w:iCs w:val="0"/>
          <w:color w:val="auto"/>
          <w:sz w:val="24"/>
          <w:szCs w:val="24"/>
          <w:highlight w:val="none"/>
          <w:u w:val="none"/>
          <w:lang w:val="en-US" w:eastAsia="zh-CN"/>
        </w:rPr>
        <w:t>～</w:t>
      </w:r>
      <w:r>
        <w:rPr>
          <w:rFonts w:hint="default" w:ascii="Times New Roman" w:hAnsi="Times New Roman" w:cs="Times New Roman"/>
          <w:b w:val="0"/>
          <w:i w:val="0"/>
          <w:iCs w:val="0"/>
          <w:color w:val="auto"/>
          <w:sz w:val="24"/>
          <w:szCs w:val="24"/>
          <w:highlight w:val="none"/>
          <w:u w:val="none"/>
          <w:lang w:val="en-US" w:eastAsia="zh-CN"/>
        </w:rPr>
        <w:t>44.5</w:t>
      </w:r>
      <w:r>
        <w:rPr>
          <w:rFonts w:hint="eastAsia" w:cs="Times New Roman"/>
          <w:b w:val="0"/>
          <w:color w:val="auto"/>
          <w:sz w:val="24"/>
          <w:szCs w:val="24"/>
          <w:highlight w:val="none"/>
          <w:lang w:val="en-US" w:eastAsia="zh-CN"/>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eastAsia" w:cs="Times New Roman"/>
          <w:b w:val="0"/>
          <w:i w:val="0"/>
          <w:iCs w:val="0"/>
          <w:color w:val="auto"/>
          <w:kern w:val="0"/>
          <w:sz w:val="24"/>
          <w:szCs w:val="24"/>
          <w:highlight w:val="none"/>
          <w:u w:val="none"/>
          <w:vertAlign w:val="baseline"/>
          <w:lang w:val="en-US" w:eastAsia="zh-CN" w:bidi="ar"/>
        </w:rPr>
        <w:t>，见</w:t>
      </w:r>
      <w:r>
        <w:rPr>
          <w:rFonts w:hint="eastAsia" w:cs="Times New Roman"/>
          <w:b w:val="0"/>
          <w:i w:val="0"/>
          <w:iCs w:val="0"/>
          <w:color w:val="auto"/>
          <w:kern w:val="0"/>
          <w:sz w:val="24"/>
          <w:szCs w:val="24"/>
          <w:highlight w:val="none"/>
          <w:u w:val="none"/>
          <w:vertAlign w:val="baseline"/>
          <w:lang w:val="en-US" w:eastAsia="zh-CN" w:bidi="ar"/>
        </w:rPr>
        <w:fldChar w:fldCharType="begin"/>
      </w:r>
      <w:r>
        <w:rPr>
          <w:rFonts w:hint="eastAsia" w:cs="Times New Roman"/>
          <w:b w:val="0"/>
          <w:i w:val="0"/>
          <w:iCs w:val="0"/>
          <w:color w:val="auto"/>
          <w:kern w:val="0"/>
          <w:sz w:val="24"/>
          <w:szCs w:val="24"/>
          <w:highlight w:val="none"/>
          <w:u w:val="none"/>
          <w:vertAlign w:val="baseline"/>
          <w:lang w:val="en-US" w:eastAsia="zh-CN" w:bidi="ar"/>
        </w:rPr>
        <w:instrText xml:space="preserve"> REF _Ref6156 \h </w:instrText>
      </w:r>
      <w:r>
        <w:rPr>
          <w:rFonts w:hint="eastAsia" w:cs="Times New Roman"/>
          <w:b w:val="0"/>
          <w:i w:val="0"/>
          <w:iCs w:val="0"/>
          <w:color w:val="auto"/>
          <w:kern w:val="0"/>
          <w:sz w:val="24"/>
          <w:szCs w:val="24"/>
          <w:highlight w:val="none"/>
          <w:u w:val="none"/>
          <w:vertAlign w:val="baseline"/>
          <w:lang w:val="en-US" w:eastAsia="zh-CN" w:bidi="ar"/>
        </w:rPr>
        <w:fldChar w:fldCharType="separate"/>
      </w:r>
      <w:r>
        <w:rPr>
          <w:rFonts w:ascii="Times New Roman" w:hAnsi="Times New Roman" w:cs="Times New Roman"/>
        </w:rPr>
        <w:t>表17</w:t>
      </w:r>
      <w:r>
        <w:rPr>
          <w:rFonts w:hint="eastAsia" w:cs="Times New Roman"/>
          <w:b w:val="0"/>
          <w:i w:val="0"/>
          <w:iCs w:val="0"/>
          <w:color w:val="auto"/>
          <w:kern w:val="0"/>
          <w:sz w:val="24"/>
          <w:szCs w:val="24"/>
          <w:highlight w:val="none"/>
          <w:u w:val="none"/>
          <w:vertAlign w:val="baseline"/>
          <w:lang w:val="en-US" w:eastAsia="zh-CN" w:bidi="ar"/>
        </w:rPr>
        <w:fldChar w:fldCharType="end"/>
      </w:r>
      <w:r>
        <w:rPr>
          <w:rFonts w:hint="eastAsia" w:cs="Times New Roman"/>
          <w:b w:val="0"/>
          <w:i w:val="0"/>
          <w:iCs w:val="0"/>
          <w:color w:val="auto"/>
          <w:kern w:val="0"/>
          <w:sz w:val="24"/>
          <w:szCs w:val="24"/>
          <w:highlight w:val="none"/>
          <w:u w:val="none"/>
          <w:vertAlign w:val="baseline"/>
          <w:lang w:val="en-US" w:eastAsia="zh-CN" w:bidi="ar"/>
        </w:rPr>
        <w:t>。</w:t>
      </w:r>
    </w:p>
    <w:p w14:paraId="2CF4B7CC">
      <w:pPr>
        <w:keepNext w:val="0"/>
        <w:keepLines w:val="0"/>
        <w:widowControl/>
        <w:suppressLineNumbers w:val="0"/>
        <w:shd w:val="clear" w:fill="FFFFFF"/>
        <w:ind w:left="0" w:firstLine="0"/>
        <w:jc w:val="both"/>
        <w:rPr>
          <w:rFonts w:hint="eastAsia" w:eastAsia="Segoe UI" w:cs="Times New Roman"/>
          <w:i w:val="0"/>
          <w:iCs w:val="0"/>
          <w:caps w:val="0"/>
          <w:color w:val="auto"/>
          <w:spacing w:val="0"/>
          <w:kern w:val="0"/>
          <w:sz w:val="24"/>
          <w:szCs w:val="24"/>
          <w:highlight w:val="none"/>
          <w:shd w:val="clear" w:fill="FFFFFF"/>
          <w:lang w:val="en-US" w:eastAsia="zh-CN" w:bidi="ar"/>
        </w:rPr>
      </w:pP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工业涂装、其他溶剂使用行业、化工等3类挥发性有机物排放工业源</w:t>
      </w:r>
      <w:r>
        <w:rPr>
          <w:rFonts w:hint="eastAsia" w:eastAsia="Segoe UI" w:cs="Times New Roman"/>
          <w:i w:val="0"/>
          <w:iCs w:val="0"/>
          <w:caps w:val="0"/>
          <w:color w:val="auto"/>
          <w:spacing w:val="0"/>
          <w:kern w:val="0"/>
          <w:sz w:val="24"/>
          <w:szCs w:val="24"/>
          <w:highlight w:val="none"/>
          <w:shd w:val="clear" w:fill="FFFFFF"/>
          <w:lang w:val="en-US" w:eastAsia="zh-CN" w:bidi="ar"/>
        </w:rPr>
        <w:t>6</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个典型行业25家代表性企业161次委托监测结果表明，挥发性有机物委托监测浓度为1.35</w:t>
      </w:r>
      <w:r>
        <w:rPr>
          <w:rFonts w:hint="eastAsia" w:eastAsia="Segoe UI" w:cs="Times New Roman"/>
          <w:i w:val="0"/>
          <w:iCs w:val="0"/>
          <w:caps w:val="0"/>
          <w:color w:val="auto"/>
          <w:spacing w:val="0"/>
          <w:kern w:val="0"/>
          <w:sz w:val="24"/>
          <w:szCs w:val="24"/>
          <w:highlight w:val="none"/>
          <w:shd w:val="clear" w:fill="FFFFFF"/>
          <w:lang w:val="en-US" w:eastAsia="zh-CN" w:bidi="ar"/>
        </w:rPr>
        <w:t>～</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50.5</w:t>
      </w:r>
      <w:r>
        <w:rPr>
          <w:rFonts w:hint="eastAsia" w:eastAsia="Segoe UI" w:cs="Times New Roman"/>
          <w:i w:val="0"/>
          <w:iCs w:val="0"/>
          <w:caps w:val="0"/>
          <w:color w:val="auto"/>
          <w:spacing w:val="0"/>
          <w:kern w:val="0"/>
          <w:sz w:val="24"/>
          <w:szCs w:val="24"/>
          <w:highlight w:val="none"/>
          <w:shd w:val="clear" w:fill="FFFFFF"/>
          <w:lang w:val="en-US" w:eastAsia="zh-CN" w:bidi="ar"/>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之间。其中</w:t>
      </w:r>
      <w:r>
        <w:rPr>
          <w:rFonts w:hint="eastAsia" w:eastAsia="Segoe UI" w:cs="Times New Roman"/>
          <w:i w:val="0"/>
          <w:iCs w:val="0"/>
          <w:caps w:val="0"/>
          <w:color w:val="auto"/>
          <w:spacing w:val="0"/>
          <w:kern w:val="0"/>
          <w:sz w:val="24"/>
          <w:szCs w:val="24"/>
          <w:highlight w:val="none"/>
          <w:shd w:val="clear" w:fill="FFFFFF"/>
          <w:lang w:val="en-US" w:eastAsia="zh-CN" w:bidi="ar"/>
        </w:rPr>
        <w:t>，最高浓度出现在</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印刷业</w:t>
      </w:r>
      <w:r>
        <w:rPr>
          <w:rFonts w:hint="eastAsia" w:eastAsia="Segoe UI" w:cs="Times New Roman"/>
          <w:i w:val="0"/>
          <w:iCs w:val="0"/>
          <w:caps w:val="0"/>
          <w:color w:val="auto"/>
          <w:spacing w:val="0"/>
          <w:kern w:val="0"/>
          <w:sz w:val="24"/>
          <w:szCs w:val="24"/>
          <w:highlight w:val="none"/>
          <w:shd w:val="clear" w:fill="FFFFFF"/>
          <w:lang w:val="en-US" w:eastAsia="zh-CN" w:bidi="ar"/>
        </w:rPr>
        <w:t>。</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家具制造业</w:t>
      </w:r>
      <w:r>
        <w:rPr>
          <w:rFonts w:hint="eastAsia" w:eastAsia="Segoe UI" w:cs="Times New Roman"/>
          <w:i w:val="0"/>
          <w:iCs w:val="0"/>
          <w:caps w:val="0"/>
          <w:color w:val="auto"/>
          <w:spacing w:val="0"/>
          <w:kern w:val="0"/>
          <w:sz w:val="24"/>
          <w:szCs w:val="24"/>
          <w:highlight w:val="none"/>
          <w:shd w:val="clear" w:fill="FFFFFF"/>
          <w:lang w:val="en-US" w:eastAsia="zh-CN" w:bidi="ar"/>
        </w:rPr>
        <w:t>浓度在</w:t>
      </w:r>
      <w:r>
        <w:rPr>
          <w:rFonts w:hint="eastAsia" w:cs="Times New Roman"/>
          <w:b w:val="0"/>
          <w:i w:val="0"/>
          <w:iCs w:val="0"/>
          <w:color w:val="000000"/>
          <w:sz w:val="24"/>
          <w:szCs w:val="24"/>
          <w:highlight w:val="none"/>
          <w:u w:val="none"/>
          <w:lang w:val="en-US" w:eastAsia="zh-CN"/>
        </w:rPr>
        <w:t xml:space="preserve">1.35～1.90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之间、汽车制造业</w:t>
      </w:r>
      <w:r>
        <w:rPr>
          <w:rFonts w:hint="eastAsia" w:eastAsia="Segoe UI" w:cs="Times New Roman"/>
          <w:i w:val="0"/>
          <w:iCs w:val="0"/>
          <w:caps w:val="0"/>
          <w:color w:val="auto"/>
          <w:spacing w:val="0"/>
          <w:kern w:val="0"/>
          <w:sz w:val="24"/>
          <w:szCs w:val="24"/>
          <w:highlight w:val="none"/>
          <w:shd w:val="clear" w:fill="FFFFFF"/>
          <w:lang w:val="en-US" w:eastAsia="zh-CN" w:bidi="ar"/>
        </w:rPr>
        <w:t>浓度在</w:t>
      </w:r>
      <w:r>
        <w:rPr>
          <w:rFonts w:hint="default" w:ascii="Times New Roman" w:hAnsi="Times New Roman" w:eastAsia="宋体" w:cs="Times New Roman"/>
          <w:b w:val="0"/>
          <w:i w:val="0"/>
          <w:iCs w:val="0"/>
          <w:color w:val="000000"/>
          <w:sz w:val="24"/>
          <w:szCs w:val="24"/>
          <w:highlight w:val="none"/>
          <w:u w:val="none"/>
          <w:lang w:val="en-US" w:eastAsia="zh-CN"/>
        </w:rPr>
        <w:t>5.78</w:t>
      </w:r>
      <w:r>
        <w:rPr>
          <w:rFonts w:hint="eastAsia" w:cs="Times New Roman"/>
          <w:b w:val="0"/>
          <w:i w:val="0"/>
          <w:iCs w:val="0"/>
          <w:color w:val="000000" w:themeColor="text1"/>
          <w:kern w:val="0"/>
          <w:sz w:val="24"/>
          <w:szCs w:val="24"/>
          <w:highlight w:val="none"/>
          <w:u w:val="none"/>
          <w:lang w:val="en-US" w:eastAsia="zh-CN" w:bidi="ar"/>
          <w14:textFill>
            <w14:solidFill>
              <w14:schemeClr w14:val="tx1"/>
            </w14:solidFill>
          </w14:textFill>
        </w:rPr>
        <w:t>～</w:t>
      </w:r>
      <w:r>
        <w:rPr>
          <w:rFonts w:hint="default" w:ascii="Times New Roman" w:hAnsi="Times New Roman" w:eastAsia="宋体" w:cs="Times New Roman"/>
          <w:b w:val="0"/>
          <w:i w:val="0"/>
          <w:iCs w:val="0"/>
          <w:color w:val="000000" w:themeColor="text1"/>
          <w:kern w:val="0"/>
          <w:sz w:val="24"/>
          <w:szCs w:val="24"/>
          <w:highlight w:val="none"/>
          <w:u w:val="none"/>
          <w:lang w:val="en-US" w:eastAsia="zh-CN" w:bidi="ar"/>
          <w14:textFill>
            <w14:solidFill>
              <w14:schemeClr w14:val="tx1"/>
            </w14:solidFill>
          </w14:textFill>
        </w:rPr>
        <w:t>18.2</w:t>
      </w:r>
      <w:r>
        <w:rPr>
          <w:rFonts w:hint="eastAsia" w:cs="Times New Roman"/>
          <w:b w:val="0"/>
          <w:i w:val="0"/>
          <w:iCs w:val="0"/>
          <w:color w:val="000000" w:themeColor="text1"/>
          <w:kern w:val="0"/>
          <w:sz w:val="24"/>
          <w:szCs w:val="24"/>
          <w:highlight w:val="none"/>
          <w:u w:val="none"/>
          <w:lang w:val="en-US" w:eastAsia="zh-CN" w:bidi="ar"/>
          <w14:textFill>
            <w14:solidFill>
              <w14:schemeClr w14:val="tx1"/>
            </w14:solidFill>
          </w14:textFill>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之间、包装印刷业</w:t>
      </w:r>
      <w:r>
        <w:rPr>
          <w:rFonts w:hint="eastAsia" w:eastAsia="Segoe UI" w:cs="Times New Roman"/>
          <w:i w:val="0"/>
          <w:iCs w:val="0"/>
          <w:caps w:val="0"/>
          <w:color w:val="auto"/>
          <w:spacing w:val="0"/>
          <w:kern w:val="0"/>
          <w:sz w:val="24"/>
          <w:szCs w:val="24"/>
          <w:highlight w:val="none"/>
          <w:shd w:val="clear" w:fill="FFFFFF"/>
          <w:lang w:val="en-US" w:eastAsia="zh-CN" w:bidi="ar"/>
        </w:rPr>
        <w:t>浓度在</w:t>
      </w:r>
      <w:r>
        <w:rPr>
          <w:rFonts w:hint="default" w:ascii="Times New Roman" w:hAnsi="Times New Roman" w:eastAsia="宋体" w:cs="Times New Roman"/>
          <w:b w:val="0"/>
          <w:i w:val="0"/>
          <w:iCs w:val="0"/>
          <w:color w:val="000000"/>
          <w:sz w:val="24"/>
          <w:szCs w:val="24"/>
          <w:highlight w:val="none"/>
          <w:u w:val="none"/>
          <w:lang w:val="en-US" w:eastAsia="zh-CN"/>
        </w:rPr>
        <w:t>5.77</w:t>
      </w:r>
      <w:r>
        <w:rPr>
          <w:rFonts w:hint="eastAsia" w:cs="Times New Roman"/>
          <w:b w:val="0"/>
          <w:i w:val="0"/>
          <w:iCs w:val="0"/>
          <w:color w:val="000000"/>
          <w:sz w:val="24"/>
          <w:szCs w:val="24"/>
          <w:highlight w:val="none"/>
          <w:u w:val="none"/>
          <w:lang w:val="en-US" w:eastAsia="zh-CN"/>
        </w:rPr>
        <w:t>～</w:t>
      </w:r>
      <w:r>
        <w:rPr>
          <w:rFonts w:hint="default" w:ascii="Times New Roman" w:hAnsi="Times New Roman" w:eastAsia="宋体" w:cs="Times New Roman"/>
          <w:b w:val="0"/>
          <w:i w:val="0"/>
          <w:iCs w:val="0"/>
          <w:color w:val="000000" w:themeColor="text1"/>
          <w:kern w:val="0"/>
          <w:sz w:val="24"/>
          <w:szCs w:val="24"/>
          <w:highlight w:val="none"/>
          <w:u w:val="none"/>
          <w:lang w:val="en-US" w:eastAsia="zh-CN" w:bidi="ar"/>
          <w14:textFill>
            <w14:solidFill>
              <w14:schemeClr w14:val="tx1"/>
            </w14:solidFill>
          </w14:textFill>
        </w:rPr>
        <w:t>50.5</w:t>
      </w:r>
      <w:r>
        <w:rPr>
          <w:rFonts w:hint="eastAsia" w:cs="Times New Roman"/>
          <w:b w:val="0"/>
          <w:i w:val="0"/>
          <w:iCs w:val="0"/>
          <w:color w:val="000000" w:themeColor="text1"/>
          <w:kern w:val="0"/>
          <w:sz w:val="24"/>
          <w:szCs w:val="24"/>
          <w:highlight w:val="none"/>
          <w:u w:val="none"/>
          <w:lang w:val="en-US" w:eastAsia="zh-CN" w:bidi="ar"/>
          <w14:textFill>
            <w14:solidFill>
              <w14:schemeClr w14:val="tx1"/>
            </w14:solidFill>
          </w14:textFill>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之间、化学原料和化学制品制造业</w:t>
      </w:r>
      <w:r>
        <w:rPr>
          <w:rFonts w:hint="eastAsia" w:eastAsia="Segoe UI" w:cs="Times New Roman"/>
          <w:i w:val="0"/>
          <w:iCs w:val="0"/>
          <w:caps w:val="0"/>
          <w:color w:val="auto"/>
          <w:spacing w:val="0"/>
          <w:kern w:val="0"/>
          <w:sz w:val="24"/>
          <w:szCs w:val="24"/>
          <w:highlight w:val="none"/>
          <w:shd w:val="clear" w:fill="FFFFFF"/>
          <w:lang w:val="en-US" w:eastAsia="zh-CN" w:bidi="ar"/>
        </w:rPr>
        <w:t>浓度在</w:t>
      </w:r>
      <w:r>
        <w:rPr>
          <w:rFonts w:hint="default" w:ascii="Times New Roman" w:hAnsi="Times New Roman" w:eastAsia="宋体" w:cs="Times New Roman"/>
          <w:b w:val="0"/>
          <w:i w:val="0"/>
          <w:iCs w:val="0"/>
          <w:color w:val="000000"/>
          <w:sz w:val="24"/>
          <w:szCs w:val="24"/>
          <w:highlight w:val="none"/>
          <w:u w:val="none"/>
          <w:lang w:val="en-US" w:eastAsia="zh-CN"/>
        </w:rPr>
        <w:t>5.54</w:t>
      </w:r>
      <w:r>
        <w:rPr>
          <w:rFonts w:hint="eastAsia" w:cs="Times New Roman"/>
          <w:b w:val="0"/>
          <w:i w:val="0"/>
          <w:iCs w:val="0"/>
          <w:color w:val="000000"/>
          <w:sz w:val="24"/>
          <w:szCs w:val="24"/>
          <w:highlight w:val="none"/>
          <w:u w:val="none"/>
          <w:lang w:val="en-US" w:eastAsia="zh-CN"/>
        </w:rPr>
        <w:t>～</w:t>
      </w:r>
      <w:r>
        <w:rPr>
          <w:rFonts w:hint="default" w:ascii="Times New Roman" w:hAnsi="Times New Roman" w:eastAsia="宋体" w:cs="Times New Roman"/>
          <w:b w:val="0"/>
          <w:i w:val="0"/>
          <w:iCs w:val="0"/>
          <w:color w:val="000000"/>
          <w:sz w:val="24"/>
          <w:szCs w:val="24"/>
          <w:highlight w:val="none"/>
          <w:u w:val="none"/>
          <w:lang w:val="en-US" w:eastAsia="zh-CN"/>
        </w:rPr>
        <w:t>32.5</w:t>
      </w:r>
      <w:r>
        <w:rPr>
          <w:rFonts w:hint="eastAsia" w:cs="Times New Roman"/>
          <w:b w:val="0"/>
          <w:i w:val="0"/>
          <w:iCs w:val="0"/>
          <w:color w:val="000000"/>
          <w:sz w:val="24"/>
          <w:szCs w:val="24"/>
          <w:highlight w:val="none"/>
          <w:u w:val="none"/>
          <w:lang w:val="en-US" w:eastAsia="zh-CN"/>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之间、橡胶和塑料制造业</w:t>
      </w:r>
      <w:r>
        <w:rPr>
          <w:rFonts w:hint="eastAsia" w:eastAsia="Segoe UI" w:cs="Times New Roman"/>
          <w:i w:val="0"/>
          <w:iCs w:val="0"/>
          <w:caps w:val="0"/>
          <w:color w:val="auto"/>
          <w:spacing w:val="0"/>
          <w:kern w:val="0"/>
          <w:sz w:val="24"/>
          <w:szCs w:val="24"/>
          <w:highlight w:val="none"/>
          <w:shd w:val="clear" w:fill="FFFFFF"/>
          <w:lang w:val="en-US" w:eastAsia="zh-CN" w:bidi="ar"/>
        </w:rPr>
        <w:t>浓度在</w:t>
      </w:r>
      <w:r>
        <w:rPr>
          <w:rFonts w:hint="default" w:ascii="Times New Roman" w:hAnsi="Times New Roman" w:eastAsia="宋体" w:cs="Times New Roman"/>
          <w:b w:val="0"/>
          <w:i w:val="0"/>
          <w:iCs w:val="0"/>
          <w:color w:val="000000"/>
          <w:sz w:val="24"/>
          <w:szCs w:val="24"/>
          <w:highlight w:val="none"/>
          <w:u w:val="none"/>
          <w:lang w:val="en-US" w:eastAsia="zh-CN"/>
        </w:rPr>
        <w:t>4.71</w:t>
      </w:r>
      <w:r>
        <w:rPr>
          <w:rFonts w:hint="eastAsia" w:cs="Times New Roman"/>
          <w:b w:val="0"/>
          <w:i w:val="0"/>
          <w:iCs w:val="0"/>
          <w:color w:val="000000"/>
          <w:sz w:val="24"/>
          <w:szCs w:val="24"/>
          <w:highlight w:val="none"/>
          <w:u w:val="none"/>
          <w:lang w:val="en-US" w:eastAsia="zh-CN"/>
        </w:rPr>
        <w:t>～</w:t>
      </w:r>
      <w:r>
        <w:rPr>
          <w:rFonts w:hint="default" w:ascii="Times New Roman" w:hAnsi="Times New Roman" w:eastAsia="宋体" w:cs="Times New Roman"/>
          <w:b w:val="0"/>
          <w:i w:val="0"/>
          <w:iCs w:val="0"/>
          <w:color w:val="000000"/>
          <w:sz w:val="24"/>
          <w:szCs w:val="24"/>
          <w:highlight w:val="none"/>
          <w:u w:val="none"/>
          <w:lang w:val="en-US" w:eastAsia="zh-CN"/>
        </w:rPr>
        <w:t>13.8</w:t>
      </w:r>
      <w:r>
        <w:rPr>
          <w:rFonts w:hint="eastAsia" w:cs="Times New Roman"/>
          <w:b w:val="0"/>
          <w:i w:val="0"/>
          <w:iCs w:val="0"/>
          <w:color w:val="000000"/>
          <w:sz w:val="24"/>
          <w:szCs w:val="24"/>
          <w:highlight w:val="none"/>
          <w:u w:val="none"/>
          <w:lang w:val="en-US" w:eastAsia="zh-CN"/>
        </w:rPr>
        <w:t xml:space="preserve"> </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Segoe UI" w:cs="Times New Roman"/>
          <w:i w:val="0"/>
          <w:iCs w:val="0"/>
          <w:caps w:val="0"/>
          <w:color w:val="auto"/>
          <w:spacing w:val="0"/>
          <w:kern w:val="0"/>
          <w:sz w:val="24"/>
          <w:szCs w:val="24"/>
          <w:highlight w:val="none"/>
          <w:shd w:val="clear" w:fill="FFFFFF"/>
          <w:lang w:val="en-US" w:eastAsia="zh-CN" w:bidi="ar"/>
        </w:rPr>
        <w:t>之间</w:t>
      </w:r>
      <w:r>
        <w:rPr>
          <w:rFonts w:hint="eastAsia" w:cs="Times New Roman"/>
          <w:b w:val="0"/>
          <w:i w:val="0"/>
          <w:iCs w:val="0"/>
          <w:color w:val="auto"/>
          <w:kern w:val="0"/>
          <w:sz w:val="24"/>
          <w:szCs w:val="24"/>
          <w:highlight w:val="none"/>
          <w:u w:val="none"/>
          <w:vertAlign w:val="baseline"/>
          <w:lang w:val="en-US" w:eastAsia="zh-CN" w:bidi="ar"/>
        </w:rPr>
        <w:t>，见</w:t>
      </w:r>
      <w:r>
        <w:rPr>
          <w:rFonts w:hint="eastAsia" w:cs="Times New Roman"/>
          <w:b w:val="0"/>
          <w:i w:val="0"/>
          <w:iCs w:val="0"/>
          <w:color w:val="auto"/>
          <w:kern w:val="0"/>
          <w:sz w:val="24"/>
          <w:szCs w:val="24"/>
          <w:highlight w:val="none"/>
          <w:u w:val="none"/>
          <w:vertAlign w:val="baseline"/>
          <w:lang w:val="en-US" w:eastAsia="zh-CN" w:bidi="ar"/>
        </w:rPr>
        <w:fldChar w:fldCharType="begin"/>
      </w:r>
      <w:r>
        <w:rPr>
          <w:rFonts w:hint="eastAsia" w:cs="Times New Roman"/>
          <w:b w:val="0"/>
          <w:i w:val="0"/>
          <w:iCs w:val="0"/>
          <w:color w:val="auto"/>
          <w:kern w:val="0"/>
          <w:sz w:val="24"/>
          <w:szCs w:val="24"/>
          <w:highlight w:val="none"/>
          <w:u w:val="none"/>
          <w:vertAlign w:val="baseline"/>
          <w:lang w:val="en-US" w:eastAsia="zh-CN" w:bidi="ar"/>
        </w:rPr>
        <w:instrText xml:space="preserve"> REF _Ref6182 \h </w:instrText>
      </w:r>
      <w:r>
        <w:rPr>
          <w:rFonts w:hint="eastAsia" w:cs="Times New Roman"/>
          <w:b w:val="0"/>
          <w:i w:val="0"/>
          <w:iCs w:val="0"/>
          <w:color w:val="auto"/>
          <w:kern w:val="0"/>
          <w:sz w:val="24"/>
          <w:szCs w:val="24"/>
          <w:highlight w:val="none"/>
          <w:u w:val="none"/>
          <w:vertAlign w:val="baseline"/>
          <w:lang w:val="en-US" w:eastAsia="zh-CN" w:bidi="ar"/>
        </w:rPr>
        <w:fldChar w:fldCharType="separate"/>
      </w:r>
      <w:r>
        <w:rPr>
          <w:rFonts w:ascii="Times New Roman" w:hAnsi="Times New Roman" w:cs="Times New Roman"/>
        </w:rPr>
        <w:t>表18</w:t>
      </w:r>
      <w:r>
        <w:rPr>
          <w:rFonts w:hint="eastAsia" w:cs="Times New Roman"/>
          <w:b w:val="0"/>
          <w:i w:val="0"/>
          <w:iCs w:val="0"/>
          <w:color w:val="auto"/>
          <w:kern w:val="0"/>
          <w:sz w:val="24"/>
          <w:szCs w:val="24"/>
          <w:highlight w:val="none"/>
          <w:u w:val="none"/>
          <w:vertAlign w:val="baseline"/>
          <w:lang w:val="en-US" w:eastAsia="zh-CN" w:bidi="ar"/>
        </w:rPr>
        <w:fldChar w:fldCharType="end"/>
      </w:r>
      <w:r>
        <w:rPr>
          <w:rFonts w:hint="eastAsia" w:cs="Times New Roman"/>
          <w:b w:val="0"/>
          <w:i w:val="0"/>
          <w:iCs w:val="0"/>
          <w:color w:val="auto"/>
          <w:kern w:val="0"/>
          <w:sz w:val="24"/>
          <w:szCs w:val="24"/>
          <w:highlight w:val="none"/>
          <w:u w:val="none"/>
          <w:vertAlign w:val="baseline"/>
          <w:lang w:val="en-US" w:eastAsia="zh-CN" w:bidi="ar"/>
        </w:rPr>
        <w:t>。</w:t>
      </w:r>
    </w:p>
    <w:p w14:paraId="1AA86ABB">
      <w:pPr>
        <w:pStyle w:val="129"/>
        <w:shd w:val="clear"/>
        <w:bidi w:val="0"/>
        <w:outlineLvl w:val="4"/>
        <w:rPr>
          <w:rFonts w:hint="default"/>
          <w:lang w:val="en-US" w:eastAsia="zh-CN"/>
        </w:rPr>
      </w:pPr>
      <w:bookmarkStart w:id="115" w:name="_Ref6045"/>
      <w:r>
        <w:t>表</w:t>
      </w:r>
      <w:r>
        <w:fldChar w:fldCharType="begin"/>
      </w:r>
      <w:r>
        <w:instrText xml:space="preserve"> SEQ 表 \* ARABIC </w:instrText>
      </w:r>
      <w:r>
        <w:fldChar w:fldCharType="separate"/>
      </w:r>
      <w:r>
        <w:t>13</w:t>
      </w:r>
      <w:r>
        <w:fldChar w:fldCharType="end"/>
      </w:r>
      <w:bookmarkEnd w:id="115"/>
      <w:r>
        <w:rPr>
          <w:rFonts w:hint="eastAsia"/>
          <w:lang w:val="en-US" w:eastAsia="zh-CN"/>
        </w:rPr>
        <w:t xml:space="preserve"> </w:t>
      </w:r>
      <w:r>
        <w:rPr>
          <w:rFonts w:hint="default"/>
          <w:lang w:val="en-US" w:eastAsia="zh-CN"/>
        </w:rPr>
        <w:t>苯的有组织监测数据分布情况</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11"/>
        <w:gridCol w:w="713"/>
        <w:gridCol w:w="1823"/>
        <w:gridCol w:w="1011"/>
        <w:gridCol w:w="801"/>
        <w:gridCol w:w="1354"/>
        <w:gridCol w:w="2230"/>
      </w:tblGrid>
      <w:tr w14:paraId="1E61DF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2081" w:type="pct"/>
            <w:gridSpan w:val="3"/>
            <w:tcBorders>
              <w:tl2br w:val="nil"/>
              <w:tr2bl w:val="nil"/>
            </w:tcBorders>
            <w:shd w:val="clear" w:color="auto" w:fill="FFFFFF"/>
            <w:noWrap/>
            <w:vAlign w:val="center"/>
          </w:tcPr>
          <w:p w14:paraId="1105B0F4">
            <w:pPr>
              <w:keepNext/>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行业基本情况</w:t>
            </w:r>
          </w:p>
        </w:tc>
        <w:tc>
          <w:tcPr>
            <w:tcW w:w="546" w:type="pct"/>
            <w:vMerge w:val="restart"/>
            <w:tcBorders>
              <w:tl2br w:val="nil"/>
              <w:tr2bl w:val="nil"/>
            </w:tcBorders>
            <w:shd w:val="clear" w:color="auto" w:fill="FFFFFF"/>
            <w:noWrap/>
            <w:vAlign w:val="center"/>
          </w:tcPr>
          <w:p w14:paraId="6C215716">
            <w:pPr>
              <w:keepNext/>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企业数量</w:t>
            </w:r>
          </w:p>
        </w:tc>
        <w:tc>
          <w:tcPr>
            <w:tcW w:w="433" w:type="pct"/>
            <w:vMerge w:val="restart"/>
            <w:tcBorders>
              <w:tl2br w:val="nil"/>
              <w:tr2bl w:val="nil"/>
            </w:tcBorders>
            <w:shd w:val="clear" w:color="auto" w:fill="FFFFFF"/>
            <w:noWrap/>
            <w:vAlign w:val="center"/>
          </w:tcPr>
          <w:p w14:paraId="0051A782">
            <w:pPr>
              <w:keepNext/>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监测数据</w:t>
            </w:r>
          </w:p>
        </w:tc>
        <w:tc>
          <w:tcPr>
            <w:tcW w:w="732" w:type="pct"/>
            <w:vMerge w:val="restart"/>
            <w:tcBorders>
              <w:tl2br w:val="nil"/>
              <w:tr2bl w:val="nil"/>
            </w:tcBorders>
            <w:shd w:val="clear" w:color="auto" w:fill="FFFFFF"/>
            <w:noWrap/>
            <w:vAlign w:val="center"/>
          </w:tcPr>
          <w:p w14:paraId="74BDAB0D">
            <w:pPr>
              <w:keepNext/>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浓度</w:t>
            </w:r>
            <w:r>
              <w:rPr>
                <w:rFonts w:hint="default" w:ascii="Times New Roman" w:hAnsi="Times New Roman" w:cs="Times New Roman"/>
                <w:b w:val="0"/>
                <w:i w:val="0"/>
                <w:iCs w:val="0"/>
                <w:color w:val="auto"/>
                <w:kern w:val="0"/>
                <w:sz w:val="18"/>
                <w:szCs w:val="18"/>
                <w:highlight w:val="none"/>
                <w:u w:val="none"/>
                <w:lang w:val="en-US" w:eastAsia="zh-CN" w:bidi="ar"/>
              </w:rPr>
              <w:t>范围</w:t>
            </w:r>
            <w:r>
              <w:rPr>
                <w:rFonts w:hint="default" w:ascii="Times New Roman" w:hAnsi="Times New Roman" w:eastAsia="宋体" w:cs="Times New Roman"/>
                <w:b w:val="0"/>
                <w:i w:val="0"/>
                <w:iCs w:val="0"/>
                <w:color w:val="auto"/>
                <w:kern w:val="0"/>
                <w:sz w:val="18"/>
                <w:szCs w:val="18"/>
                <w:highlight w:val="none"/>
                <w:u w:val="none"/>
                <w:lang w:val="en-US" w:eastAsia="zh-CN" w:bidi="ar"/>
              </w:rPr>
              <w:br w:type="textWrapping"/>
            </w:r>
            <w:r>
              <w:rPr>
                <w:rFonts w:hint="default" w:ascii="Times New Roman" w:hAnsi="Times New Roman" w:cs="Times New Roman"/>
                <w:b w:val="0"/>
                <w:i w:val="0"/>
                <w:iCs w:val="0"/>
                <w:color w:val="auto"/>
                <w:kern w:val="0"/>
                <w:sz w:val="18"/>
                <w:szCs w:val="18"/>
                <w:highlight w:val="none"/>
                <w:u w:val="none"/>
                <w:lang w:val="en-US" w:eastAsia="zh-CN" w:bidi="ar"/>
              </w:rPr>
              <w:t>（mg/m</w:t>
            </w:r>
            <w:r>
              <w:rPr>
                <w:rFonts w:hint="default" w:ascii="Times New Roman" w:hAnsi="Times New Roman" w:cs="Times New Roman"/>
                <w:b w:val="0"/>
                <w:i w:val="0"/>
                <w:iCs w:val="0"/>
                <w:color w:val="auto"/>
                <w:kern w:val="0"/>
                <w:sz w:val="18"/>
                <w:szCs w:val="18"/>
                <w:highlight w:val="none"/>
                <w:u w:val="none"/>
                <w:vertAlign w:val="superscript"/>
                <w:lang w:val="en-US" w:eastAsia="zh-CN" w:bidi="ar"/>
              </w:rPr>
              <w:t>3</w:t>
            </w:r>
            <w:r>
              <w:rPr>
                <w:rFonts w:hint="default" w:ascii="Times New Roman" w:hAnsi="Times New Roman" w:cs="Times New Roman"/>
                <w:b w:val="0"/>
                <w:i w:val="0"/>
                <w:iCs w:val="0"/>
                <w:color w:val="auto"/>
                <w:kern w:val="0"/>
                <w:sz w:val="18"/>
                <w:szCs w:val="18"/>
                <w:highlight w:val="none"/>
                <w:u w:val="none"/>
                <w:lang w:val="en-US" w:eastAsia="zh-CN" w:bidi="ar"/>
              </w:rPr>
              <w:t>）</w:t>
            </w:r>
          </w:p>
        </w:tc>
        <w:tc>
          <w:tcPr>
            <w:tcW w:w="1206" w:type="pct"/>
            <w:vMerge w:val="restart"/>
            <w:tcBorders>
              <w:tl2br w:val="nil"/>
              <w:tr2bl w:val="nil"/>
            </w:tcBorders>
            <w:shd w:val="clear" w:color="auto" w:fill="FFFFFF"/>
            <w:noWrap/>
            <w:vAlign w:val="center"/>
          </w:tcPr>
          <w:p w14:paraId="4C8880F0">
            <w:pPr>
              <w:keepNext/>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涉及设备\工艺</w:t>
            </w:r>
          </w:p>
        </w:tc>
      </w:tr>
      <w:tr w14:paraId="78790D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1" w:hRule="atLeast"/>
          <w:jc w:val="center"/>
        </w:trPr>
        <w:tc>
          <w:tcPr>
            <w:tcW w:w="709" w:type="pct"/>
            <w:tcBorders>
              <w:tl2br w:val="nil"/>
              <w:tr2bl w:val="nil"/>
            </w:tcBorders>
            <w:shd w:val="clear" w:color="auto" w:fill="FFFFFF"/>
            <w:noWrap/>
            <w:vAlign w:val="center"/>
          </w:tcPr>
          <w:p w14:paraId="6E18571C">
            <w:pPr>
              <w:keepNext/>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分类</w:t>
            </w:r>
          </w:p>
        </w:tc>
        <w:tc>
          <w:tcPr>
            <w:tcW w:w="385" w:type="pct"/>
            <w:tcBorders>
              <w:tl2br w:val="nil"/>
              <w:tr2bl w:val="nil"/>
            </w:tcBorders>
            <w:shd w:val="clear" w:color="auto" w:fill="FFFFFF"/>
            <w:noWrap/>
            <w:vAlign w:val="center"/>
          </w:tcPr>
          <w:p w14:paraId="33285FFE">
            <w:pPr>
              <w:keepNext/>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编码</w:t>
            </w:r>
          </w:p>
        </w:tc>
        <w:tc>
          <w:tcPr>
            <w:tcW w:w="986" w:type="pct"/>
            <w:tcBorders>
              <w:tl2br w:val="nil"/>
              <w:tr2bl w:val="nil"/>
            </w:tcBorders>
            <w:shd w:val="clear" w:color="auto" w:fill="FFFFFF"/>
            <w:noWrap/>
            <w:vAlign w:val="center"/>
          </w:tcPr>
          <w:p w14:paraId="05F75644">
            <w:pPr>
              <w:keepNext/>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名称</w:t>
            </w:r>
          </w:p>
        </w:tc>
        <w:tc>
          <w:tcPr>
            <w:tcW w:w="546" w:type="pct"/>
            <w:vMerge w:val="continue"/>
            <w:tcBorders>
              <w:tl2br w:val="nil"/>
              <w:tr2bl w:val="nil"/>
            </w:tcBorders>
            <w:shd w:val="clear" w:color="auto" w:fill="FFFFFF"/>
            <w:noWrap/>
            <w:vAlign w:val="center"/>
          </w:tcPr>
          <w:p w14:paraId="5A1E821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433" w:type="pct"/>
            <w:vMerge w:val="continue"/>
            <w:tcBorders>
              <w:tl2br w:val="nil"/>
              <w:tr2bl w:val="nil"/>
            </w:tcBorders>
            <w:shd w:val="clear" w:color="auto" w:fill="FFFFFF"/>
            <w:noWrap/>
            <w:vAlign w:val="center"/>
          </w:tcPr>
          <w:p w14:paraId="6FE3618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732" w:type="pct"/>
            <w:vMerge w:val="continue"/>
            <w:tcBorders>
              <w:tl2br w:val="nil"/>
              <w:tr2bl w:val="nil"/>
            </w:tcBorders>
            <w:shd w:val="clear" w:color="auto" w:fill="FFFFFF"/>
            <w:noWrap/>
            <w:vAlign w:val="center"/>
          </w:tcPr>
          <w:p w14:paraId="716F7B7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1206" w:type="pct"/>
            <w:vMerge w:val="continue"/>
            <w:tcBorders>
              <w:tl2br w:val="nil"/>
              <w:tr2bl w:val="nil"/>
            </w:tcBorders>
            <w:shd w:val="clear" w:color="auto" w:fill="FFFFFF"/>
            <w:noWrap/>
            <w:vAlign w:val="center"/>
          </w:tcPr>
          <w:p w14:paraId="45A0278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r>
      <w:tr w14:paraId="4599E5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09" w:type="pct"/>
            <w:vMerge w:val="restart"/>
            <w:tcBorders>
              <w:tl2br w:val="nil"/>
              <w:tr2bl w:val="nil"/>
            </w:tcBorders>
            <w:shd w:val="clear" w:color="auto" w:fill="FFFFFF"/>
            <w:noWrap/>
            <w:vAlign w:val="center"/>
          </w:tcPr>
          <w:p w14:paraId="3387426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工业涂装</w:t>
            </w:r>
          </w:p>
        </w:tc>
        <w:tc>
          <w:tcPr>
            <w:tcW w:w="385" w:type="pct"/>
            <w:tcBorders>
              <w:tl2br w:val="nil"/>
              <w:tr2bl w:val="nil"/>
            </w:tcBorders>
            <w:shd w:val="clear" w:color="auto" w:fill="FFFFFF"/>
            <w:noWrap/>
            <w:vAlign w:val="center"/>
          </w:tcPr>
          <w:p w14:paraId="0F08F5F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C21</w:t>
            </w:r>
          </w:p>
        </w:tc>
        <w:tc>
          <w:tcPr>
            <w:tcW w:w="986" w:type="pct"/>
            <w:tcBorders>
              <w:tl2br w:val="nil"/>
              <w:tr2bl w:val="nil"/>
            </w:tcBorders>
            <w:shd w:val="clear" w:color="auto" w:fill="FFFFFF"/>
            <w:noWrap/>
            <w:vAlign w:val="center"/>
          </w:tcPr>
          <w:p w14:paraId="7293812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cs="Times New Roman"/>
                <w:b w:val="0"/>
                <w:color w:val="auto"/>
                <w:sz w:val="18"/>
                <w:szCs w:val="18"/>
                <w:highlight w:val="none"/>
                <w:lang w:val="en-US" w:eastAsia="zh-CN"/>
              </w:rPr>
              <w:t>家具制造业</w:t>
            </w:r>
          </w:p>
        </w:tc>
        <w:tc>
          <w:tcPr>
            <w:tcW w:w="546" w:type="pct"/>
            <w:tcBorders>
              <w:tl2br w:val="nil"/>
              <w:tr2bl w:val="nil"/>
            </w:tcBorders>
            <w:shd w:val="clear" w:color="auto" w:fill="FFFFFF"/>
            <w:noWrap/>
            <w:vAlign w:val="center"/>
          </w:tcPr>
          <w:p w14:paraId="1F6B834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1</w:t>
            </w:r>
          </w:p>
        </w:tc>
        <w:tc>
          <w:tcPr>
            <w:tcW w:w="433" w:type="pct"/>
            <w:tcBorders>
              <w:tl2br w:val="nil"/>
              <w:tr2bl w:val="nil"/>
            </w:tcBorders>
            <w:shd w:val="clear" w:color="auto" w:fill="FFFFFF"/>
            <w:noWrap/>
            <w:vAlign w:val="center"/>
          </w:tcPr>
          <w:p w14:paraId="0C541D5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2</w:t>
            </w:r>
          </w:p>
        </w:tc>
        <w:tc>
          <w:tcPr>
            <w:tcW w:w="732" w:type="pct"/>
            <w:tcBorders>
              <w:tl2br w:val="nil"/>
              <w:tr2bl w:val="nil"/>
            </w:tcBorders>
            <w:shd w:val="clear" w:color="auto" w:fill="FFFFFF"/>
            <w:noWrap/>
            <w:vAlign w:val="center"/>
          </w:tcPr>
          <w:p w14:paraId="677AFBF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rPr>
            </w:pPr>
            <w:r>
              <w:rPr>
                <w:rFonts w:hint="default" w:ascii="Times New Roman" w:hAnsi="Times New Roman" w:cs="Times New Roman"/>
                <w:b w:val="0"/>
                <w:color w:val="auto"/>
                <w:sz w:val="18"/>
                <w:szCs w:val="18"/>
                <w:highlight w:val="none"/>
                <w:lang w:val="en-US" w:eastAsia="zh-CN"/>
              </w:rPr>
              <w:t>0.367</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cs="Times New Roman"/>
                <w:b w:val="0"/>
                <w:color w:val="auto"/>
                <w:sz w:val="18"/>
                <w:szCs w:val="18"/>
                <w:highlight w:val="none"/>
                <w:lang w:val="en-US" w:eastAsia="zh-CN"/>
              </w:rPr>
              <w:t>1.05</w:t>
            </w:r>
          </w:p>
        </w:tc>
        <w:tc>
          <w:tcPr>
            <w:tcW w:w="1206" w:type="pct"/>
            <w:tcBorders>
              <w:tl2br w:val="nil"/>
              <w:tr2bl w:val="nil"/>
            </w:tcBorders>
            <w:shd w:val="clear" w:color="auto" w:fill="FFFFFF"/>
            <w:noWrap/>
            <w:vAlign w:val="center"/>
          </w:tcPr>
          <w:p w14:paraId="1256ADA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lang w:val="en-US"/>
              </w:rPr>
            </w:pPr>
            <w:r>
              <w:rPr>
                <w:rFonts w:hint="default" w:ascii="Times New Roman" w:hAnsi="Times New Roman" w:eastAsia="宋体" w:cs="Times New Roman"/>
                <w:b w:val="0"/>
                <w:i w:val="0"/>
                <w:iCs w:val="0"/>
                <w:color w:val="auto"/>
                <w:kern w:val="0"/>
                <w:sz w:val="18"/>
                <w:szCs w:val="18"/>
                <w:highlight w:val="none"/>
                <w:u w:val="none"/>
                <w:lang w:val="en-US" w:eastAsia="zh-CN" w:bidi="ar"/>
              </w:rPr>
              <w:t>调漆</w:t>
            </w:r>
            <w:r>
              <w:rPr>
                <w:rFonts w:hint="default" w:ascii="Times New Roman" w:hAnsi="Times New Roman" w:cs="Times New Roman"/>
                <w:b w:val="0"/>
                <w:i w:val="0"/>
                <w:iCs w:val="0"/>
                <w:color w:val="auto"/>
                <w:kern w:val="0"/>
                <w:sz w:val="18"/>
                <w:szCs w:val="18"/>
                <w:highlight w:val="none"/>
                <w:u w:val="none"/>
                <w:lang w:val="en-US" w:eastAsia="zh-CN" w:bidi="ar"/>
              </w:rPr>
              <w:t>、喷漆</w:t>
            </w:r>
          </w:p>
        </w:tc>
      </w:tr>
      <w:tr w14:paraId="50989A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jc w:val="center"/>
        </w:trPr>
        <w:tc>
          <w:tcPr>
            <w:tcW w:w="709" w:type="pct"/>
            <w:vMerge w:val="continue"/>
            <w:tcBorders>
              <w:tl2br w:val="nil"/>
              <w:tr2bl w:val="nil"/>
            </w:tcBorders>
            <w:shd w:val="clear" w:color="auto" w:fill="FFFFFF"/>
            <w:noWrap/>
            <w:vAlign w:val="center"/>
          </w:tcPr>
          <w:p w14:paraId="7FF1836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i w:val="0"/>
                <w:iCs w:val="0"/>
                <w:color w:val="auto"/>
                <w:sz w:val="18"/>
                <w:szCs w:val="18"/>
                <w:highlight w:val="none"/>
                <w:u w:val="none"/>
                <w:lang w:val="en-US" w:eastAsia="zh-CN"/>
              </w:rPr>
            </w:pPr>
          </w:p>
        </w:tc>
        <w:tc>
          <w:tcPr>
            <w:tcW w:w="385" w:type="pct"/>
            <w:tcBorders>
              <w:tl2br w:val="nil"/>
              <w:tr2bl w:val="nil"/>
            </w:tcBorders>
            <w:shd w:val="clear" w:color="auto" w:fill="FFFFFF"/>
            <w:noWrap/>
            <w:vAlign w:val="center"/>
          </w:tcPr>
          <w:p w14:paraId="2AA4021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C36</w:t>
            </w:r>
          </w:p>
        </w:tc>
        <w:tc>
          <w:tcPr>
            <w:tcW w:w="986" w:type="pct"/>
            <w:tcBorders>
              <w:tl2br w:val="nil"/>
              <w:tr2bl w:val="nil"/>
            </w:tcBorders>
            <w:shd w:val="clear" w:color="auto" w:fill="FFFFFF"/>
            <w:noWrap/>
            <w:vAlign w:val="center"/>
          </w:tcPr>
          <w:p w14:paraId="6BAD923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cs="Times New Roman"/>
                <w:b w:val="0"/>
                <w:color w:val="auto"/>
                <w:sz w:val="18"/>
                <w:szCs w:val="18"/>
                <w:highlight w:val="none"/>
                <w:lang w:val="en-US" w:eastAsia="zh-CN"/>
              </w:rPr>
              <w:t>汽车制造业</w:t>
            </w:r>
          </w:p>
        </w:tc>
        <w:tc>
          <w:tcPr>
            <w:tcW w:w="546" w:type="pct"/>
            <w:tcBorders>
              <w:tl2br w:val="nil"/>
              <w:tr2bl w:val="nil"/>
            </w:tcBorders>
            <w:shd w:val="clear" w:color="auto" w:fill="FFFFFF"/>
            <w:noWrap/>
            <w:vAlign w:val="center"/>
          </w:tcPr>
          <w:p w14:paraId="69965FD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4</w:t>
            </w:r>
          </w:p>
        </w:tc>
        <w:tc>
          <w:tcPr>
            <w:tcW w:w="433" w:type="pct"/>
            <w:tcBorders>
              <w:tl2br w:val="nil"/>
              <w:tr2bl w:val="nil"/>
            </w:tcBorders>
            <w:shd w:val="clear" w:color="auto" w:fill="FFFFFF"/>
            <w:noWrap/>
            <w:vAlign w:val="center"/>
          </w:tcPr>
          <w:p w14:paraId="0A798F2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5</w:t>
            </w:r>
          </w:p>
        </w:tc>
        <w:tc>
          <w:tcPr>
            <w:tcW w:w="732" w:type="pct"/>
            <w:tcBorders>
              <w:tl2br w:val="nil"/>
              <w:tr2bl w:val="nil"/>
            </w:tcBorders>
            <w:shd w:val="clear" w:color="auto" w:fill="FFFFFF"/>
            <w:noWrap/>
            <w:vAlign w:val="center"/>
          </w:tcPr>
          <w:p w14:paraId="21D205F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0</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cs="Times New Roman"/>
                <w:b w:val="0"/>
                <w:i w:val="0"/>
                <w:iCs w:val="0"/>
                <w:color w:val="auto"/>
                <w:sz w:val="18"/>
                <w:szCs w:val="18"/>
                <w:highlight w:val="none"/>
                <w:u w:val="none"/>
                <w:lang w:val="en-US" w:eastAsia="zh-CN"/>
              </w:rPr>
              <w:t>0.202</w:t>
            </w:r>
          </w:p>
        </w:tc>
        <w:tc>
          <w:tcPr>
            <w:tcW w:w="1206" w:type="pct"/>
            <w:tcBorders>
              <w:tl2br w:val="nil"/>
              <w:tr2bl w:val="nil"/>
            </w:tcBorders>
            <w:shd w:val="clear" w:color="auto" w:fill="FFFFFF"/>
            <w:noWrap/>
            <w:vAlign w:val="center"/>
          </w:tcPr>
          <w:p w14:paraId="285E6B9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油墨、调配、制版印刷</w:t>
            </w:r>
          </w:p>
        </w:tc>
      </w:tr>
      <w:tr w14:paraId="248F9E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jc w:val="center"/>
        </w:trPr>
        <w:tc>
          <w:tcPr>
            <w:tcW w:w="709" w:type="pct"/>
            <w:tcBorders>
              <w:tl2br w:val="nil"/>
              <w:tr2bl w:val="nil"/>
            </w:tcBorders>
            <w:shd w:val="clear" w:color="auto" w:fill="FFFFFF"/>
            <w:noWrap/>
            <w:vAlign w:val="center"/>
          </w:tcPr>
          <w:p w14:paraId="6B636A4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其他有机溶剂</w:t>
            </w:r>
          </w:p>
        </w:tc>
        <w:tc>
          <w:tcPr>
            <w:tcW w:w="385" w:type="pct"/>
            <w:tcBorders>
              <w:tl2br w:val="nil"/>
              <w:tr2bl w:val="nil"/>
            </w:tcBorders>
            <w:shd w:val="clear" w:color="auto" w:fill="FFFFFF"/>
            <w:noWrap/>
            <w:vAlign w:val="center"/>
          </w:tcPr>
          <w:p w14:paraId="3340714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C23</w:t>
            </w:r>
          </w:p>
        </w:tc>
        <w:tc>
          <w:tcPr>
            <w:tcW w:w="986" w:type="pct"/>
            <w:tcBorders>
              <w:tl2br w:val="nil"/>
              <w:tr2bl w:val="nil"/>
            </w:tcBorders>
            <w:shd w:val="clear" w:color="auto" w:fill="FFFFFF"/>
            <w:noWrap/>
            <w:vAlign w:val="center"/>
          </w:tcPr>
          <w:p w14:paraId="400E513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cs="Times New Roman"/>
                <w:b w:val="0"/>
                <w:color w:val="auto"/>
                <w:sz w:val="18"/>
                <w:szCs w:val="18"/>
                <w:highlight w:val="none"/>
                <w:lang w:val="en-US" w:eastAsia="zh-CN"/>
              </w:rPr>
              <w:t>包装印刷业</w:t>
            </w:r>
          </w:p>
        </w:tc>
        <w:tc>
          <w:tcPr>
            <w:tcW w:w="546" w:type="pct"/>
            <w:tcBorders>
              <w:tl2br w:val="nil"/>
              <w:tr2bl w:val="nil"/>
            </w:tcBorders>
            <w:shd w:val="clear" w:color="auto" w:fill="FFFFFF"/>
            <w:noWrap/>
            <w:vAlign w:val="center"/>
          </w:tcPr>
          <w:p w14:paraId="37EA435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2</w:t>
            </w:r>
          </w:p>
        </w:tc>
        <w:tc>
          <w:tcPr>
            <w:tcW w:w="433" w:type="pct"/>
            <w:tcBorders>
              <w:tl2br w:val="nil"/>
              <w:tr2bl w:val="nil"/>
            </w:tcBorders>
            <w:shd w:val="clear" w:color="auto" w:fill="FFFFFF"/>
            <w:noWrap/>
            <w:vAlign w:val="center"/>
          </w:tcPr>
          <w:p w14:paraId="23888FB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9</w:t>
            </w:r>
          </w:p>
        </w:tc>
        <w:tc>
          <w:tcPr>
            <w:tcW w:w="732" w:type="pct"/>
            <w:tcBorders>
              <w:tl2br w:val="nil"/>
              <w:tr2bl w:val="nil"/>
            </w:tcBorders>
            <w:shd w:val="clear" w:color="auto" w:fill="FFFFFF"/>
            <w:noWrap/>
            <w:vAlign w:val="center"/>
          </w:tcPr>
          <w:p w14:paraId="1147A09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0</w:t>
            </w:r>
          </w:p>
        </w:tc>
        <w:tc>
          <w:tcPr>
            <w:tcW w:w="1206" w:type="pct"/>
            <w:tcBorders>
              <w:tl2br w:val="nil"/>
              <w:tr2bl w:val="nil"/>
            </w:tcBorders>
            <w:shd w:val="clear" w:color="auto" w:fill="FFFFFF"/>
            <w:noWrap/>
            <w:vAlign w:val="center"/>
          </w:tcPr>
          <w:p w14:paraId="4E6DF8E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底漆、面漆涂装</w:t>
            </w:r>
          </w:p>
        </w:tc>
      </w:tr>
      <w:tr w14:paraId="1C01E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8" w:hRule="atLeast"/>
          <w:jc w:val="center"/>
        </w:trPr>
        <w:tc>
          <w:tcPr>
            <w:tcW w:w="709" w:type="pct"/>
            <w:tcBorders>
              <w:tl2br w:val="nil"/>
              <w:tr2bl w:val="nil"/>
            </w:tcBorders>
            <w:shd w:val="clear" w:color="auto" w:fill="FFFFFF"/>
            <w:noWrap/>
            <w:vAlign w:val="center"/>
          </w:tcPr>
          <w:p w14:paraId="540FA1F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化工行业</w:t>
            </w:r>
          </w:p>
        </w:tc>
        <w:tc>
          <w:tcPr>
            <w:tcW w:w="385" w:type="pct"/>
            <w:tcBorders>
              <w:tl2br w:val="nil"/>
              <w:tr2bl w:val="nil"/>
            </w:tcBorders>
            <w:shd w:val="clear" w:color="auto" w:fill="FFFFFF"/>
            <w:noWrap/>
            <w:vAlign w:val="center"/>
          </w:tcPr>
          <w:p w14:paraId="4CDF024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C29</w:t>
            </w:r>
          </w:p>
        </w:tc>
        <w:tc>
          <w:tcPr>
            <w:tcW w:w="986" w:type="pct"/>
            <w:tcBorders>
              <w:tl2br w:val="nil"/>
              <w:tr2bl w:val="nil"/>
            </w:tcBorders>
            <w:shd w:val="clear" w:color="auto" w:fill="FFFFFF"/>
            <w:noWrap/>
            <w:vAlign w:val="center"/>
          </w:tcPr>
          <w:p w14:paraId="0B36F31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color w:val="auto"/>
                <w:kern w:val="2"/>
                <w:sz w:val="18"/>
                <w:szCs w:val="18"/>
                <w:highlight w:val="none"/>
                <w:lang w:val="en-US" w:eastAsia="zh-CN" w:bidi="ar-SA"/>
              </w:rPr>
            </w:pPr>
            <w:r>
              <w:rPr>
                <w:rFonts w:hint="default" w:ascii="Times New Roman" w:hAnsi="Times New Roman" w:eastAsia="宋体" w:cs="Times New Roman"/>
                <w:b w:val="0"/>
                <w:color w:val="auto"/>
                <w:sz w:val="18"/>
                <w:szCs w:val="18"/>
                <w:highlight w:val="none"/>
                <w:lang w:val="en-US" w:eastAsia="zh-CN"/>
              </w:rPr>
              <w:t>橡胶和塑料制造业</w:t>
            </w:r>
          </w:p>
        </w:tc>
        <w:tc>
          <w:tcPr>
            <w:tcW w:w="546" w:type="pct"/>
            <w:tcBorders>
              <w:tl2br w:val="nil"/>
              <w:tr2bl w:val="nil"/>
            </w:tcBorders>
            <w:shd w:val="clear" w:color="auto" w:fill="FFFFFF"/>
            <w:noWrap/>
            <w:vAlign w:val="center"/>
          </w:tcPr>
          <w:p w14:paraId="1DA8576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kern w:val="2"/>
                <w:sz w:val="18"/>
                <w:szCs w:val="18"/>
                <w:highlight w:val="none"/>
                <w:u w:val="none"/>
                <w:lang w:val="en-US" w:eastAsia="zh-CN" w:bidi="ar-SA"/>
              </w:rPr>
              <w:t>1</w:t>
            </w:r>
          </w:p>
        </w:tc>
        <w:tc>
          <w:tcPr>
            <w:tcW w:w="433" w:type="pct"/>
            <w:tcBorders>
              <w:tl2br w:val="nil"/>
              <w:tr2bl w:val="nil"/>
            </w:tcBorders>
            <w:shd w:val="clear" w:color="auto" w:fill="FFFFFF"/>
            <w:noWrap/>
            <w:vAlign w:val="center"/>
          </w:tcPr>
          <w:p w14:paraId="6C47EB6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kern w:val="2"/>
                <w:sz w:val="18"/>
                <w:szCs w:val="18"/>
                <w:highlight w:val="none"/>
                <w:u w:val="none"/>
                <w:lang w:val="en-US" w:eastAsia="zh-CN" w:bidi="ar-SA"/>
              </w:rPr>
              <w:t>5</w:t>
            </w:r>
          </w:p>
        </w:tc>
        <w:tc>
          <w:tcPr>
            <w:tcW w:w="732" w:type="pct"/>
            <w:tcBorders>
              <w:tl2br w:val="nil"/>
              <w:tr2bl w:val="nil"/>
            </w:tcBorders>
            <w:shd w:val="clear" w:color="auto" w:fill="FFFFFF"/>
            <w:noWrap/>
            <w:vAlign w:val="center"/>
          </w:tcPr>
          <w:p w14:paraId="199B752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kern w:val="2"/>
                <w:sz w:val="18"/>
                <w:szCs w:val="18"/>
                <w:highlight w:val="none"/>
                <w:u w:val="none"/>
                <w:lang w:val="en-US" w:eastAsia="zh-CN" w:bidi="ar-SA"/>
              </w:rPr>
              <w:t>0</w:t>
            </w:r>
            <w:r>
              <w:rPr>
                <w:rFonts w:hint="eastAsia" w:cs="Times New Roman"/>
                <w:b w:val="0"/>
                <w:i w:val="0"/>
                <w:iCs w:val="0"/>
                <w:color w:val="auto"/>
                <w:sz w:val="18"/>
                <w:szCs w:val="18"/>
                <w:highlight w:val="none"/>
                <w:u w:val="none"/>
                <w:lang w:val="en-US" w:eastAsia="zh-CN"/>
              </w:rPr>
              <w:t>～</w:t>
            </w:r>
            <w:r>
              <w:rPr>
                <w:rFonts w:hint="default" w:ascii="Times New Roman" w:hAnsi="Times New Roman" w:cs="Times New Roman"/>
                <w:b w:val="0"/>
                <w:i w:val="0"/>
                <w:iCs w:val="0"/>
                <w:color w:val="auto"/>
                <w:kern w:val="2"/>
                <w:sz w:val="18"/>
                <w:szCs w:val="18"/>
                <w:highlight w:val="none"/>
                <w:u w:val="none"/>
                <w:lang w:val="en-US" w:eastAsia="zh-CN" w:bidi="ar-SA"/>
              </w:rPr>
              <w:t>0.715</w:t>
            </w:r>
          </w:p>
        </w:tc>
        <w:tc>
          <w:tcPr>
            <w:tcW w:w="1206" w:type="pct"/>
            <w:tcBorders>
              <w:tl2br w:val="nil"/>
              <w:tr2bl w:val="nil"/>
            </w:tcBorders>
            <w:shd w:val="clear" w:color="auto" w:fill="FFFFFF"/>
            <w:noWrap/>
            <w:vAlign w:val="center"/>
          </w:tcPr>
          <w:p w14:paraId="423DEBB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eastAsia" w:cs="Times New Roman"/>
                <w:b w:val="0"/>
                <w:i w:val="0"/>
                <w:iCs w:val="0"/>
                <w:color w:val="auto"/>
                <w:kern w:val="0"/>
                <w:sz w:val="18"/>
                <w:szCs w:val="18"/>
                <w:highlight w:val="none"/>
                <w:u w:val="none"/>
                <w:lang w:val="en-US" w:eastAsia="zh-CN" w:bidi="ar"/>
              </w:rPr>
              <w:t>/</w:t>
            </w:r>
          </w:p>
        </w:tc>
      </w:tr>
      <w:tr w14:paraId="3A0FE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jc w:val="center"/>
        </w:trPr>
        <w:tc>
          <w:tcPr>
            <w:tcW w:w="709" w:type="pct"/>
            <w:tcBorders>
              <w:tl2br w:val="nil"/>
              <w:tr2bl w:val="nil"/>
            </w:tcBorders>
            <w:shd w:val="clear" w:color="auto" w:fill="FFFFFF"/>
            <w:noWrap/>
            <w:vAlign w:val="center"/>
          </w:tcPr>
          <w:p w14:paraId="16105D0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合计</w:t>
            </w:r>
          </w:p>
        </w:tc>
        <w:tc>
          <w:tcPr>
            <w:tcW w:w="1371" w:type="pct"/>
            <w:gridSpan w:val="2"/>
            <w:tcBorders>
              <w:tl2br w:val="nil"/>
              <w:tr2bl w:val="nil"/>
            </w:tcBorders>
            <w:shd w:val="clear" w:color="auto" w:fill="FFFFFF"/>
            <w:noWrap/>
            <w:vAlign w:val="center"/>
          </w:tcPr>
          <w:p w14:paraId="21AE8DC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eastAsia" w:cs="Times New Roman"/>
                <w:b w:val="0"/>
                <w:i w:val="0"/>
                <w:iCs w:val="0"/>
                <w:color w:val="auto"/>
                <w:kern w:val="0"/>
                <w:sz w:val="18"/>
                <w:szCs w:val="18"/>
                <w:highlight w:val="none"/>
                <w:u w:val="none"/>
                <w:lang w:val="en-US" w:eastAsia="zh-CN" w:bidi="ar"/>
              </w:rPr>
              <w:t>4</w:t>
            </w:r>
          </w:p>
        </w:tc>
        <w:tc>
          <w:tcPr>
            <w:tcW w:w="546" w:type="pct"/>
            <w:tcBorders>
              <w:tl2br w:val="nil"/>
              <w:tr2bl w:val="nil"/>
            </w:tcBorders>
            <w:shd w:val="clear" w:color="auto" w:fill="FFFFFF"/>
            <w:noWrap/>
            <w:vAlign w:val="center"/>
          </w:tcPr>
          <w:p w14:paraId="74A295E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8</w:t>
            </w:r>
          </w:p>
        </w:tc>
        <w:tc>
          <w:tcPr>
            <w:tcW w:w="433" w:type="pct"/>
            <w:tcBorders>
              <w:tl2br w:val="nil"/>
              <w:tr2bl w:val="nil"/>
            </w:tcBorders>
            <w:shd w:val="clear" w:color="auto" w:fill="FFFFFF"/>
            <w:noWrap/>
            <w:vAlign w:val="center"/>
          </w:tcPr>
          <w:p w14:paraId="4A5EBD7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21</w:t>
            </w:r>
          </w:p>
        </w:tc>
        <w:tc>
          <w:tcPr>
            <w:tcW w:w="732" w:type="pct"/>
            <w:tcBorders>
              <w:tl2br w:val="nil"/>
              <w:tr2bl w:val="nil"/>
            </w:tcBorders>
            <w:shd w:val="clear" w:color="auto" w:fill="FFFFFF"/>
            <w:noWrap/>
            <w:vAlign w:val="center"/>
          </w:tcPr>
          <w:p w14:paraId="2494CC1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0</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cs="Times New Roman"/>
                <w:b w:val="0"/>
                <w:i w:val="0"/>
                <w:iCs w:val="0"/>
                <w:color w:val="auto"/>
                <w:kern w:val="0"/>
                <w:sz w:val="18"/>
                <w:szCs w:val="18"/>
                <w:highlight w:val="none"/>
                <w:u w:val="none"/>
                <w:lang w:val="en-US" w:eastAsia="zh-CN" w:bidi="ar"/>
              </w:rPr>
              <w:t>0.715</w:t>
            </w:r>
          </w:p>
        </w:tc>
        <w:tc>
          <w:tcPr>
            <w:tcW w:w="1206" w:type="pct"/>
            <w:tcBorders>
              <w:tl2br w:val="nil"/>
              <w:tr2bl w:val="nil"/>
            </w:tcBorders>
            <w:shd w:val="clear" w:color="auto" w:fill="FFFFFF"/>
            <w:noWrap/>
            <w:vAlign w:val="bottom"/>
          </w:tcPr>
          <w:p w14:paraId="3E52B44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w:t>
            </w:r>
          </w:p>
        </w:tc>
      </w:tr>
    </w:tbl>
    <w:p w14:paraId="24D786DD">
      <w:pPr>
        <w:shd w:val="clear"/>
        <w:bidi w:val="0"/>
        <w:rPr>
          <w:rFonts w:hint="default"/>
          <w:color w:val="auto"/>
          <w:highlight w:val="none"/>
          <w:lang w:val="en-US" w:eastAsia="zh-CN"/>
        </w:rPr>
      </w:pPr>
    </w:p>
    <w:p w14:paraId="2341B6DF">
      <w:pPr>
        <w:pStyle w:val="129"/>
        <w:shd w:val="clear"/>
        <w:bidi w:val="0"/>
        <w:outlineLvl w:val="4"/>
        <w:rPr>
          <w:rFonts w:hint="default"/>
          <w:lang w:val="en-US" w:eastAsia="zh-CN"/>
        </w:rPr>
      </w:pPr>
      <w:bookmarkStart w:id="116" w:name="_Ref6068"/>
      <w:r>
        <w:t>表</w:t>
      </w:r>
      <w:r>
        <w:fldChar w:fldCharType="begin"/>
      </w:r>
      <w:r>
        <w:instrText xml:space="preserve"> SEQ 表 \* ARABIC </w:instrText>
      </w:r>
      <w:r>
        <w:fldChar w:fldCharType="separate"/>
      </w:r>
      <w:r>
        <w:rPr>
          <w:rFonts w:ascii="Times New Roman" w:hAnsi="Times New Roman" w:cs="Times New Roman"/>
        </w:rPr>
        <w:t>14</w:t>
      </w:r>
      <w:r>
        <w:fldChar w:fldCharType="end"/>
      </w:r>
      <w:bookmarkEnd w:id="116"/>
      <w:r>
        <w:rPr>
          <w:rFonts w:hint="default"/>
          <w:lang w:val="en-US" w:eastAsia="zh-CN"/>
        </w:rPr>
        <w:t xml:space="preserve"> 甲苯的有组织监测数据分布情况</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92"/>
        <w:gridCol w:w="734"/>
        <w:gridCol w:w="2219"/>
        <w:gridCol w:w="929"/>
        <w:gridCol w:w="725"/>
        <w:gridCol w:w="1322"/>
        <w:gridCol w:w="2022"/>
      </w:tblGrid>
      <w:tr w14:paraId="0C8507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trPr>
        <w:tc>
          <w:tcPr>
            <w:tcW w:w="2296" w:type="pct"/>
            <w:gridSpan w:val="3"/>
            <w:tcBorders>
              <w:tl2br w:val="nil"/>
              <w:tr2bl w:val="nil"/>
            </w:tcBorders>
            <w:shd w:val="clear" w:color="auto" w:fill="FFFFFF"/>
            <w:noWrap/>
            <w:vAlign w:val="center"/>
          </w:tcPr>
          <w:p w14:paraId="3ABAB4D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行业基本情况</w:t>
            </w:r>
          </w:p>
        </w:tc>
        <w:tc>
          <w:tcPr>
            <w:tcW w:w="502" w:type="pct"/>
            <w:vMerge w:val="restart"/>
            <w:tcBorders>
              <w:tl2br w:val="nil"/>
              <w:tr2bl w:val="nil"/>
            </w:tcBorders>
            <w:shd w:val="clear" w:color="auto" w:fill="FFFFFF"/>
            <w:noWrap/>
            <w:vAlign w:val="center"/>
          </w:tcPr>
          <w:p w14:paraId="03FC1FA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企业数量</w:t>
            </w:r>
          </w:p>
        </w:tc>
        <w:tc>
          <w:tcPr>
            <w:tcW w:w="392" w:type="pct"/>
            <w:vMerge w:val="restart"/>
            <w:tcBorders>
              <w:tl2br w:val="nil"/>
              <w:tr2bl w:val="nil"/>
            </w:tcBorders>
            <w:shd w:val="clear" w:color="auto" w:fill="FFFFFF"/>
            <w:noWrap/>
            <w:vAlign w:val="center"/>
          </w:tcPr>
          <w:p w14:paraId="6881494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监测数据</w:t>
            </w:r>
          </w:p>
        </w:tc>
        <w:tc>
          <w:tcPr>
            <w:tcW w:w="715" w:type="pct"/>
            <w:vMerge w:val="restart"/>
            <w:tcBorders>
              <w:tl2br w:val="nil"/>
              <w:tr2bl w:val="nil"/>
            </w:tcBorders>
            <w:shd w:val="clear" w:color="auto" w:fill="FFFFFF"/>
            <w:noWrap/>
            <w:vAlign w:val="center"/>
          </w:tcPr>
          <w:p w14:paraId="494B121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浓度范围</w:t>
            </w:r>
            <w:r>
              <w:rPr>
                <w:rFonts w:hint="default" w:ascii="Times New Roman" w:hAnsi="Times New Roman" w:eastAsia="宋体" w:cs="Times New Roman"/>
                <w:b w:val="0"/>
                <w:i w:val="0"/>
                <w:iCs w:val="0"/>
                <w:color w:val="auto"/>
                <w:kern w:val="0"/>
                <w:sz w:val="18"/>
                <w:szCs w:val="18"/>
                <w:highlight w:val="none"/>
                <w:u w:val="none"/>
                <w:lang w:val="en-US" w:eastAsia="zh-CN" w:bidi="ar"/>
              </w:rPr>
              <w:br w:type="textWrapping"/>
            </w:r>
            <w:r>
              <w:rPr>
                <w:rFonts w:hint="default" w:ascii="Times New Roman" w:hAnsi="Times New Roman" w:eastAsia="宋体" w:cs="Times New Roman"/>
                <w:b w:val="0"/>
                <w:i w:val="0"/>
                <w:iCs w:val="0"/>
                <w:color w:val="auto"/>
                <w:kern w:val="0"/>
                <w:sz w:val="18"/>
                <w:szCs w:val="18"/>
                <w:highlight w:val="none"/>
                <w:u w:val="none"/>
                <w:lang w:val="en-US" w:eastAsia="zh-CN" w:bidi="ar"/>
              </w:rPr>
              <w:t>（mg/m</w:t>
            </w:r>
            <w:r>
              <w:rPr>
                <w:rFonts w:hint="default" w:ascii="Times New Roman" w:hAnsi="Times New Roman" w:eastAsia="宋体" w:cs="Times New Roman"/>
                <w:b w:val="0"/>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b w:val="0"/>
                <w:i w:val="0"/>
                <w:iCs w:val="0"/>
                <w:color w:val="auto"/>
                <w:kern w:val="0"/>
                <w:sz w:val="18"/>
                <w:szCs w:val="18"/>
                <w:highlight w:val="none"/>
                <w:u w:val="none"/>
                <w:lang w:val="en-US" w:eastAsia="zh-CN" w:bidi="ar"/>
              </w:rPr>
              <w:t>）</w:t>
            </w:r>
          </w:p>
        </w:tc>
        <w:tc>
          <w:tcPr>
            <w:tcW w:w="1093" w:type="pct"/>
            <w:vMerge w:val="restart"/>
            <w:tcBorders>
              <w:tl2br w:val="nil"/>
              <w:tr2bl w:val="nil"/>
            </w:tcBorders>
            <w:shd w:val="clear" w:color="auto" w:fill="FFFFFF"/>
            <w:noWrap/>
            <w:vAlign w:val="center"/>
          </w:tcPr>
          <w:p w14:paraId="6D5C093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涉及设备\工艺</w:t>
            </w:r>
          </w:p>
        </w:tc>
      </w:tr>
      <w:tr w14:paraId="05CAD3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698" w:type="pct"/>
            <w:tcBorders>
              <w:tl2br w:val="nil"/>
              <w:tr2bl w:val="nil"/>
            </w:tcBorders>
            <w:shd w:val="clear" w:color="auto" w:fill="FFFFFF"/>
            <w:noWrap/>
            <w:vAlign w:val="center"/>
          </w:tcPr>
          <w:p w14:paraId="018A6D9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分类</w:t>
            </w:r>
          </w:p>
        </w:tc>
        <w:tc>
          <w:tcPr>
            <w:tcW w:w="397" w:type="pct"/>
            <w:tcBorders>
              <w:tl2br w:val="nil"/>
              <w:tr2bl w:val="nil"/>
            </w:tcBorders>
            <w:shd w:val="clear" w:color="auto" w:fill="FFFFFF"/>
            <w:noWrap/>
            <w:vAlign w:val="center"/>
          </w:tcPr>
          <w:p w14:paraId="786BF9D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编码</w:t>
            </w:r>
          </w:p>
        </w:tc>
        <w:tc>
          <w:tcPr>
            <w:tcW w:w="1200" w:type="pct"/>
            <w:tcBorders>
              <w:tl2br w:val="nil"/>
              <w:tr2bl w:val="nil"/>
            </w:tcBorders>
            <w:shd w:val="clear" w:color="auto" w:fill="FFFFFF"/>
            <w:noWrap/>
            <w:vAlign w:val="center"/>
          </w:tcPr>
          <w:p w14:paraId="00D6A8D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名称</w:t>
            </w:r>
          </w:p>
        </w:tc>
        <w:tc>
          <w:tcPr>
            <w:tcW w:w="502" w:type="pct"/>
            <w:vMerge w:val="continue"/>
            <w:tcBorders>
              <w:tl2br w:val="nil"/>
              <w:tr2bl w:val="nil"/>
            </w:tcBorders>
            <w:shd w:val="clear" w:color="auto" w:fill="FFFFFF"/>
            <w:noWrap/>
            <w:vAlign w:val="center"/>
          </w:tcPr>
          <w:p w14:paraId="6DAFA7A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392" w:type="pct"/>
            <w:vMerge w:val="continue"/>
            <w:tcBorders>
              <w:tl2br w:val="nil"/>
              <w:tr2bl w:val="nil"/>
            </w:tcBorders>
            <w:shd w:val="clear" w:color="auto" w:fill="FFFFFF"/>
            <w:noWrap/>
            <w:vAlign w:val="center"/>
          </w:tcPr>
          <w:p w14:paraId="0779ED2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715" w:type="pct"/>
            <w:vMerge w:val="continue"/>
            <w:tcBorders>
              <w:tl2br w:val="nil"/>
              <w:tr2bl w:val="nil"/>
            </w:tcBorders>
            <w:shd w:val="clear" w:color="auto" w:fill="FFFFFF"/>
            <w:noWrap/>
            <w:vAlign w:val="center"/>
          </w:tcPr>
          <w:p w14:paraId="527C837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1093" w:type="pct"/>
            <w:vMerge w:val="continue"/>
            <w:tcBorders>
              <w:tl2br w:val="nil"/>
              <w:tr2bl w:val="nil"/>
            </w:tcBorders>
            <w:shd w:val="clear" w:color="auto" w:fill="FFFFFF"/>
            <w:noWrap/>
            <w:vAlign w:val="center"/>
          </w:tcPr>
          <w:p w14:paraId="2461FF8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r>
      <w:tr w14:paraId="643B93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698" w:type="pct"/>
            <w:vMerge w:val="restart"/>
            <w:tcBorders>
              <w:tl2br w:val="nil"/>
              <w:tr2bl w:val="nil"/>
            </w:tcBorders>
            <w:shd w:val="clear" w:color="auto" w:fill="FFFFFF"/>
            <w:noWrap/>
            <w:vAlign w:val="center"/>
          </w:tcPr>
          <w:p w14:paraId="6F44BC7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工业涂装</w:t>
            </w:r>
          </w:p>
        </w:tc>
        <w:tc>
          <w:tcPr>
            <w:tcW w:w="397" w:type="pct"/>
            <w:tcBorders>
              <w:tl2br w:val="nil"/>
              <w:tr2bl w:val="nil"/>
            </w:tcBorders>
            <w:shd w:val="clear" w:color="auto" w:fill="FFFFFF"/>
            <w:noWrap/>
            <w:vAlign w:val="center"/>
          </w:tcPr>
          <w:p w14:paraId="30360A3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sz w:val="18"/>
                <w:szCs w:val="18"/>
                <w:highlight w:val="none"/>
                <w:u w:val="none"/>
                <w:lang w:val="en-US" w:eastAsia="zh-CN"/>
              </w:rPr>
              <w:t>C21</w:t>
            </w:r>
          </w:p>
        </w:tc>
        <w:tc>
          <w:tcPr>
            <w:tcW w:w="1200" w:type="pct"/>
            <w:tcBorders>
              <w:tl2br w:val="nil"/>
              <w:tr2bl w:val="nil"/>
            </w:tcBorders>
            <w:shd w:val="clear" w:color="auto" w:fill="FFFFFF"/>
            <w:noWrap/>
            <w:vAlign w:val="center"/>
          </w:tcPr>
          <w:p w14:paraId="3C7C368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cs="Times New Roman"/>
                <w:b w:val="0"/>
                <w:color w:val="auto"/>
                <w:sz w:val="18"/>
                <w:szCs w:val="18"/>
                <w:highlight w:val="none"/>
                <w:lang w:val="en-US" w:eastAsia="zh-CN"/>
              </w:rPr>
              <w:t>家具制造业</w:t>
            </w:r>
          </w:p>
        </w:tc>
        <w:tc>
          <w:tcPr>
            <w:tcW w:w="502" w:type="pct"/>
            <w:tcBorders>
              <w:tl2br w:val="nil"/>
              <w:tr2bl w:val="nil"/>
            </w:tcBorders>
            <w:shd w:val="clear" w:color="auto" w:fill="FFFFFF"/>
            <w:noWrap/>
            <w:vAlign w:val="center"/>
          </w:tcPr>
          <w:p w14:paraId="6454489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1</w:t>
            </w:r>
          </w:p>
        </w:tc>
        <w:tc>
          <w:tcPr>
            <w:tcW w:w="392" w:type="pct"/>
            <w:tcBorders>
              <w:tl2br w:val="nil"/>
              <w:tr2bl w:val="nil"/>
            </w:tcBorders>
            <w:shd w:val="clear" w:color="auto" w:fill="FFFFFF"/>
            <w:noWrap/>
            <w:vAlign w:val="center"/>
          </w:tcPr>
          <w:p w14:paraId="2CA18CA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1</w:t>
            </w:r>
          </w:p>
        </w:tc>
        <w:tc>
          <w:tcPr>
            <w:tcW w:w="715" w:type="pct"/>
            <w:tcBorders>
              <w:tl2br w:val="nil"/>
              <w:tr2bl w:val="nil"/>
            </w:tcBorders>
            <w:shd w:val="clear" w:color="auto" w:fill="FFFFFF"/>
            <w:noWrap/>
            <w:vAlign w:val="center"/>
          </w:tcPr>
          <w:p w14:paraId="4639EA5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0</w:t>
            </w:r>
          </w:p>
        </w:tc>
        <w:tc>
          <w:tcPr>
            <w:tcW w:w="1093" w:type="pct"/>
            <w:tcBorders>
              <w:tl2br w:val="nil"/>
              <w:tr2bl w:val="nil"/>
            </w:tcBorders>
            <w:shd w:val="clear" w:color="auto" w:fill="FFFFFF"/>
            <w:noWrap/>
            <w:vAlign w:val="center"/>
          </w:tcPr>
          <w:p w14:paraId="079977A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调漆、喷漆</w:t>
            </w:r>
          </w:p>
        </w:tc>
      </w:tr>
      <w:tr w14:paraId="2C46B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698" w:type="pct"/>
            <w:vMerge w:val="continue"/>
            <w:tcBorders>
              <w:tl2br w:val="nil"/>
              <w:tr2bl w:val="nil"/>
            </w:tcBorders>
            <w:shd w:val="clear" w:color="auto" w:fill="FFFFFF"/>
            <w:noWrap/>
            <w:vAlign w:val="center"/>
          </w:tcPr>
          <w:p w14:paraId="0935920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p>
        </w:tc>
        <w:tc>
          <w:tcPr>
            <w:tcW w:w="397" w:type="pct"/>
            <w:tcBorders>
              <w:tl2br w:val="nil"/>
              <w:tr2bl w:val="nil"/>
            </w:tcBorders>
            <w:shd w:val="clear" w:color="auto" w:fill="FFFFFF"/>
            <w:noWrap/>
            <w:vAlign w:val="center"/>
          </w:tcPr>
          <w:p w14:paraId="12F83F9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sz w:val="18"/>
                <w:szCs w:val="18"/>
                <w:highlight w:val="none"/>
                <w:u w:val="none"/>
                <w:lang w:val="en-US" w:eastAsia="zh-CN"/>
              </w:rPr>
              <w:t>C36</w:t>
            </w:r>
          </w:p>
        </w:tc>
        <w:tc>
          <w:tcPr>
            <w:tcW w:w="1200" w:type="pct"/>
            <w:tcBorders>
              <w:tl2br w:val="nil"/>
              <w:tr2bl w:val="nil"/>
            </w:tcBorders>
            <w:shd w:val="clear" w:color="auto" w:fill="FFFFFF"/>
            <w:noWrap/>
            <w:vAlign w:val="center"/>
          </w:tcPr>
          <w:p w14:paraId="6920521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cs="Times New Roman"/>
                <w:b w:val="0"/>
                <w:color w:val="auto"/>
                <w:sz w:val="18"/>
                <w:szCs w:val="18"/>
                <w:highlight w:val="none"/>
                <w:lang w:val="en-US" w:eastAsia="zh-CN"/>
              </w:rPr>
              <w:t>汽车制造业</w:t>
            </w:r>
          </w:p>
        </w:tc>
        <w:tc>
          <w:tcPr>
            <w:tcW w:w="502" w:type="pct"/>
            <w:tcBorders>
              <w:tl2br w:val="nil"/>
              <w:tr2bl w:val="nil"/>
            </w:tcBorders>
            <w:shd w:val="clear" w:color="auto" w:fill="FFFFFF"/>
            <w:noWrap/>
            <w:vAlign w:val="center"/>
          </w:tcPr>
          <w:p w14:paraId="1E076D2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4</w:t>
            </w:r>
          </w:p>
        </w:tc>
        <w:tc>
          <w:tcPr>
            <w:tcW w:w="392" w:type="pct"/>
            <w:tcBorders>
              <w:tl2br w:val="nil"/>
              <w:tr2bl w:val="nil"/>
            </w:tcBorders>
            <w:shd w:val="clear" w:color="auto" w:fill="FFFFFF"/>
            <w:noWrap/>
            <w:vAlign w:val="center"/>
          </w:tcPr>
          <w:p w14:paraId="79D2B2D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7</w:t>
            </w:r>
          </w:p>
        </w:tc>
        <w:tc>
          <w:tcPr>
            <w:tcW w:w="715" w:type="pct"/>
            <w:tcBorders>
              <w:tl2br w:val="nil"/>
              <w:tr2bl w:val="nil"/>
            </w:tcBorders>
            <w:shd w:val="clear" w:color="auto" w:fill="FFFFFF"/>
            <w:noWrap/>
            <w:vAlign w:val="center"/>
          </w:tcPr>
          <w:p w14:paraId="7FB20FA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kern w:val="0"/>
                <w:sz w:val="18"/>
                <w:szCs w:val="18"/>
                <w:highlight w:val="none"/>
                <w:u w:val="none"/>
                <w:lang w:val="en-US" w:eastAsia="zh-CN" w:bidi="ar"/>
              </w:rPr>
              <w:t>0</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cs="Times New Roman"/>
                <w:b w:val="0"/>
                <w:i w:val="0"/>
                <w:iCs w:val="0"/>
                <w:color w:val="auto"/>
                <w:kern w:val="0"/>
                <w:sz w:val="18"/>
                <w:szCs w:val="18"/>
                <w:highlight w:val="none"/>
                <w:u w:val="none"/>
                <w:lang w:val="en-US" w:eastAsia="zh-CN" w:bidi="ar"/>
              </w:rPr>
              <w:t>6.62</w:t>
            </w:r>
          </w:p>
        </w:tc>
        <w:tc>
          <w:tcPr>
            <w:tcW w:w="1093" w:type="pct"/>
            <w:tcBorders>
              <w:tl2br w:val="nil"/>
              <w:tr2bl w:val="nil"/>
            </w:tcBorders>
            <w:shd w:val="clear" w:color="auto" w:fill="FFFFFF"/>
            <w:noWrap/>
            <w:vAlign w:val="center"/>
          </w:tcPr>
          <w:p w14:paraId="66BF279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底漆、面漆涂装</w:t>
            </w:r>
          </w:p>
        </w:tc>
      </w:tr>
      <w:tr w14:paraId="5769ED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698" w:type="pct"/>
            <w:tcBorders>
              <w:tl2br w:val="nil"/>
              <w:tr2bl w:val="nil"/>
            </w:tcBorders>
            <w:shd w:val="clear" w:color="auto" w:fill="FFFFFF"/>
            <w:noWrap/>
            <w:vAlign w:val="center"/>
          </w:tcPr>
          <w:p w14:paraId="31D0DDB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其他有机溶剂</w:t>
            </w:r>
          </w:p>
        </w:tc>
        <w:tc>
          <w:tcPr>
            <w:tcW w:w="397" w:type="pct"/>
            <w:tcBorders>
              <w:tl2br w:val="nil"/>
              <w:tr2bl w:val="nil"/>
            </w:tcBorders>
            <w:shd w:val="clear" w:color="auto" w:fill="FFFFFF"/>
            <w:noWrap/>
            <w:vAlign w:val="center"/>
          </w:tcPr>
          <w:p w14:paraId="7C8E143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sz w:val="18"/>
                <w:szCs w:val="18"/>
                <w:highlight w:val="none"/>
                <w:u w:val="none"/>
                <w:lang w:val="en-US" w:eastAsia="zh-CN"/>
              </w:rPr>
              <w:t>C23</w:t>
            </w:r>
          </w:p>
        </w:tc>
        <w:tc>
          <w:tcPr>
            <w:tcW w:w="1200" w:type="pct"/>
            <w:tcBorders>
              <w:tl2br w:val="nil"/>
              <w:tr2bl w:val="nil"/>
            </w:tcBorders>
            <w:shd w:val="clear" w:color="auto" w:fill="FFFFFF"/>
            <w:noWrap/>
            <w:vAlign w:val="center"/>
          </w:tcPr>
          <w:p w14:paraId="4E311EC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color w:val="auto"/>
                <w:sz w:val="18"/>
                <w:szCs w:val="18"/>
                <w:highlight w:val="none"/>
                <w:lang w:val="en-US" w:eastAsia="zh-CN"/>
              </w:rPr>
              <w:t>包装印刷业</w:t>
            </w:r>
          </w:p>
        </w:tc>
        <w:tc>
          <w:tcPr>
            <w:tcW w:w="502" w:type="pct"/>
            <w:tcBorders>
              <w:tl2br w:val="nil"/>
              <w:tr2bl w:val="nil"/>
            </w:tcBorders>
            <w:shd w:val="clear" w:color="auto" w:fill="FFFFFF"/>
            <w:noWrap/>
            <w:vAlign w:val="center"/>
          </w:tcPr>
          <w:p w14:paraId="42D71EA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sz w:val="18"/>
                <w:szCs w:val="18"/>
                <w:highlight w:val="none"/>
                <w:u w:val="none"/>
                <w:lang w:val="en-US" w:eastAsia="zh-CN"/>
              </w:rPr>
              <w:t>3</w:t>
            </w:r>
          </w:p>
        </w:tc>
        <w:tc>
          <w:tcPr>
            <w:tcW w:w="392" w:type="pct"/>
            <w:tcBorders>
              <w:tl2br w:val="nil"/>
              <w:tr2bl w:val="nil"/>
            </w:tcBorders>
            <w:shd w:val="clear" w:color="auto" w:fill="FFFFFF"/>
            <w:noWrap/>
            <w:vAlign w:val="center"/>
          </w:tcPr>
          <w:p w14:paraId="478397B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sz w:val="18"/>
                <w:szCs w:val="18"/>
                <w:highlight w:val="none"/>
                <w:u w:val="none"/>
                <w:lang w:val="en-US" w:eastAsia="zh-CN"/>
              </w:rPr>
              <w:t>9</w:t>
            </w:r>
          </w:p>
        </w:tc>
        <w:tc>
          <w:tcPr>
            <w:tcW w:w="715" w:type="pct"/>
            <w:tcBorders>
              <w:tl2br w:val="nil"/>
              <w:tr2bl w:val="nil"/>
            </w:tcBorders>
            <w:shd w:val="clear" w:color="auto" w:fill="FFFFFF"/>
            <w:noWrap/>
            <w:vAlign w:val="center"/>
          </w:tcPr>
          <w:p w14:paraId="6AF2D9B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sz w:val="18"/>
                <w:szCs w:val="18"/>
                <w:highlight w:val="none"/>
                <w:u w:val="none"/>
                <w:lang w:val="en-US" w:eastAsia="zh-CN"/>
              </w:rPr>
              <w:t>0.2</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cs="Times New Roman"/>
                <w:b w:val="0"/>
                <w:i w:val="0"/>
                <w:iCs w:val="0"/>
                <w:color w:val="auto"/>
                <w:kern w:val="0"/>
                <w:sz w:val="18"/>
                <w:szCs w:val="18"/>
                <w:highlight w:val="none"/>
                <w:u w:val="none"/>
                <w:lang w:val="en-US" w:eastAsia="zh-CN" w:bidi="ar"/>
              </w:rPr>
              <w:t>3.38</w:t>
            </w:r>
          </w:p>
        </w:tc>
        <w:tc>
          <w:tcPr>
            <w:tcW w:w="1093" w:type="pct"/>
            <w:tcBorders>
              <w:tl2br w:val="nil"/>
              <w:tr2bl w:val="nil"/>
            </w:tcBorders>
            <w:shd w:val="clear" w:color="auto" w:fill="FFFFFF"/>
            <w:noWrap/>
            <w:vAlign w:val="center"/>
          </w:tcPr>
          <w:p w14:paraId="48CDC47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油墨、调配、制版印刷</w:t>
            </w:r>
          </w:p>
        </w:tc>
      </w:tr>
      <w:tr w14:paraId="53958F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698" w:type="pct"/>
            <w:vMerge w:val="restart"/>
            <w:tcBorders>
              <w:tl2br w:val="nil"/>
              <w:tr2bl w:val="nil"/>
            </w:tcBorders>
            <w:shd w:val="clear" w:color="auto" w:fill="FFFFFF"/>
            <w:noWrap/>
            <w:vAlign w:val="center"/>
          </w:tcPr>
          <w:p w14:paraId="65E25F7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化工行业</w:t>
            </w:r>
          </w:p>
        </w:tc>
        <w:tc>
          <w:tcPr>
            <w:tcW w:w="397" w:type="pct"/>
            <w:tcBorders>
              <w:tl2br w:val="nil"/>
              <w:tr2bl w:val="nil"/>
            </w:tcBorders>
            <w:shd w:val="clear" w:color="auto" w:fill="FFFFFF"/>
            <w:noWrap/>
            <w:vAlign w:val="center"/>
          </w:tcPr>
          <w:p w14:paraId="1519951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C26</w:t>
            </w:r>
          </w:p>
        </w:tc>
        <w:tc>
          <w:tcPr>
            <w:tcW w:w="1200" w:type="pct"/>
            <w:tcBorders>
              <w:tl2br w:val="nil"/>
              <w:tr2bl w:val="nil"/>
            </w:tcBorders>
            <w:shd w:val="clear" w:color="auto" w:fill="FFFFFF"/>
            <w:noWrap/>
            <w:vAlign w:val="center"/>
          </w:tcPr>
          <w:p w14:paraId="0EC5760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color w:val="auto"/>
                <w:sz w:val="18"/>
                <w:szCs w:val="18"/>
                <w:highlight w:val="none"/>
                <w:lang w:val="en-US" w:eastAsia="zh-CN"/>
              </w:rPr>
            </w:pPr>
            <w:r>
              <w:rPr>
                <w:rFonts w:hint="default" w:ascii="Times New Roman" w:hAnsi="Times New Roman" w:eastAsia="宋体" w:cs="Times New Roman"/>
                <w:b w:val="0"/>
                <w:color w:val="auto"/>
                <w:sz w:val="18"/>
                <w:szCs w:val="18"/>
                <w:highlight w:val="none"/>
                <w:lang w:val="en-US" w:eastAsia="zh-CN"/>
              </w:rPr>
              <w:t>化学原料和化学制品制造业</w:t>
            </w:r>
          </w:p>
        </w:tc>
        <w:tc>
          <w:tcPr>
            <w:tcW w:w="502" w:type="pct"/>
            <w:tcBorders>
              <w:tl2br w:val="nil"/>
              <w:tr2bl w:val="nil"/>
            </w:tcBorders>
            <w:shd w:val="clear" w:color="auto" w:fill="FFFFFF"/>
            <w:noWrap/>
            <w:vAlign w:val="center"/>
          </w:tcPr>
          <w:p w14:paraId="1000FD7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1</w:t>
            </w:r>
          </w:p>
        </w:tc>
        <w:tc>
          <w:tcPr>
            <w:tcW w:w="392" w:type="pct"/>
            <w:tcBorders>
              <w:tl2br w:val="nil"/>
              <w:tr2bl w:val="nil"/>
            </w:tcBorders>
            <w:shd w:val="clear" w:color="auto" w:fill="FFFFFF"/>
            <w:noWrap/>
            <w:vAlign w:val="center"/>
          </w:tcPr>
          <w:p w14:paraId="75E4351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2</w:t>
            </w:r>
          </w:p>
        </w:tc>
        <w:tc>
          <w:tcPr>
            <w:tcW w:w="715" w:type="pct"/>
            <w:tcBorders>
              <w:tl2br w:val="nil"/>
              <w:tr2bl w:val="nil"/>
            </w:tcBorders>
            <w:shd w:val="clear" w:color="auto" w:fill="FFFFFF"/>
            <w:noWrap/>
            <w:vAlign w:val="center"/>
          </w:tcPr>
          <w:p w14:paraId="5352105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0.633</w:t>
            </w:r>
            <w:r>
              <w:rPr>
                <w:rFonts w:hint="eastAsia" w:cs="Times New Roman"/>
                <w:b w:val="0"/>
                <w:i w:val="0"/>
                <w:iCs w:val="0"/>
                <w:color w:val="auto"/>
                <w:sz w:val="18"/>
                <w:szCs w:val="18"/>
                <w:highlight w:val="none"/>
                <w:u w:val="none"/>
                <w:lang w:val="en-US" w:eastAsia="zh-CN"/>
              </w:rPr>
              <w:t>～</w:t>
            </w:r>
            <w:r>
              <w:rPr>
                <w:rFonts w:hint="default" w:ascii="Times New Roman" w:hAnsi="Times New Roman" w:cs="Times New Roman"/>
                <w:b w:val="0"/>
                <w:i w:val="0"/>
                <w:iCs w:val="0"/>
                <w:color w:val="auto"/>
                <w:sz w:val="18"/>
                <w:szCs w:val="18"/>
                <w:highlight w:val="none"/>
                <w:u w:val="none"/>
                <w:lang w:val="en-US" w:eastAsia="zh-CN"/>
              </w:rPr>
              <w:t>0.754</w:t>
            </w:r>
          </w:p>
        </w:tc>
        <w:tc>
          <w:tcPr>
            <w:tcW w:w="1093" w:type="pct"/>
            <w:tcBorders>
              <w:tl2br w:val="nil"/>
              <w:tr2bl w:val="nil"/>
            </w:tcBorders>
            <w:shd w:val="clear" w:color="auto" w:fill="FFFFFF"/>
            <w:noWrap/>
            <w:vAlign w:val="center"/>
          </w:tcPr>
          <w:p w14:paraId="052481F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w:t>
            </w:r>
          </w:p>
        </w:tc>
      </w:tr>
      <w:tr w14:paraId="010883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98" w:type="pct"/>
            <w:vMerge w:val="continue"/>
            <w:tcBorders>
              <w:tl2br w:val="nil"/>
              <w:tr2bl w:val="nil"/>
            </w:tcBorders>
            <w:shd w:val="clear" w:color="auto" w:fill="FFFFFF"/>
            <w:noWrap/>
            <w:vAlign w:val="center"/>
          </w:tcPr>
          <w:p w14:paraId="60E62F7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p>
        </w:tc>
        <w:tc>
          <w:tcPr>
            <w:tcW w:w="397" w:type="pct"/>
            <w:tcBorders>
              <w:tl2br w:val="nil"/>
              <w:tr2bl w:val="nil"/>
            </w:tcBorders>
            <w:shd w:val="clear" w:color="auto" w:fill="FFFFFF"/>
            <w:noWrap/>
            <w:vAlign w:val="center"/>
          </w:tcPr>
          <w:p w14:paraId="76A52A1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C29</w:t>
            </w:r>
          </w:p>
        </w:tc>
        <w:tc>
          <w:tcPr>
            <w:tcW w:w="1200" w:type="pct"/>
            <w:tcBorders>
              <w:tl2br w:val="nil"/>
              <w:tr2bl w:val="nil"/>
            </w:tcBorders>
            <w:shd w:val="clear" w:color="auto" w:fill="FFFFFF"/>
            <w:noWrap/>
            <w:vAlign w:val="center"/>
          </w:tcPr>
          <w:p w14:paraId="7E4F16D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color w:val="auto"/>
                <w:sz w:val="18"/>
                <w:szCs w:val="18"/>
                <w:highlight w:val="none"/>
                <w:lang w:val="en-US" w:eastAsia="zh-CN"/>
              </w:rPr>
            </w:pPr>
            <w:r>
              <w:rPr>
                <w:rFonts w:hint="default" w:ascii="Times New Roman" w:hAnsi="Times New Roman" w:eastAsia="宋体" w:cs="Times New Roman"/>
                <w:b w:val="0"/>
                <w:color w:val="auto"/>
                <w:sz w:val="18"/>
                <w:szCs w:val="18"/>
                <w:highlight w:val="none"/>
                <w:lang w:val="en-US" w:eastAsia="zh-CN"/>
              </w:rPr>
              <w:t>橡胶和塑料制造业</w:t>
            </w:r>
          </w:p>
        </w:tc>
        <w:tc>
          <w:tcPr>
            <w:tcW w:w="502" w:type="pct"/>
            <w:tcBorders>
              <w:tl2br w:val="nil"/>
              <w:tr2bl w:val="nil"/>
            </w:tcBorders>
            <w:shd w:val="clear" w:color="auto" w:fill="FFFFFF"/>
            <w:noWrap/>
            <w:vAlign w:val="center"/>
          </w:tcPr>
          <w:p w14:paraId="732BA78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1</w:t>
            </w:r>
          </w:p>
        </w:tc>
        <w:tc>
          <w:tcPr>
            <w:tcW w:w="392" w:type="pct"/>
            <w:tcBorders>
              <w:tl2br w:val="nil"/>
              <w:tr2bl w:val="nil"/>
            </w:tcBorders>
            <w:shd w:val="clear" w:color="auto" w:fill="FFFFFF"/>
            <w:noWrap/>
            <w:vAlign w:val="center"/>
          </w:tcPr>
          <w:p w14:paraId="4484B09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5</w:t>
            </w:r>
          </w:p>
        </w:tc>
        <w:tc>
          <w:tcPr>
            <w:tcW w:w="715" w:type="pct"/>
            <w:tcBorders>
              <w:tl2br w:val="nil"/>
              <w:tr2bl w:val="nil"/>
            </w:tcBorders>
            <w:shd w:val="clear" w:color="auto" w:fill="FFFFFF"/>
            <w:noWrap/>
            <w:vAlign w:val="center"/>
          </w:tcPr>
          <w:p w14:paraId="52D9A89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0</w:t>
            </w:r>
            <w:r>
              <w:rPr>
                <w:rFonts w:hint="eastAsia" w:cs="Times New Roman"/>
                <w:b w:val="0"/>
                <w:i w:val="0"/>
                <w:iCs w:val="0"/>
                <w:color w:val="auto"/>
                <w:sz w:val="18"/>
                <w:szCs w:val="18"/>
                <w:highlight w:val="none"/>
                <w:u w:val="none"/>
                <w:lang w:val="en-US" w:eastAsia="zh-CN"/>
              </w:rPr>
              <w:t>～</w:t>
            </w:r>
            <w:r>
              <w:rPr>
                <w:rFonts w:hint="default" w:ascii="Times New Roman" w:hAnsi="Times New Roman" w:cs="Times New Roman"/>
                <w:b w:val="0"/>
                <w:i w:val="0"/>
                <w:iCs w:val="0"/>
                <w:color w:val="auto"/>
                <w:sz w:val="18"/>
                <w:szCs w:val="18"/>
                <w:highlight w:val="none"/>
                <w:u w:val="none"/>
                <w:lang w:val="en-US" w:eastAsia="zh-CN"/>
              </w:rPr>
              <w:t>0.195</w:t>
            </w:r>
          </w:p>
        </w:tc>
        <w:tc>
          <w:tcPr>
            <w:tcW w:w="1093" w:type="pct"/>
            <w:tcBorders>
              <w:tl2br w:val="nil"/>
              <w:tr2bl w:val="nil"/>
            </w:tcBorders>
            <w:shd w:val="clear" w:color="auto" w:fill="FFFFFF"/>
            <w:noWrap/>
            <w:vAlign w:val="center"/>
          </w:tcPr>
          <w:p w14:paraId="422D63C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w:t>
            </w:r>
          </w:p>
        </w:tc>
      </w:tr>
      <w:tr w14:paraId="1880FD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98" w:type="pct"/>
            <w:tcBorders>
              <w:tl2br w:val="nil"/>
              <w:tr2bl w:val="nil"/>
            </w:tcBorders>
            <w:shd w:val="clear" w:color="auto" w:fill="FFFFFF"/>
            <w:noWrap/>
            <w:vAlign w:val="center"/>
          </w:tcPr>
          <w:p w14:paraId="02FEAE5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合计</w:t>
            </w:r>
          </w:p>
        </w:tc>
        <w:tc>
          <w:tcPr>
            <w:tcW w:w="1597" w:type="pct"/>
            <w:gridSpan w:val="2"/>
            <w:tcBorders>
              <w:tl2br w:val="nil"/>
              <w:tr2bl w:val="nil"/>
            </w:tcBorders>
            <w:shd w:val="clear" w:color="auto" w:fill="FFFFFF"/>
            <w:noWrap/>
            <w:vAlign w:val="center"/>
          </w:tcPr>
          <w:p w14:paraId="4124AB2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eastAsia" w:cs="Times New Roman"/>
                <w:b w:val="0"/>
                <w:i w:val="0"/>
                <w:iCs w:val="0"/>
                <w:color w:val="auto"/>
                <w:kern w:val="0"/>
                <w:sz w:val="18"/>
                <w:szCs w:val="18"/>
                <w:highlight w:val="none"/>
                <w:u w:val="none"/>
                <w:lang w:val="en-US" w:eastAsia="zh-CN" w:bidi="ar"/>
              </w:rPr>
              <w:t>5</w:t>
            </w:r>
          </w:p>
        </w:tc>
        <w:tc>
          <w:tcPr>
            <w:tcW w:w="502" w:type="pct"/>
            <w:tcBorders>
              <w:tl2br w:val="nil"/>
              <w:tr2bl w:val="nil"/>
            </w:tcBorders>
            <w:shd w:val="clear" w:color="auto" w:fill="FFFFFF"/>
            <w:noWrap/>
            <w:vAlign w:val="center"/>
          </w:tcPr>
          <w:p w14:paraId="57103C5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10</w:t>
            </w:r>
          </w:p>
        </w:tc>
        <w:tc>
          <w:tcPr>
            <w:tcW w:w="392" w:type="pct"/>
            <w:tcBorders>
              <w:tl2br w:val="nil"/>
              <w:tr2bl w:val="nil"/>
            </w:tcBorders>
            <w:shd w:val="clear" w:color="auto" w:fill="FFFFFF"/>
            <w:noWrap/>
            <w:vAlign w:val="center"/>
          </w:tcPr>
          <w:p w14:paraId="5CA0A87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24</w:t>
            </w:r>
          </w:p>
        </w:tc>
        <w:tc>
          <w:tcPr>
            <w:tcW w:w="715" w:type="pct"/>
            <w:tcBorders>
              <w:tl2br w:val="nil"/>
              <w:tr2bl w:val="nil"/>
            </w:tcBorders>
            <w:shd w:val="clear" w:color="auto" w:fill="FFFFFF"/>
            <w:noWrap/>
            <w:vAlign w:val="center"/>
          </w:tcPr>
          <w:p w14:paraId="119AB10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0</w:t>
            </w:r>
            <w:r>
              <w:rPr>
                <w:rFonts w:hint="eastAsia" w:cs="Times New Roman"/>
                <w:b w:val="0"/>
                <w:i w:val="0"/>
                <w:iCs w:val="0"/>
                <w:color w:val="auto"/>
                <w:sz w:val="18"/>
                <w:szCs w:val="18"/>
                <w:highlight w:val="none"/>
                <w:u w:val="none"/>
                <w:lang w:val="en-US" w:eastAsia="zh-CN"/>
              </w:rPr>
              <w:t>～</w:t>
            </w:r>
            <w:r>
              <w:rPr>
                <w:rFonts w:hint="default" w:ascii="Times New Roman" w:hAnsi="Times New Roman" w:cs="Times New Roman"/>
                <w:b w:val="0"/>
                <w:i w:val="0"/>
                <w:iCs w:val="0"/>
                <w:color w:val="auto"/>
                <w:sz w:val="18"/>
                <w:szCs w:val="18"/>
                <w:highlight w:val="none"/>
                <w:u w:val="none"/>
                <w:lang w:val="en-US" w:eastAsia="zh-CN"/>
              </w:rPr>
              <w:t>6.62</w:t>
            </w:r>
          </w:p>
        </w:tc>
        <w:tc>
          <w:tcPr>
            <w:tcW w:w="1093" w:type="pct"/>
            <w:tcBorders>
              <w:tl2br w:val="nil"/>
              <w:tr2bl w:val="nil"/>
            </w:tcBorders>
            <w:shd w:val="clear" w:color="auto" w:fill="FFFFFF"/>
            <w:noWrap/>
            <w:vAlign w:val="bottom"/>
          </w:tcPr>
          <w:p w14:paraId="02BCEA7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w:t>
            </w:r>
          </w:p>
        </w:tc>
      </w:tr>
    </w:tbl>
    <w:p w14:paraId="74CFF7F9">
      <w:pPr>
        <w:shd w:val="clear"/>
        <w:rPr>
          <w:rFonts w:hint="default" w:ascii="Times New Roman" w:hAnsi="Times New Roman" w:cs="Times New Roman"/>
          <w:color w:val="auto"/>
          <w:sz w:val="24"/>
          <w:szCs w:val="24"/>
          <w:highlight w:val="none"/>
          <w:lang w:val="en-US" w:eastAsia="zh-CN"/>
        </w:rPr>
      </w:pPr>
    </w:p>
    <w:p w14:paraId="27386C0D">
      <w:pPr>
        <w:pStyle w:val="129"/>
        <w:shd w:val="clear"/>
        <w:bidi w:val="0"/>
        <w:outlineLvl w:val="4"/>
        <w:rPr>
          <w:rFonts w:hint="default"/>
          <w:lang w:val="en-US" w:eastAsia="zh-CN"/>
        </w:rPr>
      </w:pPr>
      <w:bookmarkStart w:id="117" w:name="_Ref6107"/>
      <w:r>
        <w:t>表</w:t>
      </w:r>
      <w:r>
        <w:fldChar w:fldCharType="begin"/>
      </w:r>
      <w:r>
        <w:instrText xml:space="preserve"> SEQ 表 \* ARABIC </w:instrText>
      </w:r>
      <w:r>
        <w:fldChar w:fldCharType="separate"/>
      </w:r>
      <w:r>
        <w:rPr>
          <w:rFonts w:ascii="Times New Roman" w:hAnsi="Times New Roman" w:cs="Times New Roman"/>
        </w:rPr>
        <w:t>15</w:t>
      </w:r>
      <w:r>
        <w:fldChar w:fldCharType="end"/>
      </w:r>
      <w:bookmarkEnd w:id="117"/>
      <w:r>
        <w:rPr>
          <w:rFonts w:hint="default"/>
          <w:lang w:val="en-US" w:eastAsia="zh-CN"/>
        </w:rPr>
        <w:t xml:space="preserve"> 二甲苯的有组织监测数据分布情况</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23"/>
        <w:gridCol w:w="694"/>
        <w:gridCol w:w="1831"/>
        <w:gridCol w:w="1010"/>
        <w:gridCol w:w="1010"/>
        <w:gridCol w:w="1143"/>
        <w:gridCol w:w="2231"/>
      </w:tblGrid>
      <w:tr w14:paraId="00639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trPr>
        <w:tc>
          <w:tcPr>
            <w:tcW w:w="2081" w:type="pct"/>
            <w:gridSpan w:val="3"/>
            <w:tcBorders>
              <w:tl2br w:val="nil"/>
              <w:tr2bl w:val="nil"/>
            </w:tcBorders>
            <w:shd w:val="clear" w:color="auto" w:fill="FFFFFF"/>
            <w:noWrap/>
            <w:vAlign w:val="center"/>
          </w:tcPr>
          <w:p w14:paraId="257C065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行业基本情况</w:t>
            </w:r>
          </w:p>
        </w:tc>
        <w:tc>
          <w:tcPr>
            <w:tcW w:w="546" w:type="pct"/>
            <w:vMerge w:val="restart"/>
            <w:tcBorders>
              <w:tl2br w:val="nil"/>
              <w:tr2bl w:val="nil"/>
            </w:tcBorders>
            <w:shd w:val="clear" w:color="auto" w:fill="FFFFFF"/>
            <w:noWrap/>
            <w:vAlign w:val="center"/>
          </w:tcPr>
          <w:p w14:paraId="66D0FC4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企业数量</w:t>
            </w:r>
          </w:p>
        </w:tc>
        <w:tc>
          <w:tcPr>
            <w:tcW w:w="546" w:type="pct"/>
            <w:vMerge w:val="restart"/>
            <w:tcBorders>
              <w:tl2br w:val="nil"/>
              <w:tr2bl w:val="nil"/>
            </w:tcBorders>
            <w:shd w:val="clear" w:color="auto" w:fill="FFFFFF"/>
            <w:noWrap/>
            <w:vAlign w:val="center"/>
          </w:tcPr>
          <w:p w14:paraId="08E7BFB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监测数据</w:t>
            </w:r>
          </w:p>
        </w:tc>
        <w:tc>
          <w:tcPr>
            <w:tcW w:w="618" w:type="pct"/>
            <w:vMerge w:val="restart"/>
            <w:tcBorders>
              <w:tl2br w:val="nil"/>
              <w:tr2bl w:val="nil"/>
            </w:tcBorders>
            <w:shd w:val="clear" w:color="auto" w:fill="FFFFFF"/>
            <w:noWrap/>
            <w:vAlign w:val="center"/>
          </w:tcPr>
          <w:p w14:paraId="3097AA5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浓度范围</w:t>
            </w:r>
            <w:r>
              <w:rPr>
                <w:rFonts w:hint="default" w:ascii="Times New Roman" w:hAnsi="Times New Roman" w:eastAsia="宋体" w:cs="Times New Roman"/>
                <w:b w:val="0"/>
                <w:i w:val="0"/>
                <w:iCs w:val="0"/>
                <w:color w:val="auto"/>
                <w:kern w:val="0"/>
                <w:sz w:val="18"/>
                <w:szCs w:val="18"/>
                <w:highlight w:val="none"/>
                <w:u w:val="none"/>
                <w:lang w:val="en-US" w:eastAsia="zh-CN" w:bidi="ar"/>
              </w:rPr>
              <w:br w:type="textWrapping"/>
            </w:r>
            <w:r>
              <w:rPr>
                <w:rFonts w:hint="default" w:ascii="Times New Roman" w:hAnsi="Times New Roman" w:eastAsia="宋体" w:cs="Times New Roman"/>
                <w:b w:val="0"/>
                <w:i w:val="0"/>
                <w:iCs w:val="0"/>
                <w:color w:val="auto"/>
                <w:kern w:val="0"/>
                <w:sz w:val="18"/>
                <w:szCs w:val="18"/>
                <w:highlight w:val="none"/>
                <w:u w:val="none"/>
                <w:lang w:val="en-US" w:eastAsia="zh-CN" w:bidi="ar"/>
              </w:rPr>
              <w:t>（mg/m</w:t>
            </w:r>
            <w:r>
              <w:rPr>
                <w:rFonts w:hint="default" w:ascii="Times New Roman" w:hAnsi="Times New Roman" w:eastAsia="宋体" w:cs="Times New Roman"/>
                <w:b w:val="0"/>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b w:val="0"/>
                <w:i w:val="0"/>
                <w:iCs w:val="0"/>
                <w:color w:val="auto"/>
                <w:kern w:val="0"/>
                <w:sz w:val="18"/>
                <w:szCs w:val="18"/>
                <w:highlight w:val="none"/>
                <w:u w:val="none"/>
                <w:lang w:val="en-US" w:eastAsia="zh-CN" w:bidi="ar"/>
              </w:rPr>
              <w:t>）</w:t>
            </w:r>
          </w:p>
        </w:tc>
        <w:tc>
          <w:tcPr>
            <w:tcW w:w="1206" w:type="pct"/>
            <w:vMerge w:val="restart"/>
            <w:tcBorders>
              <w:tl2br w:val="nil"/>
              <w:tr2bl w:val="nil"/>
            </w:tcBorders>
            <w:shd w:val="clear" w:color="auto" w:fill="FFFFFF"/>
            <w:noWrap/>
            <w:vAlign w:val="center"/>
          </w:tcPr>
          <w:p w14:paraId="25C8A38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涉及设备\工艺</w:t>
            </w:r>
          </w:p>
        </w:tc>
      </w:tr>
      <w:tr w14:paraId="184A40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1" w:hRule="atLeast"/>
        </w:trPr>
        <w:tc>
          <w:tcPr>
            <w:tcW w:w="716" w:type="pct"/>
            <w:tcBorders>
              <w:tl2br w:val="nil"/>
              <w:tr2bl w:val="nil"/>
            </w:tcBorders>
            <w:shd w:val="clear" w:color="auto" w:fill="FFFFFF"/>
            <w:noWrap/>
            <w:vAlign w:val="center"/>
          </w:tcPr>
          <w:p w14:paraId="6AEF899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分类</w:t>
            </w:r>
          </w:p>
        </w:tc>
        <w:tc>
          <w:tcPr>
            <w:tcW w:w="375" w:type="pct"/>
            <w:tcBorders>
              <w:tl2br w:val="nil"/>
              <w:tr2bl w:val="nil"/>
            </w:tcBorders>
            <w:shd w:val="clear" w:color="auto" w:fill="FFFFFF"/>
            <w:noWrap/>
            <w:vAlign w:val="center"/>
          </w:tcPr>
          <w:p w14:paraId="648A5A2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编码</w:t>
            </w:r>
          </w:p>
        </w:tc>
        <w:tc>
          <w:tcPr>
            <w:tcW w:w="989" w:type="pct"/>
            <w:tcBorders>
              <w:tl2br w:val="nil"/>
              <w:tr2bl w:val="nil"/>
            </w:tcBorders>
            <w:shd w:val="clear" w:color="auto" w:fill="FFFFFF"/>
            <w:noWrap/>
            <w:vAlign w:val="center"/>
          </w:tcPr>
          <w:p w14:paraId="6FE48C6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名称</w:t>
            </w:r>
          </w:p>
        </w:tc>
        <w:tc>
          <w:tcPr>
            <w:tcW w:w="546" w:type="pct"/>
            <w:vMerge w:val="continue"/>
            <w:tcBorders>
              <w:tl2br w:val="nil"/>
              <w:tr2bl w:val="nil"/>
            </w:tcBorders>
            <w:shd w:val="clear" w:color="auto" w:fill="FFFFFF"/>
            <w:noWrap/>
            <w:vAlign w:val="center"/>
          </w:tcPr>
          <w:p w14:paraId="26E736B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546" w:type="pct"/>
            <w:vMerge w:val="continue"/>
            <w:tcBorders>
              <w:tl2br w:val="nil"/>
              <w:tr2bl w:val="nil"/>
            </w:tcBorders>
            <w:shd w:val="clear" w:color="auto" w:fill="FFFFFF"/>
            <w:noWrap/>
            <w:vAlign w:val="center"/>
          </w:tcPr>
          <w:p w14:paraId="033A616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618" w:type="pct"/>
            <w:vMerge w:val="continue"/>
            <w:tcBorders>
              <w:tl2br w:val="nil"/>
              <w:tr2bl w:val="nil"/>
            </w:tcBorders>
            <w:shd w:val="clear" w:color="auto" w:fill="FFFFFF"/>
            <w:noWrap/>
            <w:vAlign w:val="center"/>
          </w:tcPr>
          <w:p w14:paraId="54B8C90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1206" w:type="pct"/>
            <w:vMerge w:val="continue"/>
            <w:tcBorders>
              <w:tl2br w:val="nil"/>
              <w:tr2bl w:val="nil"/>
            </w:tcBorders>
            <w:shd w:val="clear" w:color="auto" w:fill="FFFFFF"/>
            <w:noWrap/>
            <w:vAlign w:val="center"/>
          </w:tcPr>
          <w:p w14:paraId="3246406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r>
      <w:tr w14:paraId="04E633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16" w:type="pct"/>
            <w:vMerge w:val="restart"/>
            <w:tcBorders>
              <w:tl2br w:val="nil"/>
              <w:tr2bl w:val="nil"/>
            </w:tcBorders>
            <w:shd w:val="clear" w:color="auto" w:fill="FFFFFF"/>
            <w:noWrap/>
            <w:vAlign w:val="center"/>
          </w:tcPr>
          <w:p w14:paraId="57D11B0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工业涂装</w:t>
            </w:r>
          </w:p>
        </w:tc>
        <w:tc>
          <w:tcPr>
            <w:tcW w:w="375" w:type="pct"/>
            <w:tcBorders>
              <w:tl2br w:val="nil"/>
              <w:tr2bl w:val="nil"/>
            </w:tcBorders>
            <w:shd w:val="clear" w:color="auto" w:fill="FFFFFF"/>
            <w:noWrap/>
            <w:vAlign w:val="center"/>
          </w:tcPr>
          <w:p w14:paraId="75249D6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sz w:val="18"/>
                <w:szCs w:val="18"/>
                <w:highlight w:val="none"/>
                <w:u w:val="none"/>
                <w:lang w:val="en-US" w:eastAsia="zh-CN"/>
              </w:rPr>
              <w:t>C21</w:t>
            </w:r>
          </w:p>
        </w:tc>
        <w:tc>
          <w:tcPr>
            <w:tcW w:w="989" w:type="pct"/>
            <w:tcBorders>
              <w:tl2br w:val="nil"/>
              <w:tr2bl w:val="nil"/>
            </w:tcBorders>
            <w:shd w:val="clear" w:color="auto" w:fill="FFFFFF"/>
            <w:noWrap/>
            <w:vAlign w:val="center"/>
          </w:tcPr>
          <w:p w14:paraId="7851D41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cs="Times New Roman"/>
                <w:b w:val="0"/>
                <w:color w:val="auto"/>
                <w:sz w:val="18"/>
                <w:szCs w:val="18"/>
                <w:highlight w:val="none"/>
                <w:lang w:val="en-US" w:eastAsia="zh-CN"/>
              </w:rPr>
              <w:t>家具制造业</w:t>
            </w:r>
          </w:p>
        </w:tc>
        <w:tc>
          <w:tcPr>
            <w:tcW w:w="546" w:type="pct"/>
            <w:tcBorders>
              <w:tl2br w:val="nil"/>
              <w:tr2bl w:val="nil"/>
            </w:tcBorders>
            <w:shd w:val="clear" w:color="auto" w:fill="FFFFFF"/>
            <w:noWrap/>
            <w:vAlign w:val="center"/>
          </w:tcPr>
          <w:p w14:paraId="6E69090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1</w:t>
            </w:r>
          </w:p>
        </w:tc>
        <w:tc>
          <w:tcPr>
            <w:tcW w:w="546" w:type="pct"/>
            <w:tcBorders>
              <w:tl2br w:val="nil"/>
              <w:tr2bl w:val="nil"/>
            </w:tcBorders>
            <w:shd w:val="clear" w:color="auto" w:fill="FFFFFF"/>
            <w:noWrap/>
            <w:vAlign w:val="center"/>
          </w:tcPr>
          <w:p w14:paraId="1703A68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1</w:t>
            </w:r>
          </w:p>
        </w:tc>
        <w:tc>
          <w:tcPr>
            <w:tcW w:w="618" w:type="pct"/>
            <w:tcBorders>
              <w:tl2br w:val="nil"/>
              <w:tr2bl w:val="nil"/>
            </w:tcBorders>
            <w:shd w:val="clear" w:color="auto" w:fill="FFFFFF"/>
            <w:noWrap/>
            <w:vAlign w:val="center"/>
          </w:tcPr>
          <w:p w14:paraId="5B41EEB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kern w:val="0"/>
                <w:sz w:val="18"/>
                <w:szCs w:val="18"/>
                <w:highlight w:val="none"/>
                <w:u w:val="none"/>
                <w:lang w:val="en-US" w:eastAsia="zh-CN" w:bidi="ar"/>
              </w:rPr>
              <w:t>0</w:t>
            </w:r>
          </w:p>
        </w:tc>
        <w:tc>
          <w:tcPr>
            <w:tcW w:w="1206" w:type="pct"/>
            <w:tcBorders>
              <w:tl2br w:val="nil"/>
              <w:tr2bl w:val="nil"/>
            </w:tcBorders>
            <w:shd w:val="clear" w:color="auto" w:fill="FFFFFF"/>
            <w:noWrap/>
            <w:vAlign w:val="center"/>
          </w:tcPr>
          <w:p w14:paraId="149FFFC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调漆</w:t>
            </w:r>
            <w:r>
              <w:rPr>
                <w:rFonts w:hint="default" w:ascii="Times New Roman" w:hAnsi="Times New Roman" w:cs="Times New Roman"/>
                <w:b w:val="0"/>
                <w:i w:val="0"/>
                <w:iCs w:val="0"/>
                <w:color w:val="auto"/>
                <w:kern w:val="0"/>
                <w:sz w:val="18"/>
                <w:szCs w:val="18"/>
                <w:highlight w:val="none"/>
                <w:u w:val="none"/>
                <w:lang w:val="en-US" w:eastAsia="zh-CN" w:bidi="ar"/>
              </w:rPr>
              <w:t>、喷漆</w:t>
            </w:r>
          </w:p>
        </w:tc>
      </w:tr>
      <w:tr w14:paraId="58604B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716" w:type="pct"/>
            <w:vMerge w:val="continue"/>
            <w:tcBorders>
              <w:tl2br w:val="nil"/>
              <w:tr2bl w:val="nil"/>
            </w:tcBorders>
            <w:shd w:val="clear" w:color="auto" w:fill="FFFFFF"/>
            <w:noWrap/>
            <w:vAlign w:val="center"/>
          </w:tcPr>
          <w:p w14:paraId="14A5C3D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p>
        </w:tc>
        <w:tc>
          <w:tcPr>
            <w:tcW w:w="375" w:type="pct"/>
            <w:tcBorders>
              <w:tl2br w:val="nil"/>
              <w:tr2bl w:val="nil"/>
            </w:tcBorders>
            <w:shd w:val="clear" w:color="auto" w:fill="FFFFFF"/>
            <w:noWrap/>
            <w:vAlign w:val="center"/>
          </w:tcPr>
          <w:p w14:paraId="0AAF3A0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sz w:val="18"/>
                <w:szCs w:val="18"/>
                <w:highlight w:val="none"/>
                <w:u w:val="none"/>
                <w:lang w:val="en-US" w:eastAsia="zh-CN"/>
              </w:rPr>
              <w:t>C36</w:t>
            </w:r>
          </w:p>
        </w:tc>
        <w:tc>
          <w:tcPr>
            <w:tcW w:w="989" w:type="pct"/>
            <w:tcBorders>
              <w:tl2br w:val="nil"/>
              <w:tr2bl w:val="nil"/>
            </w:tcBorders>
            <w:shd w:val="clear" w:color="auto" w:fill="FFFFFF"/>
            <w:noWrap/>
            <w:vAlign w:val="center"/>
          </w:tcPr>
          <w:p w14:paraId="553A4E4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cs="Times New Roman"/>
                <w:b w:val="0"/>
                <w:color w:val="auto"/>
                <w:sz w:val="18"/>
                <w:szCs w:val="18"/>
                <w:highlight w:val="none"/>
                <w:lang w:val="en-US" w:eastAsia="zh-CN"/>
              </w:rPr>
              <w:t>汽车制造业</w:t>
            </w:r>
          </w:p>
        </w:tc>
        <w:tc>
          <w:tcPr>
            <w:tcW w:w="546" w:type="pct"/>
            <w:tcBorders>
              <w:tl2br w:val="nil"/>
              <w:tr2bl w:val="nil"/>
            </w:tcBorders>
            <w:shd w:val="clear" w:color="auto" w:fill="FFFFFF"/>
            <w:noWrap/>
            <w:vAlign w:val="center"/>
          </w:tcPr>
          <w:p w14:paraId="26FB0AB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4</w:t>
            </w:r>
          </w:p>
        </w:tc>
        <w:tc>
          <w:tcPr>
            <w:tcW w:w="546" w:type="pct"/>
            <w:tcBorders>
              <w:tl2br w:val="nil"/>
              <w:tr2bl w:val="nil"/>
            </w:tcBorders>
            <w:shd w:val="clear" w:color="auto" w:fill="FFFFFF"/>
            <w:noWrap/>
            <w:vAlign w:val="center"/>
          </w:tcPr>
          <w:p w14:paraId="04AB90E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7</w:t>
            </w:r>
          </w:p>
        </w:tc>
        <w:tc>
          <w:tcPr>
            <w:tcW w:w="618" w:type="pct"/>
            <w:tcBorders>
              <w:tl2br w:val="nil"/>
              <w:tr2bl w:val="nil"/>
            </w:tcBorders>
            <w:shd w:val="clear" w:color="auto" w:fill="FFFFFF"/>
            <w:noWrap/>
            <w:vAlign w:val="center"/>
          </w:tcPr>
          <w:p w14:paraId="771AD57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kern w:val="0"/>
                <w:sz w:val="18"/>
                <w:szCs w:val="18"/>
                <w:highlight w:val="none"/>
                <w:u w:val="none"/>
                <w:lang w:val="en-US" w:eastAsia="zh-CN" w:bidi="ar"/>
              </w:rPr>
              <w:t>0</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cs="Times New Roman"/>
                <w:b w:val="0"/>
                <w:i w:val="0"/>
                <w:iCs w:val="0"/>
                <w:color w:val="auto"/>
                <w:kern w:val="0"/>
                <w:sz w:val="18"/>
                <w:szCs w:val="18"/>
                <w:highlight w:val="none"/>
                <w:u w:val="none"/>
                <w:lang w:val="en-US" w:eastAsia="zh-CN" w:bidi="ar"/>
              </w:rPr>
              <w:t>0.454</w:t>
            </w:r>
          </w:p>
        </w:tc>
        <w:tc>
          <w:tcPr>
            <w:tcW w:w="1206" w:type="pct"/>
            <w:tcBorders>
              <w:tl2br w:val="nil"/>
              <w:tr2bl w:val="nil"/>
            </w:tcBorders>
            <w:shd w:val="clear" w:color="auto" w:fill="FFFFFF"/>
            <w:noWrap/>
            <w:vAlign w:val="center"/>
          </w:tcPr>
          <w:p w14:paraId="193B3A4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底漆、面漆涂装</w:t>
            </w:r>
          </w:p>
        </w:tc>
      </w:tr>
      <w:tr w14:paraId="6D879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716" w:type="pct"/>
            <w:tcBorders>
              <w:tl2br w:val="nil"/>
              <w:tr2bl w:val="nil"/>
            </w:tcBorders>
            <w:shd w:val="clear" w:color="auto" w:fill="FFFFFF"/>
            <w:noWrap/>
            <w:vAlign w:val="center"/>
          </w:tcPr>
          <w:p w14:paraId="77A8312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其他有机溶剂</w:t>
            </w:r>
          </w:p>
        </w:tc>
        <w:tc>
          <w:tcPr>
            <w:tcW w:w="375" w:type="pct"/>
            <w:tcBorders>
              <w:tl2br w:val="nil"/>
              <w:tr2bl w:val="nil"/>
            </w:tcBorders>
            <w:shd w:val="clear" w:color="auto" w:fill="FFFFFF"/>
            <w:noWrap/>
            <w:vAlign w:val="center"/>
          </w:tcPr>
          <w:p w14:paraId="0143B77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sz w:val="18"/>
                <w:szCs w:val="18"/>
                <w:highlight w:val="none"/>
                <w:u w:val="none"/>
                <w:lang w:val="en-US" w:eastAsia="zh-CN"/>
              </w:rPr>
              <w:t>C23</w:t>
            </w:r>
          </w:p>
        </w:tc>
        <w:tc>
          <w:tcPr>
            <w:tcW w:w="989" w:type="pct"/>
            <w:tcBorders>
              <w:tl2br w:val="nil"/>
              <w:tr2bl w:val="nil"/>
            </w:tcBorders>
            <w:shd w:val="clear" w:color="auto" w:fill="FFFFFF"/>
            <w:noWrap/>
            <w:vAlign w:val="center"/>
          </w:tcPr>
          <w:p w14:paraId="06441F3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color w:val="auto"/>
                <w:sz w:val="18"/>
                <w:szCs w:val="18"/>
                <w:highlight w:val="none"/>
                <w:lang w:val="en-US" w:eastAsia="zh-CN"/>
              </w:rPr>
              <w:t>包装印刷业</w:t>
            </w:r>
          </w:p>
        </w:tc>
        <w:tc>
          <w:tcPr>
            <w:tcW w:w="546" w:type="pct"/>
            <w:tcBorders>
              <w:tl2br w:val="nil"/>
              <w:tr2bl w:val="nil"/>
            </w:tcBorders>
            <w:shd w:val="clear" w:color="auto" w:fill="FFFFFF"/>
            <w:noWrap/>
            <w:vAlign w:val="center"/>
          </w:tcPr>
          <w:p w14:paraId="1A415DF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sz w:val="18"/>
                <w:szCs w:val="18"/>
                <w:highlight w:val="none"/>
                <w:u w:val="none"/>
                <w:lang w:val="en-US" w:eastAsia="zh-CN"/>
              </w:rPr>
              <w:t>3</w:t>
            </w:r>
          </w:p>
        </w:tc>
        <w:tc>
          <w:tcPr>
            <w:tcW w:w="546" w:type="pct"/>
            <w:tcBorders>
              <w:tl2br w:val="nil"/>
              <w:tr2bl w:val="nil"/>
            </w:tcBorders>
            <w:shd w:val="clear" w:color="auto" w:fill="FFFFFF"/>
            <w:noWrap/>
            <w:vAlign w:val="center"/>
          </w:tcPr>
          <w:p w14:paraId="6F203F9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sz w:val="18"/>
                <w:szCs w:val="18"/>
                <w:highlight w:val="none"/>
                <w:u w:val="none"/>
                <w:lang w:val="en-US" w:eastAsia="zh-CN"/>
              </w:rPr>
              <w:t>9</w:t>
            </w:r>
          </w:p>
        </w:tc>
        <w:tc>
          <w:tcPr>
            <w:tcW w:w="618" w:type="pct"/>
            <w:tcBorders>
              <w:tl2br w:val="nil"/>
              <w:tr2bl w:val="nil"/>
            </w:tcBorders>
            <w:shd w:val="clear" w:color="auto" w:fill="FFFFFF"/>
            <w:noWrap/>
            <w:vAlign w:val="center"/>
          </w:tcPr>
          <w:p w14:paraId="2CF1901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kern w:val="0"/>
                <w:sz w:val="18"/>
                <w:szCs w:val="18"/>
                <w:highlight w:val="none"/>
                <w:u w:val="none"/>
                <w:lang w:val="en-US" w:eastAsia="zh-CN" w:bidi="ar"/>
              </w:rPr>
              <w:t>0</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cs="Times New Roman"/>
                <w:b w:val="0"/>
                <w:i w:val="0"/>
                <w:iCs w:val="0"/>
                <w:color w:val="auto"/>
                <w:kern w:val="0"/>
                <w:sz w:val="18"/>
                <w:szCs w:val="18"/>
                <w:highlight w:val="none"/>
                <w:u w:val="none"/>
                <w:lang w:val="en-US" w:eastAsia="zh-CN" w:bidi="ar"/>
              </w:rPr>
              <w:t>3.86</w:t>
            </w:r>
          </w:p>
        </w:tc>
        <w:tc>
          <w:tcPr>
            <w:tcW w:w="1206" w:type="pct"/>
            <w:tcBorders>
              <w:tl2br w:val="nil"/>
              <w:tr2bl w:val="nil"/>
            </w:tcBorders>
            <w:shd w:val="clear" w:color="auto" w:fill="FFFFFF"/>
            <w:noWrap/>
            <w:vAlign w:val="center"/>
          </w:tcPr>
          <w:p w14:paraId="1C5FA92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sz w:val="18"/>
                <w:szCs w:val="18"/>
                <w:highlight w:val="none"/>
                <w:u w:val="none"/>
                <w:lang w:val="en-US" w:eastAsia="zh-CN"/>
              </w:rPr>
              <w:t>油墨、调配、制版印刷</w:t>
            </w:r>
          </w:p>
        </w:tc>
      </w:tr>
      <w:tr w14:paraId="48E75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trPr>
        <w:tc>
          <w:tcPr>
            <w:tcW w:w="716" w:type="pct"/>
            <w:tcBorders>
              <w:tl2br w:val="nil"/>
              <w:tr2bl w:val="nil"/>
            </w:tcBorders>
            <w:shd w:val="clear" w:color="auto" w:fill="FFFFFF"/>
            <w:noWrap/>
            <w:vAlign w:val="center"/>
          </w:tcPr>
          <w:p w14:paraId="6F15201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化工行业</w:t>
            </w:r>
          </w:p>
        </w:tc>
        <w:tc>
          <w:tcPr>
            <w:tcW w:w="375" w:type="pct"/>
            <w:tcBorders>
              <w:tl2br w:val="nil"/>
              <w:tr2bl w:val="nil"/>
            </w:tcBorders>
            <w:shd w:val="clear" w:color="auto" w:fill="FFFFFF"/>
            <w:noWrap/>
            <w:vAlign w:val="center"/>
          </w:tcPr>
          <w:p w14:paraId="2D8FC2B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C29</w:t>
            </w:r>
          </w:p>
        </w:tc>
        <w:tc>
          <w:tcPr>
            <w:tcW w:w="989" w:type="pct"/>
            <w:tcBorders>
              <w:tl2br w:val="nil"/>
              <w:tr2bl w:val="nil"/>
            </w:tcBorders>
            <w:shd w:val="clear" w:color="auto" w:fill="FFFFFF"/>
            <w:noWrap/>
            <w:vAlign w:val="center"/>
          </w:tcPr>
          <w:p w14:paraId="72260BD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color w:val="auto"/>
                <w:sz w:val="18"/>
                <w:szCs w:val="18"/>
                <w:highlight w:val="none"/>
                <w:lang w:val="en-US" w:eastAsia="zh-CN"/>
              </w:rPr>
            </w:pPr>
            <w:r>
              <w:rPr>
                <w:rFonts w:hint="default" w:ascii="Times New Roman" w:hAnsi="Times New Roman" w:eastAsia="宋体" w:cs="Times New Roman"/>
                <w:b w:val="0"/>
                <w:color w:val="auto"/>
                <w:sz w:val="18"/>
                <w:szCs w:val="18"/>
                <w:highlight w:val="none"/>
                <w:lang w:val="en-US" w:eastAsia="zh-CN"/>
              </w:rPr>
              <w:t>橡胶和塑料制造业</w:t>
            </w:r>
          </w:p>
        </w:tc>
        <w:tc>
          <w:tcPr>
            <w:tcW w:w="546" w:type="pct"/>
            <w:tcBorders>
              <w:tl2br w:val="nil"/>
              <w:tr2bl w:val="nil"/>
            </w:tcBorders>
            <w:shd w:val="clear" w:color="auto" w:fill="FFFFFF"/>
            <w:noWrap/>
            <w:vAlign w:val="center"/>
          </w:tcPr>
          <w:p w14:paraId="3AA939A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1</w:t>
            </w:r>
          </w:p>
        </w:tc>
        <w:tc>
          <w:tcPr>
            <w:tcW w:w="546" w:type="pct"/>
            <w:tcBorders>
              <w:tl2br w:val="nil"/>
              <w:tr2bl w:val="nil"/>
            </w:tcBorders>
            <w:shd w:val="clear" w:color="auto" w:fill="FFFFFF"/>
            <w:noWrap/>
            <w:vAlign w:val="center"/>
          </w:tcPr>
          <w:p w14:paraId="3C679A0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3</w:t>
            </w:r>
          </w:p>
        </w:tc>
        <w:tc>
          <w:tcPr>
            <w:tcW w:w="618" w:type="pct"/>
            <w:tcBorders>
              <w:tl2br w:val="nil"/>
              <w:tr2bl w:val="nil"/>
            </w:tcBorders>
            <w:shd w:val="clear" w:color="auto" w:fill="FFFFFF"/>
            <w:noWrap/>
            <w:vAlign w:val="center"/>
          </w:tcPr>
          <w:p w14:paraId="3B4A15D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未检出</w:t>
            </w:r>
          </w:p>
        </w:tc>
        <w:tc>
          <w:tcPr>
            <w:tcW w:w="1206" w:type="pct"/>
            <w:tcBorders>
              <w:tl2br w:val="nil"/>
              <w:tr2bl w:val="nil"/>
            </w:tcBorders>
            <w:shd w:val="clear" w:color="auto" w:fill="FFFFFF"/>
            <w:noWrap/>
            <w:vAlign w:val="center"/>
          </w:tcPr>
          <w:p w14:paraId="03DC613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w:t>
            </w:r>
          </w:p>
        </w:tc>
      </w:tr>
      <w:tr w14:paraId="60985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716" w:type="pct"/>
            <w:tcBorders>
              <w:tl2br w:val="nil"/>
              <w:tr2bl w:val="nil"/>
            </w:tcBorders>
            <w:shd w:val="clear" w:color="auto" w:fill="FFFFFF"/>
            <w:noWrap/>
            <w:vAlign w:val="center"/>
          </w:tcPr>
          <w:p w14:paraId="5AD8BB8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合计</w:t>
            </w:r>
          </w:p>
        </w:tc>
        <w:tc>
          <w:tcPr>
            <w:tcW w:w="1364" w:type="pct"/>
            <w:gridSpan w:val="2"/>
            <w:tcBorders>
              <w:tl2br w:val="nil"/>
              <w:tr2bl w:val="nil"/>
            </w:tcBorders>
            <w:shd w:val="clear" w:color="auto" w:fill="FFFFFF"/>
            <w:noWrap/>
            <w:vAlign w:val="center"/>
          </w:tcPr>
          <w:p w14:paraId="4757ED4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eastAsia" w:cs="Times New Roman"/>
                <w:b w:val="0"/>
                <w:i w:val="0"/>
                <w:iCs w:val="0"/>
                <w:color w:val="auto"/>
                <w:kern w:val="0"/>
                <w:sz w:val="18"/>
                <w:szCs w:val="18"/>
                <w:highlight w:val="none"/>
                <w:u w:val="none"/>
                <w:lang w:val="en-US" w:eastAsia="zh-CN" w:bidi="ar"/>
              </w:rPr>
              <w:t>6</w:t>
            </w:r>
          </w:p>
        </w:tc>
        <w:tc>
          <w:tcPr>
            <w:tcW w:w="546" w:type="pct"/>
            <w:tcBorders>
              <w:tl2br w:val="nil"/>
              <w:tr2bl w:val="nil"/>
            </w:tcBorders>
            <w:shd w:val="clear" w:color="auto" w:fill="FFFFFF"/>
            <w:noWrap/>
            <w:vAlign w:val="center"/>
          </w:tcPr>
          <w:p w14:paraId="09625DC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9</w:t>
            </w:r>
          </w:p>
        </w:tc>
        <w:tc>
          <w:tcPr>
            <w:tcW w:w="546" w:type="pct"/>
            <w:tcBorders>
              <w:tl2br w:val="nil"/>
              <w:tr2bl w:val="nil"/>
            </w:tcBorders>
            <w:shd w:val="clear" w:color="auto" w:fill="FFFFFF"/>
            <w:noWrap/>
            <w:vAlign w:val="center"/>
          </w:tcPr>
          <w:p w14:paraId="7E0D95F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20</w:t>
            </w:r>
          </w:p>
        </w:tc>
        <w:tc>
          <w:tcPr>
            <w:tcW w:w="618" w:type="pct"/>
            <w:tcBorders>
              <w:tl2br w:val="nil"/>
              <w:tr2bl w:val="nil"/>
            </w:tcBorders>
            <w:shd w:val="clear" w:color="auto" w:fill="FFFFFF"/>
            <w:noWrap/>
            <w:vAlign w:val="center"/>
          </w:tcPr>
          <w:p w14:paraId="2676A1E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0</w:t>
            </w:r>
            <w:r>
              <w:rPr>
                <w:rFonts w:hint="eastAsia" w:cs="Times New Roman"/>
                <w:b w:val="0"/>
                <w:i w:val="0"/>
                <w:iCs w:val="0"/>
                <w:color w:val="auto"/>
                <w:sz w:val="18"/>
                <w:szCs w:val="18"/>
                <w:highlight w:val="none"/>
                <w:u w:val="none"/>
                <w:lang w:val="en-US" w:eastAsia="zh-CN"/>
              </w:rPr>
              <w:t>～</w:t>
            </w:r>
            <w:r>
              <w:rPr>
                <w:rFonts w:hint="default" w:ascii="Times New Roman" w:hAnsi="Times New Roman" w:cs="Times New Roman"/>
                <w:b w:val="0"/>
                <w:i w:val="0"/>
                <w:iCs w:val="0"/>
                <w:color w:val="auto"/>
                <w:sz w:val="18"/>
                <w:szCs w:val="18"/>
                <w:highlight w:val="none"/>
                <w:u w:val="none"/>
                <w:lang w:val="en-US" w:eastAsia="zh-CN"/>
              </w:rPr>
              <w:t>3.86</w:t>
            </w:r>
          </w:p>
        </w:tc>
        <w:tc>
          <w:tcPr>
            <w:tcW w:w="1206" w:type="pct"/>
            <w:tcBorders>
              <w:tl2br w:val="nil"/>
              <w:tr2bl w:val="nil"/>
            </w:tcBorders>
            <w:shd w:val="clear" w:color="auto" w:fill="FFFFFF"/>
            <w:noWrap/>
            <w:vAlign w:val="bottom"/>
          </w:tcPr>
          <w:p w14:paraId="672F07A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w:t>
            </w:r>
          </w:p>
        </w:tc>
      </w:tr>
    </w:tbl>
    <w:p w14:paraId="114A6288">
      <w:pPr>
        <w:shd w:val="clear"/>
        <w:bidi w:val="0"/>
        <w:rPr>
          <w:rFonts w:hint="default"/>
          <w:color w:val="auto"/>
          <w:highlight w:val="none"/>
          <w:lang w:val="en-US" w:eastAsia="zh-CN"/>
        </w:rPr>
      </w:pPr>
    </w:p>
    <w:p w14:paraId="25577839">
      <w:pPr>
        <w:pStyle w:val="129"/>
        <w:shd w:val="clear"/>
        <w:bidi w:val="0"/>
        <w:outlineLvl w:val="4"/>
        <w:rPr>
          <w:rFonts w:hint="default"/>
          <w:lang w:val="en-US" w:eastAsia="zh-CN"/>
        </w:rPr>
      </w:pPr>
      <w:bookmarkStart w:id="118" w:name="_Ref6133"/>
      <w:r>
        <w:t>表</w:t>
      </w:r>
      <w:r>
        <w:fldChar w:fldCharType="begin"/>
      </w:r>
      <w:r>
        <w:instrText xml:space="preserve"> SEQ 表 \* ARABIC </w:instrText>
      </w:r>
      <w:r>
        <w:fldChar w:fldCharType="separate"/>
      </w:r>
      <w:r>
        <w:rPr>
          <w:rFonts w:ascii="Times New Roman" w:hAnsi="Times New Roman" w:cs="Times New Roman"/>
        </w:rPr>
        <w:t>16</w:t>
      </w:r>
      <w:r>
        <w:fldChar w:fldCharType="end"/>
      </w:r>
      <w:bookmarkEnd w:id="118"/>
      <w:r>
        <w:rPr>
          <w:rFonts w:hint="default"/>
          <w:lang w:val="en-US" w:eastAsia="zh-CN"/>
        </w:rPr>
        <w:t xml:space="preserve"> 苯系物的有组织监测数据分布情况</w:t>
      </w:r>
    </w:p>
    <w:tbl>
      <w:tblPr>
        <w:tblStyle w:val="3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05"/>
        <w:gridCol w:w="734"/>
        <w:gridCol w:w="1800"/>
        <w:gridCol w:w="1038"/>
        <w:gridCol w:w="987"/>
        <w:gridCol w:w="1349"/>
        <w:gridCol w:w="2026"/>
      </w:tblGrid>
      <w:tr w14:paraId="3FEE92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tblHeader/>
        </w:trPr>
        <w:tc>
          <w:tcPr>
            <w:tcW w:w="2077" w:type="pct"/>
            <w:gridSpan w:val="3"/>
            <w:tcBorders>
              <w:tl2br w:val="nil"/>
              <w:tr2bl w:val="nil"/>
            </w:tcBorders>
            <w:shd w:val="clear" w:color="auto" w:fill="FFFFFF"/>
            <w:noWrap/>
            <w:vAlign w:val="center"/>
          </w:tcPr>
          <w:p w14:paraId="45B006E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行业基本情况</w:t>
            </w:r>
          </w:p>
        </w:tc>
        <w:tc>
          <w:tcPr>
            <w:tcW w:w="561" w:type="pct"/>
            <w:vMerge w:val="restart"/>
            <w:tcBorders>
              <w:tl2br w:val="nil"/>
              <w:tr2bl w:val="nil"/>
            </w:tcBorders>
            <w:shd w:val="clear" w:color="auto" w:fill="FFFFFF"/>
            <w:noWrap/>
            <w:vAlign w:val="center"/>
          </w:tcPr>
          <w:p w14:paraId="6B34FD0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企业数量</w:t>
            </w:r>
          </w:p>
        </w:tc>
        <w:tc>
          <w:tcPr>
            <w:tcW w:w="534" w:type="pct"/>
            <w:vMerge w:val="restart"/>
            <w:tcBorders>
              <w:tl2br w:val="nil"/>
              <w:tr2bl w:val="nil"/>
            </w:tcBorders>
            <w:shd w:val="clear" w:color="auto" w:fill="FFFFFF"/>
            <w:noWrap/>
            <w:vAlign w:val="center"/>
          </w:tcPr>
          <w:p w14:paraId="27B20B3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监测数据</w:t>
            </w:r>
          </w:p>
        </w:tc>
        <w:tc>
          <w:tcPr>
            <w:tcW w:w="730" w:type="pct"/>
            <w:vMerge w:val="restart"/>
            <w:tcBorders>
              <w:tl2br w:val="nil"/>
              <w:tr2bl w:val="nil"/>
            </w:tcBorders>
            <w:shd w:val="clear" w:color="auto" w:fill="FFFFFF"/>
            <w:noWrap/>
            <w:vAlign w:val="center"/>
          </w:tcPr>
          <w:p w14:paraId="40C85AF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浓度范围</w:t>
            </w:r>
            <w:r>
              <w:rPr>
                <w:rFonts w:hint="default" w:ascii="Times New Roman" w:hAnsi="Times New Roman" w:eastAsia="宋体" w:cs="Times New Roman"/>
                <w:b w:val="0"/>
                <w:i w:val="0"/>
                <w:iCs w:val="0"/>
                <w:color w:val="auto"/>
                <w:kern w:val="0"/>
                <w:sz w:val="18"/>
                <w:szCs w:val="18"/>
                <w:highlight w:val="none"/>
                <w:u w:val="none"/>
                <w:lang w:val="en-US" w:eastAsia="zh-CN" w:bidi="ar"/>
              </w:rPr>
              <w:br w:type="textWrapping"/>
            </w:r>
            <w:r>
              <w:rPr>
                <w:rFonts w:hint="default" w:ascii="Times New Roman" w:hAnsi="Times New Roman" w:eastAsia="宋体" w:cs="Times New Roman"/>
                <w:b w:val="0"/>
                <w:i w:val="0"/>
                <w:iCs w:val="0"/>
                <w:color w:val="auto"/>
                <w:kern w:val="0"/>
                <w:sz w:val="18"/>
                <w:szCs w:val="18"/>
                <w:highlight w:val="none"/>
                <w:u w:val="none"/>
                <w:lang w:val="en-US" w:eastAsia="zh-CN" w:bidi="ar"/>
              </w:rPr>
              <w:t>（mg/m</w:t>
            </w:r>
            <w:r>
              <w:rPr>
                <w:rFonts w:hint="default" w:ascii="Times New Roman" w:hAnsi="Times New Roman" w:eastAsia="宋体" w:cs="Times New Roman"/>
                <w:b w:val="0"/>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b w:val="0"/>
                <w:i w:val="0"/>
                <w:iCs w:val="0"/>
                <w:color w:val="auto"/>
                <w:kern w:val="0"/>
                <w:sz w:val="18"/>
                <w:szCs w:val="18"/>
                <w:highlight w:val="none"/>
                <w:u w:val="none"/>
                <w:lang w:val="en-US" w:eastAsia="zh-CN" w:bidi="ar"/>
              </w:rPr>
              <w:t>）</w:t>
            </w:r>
          </w:p>
        </w:tc>
        <w:tc>
          <w:tcPr>
            <w:tcW w:w="1096" w:type="pct"/>
            <w:vMerge w:val="restart"/>
            <w:tcBorders>
              <w:tl2br w:val="nil"/>
              <w:tr2bl w:val="nil"/>
            </w:tcBorders>
            <w:shd w:val="clear" w:color="auto" w:fill="FFFFFF"/>
            <w:noWrap/>
            <w:vAlign w:val="center"/>
          </w:tcPr>
          <w:p w14:paraId="662498A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涉及设备\工艺</w:t>
            </w:r>
          </w:p>
        </w:tc>
      </w:tr>
      <w:tr w14:paraId="72F7F9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1" w:hRule="atLeast"/>
          <w:tblHeader/>
        </w:trPr>
        <w:tc>
          <w:tcPr>
            <w:tcW w:w="706" w:type="pct"/>
            <w:tcBorders>
              <w:tl2br w:val="nil"/>
              <w:tr2bl w:val="nil"/>
            </w:tcBorders>
            <w:shd w:val="clear" w:color="auto" w:fill="FFFFFF"/>
            <w:noWrap/>
            <w:vAlign w:val="center"/>
          </w:tcPr>
          <w:p w14:paraId="15E20D6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分类</w:t>
            </w:r>
          </w:p>
        </w:tc>
        <w:tc>
          <w:tcPr>
            <w:tcW w:w="397" w:type="pct"/>
            <w:tcBorders>
              <w:tl2br w:val="nil"/>
              <w:tr2bl w:val="nil"/>
            </w:tcBorders>
            <w:shd w:val="clear" w:color="auto" w:fill="FFFFFF"/>
            <w:noWrap/>
            <w:vAlign w:val="center"/>
          </w:tcPr>
          <w:p w14:paraId="4BCA890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编码</w:t>
            </w:r>
          </w:p>
        </w:tc>
        <w:tc>
          <w:tcPr>
            <w:tcW w:w="973" w:type="pct"/>
            <w:tcBorders>
              <w:tl2br w:val="nil"/>
              <w:tr2bl w:val="nil"/>
            </w:tcBorders>
            <w:shd w:val="clear" w:color="auto" w:fill="FFFFFF"/>
            <w:noWrap/>
            <w:vAlign w:val="center"/>
          </w:tcPr>
          <w:p w14:paraId="268746A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名称</w:t>
            </w:r>
          </w:p>
        </w:tc>
        <w:tc>
          <w:tcPr>
            <w:tcW w:w="561" w:type="pct"/>
            <w:vMerge w:val="continue"/>
            <w:tcBorders>
              <w:tl2br w:val="nil"/>
              <w:tr2bl w:val="nil"/>
            </w:tcBorders>
            <w:shd w:val="clear" w:color="auto" w:fill="FFFFFF"/>
            <w:noWrap/>
            <w:vAlign w:val="center"/>
          </w:tcPr>
          <w:p w14:paraId="004F1D8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534" w:type="pct"/>
            <w:vMerge w:val="continue"/>
            <w:tcBorders>
              <w:tl2br w:val="nil"/>
              <w:tr2bl w:val="nil"/>
            </w:tcBorders>
            <w:shd w:val="clear" w:color="auto" w:fill="FFFFFF"/>
            <w:noWrap/>
            <w:vAlign w:val="center"/>
          </w:tcPr>
          <w:p w14:paraId="3625289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730" w:type="pct"/>
            <w:vMerge w:val="continue"/>
            <w:tcBorders>
              <w:tl2br w:val="nil"/>
              <w:tr2bl w:val="nil"/>
            </w:tcBorders>
            <w:shd w:val="clear" w:color="auto" w:fill="FFFFFF"/>
            <w:noWrap/>
            <w:vAlign w:val="center"/>
          </w:tcPr>
          <w:p w14:paraId="7FF3BA1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1096" w:type="pct"/>
            <w:vMerge w:val="continue"/>
            <w:tcBorders>
              <w:tl2br w:val="nil"/>
              <w:tr2bl w:val="nil"/>
            </w:tcBorders>
            <w:shd w:val="clear" w:color="auto" w:fill="FFFFFF"/>
            <w:noWrap/>
            <w:vAlign w:val="center"/>
          </w:tcPr>
          <w:p w14:paraId="7E74496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r>
      <w:tr w14:paraId="03F179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06" w:type="pct"/>
            <w:vMerge w:val="restart"/>
            <w:tcBorders>
              <w:tl2br w:val="nil"/>
              <w:tr2bl w:val="nil"/>
            </w:tcBorders>
            <w:shd w:val="clear" w:color="auto" w:fill="FFFFFF"/>
            <w:noWrap/>
            <w:vAlign w:val="center"/>
          </w:tcPr>
          <w:p w14:paraId="1B65383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工业涂装</w:t>
            </w:r>
          </w:p>
        </w:tc>
        <w:tc>
          <w:tcPr>
            <w:tcW w:w="397" w:type="pct"/>
            <w:tcBorders>
              <w:tl2br w:val="nil"/>
              <w:tr2bl w:val="nil"/>
            </w:tcBorders>
            <w:shd w:val="clear" w:color="auto" w:fill="FFFFFF"/>
            <w:noWrap/>
            <w:vAlign w:val="center"/>
          </w:tcPr>
          <w:p w14:paraId="4745EC6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sz w:val="18"/>
                <w:szCs w:val="18"/>
                <w:highlight w:val="none"/>
                <w:u w:val="none"/>
                <w:lang w:val="en-US" w:eastAsia="zh-CN"/>
              </w:rPr>
              <w:t>C36</w:t>
            </w:r>
          </w:p>
        </w:tc>
        <w:tc>
          <w:tcPr>
            <w:tcW w:w="973" w:type="pct"/>
            <w:tcBorders>
              <w:tl2br w:val="nil"/>
              <w:tr2bl w:val="nil"/>
            </w:tcBorders>
            <w:shd w:val="clear" w:color="auto" w:fill="FFFFFF"/>
            <w:noWrap/>
            <w:vAlign w:val="center"/>
          </w:tcPr>
          <w:p w14:paraId="0DEA905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cs="Times New Roman"/>
                <w:b w:val="0"/>
                <w:color w:val="auto"/>
                <w:sz w:val="18"/>
                <w:szCs w:val="18"/>
                <w:highlight w:val="none"/>
                <w:lang w:val="en-US" w:eastAsia="zh-CN"/>
              </w:rPr>
              <w:t>汽车制造业</w:t>
            </w:r>
          </w:p>
        </w:tc>
        <w:tc>
          <w:tcPr>
            <w:tcW w:w="561" w:type="pct"/>
            <w:tcBorders>
              <w:tl2br w:val="nil"/>
              <w:tr2bl w:val="nil"/>
            </w:tcBorders>
            <w:shd w:val="clear" w:color="auto" w:fill="FFFFFF"/>
            <w:noWrap/>
            <w:vAlign w:val="center"/>
          </w:tcPr>
          <w:p w14:paraId="5DB2355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5</w:t>
            </w:r>
          </w:p>
        </w:tc>
        <w:tc>
          <w:tcPr>
            <w:tcW w:w="534" w:type="pct"/>
            <w:tcBorders>
              <w:tl2br w:val="nil"/>
              <w:tr2bl w:val="nil"/>
            </w:tcBorders>
            <w:shd w:val="clear" w:color="auto" w:fill="FFFFFF"/>
            <w:noWrap/>
            <w:vAlign w:val="center"/>
          </w:tcPr>
          <w:p w14:paraId="1831E04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8</w:t>
            </w:r>
          </w:p>
        </w:tc>
        <w:tc>
          <w:tcPr>
            <w:tcW w:w="730" w:type="pct"/>
            <w:tcBorders>
              <w:tl2br w:val="nil"/>
              <w:tr2bl w:val="nil"/>
            </w:tcBorders>
            <w:shd w:val="clear" w:color="auto" w:fill="FFFFFF"/>
            <w:noWrap/>
            <w:vAlign w:val="center"/>
          </w:tcPr>
          <w:p w14:paraId="3D3E5C2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kern w:val="0"/>
                <w:sz w:val="18"/>
                <w:szCs w:val="18"/>
                <w:highlight w:val="none"/>
                <w:u w:val="none"/>
                <w:lang w:val="en-US" w:eastAsia="zh-CN" w:bidi="ar"/>
              </w:rPr>
              <w:t>0.229</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cs="Times New Roman"/>
                <w:b w:val="0"/>
                <w:i w:val="0"/>
                <w:iCs w:val="0"/>
                <w:color w:val="auto"/>
                <w:kern w:val="0"/>
                <w:sz w:val="18"/>
                <w:szCs w:val="18"/>
                <w:highlight w:val="none"/>
                <w:u w:val="none"/>
                <w:lang w:val="en-US" w:eastAsia="zh-CN" w:bidi="ar"/>
              </w:rPr>
              <w:t>39.8</w:t>
            </w:r>
          </w:p>
        </w:tc>
        <w:tc>
          <w:tcPr>
            <w:tcW w:w="1096" w:type="pct"/>
            <w:tcBorders>
              <w:tl2br w:val="nil"/>
              <w:tr2bl w:val="nil"/>
            </w:tcBorders>
            <w:shd w:val="clear" w:color="auto" w:fill="FFFFFF"/>
            <w:noWrap/>
            <w:vAlign w:val="center"/>
          </w:tcPr>
          <w:p w14:paraId="04979CA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底漆、面漆涂装</w:t>
            </w:r>
          </w:p>
        </w:tc>
      </w:tr>
      <w:tr w14:paraId="0CFCC6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06" w:type="pct"/>
            <w:vMerge w:val="continue"/>
            <w:tcBorders>
              <w:tl2br w:val="nil"/>
              <w:tr2bl w:val="nil"/>
            </w:tcBorders>
            <w:shd w:val="clear" w:color="auto" w:fill="FFFFFF"/>
            <w:noWrap/>
            <w:vAlign w:val="center"/>
          </w:tcPr>
          <w:p w14:paraId="7F9ED33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p>
        </w:tc>
        <w:tc>
          <w:tcPr>
            <w:tcW w:w="397" w:type="pct"/>
            <w:tcBorders>
              <w:tl2br w:val="nil"/>
              <w:tr2bl w:val="nil"/>
            </w:tcBorders>
            <w:shd w:val="clear" w:color="auto" w:fill="FFFFFF"/>
            <w:noWrap/>
            <w:vAlign w:val="center"/>
          </w:tcPr>
          <w:p w14:paraId="07431F7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eastAsia" w:cs="Times New Roman"/>
                <w:b w:val="0"/>
                <w:i w:val="0"/>
                <w:iCs w:val="0"/>
                <w:color w:val="auto"/>
                <w:sz w:val="18"/>
                <w:szCs w:val="18"/>
                <w:highlight w:val="none"/>
                <w:u w:val="none"/>
                <w:lang w:val="en-US" w:eastAsia="zh-CN"/>
              </w:rPr>
              <w:t>C37</w:t>
            </w:r>
          </w:p>
        </w:tc>
        <w:tc>
          <w:tcPr>
            <w:tcW w:w="973" w:type="pct"/>
            <w:tcBorders>
              <w:tl2br w:val="nil"/>
              <w:tr2bl w:val="nil"/>
            </w:tcBorders>
            <w:shd w:val="clear" w:color="auto" w:fill="FFFFFF"/>
            <w:noWrap/>
            <w:vAlign w:val="center"/>
          </w:tcPr>
          <w:p w14:paraId="3A407A8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color w:val="auto"/>
                <w:kern w:val="2"/>
                <w:sz w:val="18"/>
                <w:szCs w:val="18"/>
                <w:highlight w:val="none"/>
                <w:lang w:val="en-US" w:eastAsia="zh-CN" w:bidi="ar-SA"/>
              </w:rPr>
            </w:pPr>
            <w:r>
              <w:rPr>
                <w:rFonts w:hint="default" w:ascii="Times New Roman" w:hAnsi="Times New Roman" w:cs="Times New Roman"/>
                <w:b w:val="0"/>
                <w:color w:val="auto"/>
                <w:sz w:val="18"/>
                <w:szCs w:val="18"/>
                <w:highlight w:val="none"/>
                <w:lang w:val="en-US" w:eastAsia="zh-CN"/>
              </w:rPr>
              <w:t>金属船舶制造</w:t>
            </w:r>
          </w:p>
        </w:tc>
        <w:tc>
          <w:tcPr>
            <w:tcW w:w="561" w:type="pct"/>
            <w:tcBorders>
              <w:tl2br w:val="nil"/>
              <w:tr2bl w:val="nil"/>
            </w:tcBorders>
            <w:shd w:val="clear" w:color="auto" w:fill="FFFFFF"/>
            <w:noWrap/>
            <w:vAlign w:val="center"/>
          </w:tcPr>
          <w:p w14:paraId="6BD26B9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eastAsia" w:cs="Times New Roman"/>
                <w:b w:val="0"/>
                <w:i w:val="0"/>
                <w:iCs w:val="0"/>
                <w:color w:val="auto"/>
                <w:sz w:val="18"/>
                <w:szCs w:val="18"/>
                <w:highlight w:val="none"/>
                <w:u w:val="none"/>
                <w:lang w:val="en-US" w:eastAsia="zh-CN"/>
              </w:rPr>
              <w:t>1</w:t>
            </w:r>
          </w:p>
        </w:tc>
        <w:tc>
          <w:tcPr>
            <w:tcW w:w="534" w:type="pct"/>
            <w:tcBorders>
              <w:tl2br w:val="nil"/>
              <w:tr2bl w:val="nil"/>
            </w:tcBorders>
            <w:shd w:val="clear" w:color="auto" w:fill="FFFFFF"/>
            <w:noWrap/>
            <w:vAlign w:val="center"/>
          </w:tcPr>
          <w:p w14:paraId="780241F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eastAsia" w:cs="Times New Roman"/>
                <w:b w:val="0"/>
                <w:i w:val="0"/>
                <w:iCs w:val="0"/>
                <w:color w:val="auto"/>
                <w:sz w:val="18"/>
                <w:szCs w:val="18"/>
                <w:highlight w:val="none"/>
                <w:u w:val="none"/>
                <w:lang w:val="en-US" w:eastAsia="zh-CN"/>
              </w:rPr>
              <w:t>7</w:t>
            </w:r>
          </w:p>
        </w:tc>
        <w:tc>
          <w:tcPr>
            <w:tcW w:w="730" w:type="pct"/>
            <w:tcBorders>
              <w:tl2br w:val="nil"/>
              <w:tr2bl w:val="nil"/>
            </w:tcBorders>
            <w:shd w:val="clear" w:color="auto" w:fill="FFFFFF"/>
            <w:noWrap/>
            <w:vAlign w:val="center"/>
          </w:tcPr>
          <w:p w14:paraId="42816B1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i w:val="0"/>
                <w:iCs w:val="0"/>
                <w:color w:val="auto"/>
                <w:kern w:val="0"/>
                <w:sz w:val="18"/>
                <w:szCs w:val="18"/>
                <w:highlight w:val="none"/>
                <w:u w:val="none"/>
                <w:lang w:val="en-US" w:eastAsia="zh-CN" w:bidi="ar"/>
              </w:rPr>
            </w:pPr>
            <w:r>
              <w:rPr>
                <w:rFonts w:hint="eastAsia" w:cs="Times New Roman"/>
                <w:b w:val="0"/>
                <w:i w:val="0"/>
                <w:iCs w:val="0"/>
                <w:color w:val="auto"/>
                <w:kern w:val="0"/>
                <w:sz w:val="18"/>
                <w:szCs w:val="18"/>
                <w:highlight w:val="none"/>
                <w:u w:val="none"/>
                <w:lang w:val="en-US" w:eastAsia="zh-CN" w:bidi="ar"/>
              </w:rPr>
              <w:t>0～0.0935</w:t>
            </w:r>
          </w:p>
        </w:tc>
        <w:tc>
          <w:tcPr>
            <w:tcW w:w="1096" w:type="pct"/>
            <w:tcBorders>
              <w:tl2br w:val="nil"/>
              <w:tr2bl w:val="nil"/>
            </w:tcBorders>
            <w:shd w:val="clear" w:color="auto" w:fill="FFFFFF"/>
            <w:noWrap/>
            <w:vAlign w:val="center"/>
          </w:tcPr>
          <w:p w14:paraId="37642E6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eastAsia" w:cs="Times New Roman"/>
                <w:b w:val="0"/>
                <w:i w:val="0"/>
                <w:iCs w:val="0"/>
                <w:color w:val="auto"/>
                <w:kern w:val="0"/>
                <w:sz w:val="18"/>
                <w:szCs w:val="18"/>
                <w:highlight w:val="none"/>
                <w:u w:val="none"/>
                <w:lang w:val="en-US" w:eastAsia="zh-CN" w:bidi="ar"/>
              </w:rPr>
              <w:t>/</w:t>
            </w:r>
          </w:p>
        </w:tc>
      </w:tr>
      <w:tr w14:paraId="5E46E1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trPr>
        <w:tc>
          <w:tcPr>
            <w:tcW w:w="706" w:type="pct"/>
            <w:tcBorders>
              <w:tl2br w:val="nil"/>
              <w:tr2bl w:val="nil"/>
            </w:tcBorders>
            <w:shd w:val="clear" w:color="auto" w:fill="FFFFFF"/>
            <w:noWrap/>
            <w:vAlign w:val="center"/>
          </w:tcPr>
          <w:p w14:paraId="029139C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化工行业</w:t>
            </w:r>
          </w:p>
        </w:tc>
        <w:tc>
          <w:tcPr>
            <w:tcW w:w="397" w:type="pct"/>
            <w:tcBorders>
              <w:tl2br w:val="nil"/>
              <w:tr2bl w:val="nil"/>
            </w:tcBorders>
            <w:shd w:val="clear" w:color="auto" w:fill="FFFFFF"/>
            <w:noWrap/>
            <w:vAlign w:val="center"/>
          </w:tcPr>
          <w:p w14:paraId="11CF1ED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C26</w:t>
            </w:r>
          </w:p>
        </w:tc>
        <w:tc>
          <w:tcPr>
            <w:tcW w:w="973" w:type="pct"/>
            <w:tcBorders>
              <w:tl2br w:val="nil"/>
              <w:tr2bl w:val="nil"/>
            </w:tcBorders>
            <w:shd w:val="clear" w:color="auto" w:fill="FFFFFF"/>
            <w:noWrap/>
            <w:vAlign w:val="center"/>
          </w:tcPr>
          <w:p w14:paraId="0517987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color w:val="auto"/>
                <w:kern w:val="2"/>
                <w:sz w:val="18"/>
                <w:szCs w:val="18"/>
                <w:highlight w:val="none"/>
                <w:lang w:val="en-US" w:eastAsia="zh-CN" w:bidi="ar-SA"/>
              </w:rPr>
            </w:pPr>
            <w:r>
              <w:rPr>
                <w:rFonts w:hint="default" w:ascii="Times New Roman" w:hAnsi="Times New Roman" w:eastAsia="宋体" w:cs="Times New Roman"/>
                <w:b w:val="0"/>
                <w:color w:val="auto"/>
                <w:sz w:val="18"/>
                <w:szCs w:val="18"/>
                <w:highlight w:val="none"/>
                <w:lang w:val="en-US" w:eastAsia="zh-CN"/>
              </w:rPr>
              <w:t>化学原料和化学制品制造业</w:t>
            </w:r>
          </w:p>
        </w:tc>
        <w:tc>
          <w:tcPr>
            <w:tcW w:w="561" w:type="pct"/>
            <w:tcBorders>
              <w:tl2br w:val="nil"/>
              <w:tr2bl w:val="nil"/>
            </w:tcBorders>
            <w:shd w:val="clear" w:color="auto" w:fill="FFFFFF"/>
            <w:noWrap/>
            <w:vAlign w:val="center"/>
          </w:tcPr>
          <w:p w14:paraId="6FB2247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2</w:t>
            </w:r>
          </w:p>
        </w:tc>
        <w:tc>
          <w:tcPr>
            <w:tcW w:w="534" w:type="pct"/>
            <w:tcBorders>
              <w:tl2br w:val="nil"/>
              <w:tr2bl w:val="nil"/>
            </w:tcBorders>
            <w:shd w:val="clear" w:color="auto" w:fill="FFFFFF"/>
            <w:noWrap/>
            <w:vAlign w:val="center"/>
          </w:tcPr>
          <w:p w14:paraId="066B97C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7</w:t>
            </w:r>
          </w:p>
        </w:tc>
        <w:tc>
          <w:tcPr>
            <w:tcW w:w="730" w:type="pct"/>
            <w:tcBorders>
              <w:tl2br w:val="nil"/>
              <w:tr2bl w:val="nil"/>
            </w:tcBorders>
            <w:shd w:val="clear" w:color="auto" w:fill="FFFFFF"/>
            <w:noWrap/>
            <w:vAlign w:val="center"/>
          </w:tcPr>
          <w:p w14:paraId="1A4C9C9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0</w:t>
            </w:r>
            <w:r>
              <w:rPr>
                <w:rFonts w:hint="eastAsia" w:cs="Times New Roman"/>
                <w:b w:val="0"/>
                <w:i w:val="0"/>
                <w:iCs w:val="0"/>
                <w:color w:val="auto"/>
                <w:sz w:val="18"/>
                <w:szCs w:val="18"/>
                <w:highlight w:val="none"/>
                <w:u w:val="none"/>
                <w:lang w:val="en-US" w:eastAsia="zh-CN"/>
              </w:rPr>
              <w:t>～</w:t>
            </w:r>
            <w:r>
              <w:rPr>
                <w:rFonts w:hint="default" w:ascii="Times New Roman" w:hAnsi="Times New Roman" w:cs="Times New Roman"/>
                <w:b w:val="0"/>
                <w:i w:val="0"/>
                <w:iCs w:val="0"/>
                <w:color w:val="auto"/>
                <w:sz w:val="18"/>
                <w:szCs w:val="18"/>
                <w:highlight w:val="none"/>
                <w:u w:val="none"/>
                <w:lang w:val="en-US" w:eastAsia="zh-CN"/>
              </w:rPr>
              <w:t>3.81</w:t>
            </w:r>
          </w:p>
        </w:tc>
        <w:tc>
          <w:tcPr>
            <w:tcW w:w="1096" w:type="pct"/>
            <w:tcBorders>
              <w:tl2br w:val="nil"/>
              <w:tr2bl w:val="nil"/>
            </w:tcBorders>
            <w:shd w:val="clear" w:color="auto" w:fill="FFFFFF"/>
            <w:noWrap/>
            <w:vAlign w:val="center"/>
          </w:tcPr>
          <w:p w14:paraId="74C5D62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w:t>
            </w:r>
          </w:p>
        </w:tc>
      </w:tr>
      <w:tr w14:paraId="6E428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706" w:type="pct"/>
            <w:tcBorders>
              <w:tl2br w:val="nil"/>
              <w:tr2bl w:val="nil"/>
            </w:tcBorders>
            <w:shd w:val="clear" w:color="auto" w:fill="FFFFFF"/>
            <w:noWrap/>
            <w:vAlign w:val="center"/>
          </w:tcPr>
          <w:p w14:paraId="62AE830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合计</w:t>
            </w:r>
          </w:p>
        </w:tc>
        <w:tc>
          <w:tcPr>
            <w:tcW w:w="1371" w:type="pct"/>
            <w:gridSpan w:val="2"/>
            <w:tcBorders>
              <w:tl2br w:val="nil"/>
              <w:tr2bl w:val="nil"/>
            </w:tcBorders>
            <w:shd w:val="clear" w:color="auto" w:fill="FFFFFF"/>
            <w:noWrap/>
            <w:vAlign w:val="center"/>
          </w:tcPr>
          <w:p w14:paraId="783FCAA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eastAsia" w:cs="Times New Roman"/>
                <w:b w:val="0"/>
                <w:i w:val="0"/>
                <w:iCs w:val="0"/>
                <w:color w:val="auto"/>
                <w:kern w:val="0"/>
                <w:sz w:val="18"/>
                <w:szCs w:val="18"/>
                <w:highlight w:val="none"/>
                <w:u w:val="none"/>
                <w:lang w:val="en-US" w:eastAsia="zh-CN" w:bidi="ar"/>
              </w:rPr>
              <w:t>3</w:t>
            </w:r>
          </w:p>
        </w:tc>
        <w:tc>
          <w:tcPr>
            <w:tcW w:w="561" w:type="pct"/>
            <w:tcBorders>
              <w:tl2br w:val="nil"/>
              <w:tr2bl w:val="nil"/>
            </w:tcBorders>
            <w:shd w:val="clear" w:color="auto" w:fill="FFFFFF"/>
            <w:noWrap/>
            <w:vAlign w:val="center"/>
          </w:tcPr>
          <w:p w14:paraId="0B473AC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8</w:t>
            </w:r>
          </w:p>
        </w:tc>
        <w:tc>
          <w:tcPr>
            <w:tcW w:w="534" w:type="pct"/>
            <w:tcBorders>
              <w:tl2br w:val="nil"/>
              <w:tr2bl w:val="nil"/>
            </w:tcBorders>
            <w:shd w:val="clear" w:color="auto" w:fill="FFFFFF"/>
            <w:noWrap/>
            <w:vAlign w:val="center"/>
          </w:tcPr>
          <w:p w14:paraId="1E134F5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22</w:t>
            </w:r>
          </w:p>
        </w:tc>
        <w:tc>
          <w:tcPr>
            <w:tcW w:w="730" w:type="pct"/>
            <w:tcBorders>
              <w:tl2br w:val="nil"/>
              <w:tr2bl w:val="nil"/>
            </w:tcBorders>
            <w:shd w:val="clear" w:color="auto" w:fill="FFFFFF"/>
            <w:noWrap/>
            <w:vAlign w:val="center"/>
          </w:tcPr>
          <w:p w14:paraId="0212477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0</w:t>
            </w:r>
            <w:r>
              <w:rPr>
                <w:rFonts w:hint="eastAsia" w:cs="Times New Roman"/>
                <w:b w:val="0"/>
                <w:i w:val="0"/>
                <w:iCs w:val="0"/>
                <w:color w:val="auto"/>
                <w:sz w:val="18"/>
                <w:szCs w:val="18"/>
                <w:highlight w:val="none"/>
                <w:u w:val="none"/>
                <w:lang w:val="en-US" w:eastAsia="zh-CN"/>
              </w:rPr>
              <w:t>～</w:t>
            </w:r>
            <w:r>
              <w:rPr>
                <w:rFonts w:hint="default" w:ascii="Times New Roman" w:hAnsi="Times New Roman" w:cs="Times New Roman"/>
                <w:b w:val="0"/>
                <w:i w:val="0"/>
                <w:iCs w:val="0"/>
                <w:color w:val="auto"/>
                <w:sz w:val="18"/>
                <w:szCs w:val="18"/>
                <w:highlight w:val="none"/>
                <w:u w:val="none"/>
                <w:lang w:val="en-US" w:eastAsia="zh-CN"/>
              </w:rPr>
              <w:t>39.8</w:t>
            </w:r>
          </w:p>
        </w:tc>
        <w:tc>
          <w:tcPr>
            <w:tcW w:w="1096" w:type="pct"/>
            <w:tcBorders>
              <w:tl2br w:val="nil"/>
              <w:tr2bl w:val="nil"/>
            </w:tcBorders>
            <w:shd w:val="clear" w:color="auto" w:fill="FFFFFF"/>
            <w:noWrap/>
            <w:vAlign w:val="bottom"/>
          </w:tcPr>
          <w:p w14:paraId="3CC5477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w:t>
            </w:r>
          </w:p>
        </w:tc>
      </w:tr>
    </w:tbl>
    <w:p w14:paraId="2FF417EB">
      <w:pPr>
        <w:shd w:val="clear"/>
        <w:rPr>
          <w:rFonts w:hint="default" w:ascii="Times New Roman" w:hAnsi="Times New Roman" w:cs="Times New Roman"/>
          <w:color w:val="auto"/>
          <w:sz w:val="24"/>
          <w:szCs w:val="24"/>
          <w:highlight w:val="none"/>
          <w:lang w:val="en-US" w:eastAsia="zh-CN"/>
        </w:rPr>
      </w:pPr>
    </w:p>
    <w:p w14:paraId="4E458059">
      <w:pPr>
        <w:pStyle w:val="129"/>
        <w:shd w:val="clear"/>
        <w:bidi w:val="0"/>
        <w:outlineLvl w:val="4"/>
        <w:rPr>
          <w:rFonts w:hint="default"/>
          <w:lang w:val="en-US" w:eastAsia="zh-CN"/>
        </w:rPr>
      </w:pPr>
      <w:bookmarkStart w:id="119" w:name="_Ref6156"/>
      <w:r>
        <w:t>表</w:t>
      </w:r>
      <w:r>
        <w:fldChar w:fldCharType="begin"/>
      </w:r>
      <w:r>
        <w:instrText xml:space="preserve"> SEQ 表 \* ARABIC </w:instrText>
      </w:r>
      <w:r>
        <w:fldChar w:fldCharType="separate"/>
      </w:r>
      <w:r>
        <w:rPr>
          <w:rFonts w:ascii="Times New Roman" w:hAnsi="Times New Roman" w:cs="Times New Roman"/>
        </w:rPr>
        <w:t>17</w:t>
      </w:r>
      <w:r>
        <w:fldChar w:fldCharType="end"/>
      </w:r>
      <w:bookmarkEnd w:id="119"/>
      <w:r>
        <w:rPr>
          <w:rFonts w:hint="default"/>
          <w:lang w:val="en-US" w:eastAsia="zh-CN"/>
        </w:rPr>
        <w:t xml:space="preserve"> 非甲烷总烃的有组织监测数据分布情况</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03"/>
        <w:gridCol w:w="737"/>
        <w:gridCol w:w="1813"/>
        <w:gridCol w:w="1025"/>
        <w:gridCol w:w="1000"/>
        <w:gridCol w:w="1326"/>
        <w:gridCol w:w="2038"/>
      </w:tblGrid>
      <w:tr w14:paraId="6F27F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tblHeader/>
        </w:trPr>
        <w:tc>
          <w:tcPr>
            <w:tcW w:w="2084" w:type="pct"/>
            <w:gridSpan w:val="3"/>
            <w:tcBorders>
              <w:tl2br w:val="nil"/>
              <w:tr2bl w:val="nil"/>
            </w:tcBorders>
            <w:shd w:val="clear" w:color="auto" w:fill="FFFFFF"/>
            <w:noWrap/>
            <w:vAlign w:val="center"/>
          </w:tcPr>
          <w:p w14:paraId="01C2381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行业基本情况</w:t>
            </w:r>
          </w:p>
        </w:tc>
        <w:tc>
          <w:tcPr>
            <w:tcW w:w="554" w:type="pct"/>
            <w:vMerge w:val="restart"/>
            <w:tcBorders>
              <w:tl2br w:val="nil"/>
              <w:tr2bl w:val="nil"/>
            </w:tcBorders>
            <w:shd w:val="clear" w:color="auto" w:fill="FFFFFF"/>
            <w:noWrap/>
            <w:vAlign w:val="center"/>
          </w:tcPr>
          <w:p w14:paraId="2F65553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企业数量</w:t>
            </w:r>
          </w:p>
        </w:tc>
        <w:tc>
          <w:tcPr>
            <w:tcW w:w="541" w:type="pct"/>
            <w:vMerge w:val="restart"/>
            <w:tcBorders>
              <w:tl2br w:val="nil"/>
              <w:tr2bl w:val="nil"/>
            </w:tcBorders>
            <w:shd w:val="clear" w:color="auto" w:fill="FFFFFF"/>
            <w:noWrap/>
            <w:vAlign w:val="center"/>
          </w:tcPr>
          <w:p w14:paraId="5C982C3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监测数据</w:t>
            </w:r>
          </w:p>
        </w:tc>
        <w:tc>
          <w:tcPr>
            <w:tcW w:w="717" w:type="pct"/>
            <w:vMerge w:val="restart"/>
            <w:tcBorders>
              <w:tl2br w:val="nil"/>
              <w:tr2bl w:val="nil"/>
            </w:tcBorders>
            <w:shd w:val="clear" w:color="auto" w:fill="FFFFFF"/>
            <w:noWrap/>
            <w:vAlign w:val="center"/>
          </w:tcPr>
          <w:p w14:paraId="3CC75A5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浓度范围</w:t>
            </w:r>
            <w:r>
              <w:rPr>
                <w:rFonts w:hint="default" w:ascii="Times New Roman" w:hAnsi="Times New Roman" w:eastAsia="宋体" w:cs="Times New Roman"/>
                <w:b w:val="0"/>
                <w:i w:val="0"/>
                <w:iCs w:val="0"/>
                <w:color w:val="auto"/>
                <w:kern w:val="0"/>
                <w:sz w:val="18"/>
                <w:szCs w:val="18"/>
                <w:highlight w:val="none"/>
                <w:u w:val="none"/>
                <w:lang w:val="en-US" w:eastAsia="zh-CN" w:bidi="ar"/>
              </w:rPr>
              <w:br w:type="textWrapping"/>
            </w:r>
            <w:r>
              <w:rPr>
                <w:rFonts w:hint="default" w:ascii="Times New Roman" w:hAnsi="Times New Roman" w:eastAsia="宋体" w:cs="Times New Roman"/>
                <w:b w:val="0"/>
                <w:i w:val="0"/>
                <w:iCs w:val="0"/>
                <w:color w:val="auto"/>
                <w:kern w:val="0"/>
                <w:sz w:val="18"/>
                <w:szCs w:val="18"/>
                <w:highlight w:val="none"/>
                <w:u w:val="none"/>
                <w:lang w:val="en-US" w:eastAsia="zh-CN" w:bidi="ar"/>
              </w:rPr>
              <w:t>（mg/m</w:t>
            </w:r>
            <w:r>
              <w:rPr>
                <w:rFonts w:hint="default" w:ascii="Times New Roman" w:hAnsi="Times New Roman" w:eastAsia="宋体" w:cs="Times New Roman"/>
                <w:b w:val="0"/>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b w:val="0"/>
                <w:i w:val="0"/>
                <w:iCs w:val="0"/>
                <w:color w:val="auto"/>
                <w:kern w:val="0"/>
                <w:sz w:val="18"/>
                <w:szCs w:val="18"/>
                <w:highlight w:val="none"/>
                <w:u w:val="none"/>
                <w:lang w:val="en-US" w:eastAsia="zh-CN" w:bidi="ar"/>
              </w:rPr>
              <w:t>）</w:t>
            </w:r>
          </w:p>
        </w:tc>
        <w:tc>
          <w:tcPr>
            <w:tcW w:w="1102" w:type="pct"/>
            <w:vMerge w:val="restart"/>
            <w:tcBorders>
              <w:tl2br w:val="nil"/>
              <w:tr2bl w:val="nil"/>
            </w:tcBorders>
            <w:shd w:val="clear" w:color="auto" w:fill="FFFFFF"/>
            <w:noWrap/>
            <w:vAlign w:val="center"/>
          </w:tcPr>
          <w:p w14:paraId="3F4033C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涉及设备\工艺</w:t>
            </w:r>
          </w:p>
        </w:tc>
      </w:tr>
      <w:tr w14:paraId="455D5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1" w:hRule="atLeast"/>
          <w:tblHeader/>
        </w:trPr>
        <w:tc>
          <w:tcPr>
            <w:tcW w:w="704" w:type="pct"/>
            <w:tcBorders>
              <w:tl2br w:val="nil"/>
              <w:tr2bl w:val="nil"/>
            </w:tcBorders>
            <w:shd w:val="clear" w:color="auto" w:fill="FFFFFF"/>
            <w:noWrap/>
            <w:vAlign w:val="center"/>
          </w:tcPr>
          <w:p w14:paraId="2D6BDA5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分类</w:t>
            </w:r>
          </w:p>
        </w:tc>
        <w:tc>
          <w:tcPr>
            <w:tcW w:w="398" w:type="pct"/>
            <w:tcBorders>
              <w:tl2br w:val="nil"/>
              <w:tr2bl w:val="nil"/>
            </w:tcBorders>
            <w:shd w:val="clear" w:color="auto" w:fill="FFFFFF"/>
            <w:noWrap/>
            <w:vAlign w:val="center"/>
          </w:tcPr>
          <w:p w14:paraId="46D7130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编码</w:t>
            </w:r>
          </w:p>
        </w:tc>
        <w:tc>
          <w:tcPr>
            <w:tcW w:w="980" w:type="pct"/>
            <w:tcBorders>
              <w:tl2br w:val="nil"/>
              <w:tr2bl w:val="nil"/>
            </w:tcBorders>
            <w:shd w:val="clear" w:color="auto" w:fill="FFFFFF"/>
            <w:noWrap/>
            <w:vAlign w:val="center"/>
          </w:tcPr>
          <w:p w14:paraId="6E61310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名称</w:t>
            </w:r>
          </w:p>
        </w:tc>
        <w:tc>
          <w:tcPr>
            <w:tcW w:w="554" w:type="pct"/>
            <w:vMerge w:val="continue"/>
            <w:tcBorders>
              <w:tl2br w:val="nil"/>
              <w:tr2bl w:val="nil"/>
            </w:tcBorders>
            <w:shd w:val="clear" w:color="auto" w:fill="FFFFFF"/>
            <w:noWrap/>
            <w:vAlign w:val="center"/>
          </w:tcPr>
          <w:p w14:paraId="3625A8C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541" w:type="pct"/>
            <w:vMerge w:val="continue"/>
            <w:tcBorders>
              <w:tl2br w:val="nil"/>
              <w:tr2bl w:val="nil"/>
            </w:tcBorders>
            <w:shd w:val="clear" w:color="auto" w:fill="FFFFFF"/>
            <w:noWrap/>
            <w:vAlign w:val="center"/>
          </w:tcPr>
          <w:p w14:paraId="382D161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717" w:type="pct"/>
            <w:vMerge w:val="continue"/>
            <w:tcBorders>
              <w:tl2br w:val="nil"/>
              <w:tr2bl w:val="nil"/>
            </w:tcBorders>
            <w:shd w:val="clear" w:color="auto" w:fill="FFFFFF"/>
            <w:noWrap/>
            <w:vAlign w:val="center"/>
          </w:tcPr>
          <w:p w14:paraId="6F69D05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1102" w:type="pct"/>
            <w:vMerge w:val="continue"/>
            <w:tcBorders>
              <w:tl2br w:val="nil"/>
              <w:tr2bl w:val="nil"/>
            </w:tcBorders>
            <w:shd w:val="clear" w:color="auto" w:fill="FFFFFF"/>
            <w:noWrap/>
            <w:vAlign w:val="center"/>
          </w:tcPr>
          <w:p w14:paraId="1248E9B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r>
      <w:tr w14:paraId="18F19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04" w:type="pct"/>
            <w:vMerge w:val="restart"/>
            <w:tcBorders>
              <w:tl2br w:val="nil"/>
              <w:tr2bl w:val="nil"/>
            </w:tcBorders>
            <w:shd w:val="clear" w:color="auto" w:fill="FFFFFF"/>
            <w:noWrap/>
            <w:vAlign w:val="center"/>
          </w:tcPr>
          <w:p w14:paraId="1AFBD3E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工业涂装</w:t>
            </w:r>
          </w:p>
        </w:tc>
        <w:tc>
          <w:tcPr>
            <w:tcW w:w="398" w:type="pct"/>
            <w:tcBorders>
              <w:tl2br w:val="nil"/>
              <w:tr2bl w:val="nil"/>
            </w:tcBorders>
            <w:shd w:val="clear" w:color="auto" w:fill="FFFFFF"/>
            <w:noWrap/>
            <w:vAlign w:val="center"/>
          </w:tcPr>
          <w:p w14:paraId="018DF6A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sz w:val="18"/>
                <w:szCs w:val="18"/>
                <w:highlight w:val="none"/>
                <w:u w:val="none"/>
                <w:lang w:val="en-US" w:eastAsia="zh-CN"/>
              </w:rPr>
              <w:t>C36</w:t>
            </w:r>
          </w:p>
        </w:tc>
        <w:tc>
          <w:tcPr>
            <w:tcW w:w="980" w:type="pct"/>
            <w:tcBorders>
              <w:tl2br w:val="nil"/>
              <w:tr2bl w:val="nil"/>
            </w:tcBorders>
            <w:shd w:val="clear" w:color="auto" w:fill="FFFFFF"/>
            <w:noWrap/>
            <w:vAlign w:val="center"/>
          </w:tcPr>
          <w:p w14:paraId="011BBD1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cs="Times New Roman"/>
                <w:b w:val="0"/>
                <w:color w:val="auto"/>
                <w:sz w:val="18"/>
                <w:szCs w:val="18"/>
                <w:highlight w:val="none"/>
                <w:lang w:val="en-US" w:eastAsia="zh-CN"/>
              </w:rPr>
              <w:t>汽车制造业</w:t>
            </w:r>
          </w:p>
        </w:tc>
        <w:tc>
          <w:tcPr>
            <w:tcW w:w="554" w:type="pct"/>
            <w:tcBorders>
              <w:tl2br w:val="nil"/>
              <w:tr2bl w:val="nil"/>
            </w:tcBorders>
            <w:shd w:val="clear" w:color="auto" w:fill="FFFFFF"/>
            <w:noWrap/>
            <w:vAlign w:val="center"/>
          </w:tcPr>
          <w:p w14:paraId="0D88D3E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7</w:t>
            </w:r>
          </w:p>
        </w:tc>
        <w:tc>
          <w:tcPr>
            <w:tcW w:w="541" w:type="pct"/>
            <w:tcBorders>
              <w:tl2br w:val="nil"/>
              <w:tr2bl w:val="nil"/>
            </w:tcBorders>
            <w:shd w:val="clear" w:color="auto" w:fill="FFFFFF"/>
            <w:noWrap/>
            <w:vAlign w:val="center"/>
          </w:tcPr>
          <w:p w14:paraId="376C91E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17</w:t>
            </w:r>
          </w:p>
        </w:tc>
        <w:tc>
          <w:tcPr>
            <w:tcW w:w="717" w:type="pct"/>
            <w:tcBorders>
              <w:tl2br w:val="nil"/>
              <w:tr2bl w:val="nil"/>
            </w:tcBorders>
            <w:shd w:val="clear" w:color="auto" w:fill="FFFFFF"/>
            <w:noWrap/>
            <w:vAlign w:val="center"/>
          </w:tcPr>
          <w:p w14:paraId="564E1C5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kern w:val="0"/>
                <w:sz w:val="18"/>
                <w:szCs w:val="18"/>
                <w:highlight w:val="none"/>
                <w:u w:val="none"/>
                <w:lang w:val="en-US" w:eastAsia="zh-CN" w:bidi="ar"/>
              </w:rPr>
              <w:t>4.76</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cs="Times New Roman"/>
                <w:b w:val="0"/>
                <w:i w:val="0"/>
                <w:iCs w:val="0"/>
                <w:color w:val="auto"/>
                <w:kern w:val="0"/>
                <w:sz w:val="18"/>
                <w:szCs w:val="18"/>
                <w:highlight w:val="none"/>
                <w:u w:val="none"/>
                <w:lang w:val="en-US" w:eastAsia="zh-CN" w:bidi="ar"/>
              </w:rPr>
              <w:t>48.7</w:t>
            </w:r>
          </w:p>
        </w:tc>
        <w:tc>
          <w:tcPr>
            <w:tcW w:w="1102" w:type="pct"/>
            <w:tcBorders>
              <w:tl2br w:val="nil"/>
              <w:tr2bl w:val="nil"/>
            </w:tcBorders>
            <w:shd w:val="clear" w:color="auto" w:fill="FFFFFF"/>
            <w:noWrap/>
            <w:vAlign w:val="center"/>
          </w:tcPr>
          <w:p w14:paraId="083750B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底漆、面漆涂装</w:t>
            </w:r>
          </w:p>
        </w:tc>
      </w:tr>
      <w:tr w14:paraId="212246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04" w:type="pct"/>
            <w:vMerge w:val="continue"/>
            <w:tcBorders>
              <w:tl2br w:val="nil"/>
              <w:tr2bl w:val="nil"/>
            </w:tcBorders>
            <w:shd w:val="clear" w:color="auto" w:fill="FFFFFF"/>
            <w:noWrap/>
            <w:vAlign w:val="center"/>
          </w:tcPr>
          <w:p w14:paraId="44FBBEB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p>
        </w:tc>
        <w:tc>
          <w:tcPr>
            <w:tcW w:w="398" w:type="pct"/>
            <w:tcBorders>
              <w:tl2br w:val="nil"/>
              <w:tr2bl w:val="nil"/>
            </w:tcBorders>
            <w:shd w:val="clear" w:color="auto" w:fill="FFFFFF"/>
            <w:noWrap/>
            <w:vAlign w:val="center"/>
          </w:tcPr>
          <w:p w14:paraId="6714385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eastAsia" w:cs="Times New Roman"/>
                <w:b w:val="0"/>
                <w:i w:val="0"/>
                <w:iCs w:val="0"/>
                <w:color w:val="auto"/>
                <w:sz w:val="18"/>
                <w:szCs w:val="18"/>
                <w:highlight w:val="none"/>
                <w:u w:val="none"/>
                <w:lang w:val="en-US" w:eastAsia="zh-CN"/>
              </w:rPr>
              <w:t>C38</w:t>
            </w:r>
          </w:p>
        </w:tc>
        <w:tc>
          <w:tcPr>
            <w:tcW w:w="980" w:type="pct"/>
            <w:tcBorders>
              <w:tl2br w:val="nil"/>
              <w:tr2bl w:val="nil"/>
            </w:tcBorders>
            <w:shd w:val="clear" w:color="auto" w:fill="FFFFFF"/>
            <w:noWrap/>
            <w:vAlign w:val="center"/>
          </w:tcPr>
          <w:p w14:paraId="25C7046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color w:val="auto"/>
                <w:kern w:val="2"/>
                <w:sz w:val="18"/>
                <w:szCs w:val="18"/>
                <w:highlight w:val="none"/>
                <w:lang w:val="en-US" w:eastAsia="zh-CN" w:bidi="ar-SA"/>
              </w:rPr>
            </w:pPr>
            <w:r>
              <w:rPr>
                <w:rFonts w:hint="default" w:ascii="Times New Roman" w:hAnsi="Times New Roman" w:cs="Times New Roman"/>
                <w:b w:val="0"/>
                <w:color w:val="auto"/>
                <w:sz w:val="18"/>
                <w:szCs w:val="18"/>
                <w:highlight w:val="none"/>
                <w:lang w:val="en-US" w:eastAsia="zh-CN"/>
              </w:rPr>
              <w:t>锂离子电池制造</w:t>
            </w:r>
          </w:p>
        </w:tc>
        <w:tc>
          <w:tcPr>
            <w:tcW w:w="554" w:type="pct"/>
            <w:tcBorders>
              <w:tl2br w:val="nil"/>
              <w:tr2bl w:val="nil"/>
            </w:tcBorders>
            <w:shd w:val="clear" w:color="auto" w:fill="FFFFFF"/>
            <w:noWrap/>
            <w:vAlign w:val="center"/>
          </w:tcPr>
          <w:p w14:paraId="2CF5E10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eastAsia" w:cs="Times New Roman"/>
                <w:b w:val="0"/>
                <w:i w:val="0"/>
                <w:iCs w:val="0"/>
                <w:color w:val="auto"/>
                <w:sz w:val="18"/>
                <w:szCs w:val="18"/>
                <w:highlight w:val="none"/>
                <w:u w:val="none"/>
                <w:lang w:val="en-US" w:eastAsia="zh-CN"/>
              </w:rPr>
              <w:t>1</w:t>
            </w:r>
          </w:p>
        </w:tc>
        <w:tc>
          <w:tcPr>
            <w:tcW w:w="541" w:type="pct"/>
            <w:tcBorders>
              <w:tl2br w:val="nil"/>
              <w:tr2bl w:val="nil"/>
            </w:tcBorders>
            <w:shd w:val="clear" w:color="auto" w:fill="FFFFFF"/>
            <w:noWrap/>
            <w:vAlign w:val="center"/>
          </w:tcPr>
          <w:p w14:paraId="3B23BAC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eastAsia" w:cs="Times New Roman"/>
                <w:b w:val="0"/>
                <w:i w:val="0"/>
                <w:iCs w:val="0"/>
                <w:color w:val="auto"/>
                <w:sz w:val="18"/>
                <w:szCs w:val="18"/>
                <w:highlight w:val="none"/>
                <w:u w:val="none"/>
                <w:lang w:val="en-US" w:eastAsia="zh-CN"/>
              </w:rPr>
              <w:t>4</w:t>
            </w:r>
          </w:p>
        </w:tc>
        <w:tc>
          <w:tcPr>
            <w:tcW w:w="717" w:type="pct"/>
            <w:tcBorders>
              <w:tl2br w:val="nil"/>
              <w:tr2bl w:val="nil"/>
            </w:tcBorders>
            <w:shd w:val="clear" w:color="auto" w:fill="FFFFFF"/>
            <w:noWrap/>
            <w:vAlign w:val="center"/>
          </w:tcPr>
          <w:p w14:paraId="3B43B0A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auto"/>
                <w:kern w:val="2"/>
                <w:sz w:val="18"/>
                <w:szCs w:val="18"/>
                <w:highlight w:val="none"/>
                <w:lang w:val="en-US" w:eastAsia="zh-CN" w:bidi="ar-SA"/>
              </w:rPr>
            </w:pPr>
            <w:r>
              <w:rPr>
                <w:rFonts w:hint="eastAsia" w:cs="Times New Roman"/>
                <w:b w:val="0"/>
                <w:color w:val="auto"/>
                <w:sz w:val="18"/>
                <w:szCs w:val="18"/>
                <w:highlight w:val="none"/>
                <w:lang w:val="en-US" w:eastAsia="zh-CN"/>
              </w:rPr>
              <w:t>6.41～31.5</w:t>
            </w:r>
          </w:p>
        </w:tc>
        <w:tc>
          <w:tcPr>
            <w:tcW w:w="1102" w:type="pct"/>
            <w:tcBorders>
              <w:tl2br w:val="nil"/>
              <w:tr2bl w:val="nil"/>
            </w:tcBorders>
            <w:shd w:val="clear" w:color="auto" w:fill="FFFFFF"/>
            <w:noWrap/>
            <w:vAlign w:val="center"/>
          </w:tcPr>
          <w:p w14:paraId="6EDA02E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eastAsia" w:cs="Times New Roman"/>
                <w:b w:val="0"/>
                <w:i w:val="0"/>
                <w:iCs w:val="0"/>
                <w:color w:val="auto"/>
                <w:kern w:val="0"/>
                <w:sz w:val="18"/>
                <w:szCs w:val="18"/>
                <w:highlight w:val="none"/>
                <w:u w:val="none"/>
                <w:lang w:val="en-US" w:eastAsia="zh-CN" w:bidi="ar"/>
              </w:rPr>
              <w:t>/</w:t>
            </w:r>
          </w:p>
        </w:tc>
      </w:tr>
      <w:tr w14:paraId="0CF383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704" w:type="pct"/>
            <w:tcBorders>
              <w:tl2br w:val="nil"/>
              <w:tr2bl w:val="nil"/>
            </w:tcBorders>
            <w:shd w:val="clear" w:color="auto" w:fill="FFFFFF"/>
            <w:noWrap/>
            <w:vAlign w:val="center"/>
          </w:tcPr>
          <w:p w14:paraId="18FC68C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其他有机溶剂</w:t>
            </w:r>
          </w:p>
        </w:tc>
        <w:tc>
          <w:tcPr>
            <w:tcW w:w="398" w:type="pct"/>
            <w:tcBorders>
              <w:tl2br w:val="nil"/>
              <w:tr2bl w:val="nil"/>
            </w:tcBorders>
            <w:shd w:val="clear" w:color="auto" w:fill="FFFFFF"/>
            <w:noWrap/>
            <w:vAlign w:val="center"/>
          </w:tcPr>
          <w:p w14:paraId="4C3C7D4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sz w:val="18"/>
                <w:szCs w:val="18"/>
                <w:highlight w:val="none"/>
                <w:u w:val="none"/>
                <w:lang w:val="en-US" w:eastAsia="zh-CN"/>
              </w:rPr>
              <w:t>C23</w:t>
            </w:r>
          </w:p>
        </w:tc>
        <w:tc>
          <w:tcPr>
            <w:tcW w:w="980" w:type="pct"/>
            <w:tcBorders>
              <w:tl2br w:val="nil"/>
              <w:tr2bl w:val="nil"/>
            </w:tcBorders>
            <w:shd w:val="clear" w:color="auto" w:fill="FFFFFF"/>
            <w:noWrap/>
            <w:vAlign w:val="center"/>
          </w:tcPr>
          <w:p w14:paraId="6997309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color w:val="auto"/>
                <w:sz w:val="18"/>
                <w:szCs w:val="18"/>
                <w:highlight w:val="none"/>
                <w:lang w:val="en-US" w:eastAsia="zh-CN"/>
              </w:rPr>
              <w:t>包装印刷业</w:t>
            </w:r>
          </w:p>
        </w:tc>
        <w:tc>
          <w:tcPr>
            <w:tcW w:w="554" w:type="pct"/>
            <w:tcBorders>
              <w:tl2br w:val="nil"/>
              <w:tr2bl w:val="nil"/>
            </w:tcBorders>
            <w:shd w:val="clear" w:color="auto" w:fill="FFFFFF"/>
            <w:noWrap/>
            <w:vAlign w:val="center"/>
          </w:tcPr>
          <w:p w14:paraId="6BF2051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sz w:val="18"/>
                <w:szCs w:val="18"/>
                <w:highlight w:val="none"/>
                <w:u w:val="none"/>
                <w:lang w:val="en-US" w:eastAsia="zh-CN"/>
              </w:rPr>
              <w:t>2</w:t>
            </w:r>
          </w:p>
        </w:tc>
        <w:tc>
          <w:tcPr>
            <w:tcW w:w="541" w:type="pct"/>
            <w:tcBorders>
              <w:tl2br w:val="nil"/>
              <w:tr2bl w:val="nil"/>
            </w:tcBorders>
            <w:shd w:val="clear" w:color="auto" w:fill="FFFFFF"/>
            <w:noWrap/>
            <w:vAlign w:val="center"/>
          </w:tcPr>
          <w:p w14:paraId="717DC25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sz w:val="18"/>
                <w:szCs w:val="18"/>
                <w:highlight w:val="none"/>
                <w:u w:val="none"/>
                <w:lang w:val="en-US" w:eastAsia="zh-CN"/>
              </w:rPr>
              <w:t>10</w:t>
            </w:r>
          </w:p>
        </w:tc>
        <w:tc>
          <w:tcPr>
            <w:tcW w:w="717" w:type="pct"/>
            <w:tcBorders>
              <w:tl2br w:val="nil"/>
              <w:tr2bl w:val="nil"/>
            </w:tcBorders>
            <w:shd w:val="clear" w:color="auto" w:fill="FFFFFF"/>
            <w:noWrap/>
            <w:vAlign w:val="center"/>
          </w:tcPr>
          <w:p w14:paraId="47ADFAD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kern w:val="0"/>
                <w:sz w:val="18"/>
                <w:szCs w:val="18"/>
                <w:highlight w:val="none"/>
                <w:u w:val="none"/>
                <w:lang w:val="en-US" w:eastAsia="zh-CN" w:bidi="ar"/>
              </w:rPr>
              <w:t>2.1</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cs="Times New Roman"/>
                <w:b w:val="0"/>
                <w:i w:val="0"/>
                <w:iCs w:val="0"/>
                <w:color w:val="auto"/>
                <w:kern w:val="0"/>
                <w:sz w:val="18"/>
                <w:szCs w:val="18"/>
                <w:highlight w:val="none"/>
                <w:u w:val="none"/>
                <w:lang w:val="en-US" w:eastAsia="zh-CN" w:bidi="ar"/>
              </w:rPr>
              <w:t>35.3</w:t>
            </w:r>
          </w:p>
        </w:tc>
        <w:tc>
          <w:tcPr>
            <w:tcW w:w="1102" w:type="pct"/>
            <w:tcBorders>
              <w:tl2br w:val="nil"/>
              <w:tr2bl w:val="nil"/>
            </w:tcBorders>
            <w:shd w:val="clear" w:color="auto" w:fill="FFFFFF"/>
            <w:noWrap/>
            <w:vAlign w:val="center"/>
          </w:tcPr>
          <w:p w14:paraId="14C24F5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sz w:val="18"/>
                <w:szCs w:val="18"/>
                <w:highlight w:val="none"/>
                <w:u w:val="none"/>
                <w:lang w:val="en-US" w:eastAsia="zh-CN"/>
              </w:rPr>
              <w:t>油墨、调配、制版印刷</w:t>
            </w:r>
          </w:p>
        </w:tc>
      </w:tr>
      <w:tr w14:paraId="4B446D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trPr>
        <w:tc>
          <w:tcPr>
            <w:tcW w:w="704" w:type="pct"/>
            <w:vMerge w:val="restart"/>
            <w:tcBorders>
              <w:tl2br w:val="nil"/>
              <w:tr2bl w:val="nil"/>
            </w:tcBorders>
            <w:shd w:val="clear" w:color="auto" w:fill="FFFFFF"/>
            <w:noWrap/>
            <w:vAlign w:val="center"/>
          </w:tcPr>
          <w:p w14:paraId="721C195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化工行业</w:t>
            </w:r>
          </w:p>
        </w:tc>
        <w:tc>
          <w:tcPr>
            <w:tcW w:w="398" w:type="pct"/>
            <w:tcBorders>
              <w:tl2br w:val="nil"/>
              <w:tr2bl w:val="nil"/>
            </w:tcBorders>
            <w:shd w:val="clear" w:color="auto" w:fill="FFFFFF"/>
            <w:noWrap/>
            <w:vAlign w:val="center"/>
          </w:tcPr>
          <w:p w14:paraId="102CCE6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C29</w:t>
            </w:r>
          </w:p>
        </w:tc>
        <w:tc>
          <w:tcPr>
            <w:tcW w:w="980" w:type="pct"/>
            <w:tcBorders>
              <w:tl2br w:val="nil"/>
              <w:tr2bl w:val="nil"/>
            </w:tcBorders>
            <w:shd w:val="clear" w:color="auto" w:fill="FFFFFF"/>
            <w:noWrap/>
            <w:vAlign w:val="center"/>
          </w:tcPr>
          <w:p w14:paraId="4D49782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color w:val="auto"/>
                <w:sz w:val="18"/>
                <w:szCs w:val="18"/>
                <w:highlight w:val="none"/>
                <w:lang w:val="en-US" w:eastAsia="zh-CN"/>
              </w:rPr>
            </w:pPr>
            <w:r>
              <w:rPr>
                <w:rFonts w:hint="default" w:ascii="Times New Roman" w:hAnsi="Times New Roman" w:eastAsia="宋体" w:cs="Times New Roman"/>
                <w:b w:val="0"/>
                <w:color w:val="auto"/>
                <w:sz w:val="18"/>
                <w:szCs w:val="18"/>
                <w:highlight w:val="none"/>
                <w:lang w:val="en-US" w:eastAsia="zh-CN"/>
              </w:rPr>
              <w:t>橡胶和塑料制造业</w:t>
            </w:r>
          </w:p>
        </w:tc>
        <w:tc>
          <w:tcPr>
            <w:tcW w:w="554" w:type="pct"/>
            <w:tcBorders>
              <w:tl2br w:val="nil"/>
              <w:tr2bl w:val="nil"/>
            </w:tcBorders>
            <w:shd w:val="clear" w:color="auto" w:fill="FFFFFF"/>
            <w:noWrap/>
            <w:vAlign w:val="center"/>
          </w:tcPr>
          <w:p w14:paraId="40B272C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2</w:t>
            </w:r>
          </w:p>
        </w:tc>
        <w:tc>
          <w:tcPr>
            <w:tcW w:w="541" w:type="pct"/>
            <w:tcBorders>
              <w:tl2br w:val="nil"/>
              <w:tr2bl w:val="nil"/>
            </w:tcBorders>
            <w:shd w:val="clear" w:color="auto" w:fill="FFFFFF"/>
            <w:noWrap/>
            <w:vAlign w:val="center"/>
          </w:tcPr>
          <w:p w14:paraId="389047F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20</w:t>
            </w:r>
          </w:p>
        </w:tc>
        <w:tc>
          <w:tcPr>
            <w:tcW w:w="717" w:type="pct"/>
            <w:tcBorders>
              <w:tl2br w:val="nil"/>
              <w:tr2bl w:val="nil"/>
            </w:tcBorders>
            <w:shd w:val="clear" w:color="auto" w:fill="FFFFFF"/>
            <w:noWrap/>
            <w:vAlign w:val="center"/>
          </w:tcPr>
          <w:p w14:paraId="6A756F3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未检出</w:t>
            </w:r>
          </w:p>
        </w:tc>
        <w:tc>
          <w:tcPr>
            <w:tcW w:w="1102" w:type="pct"/>
            <w:tcBorders>
              <w:tl2br w:val="nil"/>
              <w:tr2bl w:val="nil"/>
            </w:tcBorders>
            <w:shd w:val="clear" w:color="auto" w:fill="FFFFFF"/>
            <w:noWrap/>
            <w:vAlign w:val="center"/>
          </w:tcPr>
          <w:p w14:paraId="33A16CD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w:t>
            </w:r>
          </w:p>
        </w:tc>
      </w:tr>
      <w:tr w14:paraId="2C02D4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trPr>
        <w:tc>
          <w:tcPr>
            <w:tcW w:w="704" w:type="pct"/>
            <w:vMerge w:val="continue"/>
            <w:tcBorders>
              <w:tl2br w:val="nil"/>
              <w:tr2bl w:val="nil"/>
            </w:tcBorders>
            <w:shd w:val="clear" w:color="auto" w:fill="FFFFFF"/>
            <w:noWrap/>
            <w:vAlign w:val="center"/>
          </w:tcPr>
          <w:p w14:paraId="1F2A1BC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p>
        </w:tc>
        <w:tc>
          <w:tcPr>
            <w:tcW w:w="398" w:type="pct"/>
            <w:tcBorders>
              <w:tl2br w:val="nil"/>
              <w:tr2bl w:val="nil"/>
            </w:tcBorders>
            <w:shd w:val="clear" w:color="auto" w:fill="FFFFFF"/>
            <w:noWrap/>
            <w:vAlign w:val="center"/>
          </w:tcPr>
          <w:p w14:paraId="655246C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C26</w:t>
            </w:r>
          </w:p>
        </w:tc>
        <w:tc>
          <w:tcPr>
            <w:tcW w:w="980" w:type="pct"/>
            <w:tcBorders>
              <w:tl2br w:val="nil"/>
              <w:tr2bl w:val="nil"/>
            </w:tcBorders>
            <w:shd w:val="clear" w:color="auto" w:fill="FFFFFF"/>
            <w:noWrap/>
            <w:vAlign w:val="center"/>
          </w:tcPr>
          <w:p w14:paraId="1F16A21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color w:val="auto"/>
                <w:kern w:val="2"/>
                <w:sz w:val="18"/>
                <w:szCs w:val="18"/>
                <w:highlight w:val="none"/>
                <w:lang w:val="en-US" w:eastAsia="zh-CN" w:bidi="ar-SA"/>
              </w:rPr>
            </w:pPr>
            <w:r>
              <w:rPr>
                <w:rFonts w:hint="default" w:ascii="Times New Roman" w:hAnsi="Times New Roman" w:eastAsia="宋体" w:cs="Times New Roman"/>
                <w:b w:val="0"/>
                <w:color w:val="auto"/>
                <w:sz w:val="18"/>
                <w:szCs w:val="18"/>
                <w:highlight w:val="none"/>
                <w:lang w:val="en-US" w:eastAsia="zh-CN"/>
              </w:rPr>
              <w:t>化学原料和化学制品制造业</w:t>
            </w:r>
          </w:p>
        </w:tc>
        <w:tc>
          <w:tcPr>
            <w:tcW w:w="554" w:type="pct"/>
            <w:tcBorders>
              <w:tl2br w:val="nil"/>
              <w:tr2bl w:val="nil"/>
            </w:tcBorders>
            <w:shd w:val="clear" w:color="auto" w:fill="FFFFFF"/>
            <w:noWrap/>
            <w:vAlign w:val="center"/>
          </w:tcPr>
          <w:p w14:paraId="2B6D281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6</w:t>
            </w:r>
          </w:p>
        </w:tc>
        <w:tc>
          <w:tcPr>
            <w:tcW w:w="541" w:type="pct"/>
            <w:tcBorders>
              <w:tl2br w:val="nil"/>
              <w:tr2bl w:val="nil"/>
            </w:tcBorders>
            <w:shd w:val="clear" w:color="auto" w:fill="FFFFFF"/>
            <w:noWrap/>
            <w:vAlign w:val="center"/>
          </w:tcPr>
          <w:p w14:paraId="28A49D3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85</w:t>
            </w:r>
          </w:p>
        </w:tc>
        <w:tc>
          <w:tcPr>
            <w:tcW w:w="717" w:type="pct"/>
            <w:tcBorders>
              <w:tl2br w:val="nil"/>
              <w:tr2bl w:val="nil"/>
            </w:tcBorders>
            <w:shd w:val="clear" w:color="auto" w:fill="FFFFFF"/>
            <w:noWrap/>
            <w:vAlign w:val="center"/>
          </w:tcPr>
          <w:p w14:paraId="66397DF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1.05</w:t>
            </w:r>
            <w:r>
              <w:rPr>
                <w:rFonts w:hint="eastAsia" w:cs="Times New Roman"/>
                <w:b w:val="0"/>
                <w:i w:val="0"/>
                <w:iCs w:val="0"/>
                <w:color w:val="auto"/>
                <w:sz w:val="18"/>
                <w:szCs w:val="18"/>
                <w:highlight w:val="none"/>
                <w:u w:val="none"/>
                <w:lang w:val="en-US" w:eastAsia="zh-CN"/>
              </w:rPr>
              <w:t>～</w:t>
            </w:r>
            <w:r>
              <w:rPr>
                <w:rFonts w:hint="default" w:ascii="Times New Roman" w:hAnsi="Times New Roman" w:cs="Times New Roman"/>
                <w:b w:val="0"/>
                <w:i w:val="0"/>
                <w:iCs w:val="0"/>
                <w:color w:val="auto"/>
                <w:sz w:val="18"/>
                <w:szCs w:val="18"/>
                <w:highlight w:val="none"/>
                <w:u w:val="none"/>
                <w:lang w:val="en-US" w:eastAsia="zh-CN"/>
              </w:rPr>
              <w:t>44.5</w:t>
            </w:r>
          </w:p>
        </w:tc>
        <w:tc>
          <w:tcPr>
            <w:tcW w:w="1102" w:type="pct"/>
            <w:tcBorders>
              <w:tl2br w:val="nil"/>
              <w:tr2bl w:val="nil"/>
            </w:tcBorders>
            <w:shd w:val="clear" w:color="auto" w:fill="FFFFFF"/>
            <w:noWrap/>
            <w:vAlign w:val="center"/>
          </w:tcPr>
          <w:p w14:paraId="30C0928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w:t>
            </w:r>
          </w:p>
        </w:tc>
      </w:tr>
      <w:tr w14:paraId="5C6BF9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704" w:type="pct"/>
            <w:tcBorders>
              <w:tl2br w:val="nil"/>
              <w:tr2bl w:val="nil"/>
            </w:tcBorders>
            <w:shd w:val="clear" w:color="auto" w:fill="FFFFFF"/>
            <w:noWrap/>
            <w:vAlign w:val="center"/>
          </w:tcPr>
          <w:p w14:paraId="0E16562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合计</w:t>
            </w:r>
          </w:p>
        </w:tc>
        <w:tc>
          <w:tcPr>
            <w:tcW w:w="1379" w:type="pct"/>
            <w:gridSpan w:val="2"/>
            <w:tcBorders>
              <w:tl2br w:val="nil"/>
              <w:tr2bl w:val="nil"/>
            </w:tcBorders>
            <w:shd w:val="clear" w:color="auto" w:fill="FFFFFF"/>
            <w:noWrap/>
            <w:vAlign w:val="center"/>
          </w:tcPr>
          <w:p w14:paraId="654C777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eastAsia" w:cs="Times New Roman"/>
                <w:b w:val="0"/>
                <w:i w:val="0"/>
                <w:iCs w:val="0"/>
                <w:color w:val="auto"/>
                <w:kern w:val="0"/>
                <w:sz w:val="18"/>
                <w:szCs w:val="18"/>
                <w:highlight w:val="none"/>
                <w:u w:val="none"/>
                <w:lang w:val="en-US" w:eastAsia="zh-CN" w:bidi="ar"/>
              </w:rPr>
              <w:t>5</w:t>
            </w:r>
          </w:p>
        </w:tc>
        <w:tc>
          <w:tcPr>
            <w:tcW w:w="554" w:type="pct"/>
            <w:tcBorders>
              <w:tl2br w:val="nil"/>
              <w:tr2bl w:val="nil"/>
            </w:tcBorders>
            <w:shd w:val="clear" w:color="auto" w:fill="FFFFFF"/>
            <w:noWrap/>
            <w:vAlign w:val="center"/>
          </w:tcPr>
          <w:p w14:paraId="5EB9AC5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18</w:t>
            </w:r>
          </w:p>
        </w:tc>
        <w:tc>
          <w:tcPr>
            <w:tcW w:w="541" w:type="pct"/>
            <w:tcBorders>
              <w:tl2br w:val="nil"/>
              <w:tr2bl w:val="nil"/>
            </w:tcBorders>
            <w:shd w:val="clear" w:color="auto" w:fill="FFFFFF"/>
            <w:noWrap/>
            <w:vAlign w:val="center"/>
          </w:tcPr>
          <w:p w14:paraId="5DA130E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13</w:t>
            </w:r>
            <w:r>
              <w:rPr>
                <w:rFonts w:hint="eastAsia" w:cs="Times New Roman"/>
                <w:b w:val="0"/>
                <w:i w:val="0"/>
                <w:iCs w:val="0"/>
                <w:color w:val="auto"/>
                <w:sz w:val="18"/>
                <w:szCs w:val="18"/>
                <w:highlight w:val="none"/>
                <w:u w:val="none"/>
                <w:lang w:val="en-US" w:eastAsia="zh-CN"/>
              </w:rPr>
              <w:t>6</w:t>
            </w:r>
          </w:p>
        </w:tc>
        <w:tc>
          <w:tcPr>
            <w:tcW w:w="717" w:type="pct"/>
            <w:tcBorders>
              <w:tl2br w:val="nil"/>
              <w:tr2bl w:val="nil"/>
            </w:tcBorders>
            <w:shd w:val="clear" w:color="auto" w:fill="FFFFFF"/>
            <w:noWrap/>
            <w:vAlign w:val="center"/>
          </w:tcPr>
          <w:p w14:paraId="71B6B06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0</w:t>
            </w:r>
            <w:r>
              <w:rPr>
                <w:rFonts w:hint="eastAsia" w:cs="Times New Roman"/>
                <w:b w:val="0"/>
                <w:i w:val="0"/>
                <w:iCs w:val="0"/>
                <w:color w:val="auto"/>
                <w:sz w:val="18"/>
                <w:szCs w:val="18"/>
                <w:highlight w:val="none"/>
                <w:u w:val="none"/>
                <w:lang w:val="en-US" w:eastAsia="zh-CN"/>
              </w:rPr>
              <w:t>～</w:t>
            </w:r>
            <w:r>
              <w:rPr>
                <w:rFonts w:hint="default" w:ascii="Times New Roman" w:hAnsi="Times New Roman" w:cs="Times New Roman"/>
                <w:b w:val="0"/>
                <w:i w:val="0"/>
                <w:iCs w:val="0"/>
                <w:color w:val="auto"/>
                <w:sz w:val="18"/>
                <w:szCs w:val="18"/>
                <w:highlight w:val="none"/>
                <w:u w:val="none"/>
                <w:lang w:val="en-US" w:eastAsia="zh-CN"/>
              </w:rPr>
              <w:t>44.5</w:t>
            </w:r>
          </w:p>
        </w:tc>
        <w:tc>
          <w:tcPr>
            <w:tcW w:w="1102" w:type="pct"/>
            <w:tcBorders>
              <w:tl2br w:val="nil"/>
              <w:tr2bl w:val="nil"/>
            </w:tcBorders>
            <w:shd w:val="clear" w:color="auto" w:fill="FFFFFF"/>
            <w:noWrap/>
            <w:vAlign w:val="bottom"/>
          </w:tcPr>
          <w:p w14:paraId="70B99BC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w:t>
            </w:r>
          </w:p>
        </w:tc>
      </w:tr>
    </w:tbl>
    <w:p w14:paraId="6DCFF32B">
      <w:pPr>
        <w:shd w:val="clear"/>
        <w:bidi w:val="0"/>
        <w:rPr>
          <w:rFonts w:hint="default"/>
          <w:color w:val="auto"/>
          <w:highlight w:val="none"/>
          <w:lang w:val="en-US" w:eastAsia="zh-CN"/>
        </w:rPr>
      </w:pPr>
    </w:p>
    <w:p w14:paraId="1208BC24">
      <w:pPr>
        <w:pStyle w:val="129"/>
        <w:shd w:val="clear"/>
        <w:bidi w:val="0"/>
        <w:outlineLvl w:val="4"/>
        <w:rPr>
          <w:rFonts w:hint="default"/>
          <w:lang w:val="en-US" w:eastAsia="zh-CN"/>
        </w:rPr>
      </w:pPr>
      <w:bookmarkStart w:id="120" w:name="_Ref6182"/>
      <w:r>
        <w:t>表</w:t>
      </w:r>
      <w:r>
        <w:fldChar w:fldCharType="begin"/>
      </w:r>
      <w:r>
        <w:instrText xml:space="preserve"> SEQ 表 \* ARABIC </w:instrText>
      </w:r>
      <w:r>
        <w:fldChar w:fldCharType="separate"/>
      </w:r>
      <w:r>
        <w:rPr>
          <w:rFonts w:ascii="Times New Roman" w:hAnsi="Times New Roman" w:cs="Times New Roman"/>
        </w:rPr>
        <w:t>18</w:t>
      </w:r>
      <w:r>
        <w:fldChar w:fldCharType="end"/>
      </w:r>
      <w:bookmarkEnd w:id="120"/>
      <w:r>
        <w:rPr>
          <w:rFonts w:hint="default"/>
          <w:lang w:val="en-US" w:eastAsia="zh-CN"/>
        </w:rPr>
        <w:t xml:space="preserve"> 挥发性有机物的有组织监测数据分布情况</w:t>
      </w:r>
    </w:p>
    <w:tbl>
      <w:tblPr>
        <w:tblStyle w:val="34"/>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303"/>
        <w:gridCol w:w="875"/>
        <w:gridCol w:w="2099"/>
        <w:gridCol w:w="772"/>
        <w:gridCol w:w="835"/>
        <w:gridCol w:w="1318"/>
        <w:gridCol w:w="2038"/>
      </w:tblGrid>
      <w:tr w14:paraId="1FB31F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3" w:hRule="atLeast"/>
          <w:tblHeader/>
          <w:jc w:val="center"/>
        </w:trPr>
        <w:tc>
          <w:tcPr>
            <w:tcW w:w="2314" w:type="pct"/>
            <w:gridSpan w:val="3"/>
            <w:tcBorders>
              <w:tl2br w:val="nil"/>
              <w:tr2bl w:val="nil"/>
            </w:tcBorders>
            <w:shd w:val="clear" w:color="auto" w:fill="FFFFFF"/>
            <w:noWrap/>
            <w:vAlign w:val="center"/>
          </w:tcPr>
          <w:p w14:paraId="2E5F96C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行业基本情况</w:t>
            </w:r>
          </w:p>
        </w:tc>
        <w:tc>
          <w:tcPr>
            <w:tcW w:w="417" w:type="pct"/>
            <w:vMerge w:val="restart"/>
            <w:tcBorders>
              <w:tl2br w:val="nil"/>
              <w:tr2bl w:val="nil"/>
            </w:tcBorders>
            <w:shd w:val="clear" w:color="auto" w:fill="FFFFFF"/>
            <w:noWrap/>
            <w:vAlign w:val="center"/>
          </w:tcPr>
          <w:p w14:paraId="5E709C4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企业数量</w:t>
            </w:r>
          </w:p>
        </w:tc>
        <w:tc>
          <w:tcPr>
            <w:tcW w:w="451" w:type="pct"/>
            <w:vMerge w:val="restart"/>
            <w:tcBorders>
              <w:tl2br w:val="nil"/>
              <w:tr2bl w:val="nil"/>
            </w:tcBorders>
            <w:shd w:val="clear" w:color="auto" w:fill="FFFFFF"/>
            <w:noWrap/>
            <w:vAlign w:val="center"/>
          </w:tcPr>
          <w:p w14:paraId="627CA85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监测数据</w:t>
            </w:r>
          </w:p>
        </w:tc>
        <w:tc>
          <w:tcPr>
            <w:tcW w:w="713" w:type="pct"/>
            <w:vMerge w:val="restart"/>
            <w:tcBorders>
              <w:tl2br w:val="nil"/>
              <w:tr2bl w:val="nil"/>
            </w:tcBorders>
            <w:shd w:val="clear" w:color="auto" w:fill="FFFFFF"/>
            <w:noWrap/>
            <w:vAlign w:val="center"/>
          </w:tcPr>
          <w:p w14:paraId="02FF8B9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浓度范围</w:t>
            </w:r>
            <w:r>
              <w:rPr>
                <w:rFonts w:hint="default" w:ascii="Times New Roman" w:hAnsi="Times New Roman" w:eastAsia="宋体" w:cs="Times New Roman"/>
                <w:b w:val="0"/>
                <w:i w:val="0"/>
                <w:iCs w:val="0"/>
                <w:color w:val="auto"/>
                <w:kern w:val="0"/>
                <w:sz w:val="18"/>
                <w:szCs w:val="18"/>
                <w:highlight w:val="none"/>
                <w:u w:val="none"/>
                <w:lang w:val="en-US" w:eastAsia="zh-CN" w:bidi="ar"/>
              </w:rPr>
              <w:br w:type="textWrapping"/>
            </w:r>
            <w:r>
              <w:rPr>
                <w:rFonts w:hint="default" w:ascii="Times New Roman" w:hAnsi="Times New Roman" w:eastAsia="宋体" w:cs="Times New Roman"/>
                <w:b w:val="0"/>
                <w:i w:val="0"/>
                <w:iCs w:val="0"/>
                <w:color w:val="auto"/>
                <w:kern w:val="0"/>
                <w:sz w:val="18"/>
                <w:szCs w:val="18"/>
                <w:highlight w:val="none"/>
                <w:u w:val="none"/>
                <w:lang w:val="en-US" w:eastAsia="zh-CN" w:bidi="ar"/>
              </w:rPr>
              <w:t>（mg/m</w:t>
            </w:r>
            <w:r>
              <w:rPr>
                <w:rFonts w:hint="default" w:ascii="Times New Roman" w:hAnsi="Times New Roman" w:eastAsia="宋体" w:cs="Times New Roman"/>
                <w:b w:val="0"/>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b w:val="0"/>
                <w:i w:val="0"/>
                <w:iCs w:val="0"/>
                <w:color w:val="auto"/>
                <w:kern w:val="0"/>
                <w:sz w:val="18"/>
                <w:szCs w:val="18"/>
                <w:highlight w:val="none"/>
                <w:u w:val="none"/>
                <w:lang w:val="en-US" w:eastAsia="zh-CN" w:bidi="ar"/>
              </w:rPr>
              <w:t>）</w:t>
            </w:r>
          </w:p>
        </w:tc>
        <w:tc>
          <w:tcPr>
            <w:tcW w:w="1102" w:type="pct"/>
            <w:vMerge w:val="restart"/>
            <w:tcBorders>
              <w:tl2br w:val="nil"/>
              <w:tr2bl w:val="nil"/>
            </w:tcBorders>
            <w:shd w:val="clear" w:color="auto" w:fill="FFFFFF"/>
            <w:noWrap/>
            <w:vAlign w:val="center"/>
          </w:tcPr>
          <w:p w14:paraId="27C841A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涉及设备\工艺</w:t>
            </w:r>
          </w:p>
        </w:tc>
      </w:tr>
      <w:tr w14:paraId="7CFE04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1" w:hRule="atLeast"/>
          <w:tblHeader/>
          <w:jc w:val="center"/>
        </w:trPr>
        <w:tc>
          <w:tcPr>
            <w:tcW w:w="705" w:type="pct"/>
            <w:tcBorders>
              <w:tl2br w:val="nil"/>
              <w:tr2bl w:val="nil"/>
            </w:tcBorders>
            <w:shd w:val="clear" w:color="auto" w:fill="FFFFFF"/>
            <w:noWrap/>
            <w:vAlign w:val="center"/>
          </w:tcPr>
          <w:p w14:paraId="36B24FC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分类</w:t>
            </w:r>
          </w:p>
        </w:tc>
        <w:tc>
          <w:tcPr>
            <w:tcW w:w="473" w:type="pct"/>
            <w:tcBorders>
              <w:tl2br w:val="nil"/>
              <w:tr2bl w:val="nil"/>
            </w:tcBorders>
            <w:shd w:val="clear" w:color="auto" w:fill="FFFFFF"/>
            <w:noWrap/>
            <w:vAlign w:val="center"/>
          </w:tcPr>
          <w:p w14:paraId="2D51F22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编码</w:t>
            </w:r>
          </w:p>
        </w:tc>
        <w:tc>
          <w:tcPr>
            <w:tcW w:w="1135" w:type="pct"/>
            <w:tcBorders>
              <w:tl2br w:val="nil"/>
              <w:tr2bl w:val="nil"/>
            </w:tcBorders>
            <w:shd w:val="clear" w:color="auto" w:fill="FFFFFF"/>
            <w:noWrap/>
            <w:vAlign w:val="center"/>
          </w:tcPr>
          <w:p w14:paraId="7E2AA40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名称</w:t>
            </w:r>
          </w:p>
        </w:tc>
        <w:tc>
          <w:tcPr>
            <w:tcW w:w="417" w:type="pct"/>
            <w:vMerge w:val="continue"/>
            <w:tcBorders>
              <w:tl2br w:val="nil"/>
              <w:tr2bl w:val="nil"/>
            </w:tcBorders>
            <w:shd w:val="clear" w:color="auto" w:fill="FFFFFF"/>
            <w:noWrap/>
            <w:vAlign w:val="center"/>
          </w:tcPr>
          <w:p w14:paraId="43BCC9D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451" w:type="pct"/>
            <w:vMerge w:val="continue"/>
            <w:tcBorders>
              <w:tl2br w:val="nil"/>
              <w:tr2bl w:val="nil"/>
            </w:tcBorders>
            <w:shd w:val="clear" w:color="auto" w:fill="FFFFFF"/>
            <w:noWrap/>
            <w:vAlign w:val="center"/>
          </w:tcPr>
          <w:p w14:paraId="61264C3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713" w:type="pct"/>
            <w:vMerge w:val="continue"/>
            <w:tcBorders>
              <w:tl2br w:val="nil"/>
              <w:tr2bl w:val="nil"/>
            </w:tcBorders>
            <w:shd w:val="clear" w:color="auto" w:fill="FFFFFF"/>
            <w:noWrap/>
            <w:vAlign w:val="center"/>
          </w:tcPr>
          <w:p w14:paraId="3DFF5E4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1102" w:type="pct"/>
            <w:vMerge w:val="continue"/>
            <w:tcBorders>
              <w:tl2br w:val="nil"/>
              <w:tr2bl w:val="nil"/>
            </w:tcBorders>
            <w:shd w:val="clear" w:color="auto" w:fill="FFFFFF"/>
            <w:noWrap/>
            <w:vAlign w:val="center"/>
          </w:tcPr>
          <w:p w14:paraId="32A36BC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r>
      <w:tr w14:paraId="18C3BF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705" w:type="pct"/>
            <w:vMerge w:val="restart"/>
            <w:tcBorders>
              <w:tl2br w:val="nil"/>
              <w:tr2bl w:val="nil"/>
            </w:tcBorders>
            <w:shd w:val="clear" w:color="auto" w:fill="FFFFFF"/>
            <w:noWrap/>
            <w:vAlign w:val="center"/>
          </w:tcPr>
          <w:p w14:paraId="399FE35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工业涂装</w:t>
            </w:r>
          </w:p>
        </w:tc>
        <w:tc>
          <w:tcPr>
            <w:tcW w:w="473" w:type="pct"/>
            <w:tcBorders>
              <w:tl2br w:val="nil"/>
              <w:tr2bl w:val="nil"/>
            </w:tcBorders>
            <w:shd w:val="clear" w:color="auto" w:fill="FFFFFF"/>
            <w:noWrap/>
            <w:vAlign w:val="center"/>
          </w:tcPr>
          <w:p w14:paraId="06ED404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C21</w:t>
            </w:r>
          </w:p>
        </w:tc>
        <w:tc>
          <w:tcPr>
            <w:tcW w:w="1135" w:type="pct"/>
            <w:tcBorders>
              <w:tl2br w:val="nil"/>
              <w:tr2bl w:val="nil"/>
            </w:tcBorders>
            <w:shd w:val="clear" w:color="auto" w:fill="FFFFFF"/>
            <w:noWrap/>
            <w:vAlign w:val="center"/>
          </w:tcPr>
          <w:p w14:paraId="6211AAD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color w:val="auto"/>
                <w:sz w:val="18"/>
                <w:szCs w:val="18"/>
                <w:highlight w:val="none"/>
                <w:lang w:val="en-US" w:eastAsia="zh-CN"/>
              </w:rPr>
              <w:t>家具制造业</w:t>
            </w:r>
          </w:p>
        </w:tc>
        <w:tc>
          <w:tcPr>
            <w:tcW w:w="417" w:type="pct"/>
            <w:tcBorders>
              <w:tl2br w:val="nil"/>
              <w:tr2bl w:val="nil"/>
            </w:tcBorders>
            <w:shd w:val="clear" w:color="auto" w:fill="FFFFFF"/>
            <w:noWrap/>
            <w:vAlign w:val="center"/>
          </w:tcPr>
          <w:p w14:paraId="5B8BE9E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1</w:t>
            </w:r>
          </w:p>
        </w:tc>
        <w:tc>
          <w:tcPr>
            <w:tcW w:w="451" w:type="pct"/>
            <w:tcBorders>
              <w:tl2br w:val="nil"/>
              <w:tr2bl w:val="nil"/>
            </w:tcBorders>
            <w:shd w:val="clear" w:color="auto" w:fill="FFFFFF"/>
            <w:noWrap/>
            <w:vAlign w:val="center"/>
          </w:tcPr>
          <w:p w14:paraId="0FD102A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2</w:t>
            </w:r>
          </w:p>
        </w:tc>
        <w:tc>
          <w:tcPr>
            <w:tcW w:w="713" w:type="pct"/>
            <w:tcBorders>
              <w:tl2br w:val="nil"/>
              <w:tr2bl w:val="nil"/>
            </w:tcBorders>
            <w:shd w:val="clear" w:color="auto" w:fill="FFFFFF"/>
            <w:noWrap/>
            <w:vAlign w:val="center"/>
          </w:tcPr>
          <w:p w14:paraId="7C33CEE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8.89</w:t>
            </w:r>
          </w:p>
        </w:tc>
        <w:tc>
          <w:tcPr>
            <w:tcW w:w="1102" w:type="pct"/>
            <w:tcBorders>
              <w:tl2br w:val="nil"/>
              <w:tr2bl w:val="nil"/>
            </w:tcBorders>
            <w:shd w:val="clear" w:color="auto" w:fill="FFFFFF"/>
            <w:noWrap/>
            <w:vAlign w:val="center"/>
          </w:tcPr>
          <w:p w14:paraId="2D38891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调漆、喷漆</w:t>
            </w:r>
          </w:p>
        </w:tc>
      </w:tr>
      <w:tr w14:paraId="6D5CBB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705" w:type="pct"/>
            <w:vMerge w:val="continue"/>
            <w:tcBorders>
              <w:tl2br w:val="nil"/>
              <w:tr2bl w:val="nil"/>
            </w:tcBorders>
            <w:shd w:val="clear" w:color="auto" w:fill="FFFFFF"/>
            <w:noWrap/>
            <w:vAlign w:val="center"/>
          </w:tcPr>
          <w:p w14:paraId="6B4E16F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p>
        </w:tc>
        <w:tc>
          <w:tcPr>
            <w:tcW w:w="473" w:type="pct"/>
            <w:tcBorders>
              <w:tl2br w:val="nil"/>
              <w:tr2bl w:val="nil"/>
            </w:tcBorders>
            <w:shd w:val="clear" w:color="auto" w:fill="FFFFFF"/>
            <w:noWrap/>
            <w:vAlign w:val="center"/>
          </w:tcPr>
          <w:p w14:paraId="66631F1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C34</w:t>
            </w:r>
          </w:p>
        </w:tc>
        <w:tc>
          <w:tcPr>
            <w:tcW w:w="1135" w:type="pct"/>
            <w:tcBorders>
              <w:tl2br w:val="nil"/>
              <w:tr2bl w:val="nil"/>
            </w:tcBorders>
            <w:shd w:val="clear" w:color="auto" w:fill="FFFFFF"/>
            <w:noWrap/>
            <w:vAlign w:val="center"/>
          </w:tcPr>
          <w:p w14:paraId="7AD44A4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color w:val="auto"/>
                <w:sz w:val="18"/>
                <w:szCs w:val="18"/>
                <w:highlight w:val="none"/>
                <w:lang w:val="en-US" w:eastAsia="zh-CN"/>
              </w:rPr>
            </w:pPr>
            <w:r>
              <w:rPr>
                <w:rFonts w:hint="default" w:ascii="Times New Roman" w:hAnsi="Times New Roman" w:eastAsia="宋体" w:cs="Times New Roman"/>
                <w:b w:val="0"/>
                <w:color w:val="auto"/>
                <w:sz w:val="18"/>
                <w:szCs w:val="18"/>
                <w:highlight w:val="none"/>
                <w:lang w:val="en-US" w:eastAsia="zh-CN"/>
              </w:rPr>
              <w:t>轴承、齿轮和传动部件制造</w:t>
            </w:r>
          </w:p>
        </w:tc>
        <w:tc>
          <w:tcPr>
            <w:tcW w:w="417" w:type="pct"/>
            <w:tcBorders>
              <w:tl2br w:val="nil"/>
              <w:tr2bl w:val="nil"/>
            </w:tcBorders>
            <w:shd w:val="clear" w:color="auto" w:fill="FFFFFF"/>
            <w:noWrap/>
            <w:vAlign w:val="center"/>
          </w:tcPr>
          <w:p w14:paraId="273F803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1</w:t>
            </w:r>
          </w:p>
        </w:tc>
        <w:tc>
          <w:tcPr>
            <w:tcW w:w="451" w:type="pct"/>
            <w:tcBorders>
              <w:tl2br w:val="nil"/>
              <w:tr2bl w:val="nil"/>
            </w:tcBorders>
            <w:shd w:val="clear" w:color="auto" w:fill="FFFFFF"/>
            <w:noWrap/>
            <w:vAlign w:val="center"/>
          </w:tcPr>
          <w:p w14:paraId="352D464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3</w:t>
            </w:r>
          </w:p>
        </w:tc>
        <w:tc>
          <w:tcPr>
            <w:tcW w:w="713" w:type="pct"/>
            <w:tcBorders>
              <w:tl2br w:val="nil"/>
              <w:tr2bl w:val="nil"/>
            </w:tcBorders>
            <w:shd w:val="clear" w:color="auto" w:fill="FFFFFF"/>
            <w:noWrap/>
            <w:vAlign w:val="center"/>
          </w:tcPr>
          <w:p w14:paraId="6EDF6FC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1.35～1.90</w:t>
            </w:r>
          </w:p>
        </w:tc>
        <w:tc>
          <w:tcPr>
            <w:tcW w:w="1102" w:type="pct"/>
            <w:tcBorders>
              <w:tl2br w:val="nil"/>
              <w:tr2bl w:val="nil"/>
            </w:tcBorders>
            <w:shd w:val="clear" w:color="auto" w:fill="FFFFFF"/>
            <w:noWrap/>
            <w:vAlign w:val="center"/>
          </w:tcPr>
          <w:p w14:paraId="1B80C8F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eastAsia" w:cs="Times New Roman"/>
                <w:b w:val="0"/>
                <w:i w:val="0"/>
                <w:iCs w:val="0"/>
                <w:color w:val="auto"/>
                <w:kern w:val="0"/>
                <w:sz w:val="18"/>
                <w:szCs w:val="18"/>
                <w:highlight w:val="none"/>
                <w:u w:val="none"/>
                <w:lang w:val="en-US" w:eastAsia="zh-CN" w:bidi="ar"/>
              </w:rPr>
              <w:t>/</w:t>
            </w:r>
          </w:p>
        </w:tc>
      </w:tr>
      <w:tr w14:paraId="28B01D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7" w:hRule="atLeast"/>
          <w:jc w:val="center"/>
        </w:trPr>
        <w:tc>
          <w:tcPr>
            <w:tcW w:w="705" w:type="pct"/>
            <w:vMerge w:val="continue"/>
            <w:tcBorders>
              <w:tl2br w:val="nil"/>
              <w:tr2bl w:val="nil"/>
            </w:tcBorders>
            <w:shd w:val="clear" w:color="auto" w:fill="FFFFFF"/>
            <w:noWrap/>
            <w:vAlign w:val="center"/>
          </w:tcPr>
          <w:p w14:paraId="2B8E804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p>
        </w:tc>
        <w:tc>
          <w:tcPr>
            <w:tcW w:w="473" w:type="pct"/>
            <w:tcBorders>
              <w:tl2br w:val="nil"/>
              <w:tr2bl w:val="nil"/>
            </w:tcBorders>
            <w:shd w:val="clear" w:color="auto" w:fill="FFFFFF"/>
            <w:noWrap/>
            <w:vAlign w:val="center"/>
          </w:tcPr>
          <w:p w14:paraId="35F7143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C36</w:t>
            </w:r>
          </w:p>
        </w:tc>
        <w:tc>
          <w:tcPr>
            <w:tcW w:w="1135" w:type="pct"/>
            <w:tcBorders>
              <w:tl2br w:val="nil"/>
              <w:tr2bl w:val="nil"/>
            </w:tcBorders>
            <w:shd w:val="clear" w:color="auto" w:fill="FFFFFF"/>
            <w:noWrap/>
            <w:vAlign w:val="center"/>
          </w:tcPr>
          <w:p w14:paraId="74E7F43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color w:val="auto"/>
                <w:sz w:val="18"/>
                <w:szCs w:val="18"/>
                <w:highlight w:val="none"/>
                <w:lang w:val="en-US" w:eastAsia="zh-CN"/>
              </w:rPr>
              <w:t>汽车制造业</w:t>
            </w:r>
          </w:p>
        </w:tc>
        <w:tc>
          <w:tcPr>
            <w:tcW w:w="417" w:type="pct"/>
            <w:tcBorders>
              <w:tl2br w:val="nil"/>
              <w:tr2bl w:val="nil"/>
            </w:tcBorders>
            <w:shd w:val="clear" w:color="auto" w:fill="FFFFFF"/>
            <w:noWrap/>
            <w:vAlign w:val="center"/>
          </w:tcPr>
          <w:p w14:paraId="6512511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8</w:t>
            </w:r>
          </w:p>
        </w:tc>
        <w:tc>
          <w:tcPr>
            <w:tcW w:w="451" w:type="pct"/>
            <w:tcBorders>
              <w:tl2br w:val="nil"/>
              <w:tr2bl w:val="nil"/>
            </w:tcBorders>
            <w:shd w:val="clear" w:color="auto" w:fill="FFFFFF"/>
            <w:noWrap/>
            <w:vAlign w:val="center"/>
          </w:tcPr>
          <w:p w14:paraId="66FEFC4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25</w:t>
            </w:r>
          </w:p>
        </w:tc>
        <w:tc>
          <w:tcPr>
            <w:tcW w:w="713" w:type="pct"/>
            <w:tcBorders>
              <w:tl2br w:val="nil"/>
              <w:tr2bl w:val="nil"/>
            </w:tcBorders>
            <w:shd w:val="clear" w:color="auto" w:fill="FFFFFF"/>
            <w:noWrap/>
            <w:vAlign w:val="center"/>
          </w:tcPr>
          <w:p w14:paraId="4E2E685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5.78</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18.2</w:t>
            </w:r>
          </w:p>
        </w:tc>
        <w:tc>
          <w:tcPr>
            <w:tcW w:w="1102" w:type="pct"/>
            <w:tcBorders>
              <w:tl2br w:val="nil"/>
              <w:tr2bl w:val="nil"/>
            </w:tcBorders>
            <w:shd w:val="clear" w:color="auto" w:fill="FFFFFF"/>
            <w:noWrap/>
            <w:vAlign w:val="center"/>
          </w:tcPr>
          <w:p w14:paraId="22E7021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底漆、面漆涂装</w:t>
            </w:r>
          </w:p>
        </w:tc>
      </w:tr>
      <w:tr w14:paraId="48C758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705" w:type="pct"/>
            <w:tcBorders>
              <w:tl2br w:val="nil"/>
              <w:tr2bl w:val="nil"/>
            </w:tcBorders>
            <w:shd w:val="clear" w:color="auto" w:fill="FFFFFF"/>
            <w:noWrap/>
            <w:vAlign w:val="center"/>
          </w:tcPr>
          <w:p w14:paraId="66B47D0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其他有机溶剂</w:t>
            </w:r>
          </w:p>
        </w:tc>
        <w:tc>
          <w:tcPr>
            <w:tcW w:w="473" w:type="pct"/>
            <w:tcBorders>
              <w:tl2br w:val="nil"/>
              <w:tr2bl w:val="nil"/>
            </w:tcBorders>
            <w:shd w:val="clear" w:color="auto" w:fill="FFFFFF"/>
            <w:noWrap/>
            <w:vAlign w:val="center"/>
          </w:tcPr>
          <w:p w14:paraId="7871241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C23</w:t>
            </w:r>
          </w:p>
        </w:tc>
        <w:tc>
          <w:tcPr>
            <w:tcW w:w="1135" w:type="pct"/>
            <w:tcBorders>
              <w:tl2br w:val="nil"/>
              <w:tr2bl w:val="nil"/>
            </w:tcBorders>
            <w:shd w:val="clear" w:color="auto" w:fill="FFFFFF"/>
            <w:noWrap/>
            <w:vAlign w:val="center"/>
          </w:tcPr>
          <w:p w14:paraId="4E4052A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color w:val="auto"/>
                <w:sz w:val="18"/>
                <w:szCs w:val="18"/>
                <w:highlight w:val="none"/>
                <w:lang w:val="en-US" w:eastAsia="zh-CN"/>
              </w:rPr>
              <w:t>包装印刷业</w:t>
            </w:r>
          </w:p>
        </w:tc>
        <w:tc>
          <w:tcPr>
            <w:tcW w:w="417" w:type="pct"/>
            <w:tcBorders>
              <w:tl2br w:val="nil"/>
              <w:tr2bl w:val="nil"/>
            </w:tcBorders>
            <w:shd w:val="clear" w:color="auto" w:fill="FFFFFF"/>
            <w:noWrap/>
            <w:vAlign w:val="center"/>
          </w:tcPr>
          <w:p w14:paraId="78C320D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7</w:t>
            </w:r>
          </w:p>
        </w:tc>
        <w:tc>
          <w:tcPr>
            <w:tcW w:w="451" w:type="pct"/>
            <w:tcBorders>
              <w:tl2br w:val="nil"/>
              <w:tr2bl w:val="nil"/>
            </w:tcBorders>
            <w:shd w:val="clear" w:color="auto" w:fill="FFFFFF"/>
            <w:noWrap/>
            <w:vAlign w:val="center"/>
          </w:tcPr>
          <w:p w14:paraId="3F48FD1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26</w:t>
            </w:r>
          </w:p>
        </w:tc>
        <w:tc>
          <w:tcPr>
            <w:tcW w:w="713" w:type="pct"/>
            <w:tcBorders>
              <w:tl2br w:val="nil"/>
              <w:tr2bl w:val="nil"/>
            </w:tcBorders>
            <w:shd w:val="clear" w:color="auto" w:fill="FFFFFF"/>
            <w:noWrap/>
            <w:vAlign w:val="center"/>
          </w:tcPr>
          <w:p w14:paraId="6D608ED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5.77</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50.5</w:t>
            </w:r>
          </w:p>
        </w:tc>
        <w:tc>
          <w:tcPr>
            <w:tcW w:w="1102" w:type="pct"/>
            <w:tcBorders>
              <w:tl2br w:val="nil"/>
              <w:tr2bl w:val="nil"/>
            </w:tcBorders>
            <w:shd w:val="clear" w:color="auto" w:fill="FFFFFF"/>
            <w:noWrap/>
            <w:vAlign w:val="center"/>
          </w:tcPr>
          <w:p w14:paraId="5E3C420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油墨、调配、制版印刷</w:t>
            </w:r>
          </w:p>
        </w:tc>
      </w:tr>
      <w:tr w14:paraId="1BA679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7" w:hRule="atLeast"/>
          <w:jc w:val="center"/>
        </w:trPr>
        <w:tc>
          <w:tcPr>
            <w:tcW w:w="705" w:type="pct"/>
            <w:vMerge w:val="restart"/>
            <w:tcBorders>
              <w:tl2br w:val="nil"/>
              <w:tr2bl w:val="nil"/>
            </w:tcBorders>
            <w:shd w:val="clear" w:color="auto" w:fill="FFFFFF"/>
            <w:noWrap/>
            <w:vAlign w:val="center"/>
          </w:tcPr>
          <w:p w14:paraId="5232E63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化工行业</w:t>
            </w:r>
          </w:p>
        </w:tc>
        <w:tc>
          <w:tcPr>
            <w:tcW w:w="473" w:type="pct"/>
            <w:tcBorders>
              <w:tl2br w:val="nil"/>
              <w:tr2bl w:val="nil"/>
            </w:tcBorders>
            <w:shd w:val="clear" w:color="auto" w:fill="FFFFFF"/>
            <w:noWrap/>
            <w:vAlign w:val="center"/>
          </w:tcPr>
          <w:p w14:paraId="55BCB66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C26</w:t>
            </w:r>
          </w:p>
        </w:tc>
        <w:tc>
          <w:tcPr>
            <w:tcW w:w="1135" w:type="pct"/>
            <w:tcBorders>
              <w:tl2br w:val="nil"/>
              <w:tr2bl w:val="nil"/>
            </w:tcBorders>
            <w:shd w:val="clear" w:color="auto" w:fill="FFFFFF"/>
            <w:noWrap/>
            <w:vAlign w:val="center"/>
          </w:tcPr>
          <w:p w14:paraId="4A4A773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color w:val="auto"/>
                <w:sz w:val="18"/>
                <w:szCs w:val="18"/>
                <w:highlight w:val="none"/>
                <w:lang w:val="en-US" w:eastAsia="zh-CN"/>
              </w:rPr>
            </w:pPr>
            <w:r>
              <w:rPr>
                <w:rFonts w:hint="default" w:ascii="Times New Roman" w:hAnsi="Times New Roman" w:eastAsia="宋体" w:cs="Times New Roman"/>
                <w:b w:val="0"/>
                <w:color w:val="auto"/>
                <w:sz w:val="18"/>
                <w:szCs w:val="18"/>
                <w:highlight w:val="none"/>
                <w:lang w:val="en-US" w:eastAsia="zh-CN"/>
              </w:rPr>
              <w:t>化学原料和化学制品制造业</w:t>
            </w:r>
          </w:p>
        </w:tc>
        <w:tc>
          <w:tcPr>
            <w:tcW w:w="417" w:type="pct"/>
            <w:tcBorders>
              <w:tl2br w:val="nil"/>
              <w:tr2bl w:val="nil"/>
            </w:tcBorders>
            <w:shd w:val="clear" w:color="auto" w:fill="FFFFFF"/>
            <w:noWrap/>
            <w:vAlign w:val="center"/>
          </w:tcPr>
          <w:p w14:paraId="64591C9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6</w:t>
            </w:r>
          </w:p>
        </w:tc>
        <w:tc>
          <w:tcPr>
            <w:tcW w:w="451" w:type="pct"/>
            <w:tcBorders>
              <w:tl2br w:val="nil"/>
              <w:tr2bl w:val="nil"/>
            </w:tcBorders>
            <w:shd w:val="clear" w:color="auto" w:fill="FFFFFF"/>
            <w:noWrap/>
            <w:vAlign w:val="center"/>
          </w:tcPr>
          <w:p w14:paraId="7FAA446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91</w:t>
            </w:r>
          </w:p>
        </w:tc>
        <w:tc>
          <w:tcPr>
            <w:tcW w:w="713" w:type="pct"/>
            <w:tcBorders>
              <w:tl2br w:val="nil"/>
              <w:tr2bl w:val="nil"/>
            </w:tcBorders>
            <w:shd w:val="clear" w:color="auto" w:fill="FFFFFF"/>
            <w:noWrap/>
            <w:vAlign w:val="center"/>
          </w:tcPr>
          <w:p w14:paraId="1A41A26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5.54</w:t>
            </w:r>
            <w:r>
              <w:rPr>
                <w:rFonts w:hint="eastAsia" w:cs="Times New Roman"/>
                <w:b w:val="0"/>
                <w:i w:val="0"/>
                <w:iCs w:val="0"/>
                <w:color w:val="auto"/>
                <w:sz w:val="18"/>
                <w:szCs w:val="18"/>
                <w:highlight w:val="none"/>
                <w:u w:val="none"/>
                <w:lang w:val="en-US" w:eastAsia="zh-CN"/>
              </w:rPr>
              <w:t>～</w:t>
            </w:r>
            <w:r>
              <w:rPr>
                <w:rFonts w:hint="default" w:ascii="Times New Roman" w:hAnsi="Times New Roman" w:eastAsia="宋体" w:cs="Times New Roman"/>
                <w:b w:val="0"/>
                <w:i w:val="0"/>
                <w:iCs w:val="0"/>
                <w:color w:val="auto"/>
                <w:sz w:val="18"/>
                <w:szCs w:val="18"/>
                <w:highlight w:val="none"/>
                <w:u w:val="none"/>
                <w:lang w:val="en-US" w:eastAsia="zh-CN"/>
              </w:rPr>
              <w:t>32.5</w:t>
            </w:r>
          </w:p>
        </w:tc>
        <w:tc>
          <w:tcPr>
            <w:tcW w:w="1102" w:type="pct"/>
            <w:tcBorders>
              <w:tl2br w:val="nil"/>
              <w:tr2bl w:val="nil"/>
            </w:tcBorders>
            <w:shd w:val="clear" w:color="auto" w:fill="FFFFFF"/>
            <w:noWrap/>
            <w:vAlign w:val="center"/>
          </w:tcPr>
          <w:p w14:paraId="35F8FEA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w:t>
            </w:r>
          </w:p>
        </w:tc>
      </w:tr>
      <w:tr w14:paraId="1C203A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jc w:val="center"/>
        </w:trPr>
        <w:tc>
          <w:tcPr>
            <w:tcW w:w="705" w:type="pct"/>
            <w:vMerge w:val="continue"/>
            <w:tcBorders>
              <w:tl2br w:val="nil"/>
              <w:tr2bl w:val="nil"/>
            </w:tcBorders>
            <w:shd w:val="clear" w:color="auto" w:fill="FFFFFF"/>
            <w:noWrap/>
            <w:vAlign w:val="center"/>
          </w:tcPr>
          <w:p w14:paraId="2A1E960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p>
        </w:tc>
        <w:tc>
          <w:tcPr>
            <w:tcW w:w="473" w:type="pct"/>
            <w:tcBorders>
              <w:tl2br w:val="nil"/>
              <w:tr2bl w:val="nil"/>
            </w:tcBorders>
            <w:shd w:val="clear" w:color="auto" w:fill="FFFFFF"/>
            <w:noWrap/>
            <w:vAlign w:val="center"/>
          </w:tcPr>
          <w:p w14:paraId="1D38229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C29</w:t>
            </w:r>
          </w:p>
        </w:tc>
        <w:tc>
          <w:tcPr>
            <w:tcW w:w="1135" w:type="pct"/>
            <w:tcBorders>
              <w:tl2br w:val="nil"/>
              <w:tr2bl w:val="nil"/>
            </w:tcBorders>
            <w:shd w:val="clear" w:color="auto" w:fill="FFFFFF"/>
            <w:noWrap/>
            <w:vAlign w:val="center"/>
          </w:tcPr>
          <w:p w14:paraId="47DF6E4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color w:val="auto"/>
                <w:sz w:val="18"/>
                <w:szCs w:val="18"/>
                <w:highlight w:val="none"/>
                <w:lang w:val="en-US" w:eastAsia="zh-CN"/>
              </w:rPr>
            </w:pPr>
            <w:r>
              <w:rPr>
                <w:rFonts w:hint="default" w:ascii="Times New Roman" w:hAnsi="Times New Roman" w:eastAsia="宋体" w:cs="Times New Roman"/>
                <w:b w:val="0"/>
                <w:color w:val="auto"/>
                <w:sz w:val="18"/>
                <w:szCs w:val="18"/>
                <w:highlight w:val="none"/>
                <w:lang w:val="en-US" w:eastAsia="zh-CN"/>
              </w:rPr>
              <w:t>橡胶和塑料制造业</w:t>
            </w:r>
          </w:p>
        </w:tc>
        <w:tc>
          <w:tcPr>
            <w:tcW w:w="417" w:type="pct"/>
            <w:tcBorders>
              <w:tl2br w:val="nil"/>
              <w:tr2bl w:val="nil"/>
            </w:tcBorders>
            <w:shd w:val="clear" w:color="auto" w:fill="FFFFFF"/>
            <w:noWrap/>
            <w:vAlign w:val="center"/>
          </w:tcPr>
          <w:p w14:paraId="2E817FF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2</w:t>
            </w:r>
          </w:p>
        </w:tc>
        <w:tc>
          <w:tcPr>
            <w:tcW w:w="451" w:type="pct"/>
            <w:tcBorders>
              <w:tl2br w:val="nil"/>
              <w:tr2bl w:val="nil"/>
            </w:tcBorders>
            <w:shd w:val="clear" w:color="auto" w:fill="FFFFFF"/>
            <w:noWrap/>
            <w:vAlign w:val="center"/>
          </w:tcPr>
          <w:p w14:paraId="67EFEBC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14</w:t>
            </w:r>
          </w:p>
        </w:tc>
        <w:tc>
          <w:tcPr>
            <w:tcW w:w="713" w:type="pct"/>
            <w:tcBorders>
              <w:tl2br w:val="nil"/>
              <w:tr2bl w:val="nil"/>
            </w:tcBorders>
            <w:shd w:val="clear" w:color="auto" w:fill="FFFFFF"/>
            <w:noWrap/>
            <w:vAlign w:val="center"/>
          </w:tcPr>
          <w:p w14:paraId="51F1C5A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4.71</w:t>
            </w:r>
            <w:r>
              <w:rPr>
                <w:rFonts w:hint="eastAsia" w:cs="Times New Roman"/>
                <w:b w:val="0"/>
                <w:i w:val="0"/>
                <w:iCs w:val="0"/>
                <w:color w:val="auto"/>
                <w:sz w:val="18"/>
                <w:szCs w:val="18"/>
                <w:highlight w:val="none"/>
                <w:u w:val="none"/>
                <w:lang w:val="en-US" w:eastAsia="zh-CN"/>
              </w:rPr>
              <w:t>～</w:t>
            </w:r>
            <w:r>
              <w:rPr>
                <w:rFonts w:hint="default" w:ascii="Times New Roman" w:hAnsi="Times New Roman" w:eastAsia="宋体" w:cs="Times New Roman"/>
                <w:b w:val="0"/>
                <w:i w:val="0"/>
                <w:iCs w:val="0"/>
                <w:color w:val="auto"/>
                <w:sz w:val="18"/>
                <w:szCs w:val="18"/>
                <w:highlight w:val="none"/>
                <w:u w:val="none"/>
                <w:lang w:val="en-US" w:eastAsia="zh-CN"/>
              </w:rPr>
              <w:t>13.8</w:t>
            </w:r>
          </w:p>
        </w:tc>
        <w:tc>
          <w:tcPr>
            <w:tcW w:w="1102" w:type="pct"/>
            <w:tcBorders>
              <w:tl2br w:val="nil"/>
              <w:tr2bl w:val="nil"/>
            </w:tcBorders>
            <w:shd w:val="clear" w:color="auto" w:fill="FFFFFF"/>
            <w:noWrap/>
            <w:vAlign w:val="center"/>
          </w:tcPr>
          <w:p w14:paraId="281499A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w:t>
            </w:r>
          </w:p>
        </w:tc>
      </w:tr>
      <w:tr w14:paraId="25E807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7" w:hRule="atLeast"/>
          <w:jc w:val="center"/>
        </w:trPr>
        <w:tc>
          <w:tcPr>
            <w:tcW w:w="705" w:type="pct"/>
            <w:tcBorders>
              <w:tl2br w:val="nil"/>
              <w:tr2bl w:val="nil"/>
            </w:tcBorders>
            <w:shd w:val="clear" w:color="auto" w:fill="FFFFFF"/>
            <w:noWrap/>
            <w:vAlign w:val="center"/>
          </w:tcPr>
          <w:p w14:paraId="4253359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bCs/>
                <w:i w:val="0"/>
                <w:iCs w:val="0"/>
                <w:color w:val="auto"/>
                <w:kern w:val="0"/>
                <w:sz w:val="18"/>
                <w:szCs w:val="18"/>
                <w:highlight w:val="none"/>
                <w:u w:val="none"/>
                <w:lang w:val="en-US" w:eastAsia="zh-CN" w:bidi="ar"/>
              </w:rPr>
              <w:t>合计</w:t>
            </w:r>
          </w:p>
        </w:tc>
        <w:tc>
          <w:tcPr>
            <w:tcW w:w="1609" w:type="pct"/>
            <w:gridSpan w:val="2"/>
            <w:tcBorders>
              <w:tl2br w:val="nil"/>
              <w:tr2bl w:val="nil"/>
            </w:tcBorders>
            <w:shd w:val="clear" w:color="auto" w:fill="FFFFFF"/>
            <w:noWrap/>
            <w:vAlign w:val="center"/>
          </w:tcPr>
          <w:p w14:paraId="2EDCACA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eastAsia" w:cs="Times New Roman"/>
                <w:b w:val="0"/>
                <w:i w:val="0"/>
                <w:iCs w:val="0"/>
                <w:color w:val="auto"/>
                <w:kern w:val="0"/>
                <w:sz w:val="18"/>
                <w:szCs w:val="18"/>
                <w:highlight w:val="none"/>
                <w:u w:val="none"/>
                <w:lang w:val="en-US" w:eastAsia="zh-CN" w:bidi="ar"/>
              </w:rPr>
              <w:t>6</w:t>
            </w:r>
          </w:p>
        </w:tc>
        <w:tc>
          <w:tcPr>
            <w:tcW w:w="417" w:type="pct"/>
            <w:tcBorders>
              <w:tl2br w:val="nil"/>
              <w:tr2bl w:val="nil"/>
            </w:tcBorders>
            <w:shd w:val="clear" w:color="auto" w:fill="FFFFFF"/>
            <w:noWrap/>
            <w:vAlign w:val="center"/>
          </w:tcPr>
          <w:p w14:paraId="27DCA9E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25</w:t>
            </w:r>
          </w:p>
        </w:tc>
        <w:tc>
          <w:tcPr>
            <w:tcW w:w="451" w:type="pct"/>
            <w:tcBorders>
              <w:tl2br w:val="nil"/>
              <w:tr2bl w:val="nil"/>
            </w:tcBorders>
            <w:shd w:val="clear" w:color="auto" w:fill="FFFFFF"/>
            <w:noWrap/>
            <w:vAlign w:val="center"/>
          </w:tcPr>
          <w:p w14:paraId="3ADB7A1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161</w:t>
            </w:r>
          </w:p>
        </w:tc>
        <w:tc>
          <w:tcPr>
            <w:tcW w:w="713" w:type="pct"/>
            <w:tcBorders>
              <w:tl2br w:val="nil"/>
              <w:tr2bl w:val="nil"/>
            </w:tcBorders>
            <w:shd w:val="clear" w:color="auto" w:fill="FFFFFF"/>
            <w:noWrap/>
            <w:vAlign w:val="center"/>
          </w:tcPr>
          <w:p w14:paraId="5EC7D0C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1.35～</w:t>
            </w:r>
            <w:r>
              <w:rPr>
                <w:rFonts w:hint="default" w:ascii="Times New Roman" w:hAnsi="Times New Roman" w:eastAsia="宋体" w:cs="Times New Roman"/>
                <w:b w:val="0"/>
                <w:i w:val="0"/>
                <w:iCs w:val="0"/>
                <w:color w:val="auto"/>
                <w:sz w:val="18"/>
                <w:szCs w:val="18"/>
                <w:highlight w:val="none"/>
                <w:u w:val="none"/>
                <w:lang w:val="en-US" w:eastAsia="zh-CN"/>
              </w:rPr>
              <w:t>50.5</w:t>
            </w:r>
          </w:p>
        </w:tc>
        <w:tc>
          <w:tcPr>
            <w:tcW w:w="1102" w:type="pct"/>
            <w:tcBorders>
              <w:tl2br w:val="nil"/>
              <w:tr2bl w:val="nil"/>
            </w:tcBorders>
            <w:shd w:val="clear" w:color="auto" w:fill="FFFFFF"/>
            <w:noWrap/>
            <w:vAlign w:val="bottom"/>
          </w:tcPr>
          <w:p w14:paraId="7C90AF2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w:t>
            </w:r>
          </w:p>
        </w:tc>
      </w:tr>
    </w:tbl>
    <w:p w14:paraId="32954C3B">
      <w:pPr>
        <w:shd w:val="clear"/>
        <w:bidi w:val="0"/>
        <w:rPr>
          <w:rFonts w:hint="default"/>
          <w:color w:val="auto"/>
          <w:highlight w:val="none"/>
          <w:lang w:val="en-US" w:eastAsia="zh-CN"/>
        </w:rPr>
      </w:pPr>
    </w:p>
    <w:p w14:paraId="036461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i w:val="0"/>
          <w:iCs w:val="0"/>
          <w:caps w:val="0"/>
          <w:spacing w:val="0"/>
          <w:sz w:val="24"/>
          <w:szCs w:val="24"/>
          <w:shd w:val="clear" w:fill="FFFFFF"/>
        </w:rPr>
      </w:pPr>
      <w:r>
        <w:rPr>
          <w:rFonts w:hint="eastAsia" w:cs="Times New Roman"/>
          <w:i w:val="0"/>
          <w:iCs w:val="0"/>
          <w:caps w:val="0"/>
          <w:spacing w:val="0"/>
          <w:sz w:val="24"/>
          <w:szCs w:val="24"/>
          <w:shd w:val="clear" w:fill="FFFFFF"/>
          <w:lang w:val="en-US" w:eastAsia="zh-CN"/>
        </w:rPr>
        <w:t>收集到</w:t>
      </w:r>
      <w:r>
        <w:rPr>
          <w:rFonts w:hint="default" w:ascii="Times New Roman" w:hAnsi="Times New Roman" w:eastAsia="宋体" w:cs="Times New Roman"/>
          <w:i w:val="0"/>
          <w:iCs w:val="0"/>
          <w:caps w:val="0"/>
          <w:spacing w:val="0"/>
          <w:sz w:val="24"/>
          <w:szCs w:val="24"/>
          <w:shd w:val="clear" w:fill="FFFFFF"/>
        </w:rPr>
        <w:t>工业涂装、其他溶剂使用、化工3类挥发性有机物排放工业源的无组织排放</w:t>
      </w:r>
      <w:r>
        <w:rPr>
          <w:rFonts w:hint="eastAsia" w:cs="Times New Roman"/>
          <w:i w:val="0"/>
          <w:iCs w:val="0"/>
          <w:caps w:val="0"/>
          <w:spacing w:val="0"/>
          <w:sz w:val="24"/>
          <w:szCs w:val="24"/>
          <w:shd w:val="clear" w:fill="FFFFFF"/>
          <w:lang w:val="en-US" w:eastAsia="zh-CN"/>
        </w:rPr>
        <w:t>数据</w:t>
      </w:r>
      <w:r>
        <w:rPr>
          <w:rFonts w:hint="default" w:ascii="Times New Roman" w:hAnsi="Times New Roman" w:eastAsia="宋体" w:cs="Times New Roman"/>
          <w:i w:val="0"/>
          <w:iCs w:val="0"/>
          <w:caps w:val="0"/>
          <w:spacing w:val="0"/>
          <w:sz w:val="24"/>
          <w:szCs w:val="24"/>
          <w:shd w:val="clear" w:fill="FFFFFF"/>
        </w:rPr>
        <w:t>，具体排放特征如下：</w:t>
      </w:r>
    </w:p>
    <w:p w14:paraId="14914C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i w:val="0"/>
          <w:iCs w:val="0"/>
          <w:caps w:val="0"/>
          <w:spacing w:val="0"/>
          <w:sz w:val="24"/>
          <w:szCs w:val="24"/>
          <w:shd w:val="clear" w:fill="FFFFFF"/>
          <w:lang w:val="en-US" w:eastAsia="zh-CN"/>
        </w:rPr>
      </w:pPr>
      <w:r>
        <w:rPr>
          <w:rStyle w:val="37"/>
          <w:rFonts w:hint="default" w:ascii="Times New Roman" w:hAnsi="Times New Roman" w:eastAsia="宋体" w:cs="Times New Roman"/>
          <w:b w:val="0"/>
          <w:bCs w:val="0"/>
          <w:i w:val="0"/>
          <w:iCs w:val="0"/>
          <w:caps w:val="0"/>
          <w:spacing w:val="0"/>
          <w:sz w:val="24"/>
          <w:szCs w:val="24"/>
          <w:shd w:val="clear" w:fill="FFFFFF"/>
          <w:lang w:val="en-US" w:eastAsia="zh-CN"/>
        </w:rPr>
        <w:t>非甲烷总烃</w:t>
      </w:r>
      <w:r>
        <w:rPr>
          <w:rStyle w:val="37"/>
          <w:rFonts w:hint="eastAsia" w:cs="Times New Roman"/>
          <w:b w:val="0"/>
          <w:bCs w:val="0"/>
          <w:i w:val="0"/>
          <w:iCs w:val="0"/>
          <w:caps w:val="0"/>
          <w:spacing w:val="0"/>
          <w:sz w:val="24"/>
          <w:szCs w:val="24"/>
          <w:shd w:val="clear" w:fill="FFFFFF"/>
          <w:lang w:val="en-US" w:eastAsia="zh-CN"/>
        </w:rPr>
        <w:t>：</w:t>
      </w:r>
      <w:r>
        <w:rPr>
          <w:rStyle w:val="37"/>
          <w:rFonts w:hint="default" w:ascii="Times New Roman" w:hAnsi="Times New Roman" w:eastAsia="宋体" w:cs="Times New Roman"/>
          <w:b w:val="0"/>
          <w:bCs w:val="0"/>
          <w:i w:val="0"/>
          <w:iCs w:val="0"/>
          <w:caps w:val="0"/>
          <w:spacing w:val="0"/>
          <w:sz w:val="24"/>
          <w:szCs w:val="24"/>
          <w:shd w:val="clear" w:fill="FFFFFF"/>
        </w:rPr>
        <w:t>浓度范围</w:t>
      </w:r>
      <w:r>
        <w:rPr>
          <w:rFonts w:hint="eastAsia" w:cs="Times New Roman"/>
          <w:b w:val="0"/>
          <w:bCs w:val="0"/>
          <w:i w:val="0"/>
          <w:iCs w:val="0"/>
          <w:caps w:val="0"/>
          <w:spacing w:val="0"/>
          <w:sz w:val="24"/>
          <w:szCs w:val="24"/>
          <w:shd w:val="clear" w:fill="FFFFFF"/>
          <w:lang w:val="en-US" w:eastAsia="zh-CN"/>
        </w:rPr>
        <w:t>0.39～</w:t>
      </w:r>
      <w:r>
        <w:rPr>
          <w:rFonts w:hint="default" w:ascii="Times New Roman" w:hAnsi="Times New Roman" w:eastAsia="宋体" w:cs="Times New Roman"/>
          <w:b w:val="0"/>
          <w:bCs w:val="0"/>
          <w:i w:val="0"/>
          <w:iCs w:val="0"/>
          <w:caps w:val="0"/>
          <w:spacing w:val="0"/>
          <w:sz w:val="24"/>
          <w:szCs w:val="24"/>
          <w:shd w:val="clear" w:fill="FFFFFF"/>
        </w:rPr>
        <w:t>2.81</w:t>
      </w:r>
      <w:r>
        <w:rPr>
          <w:rFonts w:hint="eastAsia" w:cs="Times New Roman"/>
          <w:b w:val="0"/>
          <w:bCs w:val="0"/>
          <w:i w:val="0"/>
          <w:iCs w:val="0"/>
          <w:caps w:val="0"/>
          <w:spacing w:val="0"/>
          <w:sz w:val="24"/>
          <w:szCs w:val="24"/>
          <w:shd w:val="clear" w:fill="FFFFFF"/>
          <w:lang w:val="en-US" w:eastAsia="zh-CN"/>
        </w:rPr>
        <w:t xml:space="preserve"> </w:t>
      </w:r>
      <w:r>
        <w:rPr>
          <w:rFonts w:hint="default" w:ascii="Times New Roman" w:hAnsi="Times New Roman" w:eastAsia="宋体" w:cs="Times New Roman"/>
          <w:b w:val="0"/>
          <w:bCs w:val="0"/>
          <w:i w:val="0"/>
          <w:iCs w:val="0"/>
          <w:caps w:val="0"/>
          <w:spacing w:val="0"/>
          <w:sz w:val="24"/>
          <w:szCs w:val="24"/>
          <w:shd w:val="clear" w:fill="FFFFFF"/>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eastAsia" w:cs="Times New Roman"/>
          <w:b w:val="0"/>
          <w:bCs w:val="0"/>
          <w:i w:val="0"/>
          <w:iCs w:val="0"/>
          <w:caps w:val="0"/>
          <w:spacing w:val="0"/>
          <w:sz w:val="24"/>
          <w:szCs w:val="24"/>
          <w:shd w:val="clear" w:fill="FFFFFF"/>
          <w:lang w:val="en-US" w:eastAsia="zh-CN"/>
        </w:rPr>
        <w:t>。</w:t>
      </w:r>
      <w:r>
        <w:rPr>
          <w:rFonts w:hint="default" w:ascii="Times New Roman" w:hAnsi="Times New Roman" w:eastAsia="宋体" w:cs="Times New Roman"/>
          <w:b w:val="0"/>
          <w:bCs w:val="0"/>
          <w:i w:val="0"/>
          <w:iCs w:val="0"/>
          <w:caps w:val="0"/>
          <w:spacing w:val="0"/>
          <w:sz w:val="24"/>
          <w:szCs w:val="24"/>
          <w:shd w:val="clear" w:fill="FFFFFF"/>
          <w:lang w:val="en-US" w:eastAsia="zh-CN"/>
        </w:rPr>
        <w:t>橡胶和塑料制造业</w:t>
      </w:r>
      <w:r>
        <w:rPr>
          <w:rFonts w:hint="eastAsia" w:cs="Times New Roman"/>
          <w:b w:val="0"/>
          <w:bCs w:val="0"/>
          <w:i w:val="0"/>
          <w:iCs w:val="0"/>
          <w:caps w:val="0"/>
          <w:spacing w:val="0"/>
          <w:sz w:val="24"/>
          <w:szCs w:val="24"/>
          <w:shd w:val="clear" w:fill="FFFFFF"/>
          <w:lang w:val="en-US" w:eastAsia="zh-CN"/>
        </w:rPr>
        <w:t>1家企业，25次监测</w:t>
      </w:r>
      <w:r>
        <w:rPr>
          <w:rFonts w:hint="default" w:ascii="Times New Roman" w:hAnsi="Times New Roman" w:eastAsia="宋体" w:cs="Times New Roman"/>
          <w:b w:val="0"/>
          <w:bCs w:val="0"/>
          <w:i w:val="0"/>
          <w:iCs w:val="0"/>
          <w:caps w:val="0"/>
          <w:spacing w:val="0"/>
          <w:sz w:val="24"/>
          <w:szCs w:val="24"/>
          <w:shd w:val="clear" w:fill="FFFFFF"/>
          <w:lang w:val="en-US" w:eastAsia="zh-CN"/>
        </w:rPr>
        <w:t>浓度</w:t>
      </w:r>
      <w:r>
        <w:rPr>
          <w:rFonts w:hint="eastAsia" w:cs="Times New Roman"/>
          <w:b w:val="0"/>
          <w:bCs w:val="0"/>
          <w:i w:val="0"/>
          <w:iCs w:val="0"/>
          <w:caps w:val="0"/>
          <w:spacing w:val="0"/>
          <w:sz w:val="24"/>
          <w:szCs w:val="24"/>
          <w:shd w:val="clear" w:fill="FFFFFF"/>
          <w:lang w:val="en-US" w:eastAsia="zh-CN"/>
        </w:rPr>
        <w:t>在</w:t>
      </w:r>
      <w:r>
        <w:rPr>
          <w:rFonts w:hint="default" w:ascii="Times New Roman" w:hAnsi="Times New Roman" w:eastAsia="宋体" w:cs="Times New Roman"/>
          <w:b w:val="0"/>
          <w:bCs w:val="0"/>
          <w:i w:val="0"/>
          <w:iCs w:val="0"/>
          <w:caps w:val="0"/>
          <w:spacing w:val="0"/>
          <w:sz w:val="24"/>
          <w:szCs w:val="24"/>
          <w:shd w:val="clear" w:fill="FFFFFF"/>
          <w:lang w:val="en-US" w:eastAsia="zh-CN"/>
        </w:rPr>
        <w:t>0.41</w:t>
      </w:r>
      <w:r>
        <w:rPr>
          <w:rFonts w:hint="eastAsia" w:cs="Times New Roman"/>
          <w:b w:val="0"/>
          <w:bCs w:val="0"/>
          <w:i w:val="0"/>
          <w:iCs w:val="0"/>
          <w:caps w:val="0"/>
          <w:spacing w:val="0"/>
          <w:sz w:val="24"/>
          <w:szCs w:val="24"/>
          <w:shd w:val="clear" w:fill="FFFFFF"/>
          <w:lang w:val="en-US" w:eastAsia="zh-CN"/>
        </w:rPr>
        <w:t>～</w:t>
      </w:r>
      <w:r>
        <w:rPr>
          <w:rFonts w:hint="default" w:ascii="Times New Roman" w:hAnsi="Times New Roman" w:eastAsia="宋体" w:cs="Times New Roman"/>
          <w:b w:val="0"/>
          <w:bCs w:val="0"/>
          <w:i w:val="0"/>
          <w:iCs w:val="0"/>
          <w:caps w:val="0"/>
          <w:spacing w:val="0"/>
          <w:sz w:val="24"/>
          <w:szCs w:val="24"/>
          <w:shd w:val="clear" w:fill="FFFFFF"/>
          <w:lang w:val="en-US" w:eastAsia="zh-CN"/>
        </w:rPr>
        <w:t>1.25</w:t>
      </w:r>
      <w:r>
        <w:rPr>
          <w:rFonts w:hint="eastAsia" w:cs="Times New Roman"/>
          <w:b w:val="0"/>
          <w:bCs w:val="0"/>
          <w:i w:val="0"/>
          <w:iCs w:val="0"/>
          <w:caps w:val="0"/>
          <w:spacing w:val="0"/>
          <w:sz w:val="24"/>
          <w:szCs w:val="24"/>
          <w:shd w:val="clear" w:fill="FFFFFF"/>
          <w:lang w:val="en-US" w:eastAsia="zh-CN"/>
        </w:rPr>
        <w:t xml:space="preserve"> </w:t>
      </w:r>
      <w:r>
        <w:rPr>
          <w:rFonts w:hint="default" w:ascii="Times New Roman" w:hAnsi="Times New Roman" w:eastAsia="宋体" w:cs="Times New Roman"/>
          <w:b w:val="0"/>
          <w:bCs w:val="0"/>
          <w:i w:val="0"/>
          <w:iCs w:val="0"/>
          <w:caps w:val="0"/>
          <w:spacing w:val="0"/>
          <w:sz w:val="24"/>
          <w:szCs w:val="24"/>
          <w:shd w:val="clear" w:fill="FFFFFF"/>
          <w:lang w:val="en-US" w:eastAsia="zh-CN"/>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eastAsia" w:cs="Times New Roman"/>
          <w:b w:val="0"/>
          <w:bCs w:val="0"/>
          <w:i w:val="0"/>
          <w:iCs w:val="0"/>
          <w:caps w:val="0"/>
          <w:spacing w:val="0"/>
          <w:sz w:val="24"/>
          <w:szCs w:val="24"/>
          <w:shd w:val="clear" w:fill="FFFFFF"/>
          <w:lang w:val="en-US" w:eastAsia="zh-CN"/>
        </w:rPr>
        <w:t>之间</w:t>
      </w:r>
      <w:r>
        <w:rPr>
          <w:rFonts w:hint="default" w:ascii="Times New Roman" w:hAnsi="Times New Roman" w:eastAsia="宋体" w:cs="Times New Roman"/>
          <w:b w:val="0"/>
          <w:bCs w:val="0"/>
          <w:i w:val="0"/>
          <w:iCs w:val="0"/>
          <w:caps w:val="0"/>
          <w:spacing w:val="0"/>
          <w:sz w:val="24"/>
          <w:szCs w:val="24"/>
          <w:shd w:val="clear" w:fill="FFFFFF"/>
          <w:lang w:val="en-US" w:eastAsia="zh-CN"/>
        </w:rPr>
        <w:t>；化学原料和</w:t>
      </w:r>
      <w:r>
        <w:rPr>
          <w:rFonts w:hint="default" w:ascii="Times New Roman" w:hAnsi="Times New Roman" w:eastAsia="宋体" w:cs="Times New Roman"/>
          <w:i w:val="0"/>
          <w:iCs w:val="0"/>
          <w:caps w:val="0"/>
          <w:spacing w:val="0"/>
          <w:sz w:val="24"/>
          <w:szCs w:val="24"/>
          <w:shd w:val="clear" w:fill="FFFFFF"/>
          <w:lang w:val="en-US" w:eastAsia="zh-CN"/>
        </w:rPr>
        <w:t>化学制品制造业4家企业19次监测</w:t>
      </w:r>
      <w:r>
        <w:rPr>
          <w:rFonts w:hint="eastAsia" w:cs="Times New Roman"/>
          <w:i w:val="0"/>
          <w:iCs w:val="0"/>
          <w:caps w:val="0"/>
          <w:spacing w:val="0"/>
          <w:sz w:val="24"/>
          <w:szCs w:val="24"/>
          <w:shd w:val="clear" w:fill="FFFFFF"/>
          <w:lang w:val="en-US" w:eastAsia="zh-CN"/>
        </w:rPr>
        <w:t>，</w:t>
      </w:r>
      <w:r>
        <w:rPr>
          <w:rFonts w:hint="default" w:ascii="Times New Roman" w:hAnsi="Times New Roman" w:eastAsia="宋体" w:cs="Times New Roman"/>
          <w:i w:val="0"/>
          <w:iCs w:val="0"/>
          <w:caps w:val="0"/>
          <w:spacing w:val="0"/>
          <w:sz w:val="24"/>
          <w:szCs w:val="24"/>
          <w:shd w:val="clear" w:fill="FFFFFF"/>
          <w:lang w:val="en-US" w:eastAsia="zh-CN"/>
        </w:rPr>
        <w:t>浓度</w:t>
      </w:r>
      <w:r>
        <w:rPr>
          <w:rFonts w:hint="eastAsia" w:cs="Times New Roman"/>
          <w:i w:val="0"/>
          <w:iCs w:val="0"/>
          <w:caps w:val="0"/>
          <w:spacing w:val="0"/>
          <w:sz w:val="24"/>
          <w:szCs w:val="24"/>
          <w:shd w:val="clear" w:fill="FFFFFF"/>
          <w:lang w:val="en-US" w:eastAsia="zh-CN"/>
        </w:rPr>
        <w:t>在</w:t>
      </w:r>
      <w:r>
        <w:rPr>
          <w:rFonts w:hint="default" w:ascii="Times New Roman" w:hAnsi="Times New Roman" w:eastAsia="宋体" w:cs="Times New Roman"/>
          <w:i w:val="0"/>
          <w:iCs w:val="0"/>
          <w:caps w:val="0"/>
          <w:spacing w:val="0"/>
          <w:sz w:val="24"/>
          <w:szCs w:val="24"/>
          <w:shd w:val="clear" w:fill="FFFFFF"/>
          <w:lang w:val="en-US" w:eastAsia="zh-CN"/>
        </w:rPr>
        <w:t>0.39</w:t>
      </w:r>
      <w:r>
        <w:rPr>
          <w:rFonts w:hint="eastAsia" w:cs="Times New Roman"/>
          <w:i w:val="0"/>
          <w:iCs w:val="0"/>
          <w:caps w:val="0"/>
          <w:spacing w:val="0"/>
          <w:sz w:val="24"/>
          <w:szCs w:val="24"/>
          <w:shd w:val="clear" w:fill="FFFFFF"/>
          <w:lang w:val="en-US" w:eastAsia="zh-CN"/>
        </w:rPr>
        <w:t>～</w:t>
      </w:r>
      <w:r>
        <w:rPr>
          <w:rFonts w:hint="default" w:ascii="Times New Roman" w:hAnsi="Times New Roman" w:eastAsia="宋体" w:cs="Times New Roman"/>
          <w:i w:val="0"/>
          <w:iCs w:val="0"/>
          <w:caps w:val="0"/>
          <w:spacing w:val="0"/>
          <w:sz w:val="24"/>
          <w:szCs w:val="24"/>
          <w:shd w:val="clear" w:fill="FFFFFF"/>
          <w:lang w:val="en-US" w:eastAsia="zh-CN"/>
        </w:rPr>
        <w:t>1.96</w:t>
      </w:r>
      <w:r>
        <w:rPr>
          <w:rFonts w:hint="eastAsia" w:cs="Times New Roman"/>
          <w:i w:val="0"/>
          <w:iCs w:val="0"/>
          <w:caps w:val="0"/>
          <w:spacing w:val="0"/>
          <w:sz w:val="24"/>
          <w:szCs w:val="24"/>
          <w:shd w:val="clear" w:fill="FFFFFF"/>
          <w:lang w:val="en-US" w:eastAsia="zh-CN"/>
        </w:rPr>
        <w:t xml:space="preserve"> </w:t>
      </w:r>
      <w:r>
        <w:rPr>
          <w:rFonts w:hint="default" w:ascii="Times New Roman" w:hAnsi="Times New Roman" w:eastAsia="宋体" w:cs="Times New Roman"/>
          <w:i w:val="0"/>
          <w:iCs w:val="0"/>
          <w:caps w:val="0"/>
          <w:spacing w:val="0"/>
          <w:sz w:val="24"/>
          <w:szCs w:val="24"/>
          <w:shd w:val="clear" w:fill="FFFFFF"/>
          <w:lang w:val="en-US" w:eastAsia="zh-CN"/>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eastAsia" w:cs="Times New Roman"/>
          <w:b w:val="0"/>
          <w:bCs w:val="0"/>
          <w:i w:val="0"/>
          <w:iCs w:val="0"/>
          <w:caps w:val="0"/>
          <w:spacing w:val="0"/>
          <w:sz w:val="24"/>
          <w:szCs w:val="24"/>
          <w:shd w:val="clear" w:fill="FFFFFF"/>
          <w:lang w:val="en-US" w:eastAsia="zh-CN"/>
        </w:rPr>
        <w:t>之间</w:t>
      </w:r>
      <w:r>
        <w:rPr>
          <w:rFonts w:hint="default" w:ascii="Times New Roman" w:hAnsi="Times New Roman" w:eastAsia="宋体" w:cs="Times New Roman"/>
          <w:b w:val="0"/>
          <w:bCs w:val="0"/>
          <w:i w:val="0"/>
          <w:iCs w:val="0"/>
          <w:caps w:val="0"/>
          <w:spacing w:val="0"/>
          <w:sz w:val="24"/>
          <w:szCs w:val="24"/>
          <w:shd w:val="clear" w:fill="FFFFFF"/>
          <w:lang w:val="en-US" w:eastAsia="zh-CN"/>
        </w:rPr>
        <w:t>；</w:t>
      </w:r>
      <w:r>
        <w:rPr>
          <w:rFonts w:hint="default" w:ascii="Times New Roman" w:hAnsi="Times New Roman" w:eastAsia="宋体" w:cs="Times New Roman"/>
          <w:i w:val="0"/>
          <w:iCs w:val="0"/>
          <w:caps w:val="0"/>
          <w:spacing w:val="0"/>
          <w:sz w:val="24"/>
          <w:szCs w:val="24"/>
          <w:shd w:val="clear" w:fill="FFFFFF"/>
          <w:lang w:val="en-US" w:eastAsia="zh-CN"/>
        </w:rPr>
        <w:t>包装印刷业2家企业3次监测，浓度</w:t>
      </w:r>
      <w:r>
        <w:rPr>
          <w:rFonts w:hint="eastAsia" w:cs="Times New Roman"/>
          <w:b w:val="0"/>
          <w:bCs w:val="0"/>
          <w:i w:val="0"/>
          <w:iCs w:val="0"/>
          <w:caps w:val="0"/>
          <w:spacing w:val="0"/>
          <w:sz w:val="24"/>
          <w:szCs w:val="24"/>
          <w:shd w:val="clear" w:fill="FFFFFF"/>
          <w:lang w:val="en-US" w:eastAsia="zh-CN"/>
        </w:rPr>
        <w:t>在</w:t>
      </w:r>
      <w:r>
        <w:rPr>
          <w:rFonts w:hint="default" w:ascii="Times New Roman" w:hAnsi="Times New Roman" w:eastAsia="宋体" w:cs="Times New Roman"/>
          <w:i w:val="0"/>
          <w:iCs w:val="0"/>
          <w:caps w:val="0"/>
          <w:spacing w:val="0"/>
          <w:sz w:val="24"/>
          <w:szCs w:val="24"/>
          <w:shd w:val="clear" w:fill="FFFFFF"/>
          <w:lang w:val="en-US" w:eastAsia="zh-CN"/>
        </w:rPr>
        <w:t>1.15</w:t>
      </w:r>
      <w:r>
        <w:rPr>
          <w:rFonts w:hint="eastAsia" w:cs="Times New Roman"/>
          <w:i w:val="0"/>
          <w:iCs w:val="0"/>
          <w:caps w:val="0"/>
          <w:spacing w:val="0"/>
          <w:sz w:val="24"/>
          <w:szCs w:val="24"/>
          <w:shd w:val="clear" w:fill="FFFFFF"/>
          <w:lang w:val="en-US" w:eastAsia="zh-CN"/>
        </w:rPr>
        <w:t>～</w:t>
      </w:r>
      <w:r>
        <w:rPr>
          <w:rFonts w:hint="default" w:ascii="Times New Roman" w:hAnsi="Times New Roman" w:eastAsia="宋体" w:cs="Times New Roman"/>
          <w:i w:val="0"/>
          <w:iCs w:val="0"/>
          <w:caps w:val="0"/>
          <w:spacing w:val="0"/>
          <w:sz w:val="24"/>
          <w:szCs w:val="24"/>
          <w:shd w:val="clear" w:fill="FFFFFF"/>
          <w:lang w:val="en-US" w:eastAsia="zh-CN"/>
        </w:rPr>
        <w:t>2.81</w:t>
      </w:r>
      <w:r>
        <w:rPr>
          <w:rFonts w:hint="eastAsia" w:cs="Times New Roman"/>
          <w:i w:val="0"/>
          <w:iCs w:val="0"/>
          <w:caps w:val="0"/>
          <w:spacing w:val="0"/>
          <w:sz w:val="24"/>
          <w:szCs w:val="24"/>
          <w:shd w:val="clear" w:fill="FFFFFF"/>
          <w:lang w:val="en-US" w:eastAsia="zh-CN"/>
        </w:rPr>
        <w:t xml:space="preserve"> </w:t>
      </w:r>
      <w:r>
        <w:rPr>
          <w:rFonts w:hint="default" w:ascii="Times New Roman" w:hAnsi="Times New Roman" w:eastAsia="宋体" w:cs="Times New Roman"/>
          <w:i w:val="0"/>
          <w:iCs w:val="0"/>
          <w:caps w:val="0"/>
          <w:spacing w:val="0"/>
          <w:sz w:val="24"/>
          <w:szCs w:val="24"/>
          <w:shd w:val="clear" w:fill="FFFFFF"/>
          <w:lang w:val="en-US" w:eastAsia="zh-CN"/>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eastAsia" w:cs="Times New Roman"/>
          <w:b w:val="0"/>
          <w:bCs w:val="0"/>
          <w:i w:val="0"/>
          <w:iCs w:val="0"/>
          <w:caps w:val="0"/>
          <w:spacing w:val="0"/>
          <w:sz w:val="24"/>
          <w:szCs w:val="24"/>
          <w:shd w:val="clear" w:fill="FFFFFF"/>
          <w:lang w:val="en-US" w:eastAsia="zh-CN"/>
        </w:rPr>
        <w:t>之间</w:t>
      </w:r>
      <w:r>
        <w:rPr>
          <w:rFonts w:hint="default" w:ascii="Times New Roman" w:hAnsi="Times New Roman" w:eastAsia="宋体" w:cs="Times New Roman"/>
          <w:i w:val="0"/>
          <w:iCs w:val="0"/>
          <w:caps w:val="0"/>
          <w:spacing w:val="0"/>
          <w:sz w:val="24"/>
          <w:szCs w:val="24"/>
          <w:shd w:val="clear" w:fill="FFFFFF"/>
          <w:lang w:val="en-US" w:eastAsia="zh-CN"/>
        </w:rPr>
        <w:t>；汽车制造业1家企业1次监测浓度</w:t>
      </w:r>
      <w:r>
        <w:rPr>
          <w:rFonts w:hint="eastAsia" w:cs="Times New Roman"/>
          <w:i w:val="0"/>
          <w:iCs w:val="0"/>
          <w:caps w:val="0"/>
          <w:spacing w:val="0"/>
          <w:sz w:val="24"/>
          <w:szCs w:val="24"/>
          <w:shd w:val="clear" w:fill="FFFFFF"/>
          <w:lang w:val="en-US" w:eastAsia="zh-CN"/>
        </w:rPr>
        <w:t>为</w:t>
      </w:r>
      <w:r>
        <w:rPr>
          <w:rFonts w:hint="default" w:ascii="Times New Roman" w:hAnsi="Times New Roman" w:eastAsia="宋体" w:cs="Times New Roman"/>
          <w:i w:val="0"/>
          <w:iCs w:val="0"/>
          <w:caps w:val="0"/>
          <w:spacing w:val="0"/>
          <w:sz w:val="24"/>
          <w:szCs w:val="24"/>
          <w:shd w:val="clear" w:fill="FFFFFF"/>
          <w:lang w:val="en-US" w:eastAsia="zh-CN"/>
        </w:rPr>
        <w:t>1.4</w:t>
      </w:r>
      <w:r>
        <w:rPr>
          <w:rFonts w:hint="eastAsia" w:cs="Times New Roman"/>
          <w:i w:val="0"/>
          <w:iCs w:val="0"/>
          <w:caps w:val="0"/>
          <w:spacing w:val="0"/>
          <w:sz w:val="24"/>
          <w:szCs w:val="24"/>
          <w:shd w:val="clear" w:fill="FFFFFF"/>
          <w:lang w:val="en-US" w:eastAsia="zh-CN"/>
        </w:rPr>
        <w:t xml:space="preserve"> </w:t>
      </w:r>
      <w:r>
        <w:rPr>
          <w:rFonts w:hint="default" w:ascii="Times New Roman" w:hAnsi="Times New Roman" w:eastAsia="宋体" w:cs="Times New Roman"/>
          <w:i w:val="0"/>
          <w:iCs w:val="0"/>
          <w:caps w:val="0"/>
          <w:spacing w:val="0"/>
          <w:sz w:val="24"/>
          <w:szCs w:val="24"/>
          <w:shd w:val="clear" w:fill="FFFFFF"/>
          <w:lang w:val="en-US" w:eastAsia="zh-CN"/>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宋体" w:cs="Times New Roman"/>
          <w:i w:val="0"/>
          <w:iCs w:val="0"/>
          <w:caps w:val="0"/>
          <w:spacing w:val="0"/>
          <w:sz w:val="24"/>
          <w:szCs w:val="24"/>
          <w:shd w:val="clear" w:fill="FFFFFF"/>
          <w:lang w:val="en-US" w:eastAsia="zh-CN"/>
        </w:rPr>
        <w:t>。</w:t>
      </w:r>
    </w:p>
    <w:p w14:paraId="797228F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i w:val="0"/>
          <w:iCs w:val="0"/>
          <w:caps w:val="0"/>
          <w:spacing w:val="0"/>
          <w:sz w:val="24"/>
          <w:szCs w:val="24"/>
          <w:shd w:val="clear" w:fill="FFFFFF"/>
          <w:lang w:val="en-US" w:eastAsia="zh-CN"/>
        </w:rPr>
      </w:pPr>
      <w:r>
        <w:rPr>
          <w:rFonts w:hint="default" w:ascii="Times New Roman" w:hAnsi="Times New Roman" w:eastAsia="宋体" w:cs="Times New Roman"/>
          <w:i w:val="0"/>
          <w:iCs w:val="0"/>
          <w:caps w:val="0"/>
          <w:spacing w:val="0"/>
          <w:sz w:val="24"/>
          <w:szCs w:val="24"/>
          <w:shd w:val="clear" w:fill="FFFFFF"/>
          <w:lang w:val="en-US" w:eastAsia="zh-CN"/>
        </w:rPr>
        <w:t>挥发性有机物</w:t>
      </w:r>
      <w:r>
        <w:rPr>
          <w:rFonts w:hint="eastAsia" w:cs="Times New Roman"/>
          <w:i w:val="0"/>
          <w:iCs w:val="0"/>
          <w:caps w:val="0"/>
          <w:spacing w:val="0"/>
          <w:sz w:val="24"/>
          <w:szCs w:val="24"/>
          <w:shd w:val="clear" w:fill="FFFFFF"/>
          <w:lang w:val="en-US" w:eastAsia="zh-CN"/>
        </w:rPr>
        <w:t>：</w:t>
      </w:r>
      <w:r>
        <w:rPr>
          <w:rFonts w:hint="default" w:ascii="Times New Roman" w:hAnsi="Times New Roman" w:eastAsia="宋体" w:cs="Times New Roman"/>
          <w:i w:val="0"/>
          <w:iCs w:val="0"/>
          <w:caps w:val="0"/>
          <w:spacing w:val="0"/>
          <w:sz w:val="24"/>
          <w:szCs w:val="24"/>
          <w:shd w:val="clear" w:fill="FFFFFF"/>
          <w:lang w:val="en-US" w:eastAsia="zh-CN"/>
        </w:rPr>
        <w:t>浓度范围0.576</w:t>
      </w:r>
      <w:r>
        <w:rPr>
          <w:rFonts w:hint="eastAsia" w:cs="Times New Roman"/>
          <w:i w:val="0"/>
          <w:iCs w:val="0"/>
          <w:caps w:val="0"/>
          <w:spacing w:val="0"/>
          <w:sz w:val="24"/>
          <w:szCs w:val="24"/>
          <w:shd w:val="clear" w:fill="FFFFFF"/>
          <w:lang w:val="en-US" w:eastAsia="zh-CN"/>
        </w:rPr>
        <w:t>～</w:t>
      </w:r>
      <w:r>
        <w:rPr>
          <w:rFonts w:hint="default" w:ascii="Times New Roman" w:hAnsi="Times New Roman" w:eastAsia="宋体" w:cs="Times New Roman"/>
          <w:i w:val="0"/>
          <w:iCs w:val="0"/>
          <w:caps w:val="0"/>
          <w:spacing w:val="0"/>
          <w:sz w:val="24"/>
          <w:szCs w:val="24"/>
          <w:shd w:val="clear" w:fill="FFFFFF"/>
          <w:lang w:val="en-US" w:eastAsia="zh-CN"/>
        </w:rPr>
        <w:t>2.03</w:t>
      </w:r>
      <w:r>
        <w:rPr>
          <w:rFonts w:hint="eastAsia" w:cs="Times New Roman"/>
          <w:i w:val="0"/>
          <w:iCs w:val="0"/>
          <w:caps w:val="0"/>
          <w:spacing w:val="0"/>
          <w:sz w:val="24"/>
          <w:szCs w:val="24"/>
          <w:shd w:val="clear" w:fill="FFFFFF"/>
          <w:lang w:val="en-US" w:eastAsia="zh-CN"/>
        </w:rPr>
        <w:t xml:space="preserve"> </w:t>
      </w:r>
      <w:r>
        <w:rPr>
          <w:rFonts w:hint="default" w:ascii="Times New Roman" w:hAnsi="Times New Roman" w:eastAsia="宋体" w:cs="Times New Roman"/>
          <w:i w:val="0"/>
          <w:iCs w:val="0"/>
          <w:caps w:val="0"/>
          <w:spacing w:val="0"/>
          <w:sz w:val="24"/>
          <w:szCs w:val="24"/>
          <w:shd w:val="clear" w:fill="FFFFFF"/>
          <w:lang w:val="en-US" w:eastAsia="zh-CN"/>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宋体" w:cs="Times New Roman"/>
          <w:i w:val="0"/>
          <w:iCs w:val="0"/>
          <w:caps w:val="0"/>
          <w:spacing w:val="0"/>
          <w:sz w:val="24"/>
          <w:szCs w:val="24"/>
          <w:shd w:val="clear" w:fill="FFFFFF"/>
          <w:lang w:val="en-US" w:eastAsia="zh-CN"/>
        </w:rPr>
        <w:t>。汽车制造业1家企业1次监测，浓度</w:t>
      </w:r>
      <w:r>
        <w:rPr>
          <w:rFonts w:hint="eastAsia" w:cs="Times New Roman"/>
          <w:i w:val="0"/>
          <w:iCs w:val="0"/>
          <w:caps w:val="0"/>
          <w:spacing w:val="0"/>
          <w:sz w:val="24"/>
          <w:szCs w:val="24"/>
          <w:shd w:val="clear" w:fill="FFFFFF"/>
          <w:lang w:val="en-US" w:eastAsia="zh-CN"/>
        </w:rPr>
        <w:t>为</w:t>
      </w:r>
      <w:r>
        <w:rPr>
          <w:rFonts w:hint="default" w:ascii="Times New Roman" w:hAnsi="Times New Roman" w:eastAsia="宋体" w:cs="Times New Roman"/>
          <w:i w:val="0"/>
          <w:iCs w:val="0"/>
          <w:caps w:val="0"/>
          <w:spacing w:val="0"/>
          <w:sz w:val="24"/>
          <w:szCs w:val="24"/>
          <w:shd w:val="clear" w:fill="FFFFFF"/>
          <w:lang w:val="en-US" w:eastAsia="zh-CN"/>
        </w:rPr>
        <w:t>0.576</w:t>
      </w:r>
      <w:r>
        <w:rPr>
          <w:rFonts w:hint="eastAsia" w:cs="Times New Roman"/>
          <w:i w:val="0"/>
          <w:iCs w:val="0"/>
          <w:caps w:val="0"/>
          <w:spacing w:val="0"/>
          <w:sz w:val="24"/>
          <w:szCs w:val="24"/>
          <w:shd w:val="clear" w:fill="FFFFFF"/>
          <w:lang w:val="en-US" w:eastAsia="zh-CN"/>
        </w:rPr>
        <w:t xml:space="preserve"> </w:t>
      </w:r>
      <w:r>
        <w:rPr>
          <w:rFonts w:hint="default" w:ascii="Times New Roman" w:hAnsi="Times New Roman" w:eastAsia="宋体" w:cs="Times New Roman"/>
          <w:i w:val="0"/>
          <w:iCs w:val="0"/>
          <w:caps w:val="0"/>
          <w:spacing w:val="0"/>
          <w:sz w:val="24"/>
          <w:szCs w:val="24"/>
          <w:shd w:val="clear" w:fill="FFFFFF"/>
          <w:lang w:val="en-US" w:eastAsia="zh-CN"/>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宋体" w:cs="Times New Roman"/>
          <w:i w:val="0"/>
          <w:iCs w:val="0"/>
          <w:caps w:val="0"/>
          <w:spacing w:val="0"/>
          <w:sz w:val="24"/>
          <w:szCs w:val="24"/>
          <w:shd w:val="clear" w:fill="FFFFFF"/>
          <w:lang w:val="en-US" w:eastAsia="zh-CN"/>
        </w:rPr>
        <w:t>，为所有行业最低；锂离子电池制造</w:t>
      </w:r>
      <w:r>
        <w:rPr>
          <w:rFonts w:hint="eastAsia" w:cs="Times New Roman"/>
          <w:i w:val="0"/>
          <w:iCs w:val="0"/>
          <w:caps w:val="0"/>
          <w:spacing w:val="0"/>
          <w:sz w:val="24"/>
          <w:szCs w:val="24"/>
          <w:shd w:val="clear" w:fill="FFFFFF"/>
          <w:lang w:val="en-US" w:eastAsia="zh-CN"/>
        </w:rPr>
        <w:t>行业</w:t>
      </w:r>
      <w:r>
        <w:rPr>
          <w:rFonts w:hint="default" w:ascii="Times New Roman" w:hAnsi="Times New Roman" w:eastAsia="宋体" w:cs="Times New Roman"/>
          <w:i w:val="0"/>
          <w:iCs w:val="0"/>
          <w:caps w:val="0"/>
          <w:spacing w:val="0"/>
          <w:sz w:val="24"/>
          <w:szCs w:val="24"/>
          <w:shd w:val="clear" w:fill="FFFFFF"/>
          <w:lang w:val="en-US" w:eastAsia="zh-CN"/>
        </w:rPr>
        <w:t>1家企业2次监测，浓度</w:t>
      </w:r>
      <w:r>
        <w:rPr>
          <w:rFonts w:hint="eastAsia" w:cs="Times New Roman"/>
          <w:b w:val="0"/>
          <w:bCs w:val="0"/>
          <w:i w:val="0"/>
          <w:iCs w:val="0"/>
          <w:caps w:val="0"/>
          <w:spacing w:val="0"/>
          <w:sz w:val="24"/>
          <w:szCs w:val="24"/>
          <w:shd w:val="clear" w:fill="FFFFFF"/>
          <w:lang w:val="en-US" w:eastAsia="zh-CN"/>
        </w:rPr>
        <w:t>在</w:t>
      </w:r>
      <w:r>
        <w:rPr>
          <w:rFonts w:hint="default" w:ascii="Times New Roman" w:hAnsi="Times New Roman" w:eastAsia="宋体" w:cs="Times New Roman"/>
          <w:i w:val="0"/>
          <w:iCs w:val="0"/>
          <w:caps w:val="0"/>
          <w:spacing w:val="0"/>
          <w:sz w:val="24"/>
          <w:szCs w:val="24"/>
          <w:shd w:val="clear" w:fill="FFFFFF"/>
          <w:lang w:val="en-US" w:eastAsia="zh-CN"/>
        </w:rPr>
        <w:t>1.18</w:t>
      </w:r>
      <w:r>
        <w:rPr>
          <w:rFonts w:hint="eastAsia" w:cs="Times New Roman"/>
          <w:i w:val="0"/>
          <w:iCs w:val="0"/>
          <w:caps w:val="0"/>
          <w:spacing w:val="0"/>
          <w:sz w:val="24"/>
          <w:szCs w:val="24"/>
          <w:shd w:val="clear" w:fill="FFFFFF"/>
          <w:lang w:val="en-US" w:eastAsia="zh-CN"/>
        </w:rPr>
        <w:t>～</w:t>
      </w:r>
      <w:r>
        <w:rPr>
          <w:rFonts w:hint="default" w:ascii="Times New Roman" w:hAnsi="Times New Roman" w:eastAsia="宋体" w:cs="Times New Roman"/>
          <w:i w:val="0"/>
          <w:iCs w:val="0"/>
          <w:caps w:val="0"/>
          <w:spacing w:val="0"/>
          <w:sz w:val="24"/>
          <w:szCs w:val="24"/>
          <w:shd w:val="clear" w:fill="FFFFFF"/>
          <w:lang w:val="en-US" w:eastAsia="zh-CN"/>
        </w:rPr>
        <w:t>1.39</w:t>
      </w:r>
      <w:r>
        <w:rPr>
          <w:rFonts w:hint="eastAsia" w:cs="Times New Roman"/>
          <w:i w:val="0"/>
          <w:iCs w:val="0"/>
          <w:caps w:val="0"/>
          <w:spacing w:val="0"/>
          <w:sz w:val="24"/>
          <w:szCs w:val="24"/>
          <w:shd w:val="clear" w:fill="FFFFFF"/>
          <w:lang w:val="en-US" w:eastAsia="zh-CN"/>
        </w:rPr>
        <w:t xml:space="preserve"> </w:t>
      </w:r>
      <w:r>
        <w:rPr>
          <w:rFonts w:hint="default" w:ascii="Times New Roman" w:hAnsi="Times New Roman" w:eastAsia="宋体" w:cs="Times New Roman"/>
          <w:i w:val="0"/>
          <w:iCs w:val="0"/>
          <w:caps w:val="0"/>
          <w:spacing w:val="0"/>
          <w:sz w:val="24"/>
          <w:szCs w:val="24"/>
          <w:shd w:val="clear" w:fill="FFFFFF"/>
          <w:lang w:val="en-US" w:eastAsia="zh-CN"/>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eastAsia" w:cs="Times New Roman"/>
          <w:b w:val="0"/>
          <w:bCs w:val="0"/>
          <w:i w:val="0"/>
          <w:iCs w:val="0"/>
          <w:caps w:val="0"/>
          <w:spacing w:val="0"/>
          <w:sz w:val="24"/>
          <w:szCs w:val="24"/>
          <w:shd w:val="clear" w:fill="FFFFFF"/>
          <w:lang w:val="en-US" w:eastAsia="zh-CN"/>
        </w:rPr>
        <w:t>之间</w:t>
      </w:r>
      <w:r>
        <w:rPr>
          <w:rFonts w:hint="default" w:ascii="Times New Roman" w:hAnsi="Times New Roman" w:eastAsia="宋体" w:cs="Times New Roman"/>
          <w:i w:val="0"/>
          <w:iCs w:val="0"/>
          <w:caps w:val="0"/>
          <w:spacing w:val="0"/>
          <w:sz w:val="24"/>
          <w:szCs w:val="24"/>
          <w:shd w:val="clear" w:fill="FFFFFF"/>
          <w:lang w:val="en-US" w:eastAsia="zh-CN"/>
        </w:rPr>
        <w:t>；包装印刷业2家企业3次监测，浓度</w:t>
      </w:r>
      <w:r>
        <w:rPr>
          <w:rFonts w:hint="eastAsia" w:cs="Times New Roman"/>
          <w:b w:val="0"/>
          <w:bCs w:val="0"/>
          <w:i w:val="0"/>
          <w:iCs w:val="0"/>
          <w:caps w:val="0"/>
          <w:spacing w:val="0"/>
          <w:sz w:val="24"/>
          <w:szCs w:val="24"/>
          <w:shd w:val="clear" w:fill="FFFFFF"/>
          <w:lang w:val="en-US" w:eastAsia="zh-CN"/>
        </w:rPr>
        <w:t>在</w:t>
      </w:r>
      <w:r>
        <w:rPr>
          <w:rFonts w:hint="default" w:ascii="Times New Roman" w:hAnsi="Times New Roman" w:eastAsia="宋体" w:cs="Times New Roman"/>
          <w:i w:val="0"/>
          <w:iCs w:val="0"/>
          <w:caps w:val="0"/>
          <w:spacing w:val="0"/>
          <w:sz w:val="24"/>
          <w:szCs w:val="24"/>
          <w:shd w:val="clear" w:fill="FFFFFF"/>
          <w:lang w:val="en-US" w:eastAsia="zh-CN"/>
        </w:rPr>
        <w:t>1.36</w:t>
      </w:r>
      <w:r>
        <w:rPr>
          <w:rFonts w:hint="eastAsia" w:cs="Times New Roman"/>
          <w:i w:val="0"/>
          <w:iCs w:val="0"/>
          <w:caps w:val="0"/>
          <w:spacing w:val="0"/>
          <w:sz w:val="24"/>
          <w:szCs w:val="24"/>
          <w:shd w:val="clear" w:fill="FFFFFF"/>
          <w:lang w:val="en-US" w:eastAsia="zh-CN"/>
        </w:rPr>
        <w:t>～</w:t>
      </w:r>
      <w:r>
        <w:rPr>
          <w:rFonts w:hint="default" w:ascii="Times New Roman" w:hAnsi="Times New Roman" w:eastAsia="宋体" w:cs="Times New Roman"/>
          <w:i w:val="0"/>
          <w:iCs w:val="0"/>
          <w:caps w:val="0"/>
          <w:spacing w:val="0"/>
          <w:sz w:val="24"/>
          <w:szCs w:val="24"/>
          <w:shd w:val="clear" w:fill="FFFFFF"/>
          <w:lang w:val="en-US" w:eastAsia="zh-CN"/>
        </w:rPr>
        <w:t>1.92</w:t>
      </w:r>
      <w:r>
        <w:rPr>
          <w:rFonts w:hint="eastAsia" w:cs="Times New Roman"/>
          <w:i w:val="0"/>
          <w:iCs w:val="0"/>
          <w:caps w:val="0"/>
          <w:spacing w:val="0"/>
          <w:sz w:val="24"/>
          <w:szCs w:val="24"/>
          <w:shd w:val="clear" w:fill="FFFFFF"/>
          <w:lang w:val="en-US" w:eastAsia="zh-CN"/>
        </w:rPr>
        <w:t xml:space="preserve"> </w:t>
      </w:r>
      <w:r>
        <w:rPr>
          <w:rFonts w:hint="default" w:ascii="Times New Roman" w:hAnsi="Times New Roman" w:eastAsia="宋体" w:cs="Times New Roman"/>
          <w:i w:val="0"/>
          <w:iCs w:val="0"/>
          <w:caps w:val="0"/>
          <w:spacing w:val="0"/>
          <w:sz w:val="24"/>
          <w:szCs w:val="24"/>
          <w:shd w:val="clear" w:fill="FFFFFF"/>
          <w:lang w:val="en-US" w:eastAsia="zh-CN"/>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eastAsia" w:cs="Times New Roman"/>
          <w:b w:val="0"/>
          <w:bCs w:val="0"/>
          <w:i w:val="0"/>
          <w:iCs w:val="0"/>
          <w:caps w:val="0"/>
          <w:spacing w:val="0"/>
          <w:sz w:val="24"/>
          <w:szCs w:val="24"/>
          <w:shd w:val="clear" w:fill="FFFFFF"/>
          <w:lang w:val="en-US" w:eastAsia="zh-CN"/>
        </w:rPr>
        <w:t>之间</w:t>
      </w:r>
      <w:r>
        <w:rPr>
          <w:rFonts w:hint="default" w:ascii="Times New Roman" w:hAnsi="Times New Roman" w:eastAsia="宋体" w:cs="Times New Roman"/>
          <w:i w:val="0"/>
          <w:iCs w:val="0"/>
          <w:caps w:val="0"/>
          <w:spacing w:val="0"/>
          <w:sz w:val="24"/>
          <w:szCs w:val="24"/>
          <w:shd w:val="clear" w:fill="FFFFFF"/>
          <w:lang w:val="en-US" w:eastAsia="zh-CN"/>
        </w:rPr>
        <w:t>；化学原料和化学制品制造业（C26）1家企业2次监测，浓度</w:t>
      </w:r>
      <w:r>
        <w:rPr>
          <w:rFonts w:hint="eastAsia" w:cs="Times New Roman"/>
          <w:b w:val="0"/>
          <w:bCs w:val="0"/>
          <w:i w:val="0"/>
          <w:iCs w:val="0"/>
          <w:caps w:val="0"/>
          <w:spacing w:val="0"/>
          <w:sz w:val="24"/>
          <w:szCs w:val="24"/>
          <w:shd w:val="clear" w:fill="FFFFFF"/>
          <w:lang w:val="en-US" w:eastAsia="zh-CN"/>
        </w:rPr>
        <w:t>在</w:t>
      </w:r>
      <w:r>
        <w:rPr>
          <w:rFonts w:hint="default" w:ascii="Times New Roman" w:hAnsi="Times New Roman" w:eastAsia="宋体" w:cs="Times New Roman"/>
          <w:i w:val="0"/>
          <w:iCs w:val="0"/>
          <w:caps w:val="0"/>
          <w:spacing w:val="0"/>
          <w:sz w:val="24"/>
          <w:szCs w:val="24"/>
          <w:shd w:val="clear" w:fill="FFFFFF"/>
          <w:lang w:val="en-US" w:eastAsia="zh-CN"/>
        </w:rPr>
        <w:t>1.34</w:t>
      </w:r>
      <w:r>
        <w:rPr>
          <w:rFonts w:hint="eastAsia" w:cs="Times New Roman"/>
          <w:i w:val="0"/>
          <w:iCs w:val="0"/>
          <w:caps w:val="0"/>
          <w:spacing w:val="0"/>
          <w:sz w:val="24"/>
          <w:szCs w:val="24"/>
          <w:shd w:val="clear" w:fill="FFFFFF"/>
          <w:lang w:val="en-US" w:eastAsia="zh-CN"/>
        </w:rPr>
        <w:t>～</w:t>
      </w:r>
      <w:r>
        <w:rPr>
          <w:rFonts w:hint="default" w:ascii="Times New Roman" w:hAnsi="Times New Roman" w:eastAsia="宋体" w:cs="Times New Roman"/>
          <w:i w:val="0"/>
          <w:iCs w:val="0"/>
          <w:caps w:val="0"/>
          <w:spacing w:val="0"/>
          <w:sz w:val="24"/>
          <w:szCs w:val="24"/>
          <w:shd w:val="clear" w:fill="FFFFFF"/>
          <w:lang w:val="en-US" w:eastAsia="zh-CN"/>
        </w:rPr>
        <w:t>2.03</w:t>
      </w:r>
      <w:r>
        <w:rPr>
          <w:rFonts w:hint="eastAsia" w:cs="Times New Roman"/>
          <w:i w:val="0"/>
          <w:iCs w:val="0"/>
          <w:caps w:val="0"/>
          <w:spacing w:val="0"/>
          <w:sz w:val="24"/>
          <w:szCs w:val="24"/>
          <w:shd w:val="clear" w:fill="FFFFFF"/>
          <w:lang w:val="en-US" w:eastAsia="zh-CN"/>
        </w:rPr>
        <w:t xml:space="preserve"> </w:t>
      </w:r>
      <w:r>
        <w:rPr>
          <w:rFonts w:hint="default" w:ascii="Times New Roman" w:hAnsi="Times New Roman" w:eastAsia="宋体" w:cs="Times New Roman"/>
          <w:i w:val="0"/>
          <w:iCs w:val="0"/>
          <w:caps w:val="0"/>
          <w:spacing w:val="0"/>
          <w:sz w:val="24"/>
          <w:szCs w:val="24"/>
          <w:shd w:val="clear" w:fill="FFFFFF"/>
          <w:lang w:val="en-US" w:eastAsia="zh-CN"/>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eastAsia" w:cs="Times New Roman"/>
          <w:b w:val="0"/>
          <w:bCs w:val="0"/>
          <w:i w:val="0"/>
          <w:iCs w:val="0"/>
          <w:caps w:val="0"/>
          <w:spacing w:val="0"/>
          <w:sz w:val="24"/>
          <w:szCs w:val="24"/>
          <w:shd w:val="clear" w:fill="FFFFFF"/>
          <w:lang w:val="en-US" w:eastAsia="zh-CN"/>
        </w:rPr>
        <w:t>之间</w:t>
      </w:r>
      <w:r>
        <w:rPr>
          <w:rFonts w:hint="default" w:ascii="Times New Roman" w:hAnsi="Times New Roman" w:eastAsia="宋体" w:cs="Times New Roman"/>
          <w:i w:val="0"/>
          <w:iCs w:val="0"/>
          <w:caps w:val="0"/>
          <w:spacing w:val="0"/>
          <w:sz w:val="24"/>
          <w:szCs w:val="24"/>
          <w:shd w:val="clear" w:fill="FFFFFF"/>
          <w:lang w:val="en-US" w:eastAsia="zh-CN"/>
        </w:rPr>
        <w:t>，最高值2.03</w:t>
      </w:r>
      <w:r>
        <w:rPr>
          <w:rFonts w:hint="eastAsia" w:cs="Times New Roman"/>
          <w:i w:val="0"/>
          <w:iCs w:val="0"/>
          <w:caps w:val="0"/>
          <w:spacing w:val="0"/>
          <w:sz w:val="24"/>
          <w:szCs w:val="24"/>
          <w:shd w:val="clear" w:fill="FFFFFF"/>
          <w:lang w:val="en-US" w:eastAsia="zh-CN"/>
        </w:rPr>
        <w:t xml:space="preserve"> </w:t>
      </w:r>
      <w:r>
        <w:rPr>
          <w:rFonts w:hint="default" w:ascii="Times New Roman" w:hAnsi="Times New Roman" w:eastAsia="宋体" w:cs="Times New Roman"/>
          <w:i w:val="0"/>
          <w:iCs w:val="0"/>
          <w:caps w:val="0"/>
          <w:spacing w:val="0"/>
          <w:sz w:val="24"/>
          <w:szCs w:val="24"/>
          <w:shd w:val="clear" w:fill="FFFFFF"/>
          <w:lang w:val="en-US" w:eastAsia="zh-CN"/>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宋体" w:cs="Times New Roman"/>
          <w:i w:val="0"/>
          <w:iCs w:val="0"/>
          <w:caps w:val="0"/>
          <w:spacing w:val="0"/>
          <w:sz w:val="24"/>
          <w:szCs w:val="24"/>
          <w:shd w:val="clear" w:fill="FFFFFF"/>
          <w:lang w:val="en-US" w:eastAsia="zh-CN"/>
        </w:rPr>
        <w:t>出现在该行业。</w:t>
      </w:r>
    </w:p>
    <w:p w14:paraId="1AAE8FA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i w:val="0"/>
          <w:iCs w:val="0"/>
          <w:caps w:val="0"/>
          <w:spacing w:val="0"/>
          <w:sz w:val="24"/>
          <w:szCs w:val="24"/>
          <w:shd w:val="clear" w:fill="FFFFFF"/>
          <w:lang w:val="en-US" w:eastAsia="zh-CN"/>
        </w:rPr>
      </w:pPr>
      <w:r>
        <w:rPr>
          <w:rFonts w:hint="default" w:ascii="Times New Roman" w:hAnsi="Times New Roman" w:eastAsia="宋体" w:cs="Times New Roman"/>
          <w:i w:val="0"/>
          <w:iCs w:val="0"/>
          <w:caps w:val="0"/>
          <w:spacing w:val="0"/>
          <w:sz w:val="24"/>
          <w:szCs w:val="24"/>
          <w:shd w:val="clear" w:fill="FFFFFF"/>
          <w:lang w:val="en-US" w:eastAsia="zh-CN"/>
        </w:rPr>
        <w:t>苯系物：浓度范围0</w:t>
      </w:r>
      <w:r>
        <w:rPr>
          <w:rFonts w:hint="eastAsia" w:cs="Times New Roman"/>
          <w:i w:val="0"/>
          <w:iCs w:val="0"/>
          <w:caps w:val="0"/>
          <w:spacing w:val="0"/>
          <w:sz w:val="24"/>
          <w:szCs w:val="24"/>
          <w:shd w:val="clear" w:fill="FFFFFF"/>
          <w:lang w:val="en-US" w:eastAsia="zh-CN"/>
        </w:rPr>
        <w:t>～</w:t>
      </w:r>
      <w:r>
        <w:rPr>
          <w:rFonts w:hint="default" w:ascii="Times New Roman" w:hAnsi="Times New Roman" w:eastAsia="宋体" w:cs="Times New Roman"/>
          <w:i w:val="0"/>
          <w:iCs w:val="0"/>
          <w:caps w:val="0"/>
          <w:spacing w:val="0"/>
          <w:sz w:val="24"/>
          <w:szCs w:val="24"/>
          <w:shd w:val="clear" w:fill="FFFFFF"/>
          <w:lang w:val="en-US" w:eastAsia="zh-CN"/>
        </w:rPr>
        <w:t>0.144</w:t>
      </w:r>
      <w:r>
        <w:rPr>
          <w:rFonts w:hint="eastAsia" w:cs="Times New Roman"/>
          <w:i w:val="0"/>
          <w:iCs w:val="0"/>
          <w:caps w:val="0"/>
          <w:spacing w:val="0"/>
          <w:sz w:val="24"/>
          <w:szCs w:val="24"/>
          <w:shd w:val="clear" w:fill="FFFFFF"/>
          <w:lang w:val="en-US" w:eastAsia="zh-CN"/>
        </w:rPr>
        <w:t xml:space="preserve"> </w:t>
      </w:r>
      <w:r>
        <w:rPr>
          <w:rFonts w:hint="default" w:ascii="Times New Roman" w:hAnsi="Times New Roman" w:eastAsia="宋体" w:cs="Times New Roman"/>
          <w:i w:val="0"/>
          <w:iCs w:val="0"/>
          <w:caps w:val="0"/>
          <w:spacing w:val="0"/>
          <w:sz w:val="24"/>
          <w:szCs w:val="24"/>
          <w:shd w:val="clear" w:fill="FFFFFF"/>
          <w:lang w:val="en-US" w:eastAsia="zh-CN"/>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宋体" w:cs="Times New Roman"/>
          <w:i w:val="0"/>
          <w:iCs w:val="0"/>
          <w:caps w:val="0"/>
          <w:spacing w:val="0"/>
          <w:sz w:val="24"/>
          <w:szCs w:val="24"/>
          <w:shd w:val="clear" w:fill="FFFFFF"/>
          <w:lang w:val="en-US" w:eastAsia="zh-CN"/>
        </w:rPr>
        <w:t>。包装印刷业1家企业1次监测，浓度</w:t>
      </w:r>
      <w:r>
        <w:rPr>
          <w:rFonts w:hint="eastAsia" w:cs="Times New Roman"/>
          <w:i w:val="0"/>
          <w:iCs w:val="0"/>
          <w:caps w:val="0"/>
          <w:spacing w:val="0"/>
          <w:sz w:val="24"/>
          <w:szCs w:val="24"/>
          <w:shd w:val="clear" w:fill="FFFFFF"/>
          <w:lang w:val="en-US" w:eastAsia="zh-CN"/>
        </w:rPr>
        <w:t>为</w:t>
      </w:r>
      <w:r>
        <w:rPr>
          <w:rFonts w:hint="default" w:ascii="Times New Roman" w:hAnsi="Times New Roman" w:eastAsia="宋体" w:cs="Times New Roman"/>
          <w:i w:val="0"/>
          <w:iCs w:val="0"/>
          <w:caps w:val="0"/>
          <w:spacing w:val="0"/>
          <w:sz w:val="24"/>
          <w:szCs w:val="24"/>
          <w:shd w:val="clear" w:fill="FFFFFF"/>
          <w:lang w:val="en-US" w:eastAsia="zh-CN"/>
        </w:rPr>
        <w:t>0.144</w:t>
      </w:r>
      <w:r>
        <w:rPr>
          <w:rFonts w:hint="eastAsia" w:cs="Times New Roman"/>
          <w:i w:val="0"/>
          <w:iCs w:val="0"/>
          <w:caps w:val="0"/>
          <w:spacing w:val="0"/>
          <w:sz w:val="24"/>
          <w:szCs w:val="24"/>
          <w:shd w:val="clear" w:fill="FFFFFF"/>
          <w:lang w:val="en-US" w:eastAsia="zh-CN"/>
        </w:rPr>
        <w:t xml:space="preserve"> </w:t>
      </w:r>
      <w:r>
        <w:rPr>
          <w:rFonts w:hint="default" w:ascii="Times New Roman" w:hAnsi="Times New Roman" w:eastAsia="宋体" w:cs="Times New Roman"/>
          <w:i w:val="0"/>
          <w:iCs w:val="0"/>
          <w:caps w:val="0"/>
          <w:spacing w:val="0"/>
          <w:sz w:val="24"/>
          <w:szCs w:val="24"/>
          <w:shd w:val="clear" w:fill="FFFFFF"/>
          <w:lang w:val="en-US" w:eastAsia="zh-CN"/>
        </w:rPr>
        <w:t>mg/m</w:t>
      </w:r>
      <w:r>
        <w:rPr>
          <w:rFonts w:hint="eastAsia" w:eastAsia="Segoe UI" w:cs="Times New Roman"/>
          <w:i w:val="0"/>
          <w:iCs w:val="0"/>
          <w:caps w:val="0"/>
          <w:color w:val="auto"/>
          <w:spacing w:val="0"/>
          <w:kern w:val="0"/>
          <w:sz w:val="24"/>
          <w:szCs w:val="24"/>
          <w:highlight w:val="none"/>
          <w:shd w:val="clear" w:fill="FFFFFF"/>
          <w:vertAlign w:val="superscript"/>
          <w:lang w:val="en-US" w:eastAsia="zh-CN" w:bidi="ar"/>
        </w:rPr>
        <w:t>3</w:t>
      </w:r>
      <w:r>
        <w:rPr>
          <w:rFonts w:hint="default" w:ascii="Times New Roman" w:hAnsi="Times New Roman" w:eastAsia="宋体" w:cs="Times New Roman"/>
          <w:i w:val="0"/>
          <w:iCs w:val="0"/>
          <w:caps w:val="0"/>
          <w:spacing w:val="0"/>
          <w:sz w:val="24"/>
          <w:szCs w:val="24"/>
          <w:shd w:val="clear" w:fill="FFFFFF"/>
          <w:lang w:val="en-US" w:eastAsia="zh-CN"/>
        </w:rPr>
        <w:t>；橡胶和塑料制造业1家企业6次监测，均未检出</w:t>
      </w:r>
      <w:r>
        <w:rPr>
          <w:rFonts w:hint="eastAsia" w:cs="Times New Roman"/>
          <w:b w:val="0"/>
          <w:i w:val="0"/>
          <w:iCs w:val="0"/>
          <w:color w:val="auto"/>
          <w:kern w:val="0"/>
          <w:sz w:val="24"/>
          <w:szCs w:val="24"/>
          <w:highlight w:val="none"/>
          <w:u w:val="none"/>
          <w:vertAlign w:val="baseline"/>
          <w:lang w:val="en-US" w:eastAsia="zh-CN" w:bidi="ar"/>
        </w:rPr>
        <w:t>，见</w:t>
      </w:r>
      <w:r>
        <w:rPr>
          <w:rFonts w:hint="eastAsia" w:cs="Times New Roman"/>
          <w:b w:val="0"/>
          <w:i w:val="0"/>
          <w:iCs w:val="0"/>
          <w:color w:val="auto"/>
          <w:kern w:val="0"/>
          <w:sz w:val="24"/>
          <w:szCs w:val="24"/>
          <w:highlight w:val="none"/>
          <w:u w:val="none"/>
          <w:vertAlign w:val="baseline"/>
          <w:lang w:val="en-US" w:eastAsia="zh-CN" w:bidi="ar"/>
        </w:rPr>
        <w:fldChar w:fldCharType="begin"/>
      </w:r>
      <w:r>
        <w:rPr>
          <w:rFonts w:hint="eastAsia" w:cs="Times New Roman"/>
          <w:b w:val="0"/>
          <w:i w:val="0"/>
          <w:iCs w:val="0"/>
          <w:color w:val="auto"/>
          <w:kern w:val="0"/>
          <w:sz w:val="24"/>
          <w:szCs w:val="24"/>
          <w:highlight w:val="none"/>
          <w:u w:val="none"/>
          <w:vertAlign w:val="baseline"/>
          <w:lang w:val="en-US" w:eastAsia="zh-CN" w:bidi="ar"/>
        </w:rPr>
        <w:instrText xml:space="preserve"> REF _Ref6430 \h </w:instrText>
      </w:r>
      <w:r>
        <w:rPr>
          <w:rFonts w:hint="eastAsia" w:cs="Times New Roman"/>
          <w:b w:val="0"/>
          <w:i w:val="0"/>
          <w:iCs w:val="0"/>
          <w:color w:val="auto"/>
          <w:kern w:val="0"/>
          <w:sz w:val="24"/>
          <w:szCs w:val="24"/>
          <w:highlight w:val="none"/>
          <w:u w:val="none"/>
          <w:vertAlign w:val="baseline"/>
          <w:lang w:val="en-US" w:eastAsia="zh-CN" w:bidi="ar"/>
        </w:rPr>
        <w:fldChar w:fldCharType="separate"/>
      </w:r>
      <w:r>
        <w:t>表19</w:t>
      </w:r>
      <w:r>
        <w:rPr>
          <w:rFonts w:hint="eastAsia" w:cs="Times New Roman"/>
          <w:b w:val="0"/>
          <w:i w:val="0"/>
          <w:iCs w:val="0"/>
          <w:color w:val="auto"/>
          <w:kern w:val="0"/>
          <w:sz w:val="24"/>
          <w:szCs w:val="24"/>
          <w:highlight w:val="none"/>
          <w:u w:val="none"/>
          <w:vertAlign w:val="baseline"/>
          <w:lang w:val="en-US" w:eastAsia="zh-CN" w:bidi="ar"/>
        </w:rPr>
        <w:fldChar w:fldCharType="end"/>
      </w:r>
      <w:r>
        <w:rPr>
          <w:rFonts w:hint="eastAsia" w:cs="Times New Roman"/>
          <w:b w:val="0"/>
          <w:i w:val="0"/>
          <w:iCs w:val="0"/>
          <w:color w:val="auto"/>
          <w:kern w:val="0"/>
          <w:sz w:val="24"/>
          <w:szCs w:val="24"/>
          <w:highlight w:val="none"/>
          <w:u w:val="none"/>
          <w:vertAlign w:val="baseline"/>
          <w:lang w:val="en-US" w:eastAsia="zh-CN" w:bidi="ar"/>
        </w:rPr>
        <w:t>。</w:t>
      </w:r>
    </w:p>
    <w:p w14:paraId="2AF58060">
      <w:pPr>
        <w:pStyle w:val="129"/>
        <w:shd w:val="clear"/>
        <w:bidi w:val="0"/>
        <w:outlineLvl w:val="4"/>
        <w:rPr>
          <w:rFonts w:hint="default"/>
          <w:lang w:val="en-US" w:eastAsia="zh-CN"/>
        </w:rPr>
      </w:pPr>
      <w:bookmarkStart w:id="121" w:name="_Ref6430"/>
      <w:r>
        <w:t>表</w:t>
      </w:r>
      <w:r>
        <w:fldChar w:fldCharType="begin"/>
      </w:r>
      <w:r>
        <w:instrText xml:space="preserve"> SEQ 表 \* ARABIC </w:instrText>
      </w:r>
      <w:r>
        <w:fldChar w:fldCharType="separate"/>
      </w:r>
      <w:r>
        <w:t>19</w:t>
      </w:r>
      <w:r>
        <w:fldChar w:fldCharType="end"/>
      </w:r>
      <w:bookmarkEnd w:id="121"/>
      <w:r>
        <w:rPr>
          <w:rFonts w:hint="eastAsia"/>
          <w:lang w:val="en-US" w:eastAsia="zh-CN"/>
        </w:rPr>
        <w:t xml:space="preserve"> </w:t>
      </w:r>
      <w:r>
        <w:rPr>
          <w:rFonts w:hint="default"/>
          <w:lang w:val="en-US" w:eastAsia="zh-CN"/>
        </w:rPr>
        <w:t>苯系物的无组织监测数据分布情况</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02"/>
        <w:gridCol w:w="839"/>
        <w:gridCol w:w="2138"/>
        <w:gridCol w:w="937"/>
        <w:gridCol w:w="813"/>
        <w:gridCol w:w="1187"/>
        <w:gridCol w:w="2027"/>
      </w:tblGrid>
      <w:tr w14:paraId="01B1C5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tblHeader/>
        </w:trPr>
        <w:tc>
          <w:tcPr>
            <w:tcW w:w="2314" w:type="pct"/>
            <w:gridSpan w:val="3"/>
            <w:tcBorders>
              <w:tl2br w:val="nil"/>
              <w:tr2bl w:val="nil"/>
            </w:tcBorders>
            <w:shd w:val="clear" w:color="auto" w:fill="FFFFFF"/>
            <w:noWrap/>
            <w:vAlign w:val="center"/>
          </w:tcPr>
          <w:p w14:paraId="181F0A32">
            <w:pPr>
              <w:keepNext/>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行业基本情况</w:t>
            </w:r>
          </w:p>
        </w:tc>
        <w:tc>
          <w:tcPr>
            <w:tcW w:w="506" w:type="pct"/>
            <w:vMerge w:val="restart"/>
            <w:tcBorders>
              <w:tl2br w:val="nil"/>
              <w:tr2bl w:val="nil"/>
            </w:tcBorders>
            <w:shd w:val="clear" w:color="auto" w:fill="FFFFFF"/>
            <w:noWrap/>
            <w:vAlign w:val="center"/>
          </w:tcPr>
          <w:p w14:paraId="6317AD39">
            <w:pPr>
              <w:keepNext/>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企业数量</w:t>
            </w:r>
          </w:p>
        </w:tc>
        <w:tc>
          <w:tcPr>
            <w:tcW w:w="439" w:type="pct"/>
            <w:vMerge w:val="restart"/>
            <w:tcBorders>
              <w:tl2br w:val="nil"/>
              <w:tr2bl w:val="nil"/>
            </w:tcBorders>
            <w:shd w:val="clear" w:color="auto" w:fill="FFFFFF"/>
            <w:noWrap/>
            <w:vAlign w:val="center"/>
          </w:tcPr>
          <w:p w14:paraId="4F4BC45C">
            <w:pPr>
              <w:keepNext/>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监测数据</w:t>
            </w:r>
          </w:p>
        </w:tc>
        <w:tc>
          <w:tcPr>
            <w:tcW w:w="642" w:type="pct"/>
            <w:vMerge w:val="restart"/>
            <w:tcBorders>
              <w:tl2br w:val="nil"/>
              <w:tr2bl w:val="nil"/>
            </w:tcBorders>
            <w:shd w:val="clear" w:color="auto" w:fill="FFFFFF"/>
            <w:noWrap/>
            <w:vAlign w:val="center"/>
          </w:tcPr>
          <w:p w14:paraId="28413CF4">
            <w:pPr>
              <w:keepNext/>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浓度范围</w:t>
            </w:r>
            <w:r>
              <w:rPr>
                <w:rFonts w:hint="default" w:ascii="Times New Roman" w:hAnsi="Times New Roman" w:eastAsia="宋体" w:cs="Times New Roman"/>
                <w:b w:val="0"/>
                <w:i w:val="0"/>
                <w:iCs w:val="0"/>
                <w:color w:val="auto"/>
                <w:kern w:val="0"/>
                <w:sz w:val="18"/>
                <w:szCs w:val="18"/>
                <w:highlight w:val="none"/>
                <w:u w:val="none"/>
                <w:lang w:val="en-US" w:eastAsia="zh-CN" w:bidi="ar"/>
              </w:rPr>
              <w:br w:type="textWrapping"/>
            </w:r>
            <w:r>
              <w:rPr>
                <w:rFonts w:hint="default" w:ascii="Times New Roman" w:hAnsi="Times New Roman" w:eastAsia="宋体" w:cs="Times New Roman"/>
                <w:b w:val="0"/>
                <w:i w:val="0"/>
                <w:iCs w:val="0"/>
                <w:color w:val="auto"/>
                <w:kern w:val="0"/>
                <w:sz w:val="18"/>
                <w:szCs w:val="18"/>
                <w:highlight w:val="none"/>
                <w:u w:val="none"/>
                <w:lang w:val="en-US" w:eastAsia="zh-CN" w:bidi="ar"/>
              </w:rPr>
              <w:t>（mg/m</w:t>
            </w:r>
            <w:r>
              <w:rPr>
                <w:rFonts w:hint="default" w:ascii="Times New Roman" w:hAnsi="Times New Roman" w:eastAsia="宋体" w:cs="Times New Roman"/>
                <w:b w:val="0"/>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b w:val="0"/>
                <w:i w:val="0"/>
                <w:iCs w:val="0"/>
                <w:color w:val="auto"/>
                <w:kern w:val="0"/>
                <w:sz w:val="18"/>
                <w:szCs w:val="18"/>
                <w:highlight w:val="none"/>
                <w:u w:val="none"/>
                <w:lang w:val="en-US" w:eastAsia="zh-CN" w:bidi="ar"/>
              </w:rPr>
              <w:t>）</w:t>
            </w:r>
          </w:p>
        </w:tc>
        <w:tc>
          <w:tcPr>
            <w:tcW w:w="1096" w:type="pct"/>
            <w:vMerge w:val="restart"/>
            <w:tcBorders>
              <w:tl2br w:val="nil"/>
              <w:tr2bl w:val="nil"/>
            </w:tcBorders>
            <w:shd w:val="clear" w:color="auto" w:fill="FFFFFF"/>
            <w:noWrap/>
            <w:vAlign w:val="center"/>
          </w:tcPr>
          <w:p w14:paraId="79C14BA7">
            <w:pPr>
              <w:keepNext/>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涉及设备\工艺</w:t>
            </w:r>
          </w:p>
        </w:tc>
      </w:tr>
      <w:tr w14:paraId="779A5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1" w:hRule="atLeast"/>
          <w:tblHeader/>
        </w:trPr>
        <w:tc>
          <w:tcPr>
            <w:tcW w:w="704" w:type="pct"/>
            <w:tcBorders>
              <w:tl2br w:val="nil"/>
              <w:tr2bl w:val="nil"/>
            </w:tcBorders>
            <w:shd w:val="clear" w:color="auto" w:fill="FFFFFF"/>
            <w:noWrap/>
            <w:vAlign w:val="center"/>
          </w:tcPr>
          <w:p w14:paraId="0935BAF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分类</w:t>
            </w:r>
          </w:p>
        </w:tc>
        <w:tc>
          <w:tcPr>
            <w:tcW w:w="453" w:type="pct"/>
            <w:tcBorders>
              <w:tl2br w:val="nil"/>
              <w:tr2bl w:val="nil"/>
            </w:tcBorders>
            <w:shd w:val="clear" w:color="auto" w:fill="FFFFFF"/>
            <w:noWrap/>
            <w:vAlign w:val="center"/>
          </w:tcPr>
          <w:p w14:paraId="3AFB78B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编码</w:t>
            </w:r>
          </w:p>
        </w:tc>
        <w:tc>
          <w:tcPr>
            <w:tcW w:w="1156" w:type="pct"/>
            <w:tcBorders>
              <w:tl2br w:val="nil"/>
              <w:tr2bl w:val="nil"/>
            </w:tcBorders>
            <w:shd w:val="clear" w:color="auto" w:fill="FFFFFF"/>
            <w:noWrap/>
            <w:vAlign w:val="center"/>
          </w:tcPr>
          <w:p w14:paraId="590F54F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名称</w:t>
            </w:r>
          </w:p>
        </w:tc>
        <w:tc>
          <w:tcPr>
            <w:tcW w:w="506" w:type="pct"/>
            <w:vMerge w:val="continue"/>
            <w:tcBorders>
              <w:tl2br w:val="nil"/>
              <w:tr2bl w:val="nil"/>
            </w:tcBorders>
            <w:shd w:val="clear" w:color="auto" w:fill="FFFFFF"/>
            <w:noWrap/>
            <w:vAlign w:val="center"/>
          </w:tcPr>
          <w:p w14:paraId="0C79773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439" w:type="pct"/>
            <w:vMerge w:val="continue"/>
            <w:tcBorders>
              <w:tl2br w:val="nil"/>
              <w:tr2bl w:val="nil"/>
            </w:tcBorders>
            <w:shd w:val="clear" w:color="auto" w:fill="FFFFFF"/>
            <w:noWrap/>
            <w:vAlign w:val="center"/>
          </w:tcPr>
          <w:p w14:paraId="305C7BE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642" w:type="pct"/>
            <w:vMerge w:val="continue"/>
            <w:tcBorders>
              <w:tl2br w:val="nil"/>
              <w:tr2bl w:val="nil"/>
            </w:tcBorders>
            <w:shd w:val="clear" w:color="auto" w:fill="FFFFFF"/>
            <w:noWrap/>
            <w:vAlign w:val="center"/>
          </w:tcPr>
          <w:p w14:paraId="421A881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c>
          <w:tcPr>
            <w:tcW w:w="1096" w:type="pct"/>
            <w:vMerge w:val="continue"/>
            <w:tcBorders>
              <w:tl2br w:val="nil"/>
              <w:tr2bl w:val="nil"/>
            </w:tcBorders>
            <w:shd w:val="clear" w:color="auto" w:fill="FFFFFF"/>
            <w:noWrap/>
            <w:vAlign w:val="center"/>
          </w:tcPr>
          <w:p w14:paraId="33BC08D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p>
        </w:tc>
      </w:tr>
      <w:tr w14:paraId="6F7BCB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704" w:type="pct"/>
            <w:tcBorders>
              <w:tl2br w:val="nil"/>
              <w:tr2bl w:val="nil"/>
            </w:tcBorders>
            <w:shd w:val="clear" w:color="auto" w:fill="FFFFFF"/>
            <w:noWrap/>
            <w:vAlign w:val="center"/>
          </w:tcPr>
          <w:p w14:paraId="73BF8B0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eastAsia="宋体" w:cs="Times New Roman"/>
                <w:b w:val="0"/>
                <w:i w:val="0"/>
                <w:iCs w:val="0"/>
                <w:color w:val="auto"/>
                <w:sz w:val="18"/>
                <w:szCs w:val="18"/>
                <w:highlight w:val="none"/>
                <w:u w:val="none"/>
                <w:lang w:val="en-US" w:eastAsia="zh-CN"/>
              </w:rPr>
              <w:t>其他有机溶剂</w:t>
            </w:r>
          </w:p>
        </w:tc>
        <w:tc>
          <w:tcPr>
            <w:tcW w:w="453" w:type="pct"/>
            <w:tcBorders>
              <w:tl2br w:val="nil"/>
              <w:tr2bl w:val="nil"/>
            </w:tcBorders>
            <w:shd w:val="clear" w:color="auto" w:fill="FFFFFF"/>
            <w:noWrap/>
            <w:vAlign w:val="center"/>
          </w:tcPr>
          <w:p w14:paraId="1A67709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sz w:val="18"/>
                <w:szCs w:val="18"/>
                <w:highlight w:val="none"/>
                <w:u w:val="none"/>
                <w:lang w:val="en-US" w:eastAsia="zh-CN"/>
              </w:rPr>
              <w:t>C23</w:t>
            </w:r>
          </w:p>
        </w:tc>
        <w:tc>
          <w:tcPr>
            <w:tcW w:w="1156" w:type="pct"/>
            <w:tcBorders>
              <w:tl2br w:val="nil"/>
              <w:tr2bl w:val="nil"/>
            </w:tcBorders>
            <w:shd w:val="clear" w:color="auto" w:fill="FFFFFF"/>
            <w:noWrap/>
            <w:vAlign w:val="center"/>
          </w:tcPr>
          <w:p w14:paraId="237A743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color w:val="auto"/>
                <w:sz w:val="18"/>
                <w:szCs w:val="18"/>
                <w:highlight w:val="none"/>
                <w:lang w:val="en-US" w:eastAsia="zh-CN"/>
              </w:rPr>
              <w:t>包装印刷业</w:t>
            </w:r>
          </w:p>
        </w:tc>
        <w:tc>
          <w:tcPr>
            <w:tcW w:w="506" w:type="pct"/>
            <w:tcBorders>
              <w:tl2br w:val="nil"/>
              <w:tr2bl w:val="nil"/>
            </w:tcBorders>
            <w:shd w:val="clear" w:color="auto" w:fill="FFFFFF"/>
            <w:noWrap/>
            <w:vAlign w:val="center"/>
          </w:tcPr>
          <w:p w14:paraId="712B973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sz w:val="18"/>
                <w:szCs w:val="18"/>
                <w:highlight w:val="none"/>
                <w:u w:val="none"/>
                <w:lang w:val="en-US" w:eastAsia="zh-CN"/>
              </w:rPr>
              <w:t>1</w:t>
            </w:r>
          </w:p>
        </w:tc>
        <w:tc>
          <w:tcPr>
            <w:tcW w:w="439" w:type="pct"/>
            <w:tcBorders>
              <w:tl2br w:val="nil"/>
              <w:tr2bl w:val="nil"/>
            </w:tcBorders>
            <w:shd w:val="clear" w:color="auto" w:fill="FFFFFF"/>
            <w:noWrap/>
            <w:vAlign w:val="center"/>
          </w:tcPr>
          <w:p w14:paraId="0B67198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sz w:val="18"/>
                <w:szCs w:val="18"/>
                <w:highlight w:val="none"/>
                <w:u w:val="none"/>
                <w:lang w:val="en-US" w:eastAsia="zh-CN"/>
              </w:rPr>
              <w:t>1</w:t>
            </w:r>
          </w:p>
        </w:tc>
        <w:tc>
          <w:tcPr>
            <w:tcW w:w="642" w:type="pct"/>
            <w:tcBorders>
              <w:tl2br w:val="nil"/>
              <w:tr2bl w:val="nil"/>
            </w:tcBorders>
            <w:shd w:val="clear" w:color="auto" w:fill="FFFFFF"/>
            <w:noWrap/>
            <w:vAlign w:val="center"/>
          </w:tcPr>
          <w:p w14:paraId="6039BEC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sz w:val="18"/>
                <w:szCs w:val="18"/>
                <w:highlight w:val="none"/>
                <w:u w:val="none"/>
                <w:lang w:val="en-US" w:eastAsia="zh-CN"/>
              </w:rPr>
              <w:t>0.144</w:t>
            </w:r>
          </w:p>
        </w:tc>
        <w:tc>
          <w:tcPr>
            <w:tcW w:w="1096" w:type="pct"/>
            <w:tcBorders>
              <w:tl2br w:val="nil"/>
              <w:tr2bl w:val="nil"/>
            </w:tcBorders>
            <w:shd w:val="clear" w:color="auto" w:fill="FFFFFF"/>
            <w:noWrap/>
            <w:vAlign w:val="center"/>
          </w:tcPr>
          <w:p w14:paraId="77DB259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cs="Times New Roman"/>
                <w:b w:val="0"/>
                <w:i w:val="0"/>
                <w:iCs w:val="0"/>
                <w:color w:val="auto"/>
                <w:sz w:val="18"/>
                <w:szCs w:val="18"/>
                <w:highlight w:val="none"/>
                <w:u w:val="none"/>
                <w:lang w:val="en-US" w:eastAsia="zh-CN"/>
              </w:rPr>
              <w:t>油墨、调配、制版印刷</w:t>
            </w:r>
          </w:p>
        </w:tc>
      </w:tr>
      <w:tr w14:paraId="1860DF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 w:hRule="atLeast"/>
        </w:trPr>
        <w:tc>
          <w:tcPr>
            <w:tcW w:w="704" w:type="pct"/>
            <w:tcBorders>
              <w:tl2br w:val="nil"/>
              <w:tr2bl w:val="nil"/>
            </w:tcBorders>
            <w:shd w:val="clear" w:color="auto" w:fill="FFFFFF"/>
            <w:noWrap/>
            <w:vAlign w:val="center"/>
          </w:tcPr>
          <w:p w14:paraId="23BCA97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化工行业</w:t>
            </w:r>
          </w:p>
        </w:tc>
        <w:tc>
          <w:tcPr>
            <w:tcW w:w="453" w:type="pct"/>
            <w:tcBorders>
              <w:tl2br w:val="nil"/>
              <w:tr2bl w:val="nil"/>
            </w:tcBorders>
            <w:shd w:val="clear" w:color="auto" w:fill="FFFFFF"/>
            <w:noWrap/>
            <w:vAlign w:val="center"/>
          </w:tcPr>
          <w:p w14:paraId="3A6D621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sz w:val="18"/>
                <w:szCs w:val="18"/>
                <w:highlight w:val="none"/>
                <w:u w:val="none"/>
                <w:lang w:val="en-US" w:eastAsia="zh-CN"/>
              </w:rPr>
              <w:t>C29</w:t>
            </w:r>
          </w:p>
        </w:tc>
        <w:tc>
          <w:tcPr>
            <w:tcW w:w="1156" w:type="pct"/>
            <w:tcBorders>
              <w:tl2br w:val="nil"/>
              <w:tr2bl w:val="nil"/>
            </w:tcBorders>
            <w:shd w:val="clear" w:color="auto" w:fill="FFFFFF"/>
            <w:noWrap/>
            <w:vAlign w:val="center"/>
          </w:tcPr>
          <w:p w14:paraId="331B1F8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color w:val="auto"/>
                <w:kern w:val="2"/>
                <w:sz w:val="18"/>
                <w:szCs w:val="18"/>
                <w:highlight w:val="none"/>
                <w:lang w:val="en-US" w:eastAsia="zh-CN" w:bidi="ar-SA"/>
              </w:rPr>
            </w:pPr>
            <w:r>
              <w:rPr>
                <w:rFonts w:hint="default" w:ascii="Times New Roman" w:hAnsi="Times New Roman" w:eastAsia="宋体" w:cs="Times New Roman"/>
                <w:b w:val="0"/>
                <w:color w:val="auto"/>
                <w:sz w:val="18"/>
                <w:szCs w:val="18"/>
                <w:highlight w:val="none"/>
                <w:lang w:val="en-US" w:eastAsia="zh-CN"/>
              </w:rPr>
              <w:t>橡胶和塑料制造业</w:t>
            </w:r>
          </w:p>
        </w:tc>
        <w:tc>
          <w:tcPr>
            <w:tcW w:w="506" w:type="pct"/>
            <w:tcBorders>
              <w:tl2br w:val="nil"/>
              <w:tr2bl w:val="nil"/>
            </w:tcBorders>
            <w:shd w:val="clear" w:color="auto" w:fill="FFFFFF"/>
            <w:noWrap/>
            <w:vAlign w:val="center"/>
          </w:tcPr>
          <w:p w14:paraId="2D82666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1</w:t>
            </w:r>
          </w:p>
        </w:tc>
        <w:tc>
          <w:tcPr>
            <w:tcW w:w="439" w:type="pct"/>
            <w:tcBorders>
              <w:tl2br w:val="nil"/>
              <w:tr2bl w:val="nil"/>
            </w:tcBorders>
            <w:shd w:val="clear" w:color="auto" w:fill="FFFFFF"/>
            <w:noWrap/>
            <w:vAlign w:val="center"/>
          </w:tcPr>
          <w:p w14:paraId="4F5F191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6</w:t>
            </w:r>
          </w:p>
        </w:tc>
        <w:tc>
          <w:tcPr>
            <w:tcW w:w="642" w:type="pct"/>
            <w:tcBorders>
              <w:tl2br w:val="nil"/>
              <w:tr2bl w:val="nil"/>
            </w:tcBorders>
            <w:shd w:val="clear" w:color="auto" w:fill="FFFFFF"/>
            <w:noWrap/>
            <w:vAlign w:val="center"/>
          </w:tcPr>
          <w:p w14:paraId="3DBCEA4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未检出</w:t>
            </w:r>
          </w:p>
        </w:tc>
        <w:tc>
          <w:tcPr>
            <w:tcW w:w="1096" w:type="pct"/>
            <w:tcBorders>
              <w:tl2br w:val="nil"/>
              <w:tr2bl w:val="nil"/>
            </w:tcBorders>
            <w:shd w:val="clear" w:color="auto" w:fill="FFFFFF"/>
            <w:noWrap/>
            <w:vAlign w:val="center"/>
          </w:tcPr>
          <w:p w14:paraId="71ABDA4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w:t>
            </w:r>
          </w:p>
        </w:tc>
      </w:tr>
      <w:tr w14:paraId="18BC1B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704" w:type="pct"/>
            <w:tcBorders>
              <w:tl2br w:val="nil"/>
              <w:tr2bl w:val="nil"/>
            </w:tcBorders>
            <w:shd w:val="clear" w:color="auto" w:fill="FFFFFF"/>
            <w:noWrap/>
            <w:vAlign w:val="center"/>
          </w:tcPr>
          <w:p w14:paraId="3029C6C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合计</w:t>
            </w:r>
          </w:p>
        </w:tc>
        <w:tc>
          <w:tcPr>
            <w:tcW w:w="1610" w:type="pct"/>
            <w:gridSpan w:val="2"/>
            <w:tcBorders>
              <w:tl2br w:val="nil"/>
              <w:tr2bl w:val="nil"/>
            </w:tcBorders>
            <w:shd w:val="clear" w:color="auto" w:fill="FFFFFF"/>
            <w:noWrap/>
            <w:vAlign w:val="center"/>
          </w:tcPr>
          <w:p w14:paraId="1DDC92B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eastAsia" w:cs="Times New Roman"/>
                <w:b w:val="0"/>
                <w:i w:val="0"/>
                <w:iCs w:val="0"/>
                <w:color w:val="auto"/>
                <w:kern w:val="0"/>
                <w:sz w:val="18"/>
                <w:szCs w:val="18"/>
                <w:highlight w:val="none"/>
                <w:u w:val="none"/>
                <w:lang w:val="en-US" w:eastAsia="zh-CN" w:bidi="ar"/>
              </w:rPr>
              <w:t>2</w:t>
            </w:r>
          </w:p>
        </w:tc>
        <w:tc>
          <w:tcPr>
            <w:tcW w:w="506" w:type="pct"/>
            <w:tcBorders>
              <w:tl2br w:val="nil"/>
              <w:tr2bl w:val="nil"/>
            </w:tcBorders>
            <w:shd w:val="clear" w:color="auto" w:fill="FFFFFF"/>
            <w:noWrap/>
            <w:vAlign w:val="center"/>
          </w:tcPr>
          <w:p w14:paraId="347D58C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2</w:t>
            </w:r>
          </w:p>
        </w:tc>
        <w:tc>
          <w:tcPr>
            <w:tcW w:w="439" w:type="pct"/>
            <w:tcBorders>
              <w:tl2br w:val="nil"/>
              <w:tr2bl w:val="nil"/>
            </w:tcBorders>
            <w:shd w:val="clear" w:color="auto" w:fill="FFFFFF"/>
            <w:noWrap/>
            <w:vAlign w:val="center"/>
          </w:tcPr>
          <w:p w14:paraId="6F18335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7</w:t>
            </w:r>
          </w:p>
        </w:tc>
        <w:tc>
          <w:tcPr>
            <w:tcW w:w="642" w:type="pct"/>
            <w:tcBorders>
              <w:tl2br w:val="nil"/>
              <w:tr2bl w:val="nil"/>
            </w:tcBorders>
            <w:shd w:val="clear" w:color="auto" w:fill="FFFFFF"/>
            <w:noWrap/>
            <w:vAlign w:val="center"/>
          </w:tcPr>
          <w:p w14:paraId="099F0EE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default" w:ascii="Times New Roman" w:hAnsi="Times New Roman" w:cs="Times New Roman"/>
                <w:b w:val="0"/>
                <w:i w:val="0"/>
                <w:iCs w:val="0"/>
                <w:color w:val="auto"/>
                <w:sz w:val="18"/>
                <w:szCs w:val="18"/>
                <w:highlight w:val="none"/>
                <w:u w:val="none"/>
                <w:lang w:val="en-US" w:eastAsia="zh-CN"/>
              </w:rPr>
              <w:t>0</w:t>
            </w:r>
            <w:r>
              <w:rPr>
                <w:rFonts w:hint="eastAsia" w:cs="Times New Roman"/>
                <w:b w:val="0"/>
                <w:i w:val="0"/>
                <w:iCs w:val="0"/>
                <w:color w:val="auto"/>
                <w:sz w:val="18"/>
                <w:szCs w:val="18"/>
                <w:highlight w:val="none"/>
                <w:u w:val="none"/>
                <w:lang w:val="en-US" w:eastAsia="zh-CN"/>
              </w:rPr>
              <w:t>～</w:t>
            </w:r>
            <w:r>
              <w:rPr>
                <w:rFonts w:hint="default" w:ascii="Times New Roman" w:hAnsi="Times New Roman" w:cs="Times New Roman"/>
                <w:b w:val="0"/>
                <w:i w:val="0"/>
                <w:iCs w:val="0"/>
                <w:color w:val="auto"/>
                <w:sz w:val="18"/>
                <w:szCs w:val="18"/>
                <w:highlight w:val="none"/>
                <w:u w:val="none"/>
                <w:lang w:val="en-US" w:eastAsia="zh-CN"/>
              </w:rPr>
              <w:t>0.144</w:t>
            </w:r>
          </w:p>
        </w:tc>
        <w:tc>
          <w:tcPr>
            <w:tcW w:w="1096" w:type="pct"/>
            <w:tcBorders>
              <w:tl2br w:val="nil"/>
              <w:tr2bl w:val="nil"/>
            </w:tcBorders>
            <w:shd w:val="clear" w:color="auto" w:fill="FFFFFF"/>
            <w:noWrap/>
            <w:vAlign w:val="bottom"/>
          </w:tcPr>
          <w:p w14:paraId="2EED7B2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bottom"/>
              <w:rPr>
                <w:rFonts w:hint="default" w:ascii="Times New Roman" w:hAnsi="Times New Roman" w:eastAsia="宋体" w:cs="Times New Roman"/>
                <w:b w:val="0"/>
                <w:i w:val="0"/>
                <w:iCs w:val="0"/>
                <w:color w:val="auto"/>
                <w:sz w:val="18"/>
                <w:szCs w:val="18"/>
                <w:highlight w:val="none"/>
                <w:u w:val="none"/>
                <w:lang w:val="en-US" w:eastAsia="zh-CN"/>
              </w:rPr>
            </w:pPr>
            <w:r>
              <w:rPr>
                <w:rFonts w:hint="eastAsia" w:cs="Times New Roman"/>
                <w:b w:val="0"/>
                <w:i w:val="0"/>
                <w:iCs w:val="0"/>
                <w:color w:val="auto"/>
                <w:sz w:val="18"/>
                <w:szCs w:val="18"/>
                <w:highlight w:val="none"/>
                <w:u w:val="none"/>
                <w:lang w:val="en-US" w:eastAsia="zh-CN"/>
              </w:rPr>
              <w:t>/</w:t>
            </w:r>
          </w:p>
        </w:tc>
      </w:tr>
    </w:tbl>
    <w:p w14:paraId="574F2AB0">
      <w:pPr>
        <w:shd w:val="clear"/>
        <w:rPr>
          <w:rFonts w:hint="default" w:ascii="Times New Roman" w:hAnsi="Times New Roman" w:cs="Times New Roman"/>
          <w:color w:val="auto"/>
          <w:sz w:val="24"/>
          <w:szCs w:val="24"/>
          <w:highlight w:val="none"/>
        </w:rPr>
      </w:pPr>
    </w:p>
    <w:p w14:paraId="4CC0E67E">
      <w:pPr>
        <w:pStyle w:val="3"/>
        <w:shd w:val="clear"/>
        <w:bidi w:val="0"/>
        <w:ind w:left="575" w:leftChars="0" w:hanging="575" w:firstLineChars="0"/>
        <w:rPr>
          <w:color w:val="auto"/>
          <w:highlight w:val="none"/>
        </w:rPr>
      </w:pPr>
      <w:bookmarkStart w:id="122" w:name="_Toc18206"/>
      <w:bookmarkStart w:id="123" w:name="_Toc15389"/>
      <w:bookmarkStart w:id="124" w:name="_Toc8699"/>
      <w:bookmarkStart w:id="125" w:name="_Toc5379"/>
      <w:bookmarkStart w:id="126" w:name="_Toc5611"/>
      <w:bookmarkStart w:id="127" w:name="_Toc18702"/>
      <w:r>
        <w:rPr>
          <w:rFonts w:hint="eastAsia"/>
          <w:color w:val="auto"/>
          <w:highlight w:val="none"/>
          <w:lang w:val="en-US" w:eastAsia="zh-CN"/>
        </w:rPr>
        <w:t>挥发性有机物</w:t>
      </w:r>
      <w:r>
        <w:rPr>
          <w:rFonts w:hint="eastAsia"/>
          <w:color w:val="auto"/>
          <w:highlight w:val="none"/>
        </w:rPr>
        <w:t>污染防治技术</w:t>
      </w:r>
      <w:bookmarkEnd w:id="122"/>
      <w:bookmarkEnd w:id="123"/>
      <w:bookmarkEnd w:id="124"/>
      <w:bookmarkEnd w:id="125"/>
      <w:bookmarkEnd w:id="126"/>
      <w:bookmarkEnd w:id="127"/>
    </w:p>
    <w:p w14:paraId="62B56E73">
      <w:pPr>
        <w:pStyle w:val="4"/>
        <w:shd w:val="clear"/>
        <w:bidi w:val="0"/>
        <w:rPr>
          <w:rFonts w:hint="eastAsia"/>
          <w:color w:val="auto"/>
          <w:highlight w:val="none"/>
          <w:lang w:eastAsia="zh-CN"/>
        </w:rPr>
      </w:pPr>
      <w:r>
        <w:rPr>
          <w:rFonts w:hint="eastAsia"/>
          <w:color w:val="auto"/>
          <w:highlight w:val="none"/>
          <w:lang w:val="en-US" w:eastAsia="zh-CN"/>
        </w:rPr>
        <w:t>原辅材料替代技术</w:t>
      </w:r>
    </w:p>
    <w:p w14:paraId="47A548AD">
      <w:pPr>
        <w:shd w:val="clear"/>
        <w:rPr>
          <w:rFonts w:hint="eastAsia" w:eastAsia="宋体"/>
          <w:color w:val="auto"/>
          <w:highlight w:val="none"/>
          <w:lang w:eastAsia="zh-CN"/>
        </w:rPr>
      </w:pPr>
      <w:r>
        <w:rPr>
          <w:rFonts w:hint="eastAsia" w:eastAsia="宋体"/>
          <w:color w:val="auto"/>
          <w:highlight w:val="none"/>
          <w:lang w:eastAsia="zh-CN"/>
        </w:rPr>
        <w:t>有机溶剂等高VOCs原辅材料的使用是VOCs的重要排放来源，为了减少VOCs排放、减轻其对环境及人体健康的危害，可使用水性、粉末、高固体分、无溶剂、辐射固化等低VOCs含量的涂料，水性、辐射固化、植物基等低VOCs含量的油墨，水基、热熔、无溶剂、辐射固化、改性、生物降解等低VOCs含量的胶黏剂，以及低VOCs含量、低反应活性的清洗剂等，替代溶剂型涂料、油墨、胶黏剂、清洗剂等，从源头减少VOCs产生。</w:t>
      </w:r>
    </w:p>
    <w:p w14:paraId="08D1A380">
      <w:pPr>
        <w:shd w:val="clear"/>
        <w:rPr>
          <w:rFonts w:hint="eastAsia" w:eastAsia="宋体"/>
          <w:color w:val="auto"/>
          <w:highlight w:val="none"/>
          <w:lang w:eastAsia="zh-CN"/>
        </w:rPr>
      </w:pPr>
      <w:r>
        <w:rPr>
          <w:rFonts w:hint="eastAsia" w:eastAsia="宋体"/>
          <w:color w:val="auto"/>
          <w:highlight w:val="none"/>
          <w:lang w:eastAsia="zh-CN"/>
        </w:rPr>
        <w:t>大力推广使用低VOCs含量木器涂料、车辆涂料、机械设备涂料等；推广使用低VOCs含量油墨和胶黏剂，鼓励加快低VOCs含量涂料、油墨、胶黏剂等的研发和生产。鼓励企业采用符合国家有关低VOCs含量产品规定的涂料、油墨、胶黏剂等，排放浓度稳定达标且排放速率、排放绩效等满足国家相关规定的，相应生产工序可不要求建设末端治理设施。使用的原辅材料VOCs含量(质量比)低于10%的工序，可不要求采取无组织排放收集措施。</w:t>
      </w:r>
    </w:p>
    <w:p w14:paraId="42D1599D">
      <w:pPr>
        <w:pStyle w:val="4"/>
        <w:shd w:val="clear"/>
        <w:bidi w:val="0"/>
        <w:rPr>
          <w:rFonts w:hint="eastAsia"/>
          <w:color w:val="auto"/>
          <w:highlight w:val="none"/>
          <w:lang w:eastAsia="zh-CN"/>
        </w:rPr>
      </w:pPr>
      <w:r>
        <w:rPr>
          <w:rFonts w:hint="eastAsia"/>
          <w:color w:val="auto"/>
          <w:highlight w:val="none"/>
        </w:rPr>
        <w:t>设备或工艺革新技术</w:t>
      </w:r>
    </w:p>
    <w:p w14:paraId="27FE1AEF">
      <w:pPr>
        <w:rPr>
          <w:rFonts w:hint="eastAsia"/>
          <w:color w:val="auto"/>
          <w:highlight w:val="none"/>
        </w:rPr>
      </w:pPr>
      <w:r>
        <w:rPr>
          <w:rFonts w:hint="eastAsia"/>
          <w:color w:val="auto"/>
          <w:highlight w:val="none"/>
          <w:lang w:val="en-US" w:eastAsia="zh-CN"/>
        </w:rPr>
        <w:t>设</w:t>
      </w:r>
      <w:r>
        <w:rPr>
          <w:rFonts w:hint="eastAsia"/>
          <w:color w:val="auto"/>
          <w:highlight w:val="none"/>
        </w:rPr>
        <w:t>备或工艺革新技术包括自动喷涂技术、静电喷涂技术、辊涂/淋涂技术和辊胶技术。</w:t>
      </w:r>
      <w:r>
        <w:rPr>
          <w:rFonts w:hint="eastAsia"/>
          <w:color w:val="auto"/>
          <w:highlight w:val="none"/>
          <w:lang w:val="en-US" w:eastAsia="zh-CN"/>
        </w:rPr>
        <w:t>工业涂装</w:t>
      </w:r>
      <w:r>
        <w:rPr>
          <w:rFonts w:hint="eastAsia"/>
          <w:color w:val="auto"/>
          <w:highlight w:val="none"/>
        </w:rPr>
        <w:t>常用的自动喷涂设备有机械手、机器人和往复式自动喷涂箱等。与人工喷涂相比，该技术喷涂速度稳定，涂层均匀，可将涂料利用率提高至50%以上，可减少涂料用量和VOCs产生总量。静电喷涂技术主要适用于粉末喷涂工序</w:t>
      </w:r>
      <w:r>
        <w:rPr>
          <w:rFonts w:hint="eastAsia"/>
          <w:color w:val="auto"/>
          <w:highlight w:val="none"/>
          <w:lang w:val="en-US" w:eastAsia="zh-CN"/>
        </w:rPr>
        <w:t>和</w:t>
      </w:r>
      <w:r>
        <w:rPr>
          <w:rFonts w:hint="eastAsia"/>
          <w:color w:val="auto"/>
          <w:highlight w:val="none"/>
        </w:rPr>
        <w:t>液体涂料喷涂。与人工喷涂相比，该技术可将涂料利用率提高至60%以上，可减少涂料用量和VOCs产生总量。辊涂技术主要适用于底涂工序，淋涂技术适用于底涂和面涂工序。与人工喷涂相比，该技术可将涂料利用率提高至90%以上，无漆雾产生。辊涂/淋涂技术主要适用于UV固化涂料。辊胶技术涂胶均匀，胶粘剂的利用率一般可达90%以上。</w:t>
      </w:r>
    </w:p>
    <w:p w14:paraId="4522C543">
      <w:pPr>
        <w:pStyle w:val="4"/>
        <w:shd w:val="clear"/>
        <w:bidi w:val="0"/>
        <w:rPr>
          <w:rFonts w:hint="eastAsia"/>
          <w:color w:val="auto"/>
          <w:highlight w:val="none"/>
          <w:lang w:eastAsia="zh-CN"/>
        </w:rPr>
      </w:pPr>
      <w:r>
        <w:rPr>
          <w:rFonts w:hint="eastAsia"/>
          <w:color w:val="auto"/>
          <w:highlight w:val="none"/>
          <w:lang w:val="en-US" w:eastAsia="zh-CN"/>
        </w:rPr>
        <w:t>过程控制技术</w:t>
      </w:r>
    </w:p>
    <w:p w14:paraId="10D483A0">
      <w:pPr>
        <w:rPr>
          <w:rFonts w:hint="eastAsia"/>
          <w:color w:val="auto"/>
          <w:highlight w:val="none"/>
          <w:lang w:val="en-US" w:eastAsia="zh-CN"/>
        </w:rPr>
      </w:pPr>
      <w:r>
        <w:rPr>
          <w:rFonts w:hint="eastAsia"/>
          <w:color w:val="auto"/>
          <w:highlight w:val="none"/>
          <w:lang w:val="en-US" w:eastAsia="zh-CN"/>
        </w:rPr>
        <w:t>通过采用全密闭、连续化、自动化等生产技术，以及高效工艺与设备等，减少工艺过程无组织排放。对于涉及VOCs排放的各行业，净化系统的完善在治理工程中具有重要作用。VOCs废气局部排气净化系统主要由集气罩、风管、净化设备、通风机、排气管等组成。VOCs废气收集系统的输送管道应密闭，其系统应在负压下运行，若处于正压状态，应对输送管道组件的密封点进行泄漏检测。对于应急排口，阀门泄漏率不应大于0.5%，且应处于常闭状态，还应定期检查确保风阀开关动作的有效性。为使局部排气净化系统正常运行，根据处理对象的不同（如含尘气体、有毒有害气体、高温烟气、易燃易爆气体等），在净化系统中还应增设必要的设备和部件。</w:t>
      </w:r>
    </w:p>
    <w:p w14:paraId="26E34388">
      <w:pPr>
        <w:pStyle w:val="4"/>
        <w:shd w:val="clear"/>
        <w:bidi w:val="0"/>
        <w:rPr>
          <w:rFonts w:hint="eastAsia"/>
          <w:color w:val="auto"/>
          <w:highlight w:val="none"/>
          <w:lang w:eastAsia="zh-CN"/>
        </w:rPr>
      </w:pPr>
      <w:r>
        <w:rPr>
          <w:rFonts w:hint="eastAsia"/>
          <w:color w:val="auto"/>
          <w:highlight w:val="none"/>
          <w:lang w:val="en-US" w:eastAsia="zh-CN"/>
        </w:rPr>
        <w:t>末端治理技术</w:t>
      </w:r>
    </w:p>
    <w:p w14:paraId="7EDDF762">
      <w:pPr>
        <w:shd w:val="clear"/>
        <w:rPr>
          <w:rFonts w:hint="eastAsia"/>
          <w:color w:val="auto"/>
          <w:highlight w:val="none"/>
        </w:rPr>
      </w:pPr>
      <w:r>
        <w:rPr>
          <w:rFonts w:hint="eastAsia"/>
          <w:color w:val="auto"/>
          <w:highlight w:val="none"/>
        </w:rPr>
        <w:t>VOCs末端治理技术，主要分为：回收技术</w:t>
      </w:r>
      <w:r>
        <w:rPr>
          <w:rFonts w:hint="eastAsia"/>
          <w:color w:val="auto"/>
          <w:highlight w:val="none"/>
          <w:lang w:eastAsia="zh-CN"/>
        </w:rPr>
        <w:t>（</w:t>
      </w:r>
      <w:r>
        <w:rPr>
          <w:rFonts w:hint="eastAsia"/>
          <w:color w:val="auto"/>
          <w:highlight w:val="none"/>
        </w:rPr>
        <w:t>冷凝、膜分离、吸附、吸收</w:t>
      </w:r>
      <w:r>
        <w:rPr>
          <w:rFonts w:hint="eastAsia"/>
          <w:color w:val="auto"/>
          <w:highlight w:val="none"/>
          <w:lang w:eastAsia="zh-CN"/>
        </w:rPr>
        <w:t>）</w:t>
      </w:r>
      <w:r>
        <w:rPr>
          <w:rFonts w:hint="eastAsia"/>
          <w:color w:val="auto"/>
          <w:highlight w:val="none"/>
        </w:rPr>
        <w:t>和销毁技术</w:t>
      </w:r>
      <w:r>
        <w:rPr>
          <w:rFonts w:hint="eastAsia"/>
          <w:color w:val="auto"/>
          <w:highlight w:val="none"/>
          <w:lang w:eastAsia="zh-CN"/>
        </w:rPr>
        <w:t>（</w:t>
      </w:r>
      <w:r>
        <w:rPr>
          <w:rFonts w:hint="eastAsia"/>
          <w:color w:val="auto"/>
          <w:highlight w:val="none"/>
        </w:rPr>
        <w:t>生物处理、热力燃烧、催化燃烧、低温等离子体及联合处理等方法</w:t>
      </w:r>
      <w:r>
        <w:rPr>
          <w:rFonts w:hint="eastAsia"/>
          <w:color w:val="auto"/>
          <w:highlight w:val="none"/>
          <w:lang w:eastAsia="zh-CN"/>
        </w:rPr>
        <w:t>）</w:t>
      </w:r>
      <w:r>
        <w:rPr>
          <w:rFonts w:hint="eastAsia"/>
          <w:color w:val="auto"/>
          <w:highlight w:val="none"/>
        </w:rPr>
        <w:t>。</w:t>
      </w:r>
      <w:r>
        <w:rPr>
          <w:rFonts w:hint="eastAsia"/>
          <w:color w:val="auto"/>
          <w:highlight w:val="none"/>
          <w:lang w:val="en-US" w:eastAsia="zh-CN"/>
        </w:rPr>
        <w:t>其中，</w:t>
      </w:r>
      <w:r>
        <w:rPr>
          <w:rFonts w:hint="eastAsia"/>
          <w:color w:val="auto"/>
          <w:highlight w:val="none"/>
        </w:rPr>
        <w:t>吸附、催化燃烧及生物处理等技术在</w:t>
      </w:r>
      <w:r>
        <w:rPr>
          <w:rFonts w:hint="eastAsia"/>
          <w:color w:val="auto"/>
          <w:highlight w:val="none"/>
          <w:lang w:val="en-US" w:eastAsia="zh-CN"/>
        </w:rPr>
        <w:t>具</w:t>
      </w:r>
      <w:r>
        <w:rPr>
          <w:rFonts w:hint="eastAsia"/>
          <w:color w:val="auto"/>
          <w:highlight w:val="none"/>
        </w:rPr>
        <w:t>有较高的市场占比。</w:t>
      </w:r>
    </w:p>
    <w:p w14:paraId="65552061">
      <w:pPr>
        <w:pStyle w:val="5"/>
        <w:bidi w:val="0"/>
        <w:ind w:left="0" w:leftChars="0" w:firstLine="0" w:firstLineChars="0"/>
        <w:rPr>
          <w:rFonts w:hint="eastAsia"/>
          <w:lang w:eastAsia="zh-CN"/>
        </w:rPr>
      </w:pPr>
      <w:r>
        <w:rPr>
          <w:rFonts w:hint="eastAsia"/>
          <w:lang w:val="en-US" w:eastAsia="zh-CN"/>
        </w:rPr>
        <w:t>吸附法</w:t>
      </w:r>
    </w:p>
    <w:p w14:paraId="687FF517">
      <w:pPr>
        <w:shd w:val="clear"/>
        <w:rPr>
          <w:rFonts w:hint="eastAsia"/>
          <w:color w:val="auto"/>
          <w:highlight w:val="none"/>
          <w:lang w:val="en-US" w:eastAsia="zh-CN"/>
        </w:rPr>
      </w:pPr>
      <w:r>
        <w:rPr>
          <w:rFonts w:hint="eastAsia"/>
          <w:color w:val="auto"/>
          <w:highlight w:val="none"/>
        </w:rPr>
        <w:t>吸附法是目前VOCs治理过程中应用较为普遍的一种方法，具有成本低、适用范围广等优点</w:t>
      </w:r>
      <w:r>
        <w:rPr>
          <w:rFonts w:hint="eastAsia"/>
          <w:color w:val="auto"/>
          <w:highlight w:val="none"/>
          <w:lang w:eastAsia="zh-CN"/>
        </w:rPr>
        <w:t>。</w:t>
      </w:r>
      <w:r>
        <w:rPr>
          <w:rFonts w:hint="eastAsia"/>
          <w:color w:val="auto"/>
          <w:highlight w:val="none"/>
        </w:rPr>
        <w:t>VOCs吸附技术是指含VOCs的气态混合物与多孔性固体接触，利用固体表面存在的未平衡的分子吸引力或化学键力，把混合气体中VOCs组分吸附在固体表面，从而使气流得到净化。吸附过程常采用两个吸附器，一个吸附时，另一个脱附再生，以保证过程的连续性，经吸附器吸附后的气体可直接排出系统。</w:t>
      </w:r>
      <w:r>
        <w:rPr>
          <w:rFonts w:hint="eastAsia"/>
          <w:color w:val="auto"/>
          <w:highlight w:val="none"/>
          <w:lang w:val="en-US" w:eastAsia="zh-CN"/>
        </w:rPr>
        <w:t>吸附法在VOCs污染控制方面具有明显的优点，能耗低、工艺成熟、去除率高、净化彻底、易于推广、设备简单、操作灵活，是有效且经济的回收技术之一。吸附技术的缺点是设备庞大、流程复杂、吸附剂需要再生，且当废气中有胶粒物质或其他杂质时，吸附剂易失效。</w:t>
      </w:r>
    </w:p>
    <w:p w14:paraId="2C96A332">
      <w:pPr>
        <w:rPr>
          <w:rFonts w:hint="eastAsia"/>
          <w:color w:val="auto"/>
          <w:highlight w:val="none"/>
          <w:lang w:val="en-US" w:eastAsia="zh-CN"/>
        </w:rPr>
      </w:pPr>
      <w:r>
        <w:rPr>
          <w:rFonts w:hint="eastAsia"/>
          <w:color w:val="auto"/>
          <w:highlight w:val="none"/>
          <w:lang w:val="en-US" w:eastAsia="zh-CN"/>
        </w:rPr>
        <w:t>活性炭吸附法适用于大风量、低浓度、温度不高的有机废气治理，广泛应用于工业涂装、印刷等行业对有机溶剂的回收及处理。活性炭吸附材料通过解吸而循环利用，脱附的VOCs可通过燃烧法VOCs治理技术进行销毁。</w:t>
      </w:r>
    </w:p>
    <w:p w14:paraId="41036F9C">
      <w:pPr>
        <w:pStyle w:val="4"/>
        <w:shd w:val="clear"/>
        <w:bidi w:val="0"/>
        <w:rPr>
          <w:rFonts w:hint="eastAsia"/>
          <w:color w:val="auto"/>
          <w:highlight w:val="none"/>
          <w:lang w:eastAsia="zh-CN"/>
        </w:rPr>
      </w:pPr>
      <w:r>
        <w:rPr>
          <w:rFonts w:hint="eastAsia"/>
          <w:color w:val="auto"/>
          <w:highlight w:val="none"/>
          <w:lang w:eastAsia="zh-CN"/>
        </w:rPr>
        <w:t>燃烧法</w:t>
      </w:r>
    </w:p>
    <w:p w14:paraId="376B5F8D">
      <w:pPr>
        <w:rPr>
          <w:rFonts w:hint="eastAsia"/>
          <w:color w:val="auto"/>
          <w:highlight w:val="none"/>
        </w:rPr>
      </w:pPr>
      <w:r>
        <w:rPr>
          <w:rFonts w:hint="eastAsia"/>
          <w:color w:val="auto"/>
          <w:highlight w:val="none"/>
        </w:rPr>
        <w:t>燃烧法VOCs治理技术主要包括热力燃烧技术（Thermal Oxidation，TO）、蓄热燃烧技术（Regenerative Thermal Oxidation，RTO）、催化燃烧技术（Catalytic Oxidation，CO）和蓄热催化燃烧技术（Regenerative Catalytic Oxidation，RCO）。</w:t>
      </w:r>
    </w:p>
    <w:p w14:paraId="5E6B4B71">
      <w:pPr>
        <w:rPr>
          <w:rFonts w:hint="eastAsia"/>
          <w:color w:val="auto"/>
          <w:highlight w:val="none"/>
          <w:lang w:eastAsia="zh-CN"/>
        </w:rPr>
      </w:pPr>
      <w:r>
        <w:rPr>
          <w:rFonts w:hint="eastAsia"/>
          <w:color w:val="auto"/>
          <w:highlight w:val="none"/>
          <w:lang w:eastAsia="zh-CN"/>
        </w:rPr>
        <w:t>热力燃烧法（</w:t>
      </w:r>
      <w:r>
        <w:rPr>
          <w:rFonts w:hint="eastAsia"/>
          <w:color w:val="auto"/>
          <w:highlight w:val="none"/>
          <w:lang w:val="en-US" w:eastAsia="zh-CN"/>
        </w:rPr>
        <w:t>TO</w:t>
      </w:r>
      <w:r>
        <w:rPr>
          <w:rFonts w:hint="eastAsia"/>
          <w:color w:val="auto"/>
          <w:highlight w:val="none"/>
          <w:lang w:eastAsia="zh-CN"/>
        </w:rPr>
        <w:t>）在设备制造、化工、塑料、石油等行业应用较广泛。热力燃烧法适用于可燃有机物质含量较低废气的净化处理。由于可燃有机物质含量往往较低，本身不能维持燃烧，因此燃烧时须投加辅助燃料。热力燃烧法适用于气体流量为2000～10000</w:t>
      </w:r>
      <w:r>
        <w:rPr>
          <w:rFonts w:hint="eastAsia"/>
          <w:color w:val="auto"/>
          <w:highlight w:val="none"/>
          <w:lang w:val="en-US" w:eastAsia="zh-CN"/>
        </w:rPr>
        <w:t xml:space="preserve"> </w:t>
      </w:r>
      <w:r>
        <w:rPr>
          <w:rFonts w:hint="eastAsia"/>
          <w:color w:val="auto"/>
          <w:highlight w:val="none"/>
          <w:lang w:eastAsia="zh-CN"/>
        </w:rPr>
        <w:t>m³/h、挥发性有机物体积分数为0.01%～0.2%的情况。</w:t>
      </w:r>
    </w:p>
    <w:p w14:paraId="76618310">
      <w:pPr>
        <w:rPr>
          <w:rFonts w:hint="eastAsia"/>
          <w:color w:val="auto"/>
          <w:highlight w:val="none"/>
          <w:lang w:eastAsia="zh-CN"/>
        </w:rPr>
      </w:pPr>
      <w:r>
        <w:rPr>
          <w:rFonts w:hint="eastAsia"/>
          <w:color w:val="auto"/>
          <w:highlight w:val="none"/>
          <w:lang w:eastAsia="zh-CN"/>
        </w:rPr>
        <w:t>蓄热式热力燃烧技术（RTO）广泛应用于涂装、印刷等领域的有机废气净化。</w:t>
      </w:r>
    </w:p>
    <w:p w14:paraId="3F7797F1">
      <w:pPr>
        <w:rPr>
          <w:rFonts w:hint="eastAsia" w:eastAsia="宋体"/>
          <w:color w:val="auto"/>
          <w:highlight w:val="none"/>
          <w:lang w:eastAsia="zh-CN"/>
        </w:rPr>
      </w:pPr>
      <w:r>
        <w:rPr>
          <w:rFonts w:hint="eastAsia"/>
          <w:color w:val="auto"/>
          <w:highlight w:val="none"/>
        </w:rPr>
        <w:t>催化燃烧法</w:t>
      </w:r>
      <w:r>
        <w:rPr>
          <w:rFonts w:hint="eastAsia"/>
          <w:color w:val="auto"/>
          <w:highlight w:val="none"/>
          <w:lang w:eastAsia="zh-CN"/>
        </w:rPr>
        <w:t>（</w:t>
      </w:r>
      <w:r>
        <w:rPr>
          <w:rFonts w:hint="eastAsia"/>
          <w:color w:val="auto"/>
          <w:highlight w:val="none"/>
          <w:lang w:val="en-US" w:eastAsia="zh-CN"/>
        </w:rPr>
        <w:t>CO</w:t>
      </w:r>
      <w:r>
        <w:rPr>
          <w:rFonts w:hint="eastAsia"/>
          <w:color w:val="auto"/>
          <w:highlight w:val="none"/>
          <w:lang w:eastAsia="zh-CN"/>
        </w:rPr>
        <w:t>）</w:t>
      </w:r>
      <w:r>
        <w:rPr>
          <w:rFonts w:hint="eastAsia"/>
          <w:color w:val="auto"/>
          <w:highlight w:val="none"/>
          <w:lang w:val="en-US" w:eastAsia="zh-CN"/>
        </w:rPr>
        <w:t>广泛</w:t>
      </w:r>
      <w:r>
        <w:rPr>
          <w:rFonts w:hint="eastAsia"/>
          <w:color w:val="auto"/>
          <w:highlight w:val="none"/>
        </w:rPr>
        <w:t>用于金属印刷、漆包线、油漆、涂布等行业中有机废气的处理，特别</w:t>
      </w:r>
      <w:r>
        <w:rPr>
          <w:rFonts w:hint="eastAsia"/>
          <w:color w:val="auto"/>
          <w:highlight w:val="none"/>
          <w:lang w:val="en-US" w:eastAsia="zh-CN"/>
        </w:rPr>
        <w:t>是</w:t>
      </w:r>
      <w:r>
        <w:rPr>
          <w:rFonts w:hint="eastAsia"/>
          <w:color w:val="auto"/>
          <w:highlight w:val="none"/>
        </w:rPr>
        <w:t>在漆包线、绝缘材料和印刷等生产过程中排出的烘干废气，因废气温度较高、有机</w:t>
      </w:r>
      <w:r>
        <w:rPr>
          <w:rFonts w:hint="eastAsia"/>
          <w:color w:val="auto"/>
          <w:highlight w:val="none"/>
          <w:lang w:val="en-US" w:eastAsia="zh-CN"/>
        </w:rPr>
        <w:t>质</w:t>
      </w:r>
      <w:r>
        <w:rPr>
          <w:rFonts w:hint="eastAsia"/>
          <w:color w:val="auto"/>
          <w:highlight w:val="none"/>
        </w:rPr>
        <w:t>较高，对燃烧反应及热量回收有利。家具制造工业采用的典型治理技术路线为“吸附浓缩+CO”。催化燃烧技术主要适用于使用溶剂型涂料的家具制造企业或集中式喷漆工厂的VOCs治理。该技术反应温度低、不产生热力型氮氧化物，VOCs去除效率通常可达95%以上</w:t>
      </w:r>
      <w:r>
        <w:rPr>
          <w:rFonts w:hint="eastAsia"/>
          <w:color w:val="auto"/>
          <w:highlight w:val="none"/>
          <w:lang w:eastAsia="zh-CN"/>
        </w:rPr>
        <w:t>。</w:t>
      </w:r>
    </w:p>
    <w:p w14:paraId="7F296BB2">
      <w:pPr>
        <w:rPr>
          <w:rFonts w:hint="eastAsia"/>
          <w:color w:val="auto"/>
          <w:highlight w:val="none"/>
          <w:lang w:eastAsia="zh-CN"/>
        </w:rPr>
      </w:pPr>
      <w:r>
        <w:rPr>
          <w:rFonts w:hint="eastAsia"/>
          <w:color w:val="auto"/>
          <w:highlight w:val="none"/>
          <w:lang w:eastAsia="zh-CN"/>
        </w:rPr>
        <w:t>蓄热催化燃烧技术（</w:t>
      </w:r>
      <w:r>
        <w:rPr>
          <w:rFonts w:hint="eastAsia"/>
          <w:color w:val="auto"/>
          <w:highlight w:val="none"/>
          <w:lang w:val="en-US" w:eastAsia="zh-CN"/>
        </w:rPr>
        <w:t>RCO</w:t>
      </w:r>
      <w:r>
        <w:rPr>
          <w:rFonts w:hint="eastAsia"/>
          <w:color w:val="auto"/>
          <w:highlight w:val="none"/>
          <w:lang w:eastAsia="zh-CN"/>
        </w:rPr>
        <w:t>）主要适用于使用溶剂型涂料的家具制造企业或集中式喷漆工厂的VOCs治理。家具制造工业采用的典型治理技术路线为“吸附浓缩+RCO”。该技术反应温度低、不产生热力型氮氧化物。RCO的VOCs去除效率通常可达95%以上。RCO投资成本较高，但与CO相比运行费用较低。</w:t>
      </w:r>
    </w:p>
    <w:p w14:paraId="467FB667">
      <w:pPr>
        <w:rPr>
          <w:rFonts w:hint="eastAsia"/>
          <w:color w:val="auto"/>
          <w:highlight w:val="none"/>
          <w:lang w:eastAsia="zh-CN"/>
        </w:rPr>
      </w:pPr>
      <w:r>
        <w:rPr>
          <w:rFonts w:hint="eastAsia"/>
          <w:color w:val="auto"/>
          <w:highlight w:val="none"/>
        </w:rPr>
        <w:t>燃烧技术一般不单独采用，宜与吸附技术配合使用。</w:t>
      </w:r>
      <w:r>
        <w:rPr>
          <w:rFonts w:hint="eastAsia"/>
          <w:color w:val="auto"/>
          <w:highlight w:val="none"/>
          <w:lang w:eastAsia="zh-CN"/>
        </w:rPr>
        <w:t>吸附浓缩一催化氧化技术使用范围广，VOCs去除效率高，是目前我国喷涂、印刷等行业大风量、低浓度有机废气治理的主流技术。</w:t>
      </w:r>
    </w:p>
    <w:p w14:paraId="1CA4B92F">
      <w:pPr>
        <w:pStyle w:val="4"/>
        <w:shd w:val="clear"/>
        <w:bidi w:val="0"/>
        <w:rPr>
          <w:rFonts w:hint="eastAsia"/>
          <w:color w:val="auto"/>
          <w:highlight w:val="none"/>
          <w:lang w:eastAsia="zh-CN"/>
        </w:rPr>
      </w:pPr>
      <w:r>
        <w:rPr>
          <w:rFonts w:hint="eastAsia"/>
          <w:color w:val="auto"/>
          <w:highlight w:val="none"/>
          <w:lang w:eastAsia="zh-CN"/>
        </w:rPr>
        <w:t>VOCs生物控制技术</w:t>
      </w:r>
    </w:p>
    <w:p w14:paraId="2C8B33D4">
      <w:pPr>
        <w:shd w:val="clear"/>
        <w:rPr>
          <w:rFonts w:hint="eastAsia"/>
          <w:color w:val="auto"/>
          <w:highlight w:val="none"/>
          <w:lang w:val="en-US" w:eastAsia="zh-CN"/>
        </w:rPr>
      </w:pPr>
      <w:r>
        <w:rPr>
          <w:rFonts w:hint="eastAsia"/>
          <w:color w:val="auto"/>
          <w:highlight w:val="none"/>
        </w:rPr>
        <w:t>VOCs生物控制技术</w:t>
      </w:r>
      <w:r>
        <w:rPr>
          <w:rFonts w:hint="eastAsia"/>
          <w:color w:val="auto"/>
          <w:highlight w:val="none"/>
          <w:lang w:val="en-US" w:eastAsia="zh-CN"/>
        </w:rPr>
        <w:t>是指</w:t>
      </w:r>
      <w:r>
        <w:rPr>
          <w:rFonts w:hint="eastAsia"/>
          <w:color w:val="auto"/>
          <w:highlight w:val="none"/>
        </w:rPr>
        <w:t>气体中的VOCs经过传质过程(气液接触表面或通过膜)进入微生物悬液或生物膜中，在好氧条件下VOCs大部分被微生物降解为水和二氧化碳，小部分转化为剩余菌体。</w:t>
      </w:r>
      <w:r>
        <w:rPr>
          <w:rFonts w:hint="eastAsia"/>
          <w:color w:val="auto"/>
          <w:highlight w:val="none"/>
          <w:lang w:val="en-US" w:eastAsia="zh-CN"/>
        </w:rPr>
        <w:t>主要包括生物滤池、生物滴滤等技术。</w:t>
      </w:r>
    </w:p>
    <w:p w14:paraId="28782A7A">
      <w:pPr>
        <w:pStyle w:val="2"/>
        <w:shd w:val="clear"/>
        <w:rPr>
          <w:color w:val="auto"/>
          <w:highlight w:val="none"/>
        </w:rPr>
      </w:pPr>
      <w:bookmarkStart w:id="128" w:name="_Toc24218"/>
      <w:bookmarkStart w:id="129" w:name="_Toc27247"/>
      <w:bookmarkStart w:id="130" w:name="_Toc14506"/>
      <w:bookmarkStart w:id="131" w:name="_Toc9911"/>
      <w:bookmarkStart w:id="132" w:name="_Toc22416"/>
      <w:bookmarkStart w:id="133" w:name="_Toc20891"/>
      <w:r>
        <w:rPr>
          <w:rFonts w:hint="eastAsia"/>
          <w:color w:val="auto"/>
          <w:highlight w:val="none"/>
          <w:lang w:val="en-US" w:eastAsia="zh-CN"/>
        </w:rPr>
        <w:t>标准制订的基本原则和技术路线</w:t>
      </w:r>
      <w:bookmarkEnd w:id="128"/>
      <w:bookmarkEnd w:id="129"/>
      <w:bookmarkEnd w:id="130"/>
      <w:bookmarkEnd w:id="131"/>
      <w:bookmarkEnd w:id="132"/>
      <w:bookmarkEnd w:id="133"/>
    </w:p>
    <w:p w14:paraId="4F729535">
      <w:pPr>
        <w:pStyle w:val="3"/>
        <w:shd w:val="clear"/>
        <w:bidi w:val="0"/>
        <w:ind w:left="575" w:leftChars="0" w:hanging="575" w:firstLineChars="0"/>
        <w:rPr>
          <w:color w:val="auto"/>
          <w:highlight w:val="none"/>
        </w:rPr>
      </w:pPr>
      <w:bookmarkStart w:id="134" w:name="_Toc7093"/>
      <w:bookmarkStart w:id="135" w:name="_Toc12952"/>
      <w:bookmarkStart w:id="136" w:name="_Toc32068"/>
      <w:bookmarkStart w:id="137" w:name="_Toc27255"/>
      <w:bookmarkStart w:id="138" w:name="_Toc22673"/>
      <w:bookmarkStart w:id="139" w:name="_Toc18075"/>
      <w:bookmarkStart w:id="140" w:name="_Toc59640128"/>
      <w:r>
        <w:rPr>
          <w:rFonts w:hint="eastAsia"/>
          <w:color w:val="auto"/>
          <w:highlight w:val="none"/>
        </w:rPr>
        <w:t>编制原则</w:t>
      </w:r>
      <w:bookmarkEnd w:id="134"/>
      <w:bookmarkEnd w:id="135"/>
      <w:bookmarkEnd w:id="136"/>
      <w:bookmarkEnd w:id="137"/>
      <w:bookmarkEnd w:id="138"/>
      <w:bookmarkEnd w:id="139"/>
    </w:p>
    <w:p w14:paraId="09C6AB51">
      <w:pPr>
        <w:shd w:val="clear"/>
        <w:ind w:firstLine="422"/>
        <w:rPr>
          <w:color w:val="auto"/>
          <w:highlight w:val="none"/>
        </w:rPr>
      </w:pPr>
      <w:r>
        <w:rPr>
          <w:b/>
          <w:color w:val="auto"/>
          <w:highlight w:val="none"/>
        </w:rPr>
        <w:t>1、与国家相关法律法规和标准相衔接。</w:t>
      </w:r>
      <w:r>
        <w:rPr>
          <w:rFonts w:hint="eastAsia"/>
          <w:color w:val="auto"/>
          <w:highlight w:val="none"/>
        </w:rPr>
        <w:t>以</w:t>
      </w:r>
      <w:r>
        <w:rPr>
          <w:color w:val="auto"/>
          <w:highlight w:val="none"/>
        </w:rPr>
        <w:t>国家及</w:t>
      </w:r>
      <w:r>
        <w:rPr>
          <w:rFonts w:hint="eastAsia"/>
          <w:color w:val="auto"/>
          <w:highlight w:val="none"/>
          <w:lang w:eastAsia="zh-CN"/>
        </w:rPr>
        <w:t>湖南</w:t>
      </w:r>
      <w:r>
        <w:rPr>
          <w:color w:val="auto"/>
          <w:highlight w:val="none"/>
        </w:rPr>
        <w:t>省环境保护相关法律、法规、政策和规章为依据</w:t>
      </w:r>
      <w:r>
        <w:rPr>
          <w:rFonts w:hint="eastAsia"/>
          <w:color w:val="auto"/>
          <w:highlight w:val="none"/>
        </w:rPr>
        <w:t>，</w:t>
      </w:r>
      <w:r>
        <w:rPr>
          <w:color w:val="auto"/>
          <w:highlight w:val="none"/>
        </w:rPr>
        <w:t>符合《</w:t>
      </w:r>
      <w:r>
        <w:rPr>
          <w:rFonts w:hint="eastAsia"/>
          <w:color w:val="auto"/>
          <w:highlight w:val="none"/>
        </w:rPr>
        <w:t>生态</w:t>
      </w:r>
      <w:r>
        <w:rPr>
          <w:color w:val="auto"/>
          <w:highlight w:val="none"/>
        </w:rPr>
        <w:t>环境标准管理办法》《地方环境质量标准和污染物排放标准备案管理办法》的相关要求</w:t>
      </w:r>
      <w:r>
        <w:rPr>
          <w:rFonts w:hint="eastAsia"/>
          <w:color w:val="auto"/>
          <w:highlight w:val="none"/>
        </w:rPr>
        <w:t>，参照《国家大气污染物排放标准制订技术导则》（H</w:t>
      </w:r>
      <w:r>
        <w:rPr>
          <w:color w:val="auto"/>
          <w:highlight w:val="none"/>
        </w:rPr>
        <w:t>J</w:t>
      </w:r>
      <w:r>
        <w:rPr>
          <w:rFonts w:hint="eastAsia"/>
          <w:color w:val="auto"/>
          <w:highlight w:val="none"/>
          <w:lang w:val="en-US" w:eastAsia="zh-CN"/>
        </w:rPr>
        <w:t xml:space="preserve"> </w:t>
      </w:r>
      <w:r>
        <w:rPr>
          <w:color w:val="auto"/>
          <w:highlight w:val="none"/>
        </w:rPr>
        <w:t>945.1—2018</w:t>
      </w:r>
      <w:r>
        <w:rPr>
          <w:rFonts w:hint="eastAsia"/>
          <w:color w:val="auto"/>
          <w:highlight w:val="none"/>
        </w:rPr>
        <w:t>）《制定地方大气污染物排放标准的原则与方法》（G</w:t>
      </w:r>
      <w:r>
        <w:rPr>
          <w:color w:val="auto"/>
          <w:highlight w:val="none"/>
        </w:rPr>
        <w:t>B/T</w:t>
      </w:r>
      <w:r>
        <w:rPr>
          <w:rFonts w:hint="eastAsia"/>
          <w:color w:val="auto"/>
          <w:highlight w:val="none"/>
          <w:lang w:val="en-US" w:eastAsia="zh-CN"/>
        </w:rPr>
        <w:t xml:space="preserve"> </w:t>
      </w:r>
      <w:r>
        <w:rPr>
          <w:color w:val="auto"/>
          <w:highlight w:val="none"/>
        </w:rPr>
        <w:t>3840—1991</w:t>
      </w:r>
      <w:r>
        <w:rPr>
          <w:rFonts w:hint="eastAsia"/>
          <w:color w:val="auto"/>
          <w:highlight w:val="none"/>
        </w:rPr>
        <w:t>）等技术文件要求开展标准制订</w:t>
      </w:r>
      <w:r>
        <w:rPr>
          <w:color w:val="auto"/>
          <w:highlight w:val="none"/>
        </w:rPr>
        <w:t>。</w:t>
      </w:r>
    </w:p>
    <w:p w14:paraId="21C28475">
      <w:pPr>
        <w:shd w:val="clear"/>
        <w:ind w:firstLine="422"/>
        <w:rPr>
          <w:rFonts w:hint="eastAsia"/>
          <w:color w:val="auto"/>
          <w:highlight w:val="none"/>
        </w:rPr>
      </w:pPr>
      <w:r>
        <w:rPr>
          <w:b/>
          <w:color w:val="auto"/>
          <w:highlight w:val="none"/>
        </w:rPr>
        <w:t>2、</w:t>
      </w:r>
      <w:r>
        <w:rPr>
          <w:rFonts w:hint="eastAsia"/>
          <w:b/>
          <w:color w:val="auto"/>
          <w:highlight w:val="none"/>
        </w:rPr>
        <w:t>落实地方环境质量改善需求</w:t>
      </w:r>
      <w:r>
        <w:rPr>
          <w:b/>
          <w:color w:val="auto"/>
          <w:highlight w:val="none"/>
        </w:rPr>
        <w:t>。</w:t>
      </w:r>
      <w:r>
        <w:rPr>
          <w:rFonts w:hint="eastAsia"/>
          <w:color w:val="auto"/>
          <w:highlight w:val="none"/>
        </w:rPr>
        <w:t>紧扣</w:t>
      </w:r>
      <w:r>
        <w:rPr>
          <w:rFonts w:hint="eastAsia"/>
          <w:color w:val="auto"/>
          <w:highlight w:val="none"/>
          <w:lang w:eastAsia="zh-CN"/>
        </w:rPr>
        <w:t>湖南</w:t>
      </w:r>
      <w:r>
        <w:rPr>
          <w:rFonts w:hint="eastAsia"/>
          <w:color w:val="auto"/>
          <w:highlight w:val="none"/>
        </w:rPr>
        <w:t>省环境空气质量改善需求，在充分调研了解行业排污现状的基础上，提出标准项目限值要求，积极促进行业污染物减排，为改善环境空气质量，防范环境风险提供技术支撑。</w:t>
      </w:r>
    </w:p>
    <w:p w14:paraId="225B7703">
      <w:pPr>
        <w:shd w:val="clear"/>
        <w:ind w:firstLine="422"/>
        <w:rPr>
          <w:rFonts w:hint="eastAsia"/>
          <w:color w:val="auto"/>
          <w:highlight w:val="none"/>
        </w:rPr>
      </w:pPr>
      <w:r>
        <w:rPr>
          <w:b/>
          <w:color w:val="auto"/>
          <w:highlight w:val="none"/>
        </w:rPr>
        <w:t>3、</w:t>
      </w:r>
      <w:r>
        <w:rPr>
          <w:rFonts w:hint="eastAsia"/>
          <w:b/>
          <w:color w:val="auto"/>
          <w:highlight w:val="none"/>
        </w:rPr>
        <w:t>强化挥发性有机物等重点污染物管控</w:t>
      </w:r>
      <w:r>
        <w:rPr>
          <w:b/>
          <w:color w:val="auto"/>
          <w:highlight w:val="none"/>
        </w:rPr>
        <w:t>。</w:t>
      </w:r>
      <w:r>
        <w:rPr>
          <w:rFonts w:hint="eastAsia"/>
          <w:color w:val="auto"/>
          <w:highlight w:val="none"/>
        </w:rPr>
        <w:t>加强对挥发性有机物、苯系物等有毒有害重点污染物的管控，针对行业排污现状提出控制限值。</w:t>
      </w:r>
    </w:p>
    <w:p w14:paraId="1A32E0B5">
      <w:pPr>
        <w:shd w:val="clear"/>
        <w:ind w:firstLine="422"/>
        <w:rPr>
          <w:color w:val="auto"/>
          <w:highlight w:val="none"/>
        </w:rPr>
      </w:pPr>
      <w:r>
        <w:rPr>
          <w:rFonts w:hint="eastAsia"/>
          <w:b/>
          <w:color w:val="auto"/>
          <w:highlight w:val="none"/>
          <w:lang w:val="en-US" w:eastAsia="zh-CN"/>
        </w:rPr>
        <w:t>4</w:t>
      </w:r>
      <w:r>
        <w:rPr>
          <w:b/>
          <w:color w:val="auto"/>
          <w:highlight w:val="none"/>
        </w:rPr>
        <w:t>、</w:t>
      </w:r>
      <w:r>
        <w:rPr>
          <w:rFonts w:hint="eastAsia"/>
          <w:b/>
          <w:bCs/>
          <w:color w:val="auto"/>
          <w:highlight w:val="none"/>
          <w:lang w:eastAsia="zh-CN"/>
        </w:rPr>
        <w:t>推动低VOCs含量原辅材料和产品源头替代。</w:t>
      </w:r>
      <w:r>
        <w:rPr>
          <w:rFonts w:hint="eastAsia"/>
          <w:color w:val="auto"/>
          <w:highlight w:val="none"/>
          <w:lang w:eastAsia="zh-CN"/>
        </w:rPr>
        <w:t>严格执行VOCs含量限值标准，严格控制生产和使用高VOCs含量原辅材料建设项目。以工业涂装、包装印刷、家具制造和电子行业等为重点，指导企业制定低（无）VOCs含量原辅材料替代计划，大力推动“应替尽替”。</w:t>
      </w:r>
    </w:p>
    <w:p w14:paraId="2BECEAE8">
      <w:pPr>
        <w:shd w:val="clear"/>
        <w:ind w:firstLine="422"/>
        <w:rPr>
          <w:color w:val="auto"/>
          <w:highlight w:val="none"/>
        </w:rPr>
      </w:pPr>
      <w:r>
        <w:rPr>
          <w:rFonts w:hint="eastAsia"/>
          <w:b/>
          <w:color w:val="auto"/>
          <w:highlight w:val="none"/>
          <w:lang w:val="en-US" w:eastAsia="zh-CN"/>
        </w:rPr>
        <w:t>5</w:t>
      </w:r>
      <w:r>
        <w:rPr>
          <w:b/>
          <w:color w:val="auto"/>
          <w:highlight w:val="none"/>
        </w:rPr>
        <w:t>、</w:t>
      </w:r>
      <w:r>
        <w:rPr>
          <w:rFonts w:hint="eastAsia"/>
          <w:b/>
          <w:color w:val="auto"/>
          <w:highlight w:val="none"/>
        </w:rPr>
        <w:t>充分考虑标准控制限值的技术经济可行性</w:t>
      </w:r>
      <w:r>
        <w:rPr>
          <w:b/>
          <w:color w:val="auto"/>
          <w:highlight w:val="none"/>
        </w:rPr>
        <w:t>。</w:t>
      </w:r>
      <w:r>
        <w:rPr>
          <w:color w:val="auto"/>
          <w:highlight w:val="none"/>
        </w:rPr>
        <w:t>按照省内具有代表性先进企业所能达到的污染物治理水平</w:t>
      </w:r>
      <w:r>
        <w:rPr>
          <w:rFonts w:hint="eastAsia"/>
          <w:color w:val="auto"/>
          <w:highlight w:val="none"/>
        </w:rPr>
        <w:t>以及</w:t>
      </w:r>
      <w:r>
        <w:rPr>
          <w:color w:val="auto"/>
          <w:highlight w:val="none"/>
        </w:rPr>
        <w:t>国内外先进污染物治理技术和管理水平为依据，制订排放标准</w:t>
      </w:r>
      <w:r>
        <w:rPr>
          <w:rFonts w:hint="eastAsia"/>
          <w:color w:val="auto"/>
          <w:highlight w:val="none"/>
        </w:rPr>
        <w:t>限值。</w:t>
      </w:r>
    </w:p>
    <w:p w14:paraId="3F8867A1">
      <w:pPr>
        <w:shd w:val="clear"/>
        <w:ind w:firstLine="422"/>
        <w:rPr>
          <w:color w:val="auto"/>
          <w:highlight w:val="none"/>
        </w:rPr>
      </w:pPr>
      <w:r>
        <w:rPr>
          <w:rFonts w:hint="eastAsia"/>
          <w:b/>
          <w:color w:val="auto"/>
          <w:highlight w:val="none"/>
          <w:lang w:val="en-US" w:eastAsia="zh-CN"/>
        </w:rPr>
        <w:t>6</w:t>
      </w:r>
      <w:r>
        <w:rPr>
          <w:rFonts w:hint="eastAsia"/>
          <w:b/>
          <w:color w:val="auto"/>
          <w:highlight w:val="none"/>
        </w:rPr>
        <w:t>、加强行业无组织逸散等排污管理。</w:t>
      </w:r>
      <w:r>
        <w:rPr>
          <w:rFonts w:hint="eastAsia"/>
          <w:color w:val="auto"/>
          <w:highlight w:val="none"/>
        </w:rPr>
        <w:t>加强</w:t>
      </w:r>
      <w:r>
        <w:rPr>
          <w:rFonts w:hint="eastAsia"/>
          <w:color w:val="auto"/>
          <w:highlight w:val="none"/>
          <w:lang w:val="en-US" w:eastAsia="zh-CN"/>
        </w:rPr>
        <w:t>挥发性有机物的使用环节的管理，增加对</w:t>
      </w:r>
      <w:r>
        <w:rPr>
          <w:rFonts w:hint="eastAsia"/>
          <w:color w:val="auto"/>
          <w:highlight w:val="none"/>
        </w:rPr>
        <w:t>对车间外、厂界等无组织逸散环境大气污染物</w:t>
      </w:r>
      <w:r>
        <w:rPr>
          <w:rFonts w:hint="eastAsia"/>
          <w:color w:val="auto"/>
          <w:highlight w:val="none"/>
          <w:lang w:val="en-US" w:eastAsia="zh-CN"/>
        </w:rPr>
        <w:t>控制限值</w:t>
      </w:r>
      <w:r>
        <w:rPr>
          <w:rFonts w:hint="eastAsia"/>
          <w:color w:val="auto"/>
          <w:highlight w:val="none"/>
        </w:rPr>
        <w:t>，尽量减少对周边环境空气质量的影响。</w:t>
      </w:r>
    </w:p>
    <w:p w14:paraId="7D2C33B0">
      <w:pPr>
        <w:pStyle w:val="3"/>
        <w:shd w:val="clear"/>
        <w:bidi w:val="0"/>
        <w:ind w:left="575" w:leftChars="0" w:hanging="575" w:firstLineChars="0"/>
        <w:rPr>
          <w:color w:val="auto"/>
          <w:highlight w:val="none"/>
        </w:rPr>
      </w:pPr>
      <w:bookmarkStart w:id="141" w:name="_Toc30574"/>
      <w:bookmarkStart w:id="142" w:name="_Toc1476"/>
      <w:bookmarkStart w:id="143" w:name="_Toc14292"/>
      <w:bookmarkStart w:id="144" w:name="_Toc9051"/>
      <w:bookmarkStart w:id="145" w:name="_Toc3985"/>
      <w:bookmarkStart w:id="146" w:name="_Toc31732"/>
      <w:r>
        <w:rPr>
          <w:rFonts w:hint="eastAsia"/>
          <w:color w:val="auto"/>
          <w:highlight w:val="none"/>
          <w:lang w:eastAsia="zh-CN"/>
        </w:rPr>
        <w:t>标准定位</w:t>
      </w:r>
      <w:bookmarkEnd w:id="141"/>
      <w:bookmarkEnd w:id="142"/>
      <w:bookmarkEnd w:id="143"/>
      <w:bookmarkEnd w:id="144"/>
      <w:bookmarkEnd w:id="145"/>
      <w:bookmarkEnd w:id="146"/>
    </w:p>
    <w:p w14:paraId="0D2A1175">
      <w:pPr>
        <w:shd w:val="clear"/>
        <w:rPr>
          <w:rFonts w:hint="eastAsia"/>
          <w:color w:val="auto"/>
          <w:highlight w:val="none"/>
          <w:lang w:eastAsia="zh-CN"/>
        </w:rPr>
      </w:pPr>
      <w:r>
        <w:rPr>
          <w:rFonts w:hint="eastAsia"/>
          <w:color w:val="auto"/>
          <w:highlight w:val="none"/>
          <w:lang w:eastAsia="zh-CN"/>
        </w:rPr>
        <w:t>根据《生态环境标准管理办法》（生态环境部令第17号），大气污染物排放标准按适用对象分为行业型、综合型、通用型三种类型。其中，行业型污染物排放标准适用于特定行业或者产品污染源的排放控制；综合型污染物排放标准适用于行业型污染物排放标准适用范围以外的其他行业污染源的排放控制；通用型污染物排放标准适用于跨行业通用生产工艺、设备、操作过程或者特定污染物、特定排放方式的排放控制。从标准执行顺序来看，</w:t>
      </w:r>
      <w:r>
        <w:rPr>
          <w:rFonts w:hint="eastAsia"/>
          <w:color w:val="auto"/>
          <w:highlight w:val="none"/>
        </w:rPr>
        <w:t>行业型污染物排放标准优先于综合型和通用型污染物排放标准</w:t>
      </w:r>
      <w:r>
        <w:rPr>
          <w:rFonts w:hint="eastAsia"/>
          <w:color w:val="auto"/>
          <w:highlight w:val="none"/>
          <w:lang w:eastAsia="zh-CN"/>
        </w:rPr>
        <w:t>，但对于行业型或综合型污染物排放标准均未规定的项目，应当执行通用型污染物排放标准的相关规定。</w:t>
      </w:r>
    </w:p>
    <w:p w14:paraId="116D5594">
      <w:pPr>
        <w:shd w:val="clear"/>
        <w:rPr>
          <w:rFonts w:hint="default"/>
          <w:color w:val="auto"/>
          <w:highlight w:val="none"/>
          <w:lang w:val="en-US" w:eastAsia="zh-CN"/>
        </w:rPr>
      </w:pPr>
      <w:r>
        <w:rPr>
          <w:rFonts w:hint="eastAsia"/>
          <w:color w:val="auto"/>
          <w:highlight w:val="none"/>
          <w:lang w:eastAsia="zh-CN"/>
        </w:rPr>
        <w:t>本标准主要规定挥发性有机物的排放控制要求，属于通用型地方大气污染物排放标准。</w:t>
      </w:r>
      <w:r>
        <w:rPr>
          <w:rFonts w:hint="eastAsia"/>
          <w:color w:val="auto"/>
          <w:highlight w:val="none"/>
          <w:lang w:val="en-US" w:eastAsia="zh-CN"/>
        </w:rPr>
        <w:t>本文件未管控的项目（含源项、污染物项目、控制指标等），执行国家相关排放标准的规定。</w:t>
      </w:r>
      <w:r>
        <w:rPr>
          <w:rFonts w:hint="eastAsia"/>
          <w:color w:val="auto"/>
          <w:highlight w:val="none"/>
          <w:lang w:eastAsia="zh-CN"/>
        </w:rPr>
        <w:t>除印刷</w:t>
      </w:r>
      <w:r>
        <w:rPr>
          <w:rFonts w:hint="eastAsia"/>
          <w:color w:val="auto"/>
          <w:highlight w:val="none"/>
          <w:lang w:val="en-US" w:eastAsia="zh-CN"/>
        </w:rPr>
        <w:t>和铸造</w:t>
      </w:r>
      <w:r>
        <w:rPr>
          <w:rFonts w:hint="eastAsia"/>
          <w:color w:val="auto"/>
          <w:highlight w:val="none"/>
          <w:lang w:eastAsia="zh-CN"/>
        </w:rPr>
        <w:t>外，其他有国家行业污染物排放标准的行业，按国家行业污染物排放标准执行。</w:t>
      </w:r>
    </w:p>
    <w:p w14:paraId="1131571E">
      <w:pPr>
        <w:pStyle w:val="3"/>
        <w:shd w:val="clear"/>
        <w:bidi w:val="0"/>
        <w:ind w:left="575" w:leftChars="0" w:hanging="575" w:firstLineChars="0"/>
        <w:rPr>
          <w:color w:val="auto"/>
          <w:highlight w:val="none"/>
        </w:rPr>
      </w:pPr>
      <w:bookmarkStart w:id="147" w:name="_Toc22163"/>
      <w:bookmarkStart w:id="148" w:name="_Toc7751"/>
      <w:bookmarkStart w:id="149" w:name="_Toc27327"/>
      <w:bookmarkStart w:id="150" w:name="_Toc9461"/>
      <w:bookmarkStart w:id="151" w:name="_Toc19017"/>
      <w:bookmarkStart w:id="152" w:name="_Toc15537"/>
      <w:bookmarkStart w:id="153" w:name="_Toc9559"/>
      <w:bookmarkStart w:id="154" w:name="_Toc21449"/>
      <w:r>
        <w:rPr>
          <w:rFonts w:hint="eastAsia"/>
          <w:color w:val="auto"/>
          <w:highlight w:val="none"/>
        </w:rPr>
        <w:t>标准制修订技术路线</w:t>
      </w:r>
      <w:bookmarkEnd w:id="147"/>
      <w:bookmarkEnd w:id="148"/>
      <w:bookmarkEnd w:id="149"/>
      <w:bookmarkEnd w:id="150"/>
      <w:bookmarkEnd w:id="151"/>
      <w:bookmarkEnd w:id="152"/>
    </w:p>
    <w:p w14:paraId="49016ABF">
      <w:pPr>
        <w:shd w:val="clear"/>
        <w:ind w:firstLine="420"/>
        <w:rPr>
          <w:rFonts w:hint="eastAsia"/>
          <w:color w:val="auto"/>
          <w:highlight w:val="none"/>
        </w:rPr>
      </w:pPr>
      <w:r>
        <w:rPr>
          <w:rFonts w:hint="eastAsia"/>
          <w:color w:val="auto"/>
          <w:highlight w:val="none"/>
        </w:rPr>
        <w:t>依据《国家大气污染物排放标准制订技术导则》（HJ</w:t>
      </w:r>
      <w:r>
        <w:rPr>
          <w:rFonts w:hint="eastAsia"/>
          <w:color w:val="auto"/>
          <w:highlight w:val="none"/>
          <w:lang w:val="en-US" w:eastAsia="zh-CN"/>
        </w:rPr>
        <w:t xml:space="preserve"> </w:t>
      </w:r>
      <w:r>
        <w:rPr>
          <w:rFonts w:hint="eastAsia"/>
          <w:color w:val="auto"/>
          <w:highlight w:val="none"/>
        </w:rPr>
        <w:t>945.1—2018）《制定地方大气污染物排放标准的原则与方法》（GB/T</w:t>
      </w:r>
      <w:r>
        <w:rPr>
          <w:rFonts w:hint="eastAsia"/>
          <w:color w:val="auto"/>
          <w:highlight w:val="none"/>
          <w:lang w:val="en-US" w:eastAsia="zh-CN"/>
        </w:rPr>
        <w:t xml:space="preserve"> </w:t>
      </w:r>
      <w:r>
        <w:rPr>
          <w:rFonts w:hint="eastAsia"/>
          <w:color w:val="auto"/>
          <w:highlight w:val="none"/>
        </w:rPr>
        <w:t>3840—1991）等要求，本标准制修订技术路线图</w:t>
      </w:r>
      <w:r>
        <w:rPr>
          <w:rFonts w:hint="eastAsia"/>
          <w:color w:val="auto"/>
          <w:highlight w:val="none"/>
          <w:lang w:val="en-US" w:eastAsia="zh-CN"/>
        </w:rPr>
        <w:t>见</w:t>
      </w:r>
      <w:r>
        <w:rPr>
          <w:rFonts w:hint="eastAsia"/>
          <w:color w:val="auto"/>
          <w:highlight w:val="none"/>
          <w:lang w:val="en-US" w:eastAsia="zh-CN"/>
        </w:rPr>
        <w:fldChar w:fldCharType="begin"/>
      </w:r>
      <w:r>
        <w:rPr>
          <w:rFonts w:hint="eastAsia"/>
          <w:color w:val="auto"/>
          <w:highlight w:val="none"/>
          <w:lang w:val="en-US" w:eastAsia="zh-CN"/>
        </w:rPr>
        <w:instrText xml:space="preserve"> REF _Ref6930 \h </w:instrText>
      </w:r>
      <w:r>
        <w:rPr>
          <w:rFonts w:hint="eastAsia"/>
          <w:color w:val="auto"/>
          <w:highlight w:val="none"/>
          <w:lang w:val="en-US" w:eastAsia="zh-CN"/>
        </w:rPr>
        <w:fldChar w:fldCharType="separate"/>
      </w:r>
      <w:r>
        <w:rPr>
          <w:rFonts w:hint="default" w:ascii="Times New Roman" w:hAnsi="Times New Roman" w:cs="Times New Roman"/>
          <w:color w:val="000000" w:themeColor="text1"/>
          <w:lang w:eastAsia="zh-CN"/>
          <w14:textFill>
            <w14:solidFill>
              <w14:schemeClr w14:val="tx1"/>
            </w14:solidFill>
          </w14:textFill>
        </w:rPr>
        <w:t>图</w:t>
      </w:r>
      <w:r>
        <w:rPr>
          <w:rFonts w:hint="default" w:ascii="Times New Roman" w:hAnsi="Times New Roman" w:cs="Times New Roman"/>
          <w:color w:val="000000" w:themeColor="text1"/>
          <w14:textFill>
            <w14:solidFill>
              <w14:schemeClr w14:val="tx1"/>
            </w14:solidFill>
          </w14:textFill>
        </w:rPr>
        <w:t>13</w:t>
      </w:r>
      <w:r>
        <w:rPr>
          <w:rFonts w:hint="eastAsia"/>
          <w:color w:val="auto"/>
          <w:highlight w:val="none"/>
          <w:lang w:val="en-US" w:eastAsia="zh-CN"/>
        </w:rPr>
        <w:fldChar w:fldCharType="end"/>
      </w:r>
      <w:r>
        <w:rPr>
          <w:rFonts w:hint="eastAsia"/>
          <w:color w:val="auto"/>
          <w:highlight w:val="none"/>
        </w:rPr>
        <w:t>。</w:t>
      </w:r>
    </w:p>
    <w:p w14:paraId="6063115E">
      <w:pPr>
        <w:shd w:val="clear"/>
        <w:ind w:firstLine="420"/>
        <w:rPr>
          <w:rFonts w:hint="eastAsia"/>
          <w:color w:val="auto"/>
          <w:highlight w:val="none"/>
        </w:rPr>
      </w:pPr>
    </w:p>
    <w:p w14:paraId="21E92EA4">
      <w:pPr>
        <w:pStyle w:val="130"/>
        <w:shd w:val="clear"/>
        <w:bidi w:val="0"/>
        <w:ind w:leftChars="0"/>
        <w:jc w:val="center"/>
        <w:outlineLvl w:val="4"/>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drawing>
          <wp:anchor distT="0" distB="0" distL="114935" distR="114935" simplePos="0" relativeHeight="251661312" behindDoc="0" locked="0" layoutInCell="1" allowOverlap="1">
            <wp:simplePos x="0" y="0"/>
            <wp:positionH relativeFrom="column">
              <wp:posOffset>-267335</wp:posOffset>
            </wp:positionH>
            <wp:positionV relativeFrom="paragraph">
              <wp:posOffset>303530</wp:posOffset>
            </wp:positionV>
            <wp:extent cx="5953760" cy="4836160"/>
            <wp:effectExtent l="0" t="0" r="8890" b="2540"/>
            <wp:wrapTopAndBottom/>
            <wp:docPr id="15" name="图片 15" descr="2、江苏省纺织染整工业大气污染物排放标准编制说明（送审稿） -20211202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江苏省纺织染整工业大气污染物排放标准编制说明（送审稿） -20211202_35"/>
                    <pic:cNvPicPr>
                      <a:picLocks noChangeAspect="1"/>
                    </pic:cNvPicPr>
                  </pic:nvPicPr>
                  <pic:blipFill>
                    <a:blip r:embed="rId31"/>
                    <a:srcRect t="18266" b="23916"/>
                    <a:stretch>
                      <a:fillRect/>
                    </a:stretch>
                  </pic:blipFill>
                  <pic:spPr>
                    <a:xfrm>
                      <a:off x="0" y="0"/>
                      <a:ext cx="5953760" cy="4836160"/>
                    </a:xfrm>
                    <a:prstGeom prst="rect">
                      <a:avLst/>
                    </a:prstGeom>
                  </pic:spPr>
                </pic:pic>
              </a:graphicData>
            </a:graphic>
          </wp:anchor>
        </w:drawing>
      </w:r>
      <w:bookmarkStart w:id="155" w:name="_Ref6930"/>
      <w:r>
        <w:rPr>
          <w:rFonts w:hint="default" w:ascii="Times New Roman" w:hAnsi="Times New Roman" w:cs="Times New Roman"/>
          <w:color w:val="000000" w:themeColor="text1"/>
          <w:highlight w:val="none"/>
          <w:lang w:eastAsia="zh-CN"/>
          <w14:textFill>
            <w14:solidFill>
              <w14:schemeClr w14:val="tx1"/>
            </w14:solidFill>
          </w14:textFill>
        </w:rPr>
        <w:t>图</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SEQ 图 \* ARABIC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13</w:t>
      </w:r>
      <w:r>
        <w:rPr>
          <w:rFonts w:hint="default" w:ascii="Times New Roman" w:hAnsi="Times New Roman" w:cs="Times New Roman"/>
          <w:color w:val="000000" w:themeColor="text1"/>
          <w:highlight w:val="none"/>
          <w14:textFill>
            <w14:solidFill>
              <w14:schemeClr w14:val="tx1"/>
            </w14:solidFill>
          </w14:textFill>
        </w:rPr>
        <w:fldChar w:fldCharType="end"/>
      </w:r>
      <w:bookmarkEnd w:id="155"/>
      <w:r>
        <w:rPr>
          <w:rFonts w:hint="default" w:ascii="Times New Roman" w:hAnsi="Times New Roman"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标准制修订技术路线</w:t>
      </w:r>
    </w:p>
    <w:bookmarkEnd w:id="140"/>
    <w:bookmarkEnd w:id="153"/>
    <w:bookmarkEnd w:id="154"/>
    <w:p w14:paraId="64511070">
      <w:pPr>
        <w:pStyle w:val="2"/>
        <w:shd w:val="clear"/>
        <w:bidi w:val="0"/>
        <w:ind w:left="432" w:leftChars="0" w:hanging="432" w:firstLineChars="0"/>
        <w:rPr>
          <w:color w:val="auto"/>
          <w:highlight w:val="none"/>
        </w:rPr>
      </w:pPr>
      <w:bookmarkStart w:id="156" w:name="_Toc20323"/>
      <w:bookmarkStart w:id="157" w:name="_Toc10846"/>
      <w:bookmarkStart w:id="158" w:name="_Toc6888"/>
      <w:bookmarkStart w:id="159" w:name="_Toc12514"/>
      <w:bookmarkStart w:id="160" w:name="_Toc6040"/>
      <w:bookmarkStart w:id="161" w:name="_Toc23342"/>
      <w:bookmarkStart w:id="162" w:name="_Toc59640129"/>
      <w:bookmarkStart w:id="163" w:name="_Toc58593064"/>
      <w:r>
        <w:rPr>
          <w:rFonts w:hint="eastAsia"/>
          <w:color w:val="auto"/>
          <w:highlight w:val="none"/>
          <w:lang w:eastAsia="zh-CN"/>
        </w:rPr>
        <w:t>标准</w:t>
      </w:r>
      <w:r>
        <w:rPr>
          <w:rFonts w:hint="eastAsia"/>
          <w:color w:val="auto"/>
          <w:highlight w:val="none"/>
          <w:lang w:val="en-US" w:eastAsia="zh-CN"/>
        </w:rPr>
        <w:t>主要技术内容</w:t>
      </w:r>
      <w:bookmarkEnd w:id="156"/>
      <w:bookmarkEnd w:id="157"/>
      <w:bookmarkEnd w:id="158"/>
      <w:bookmarkEnd w:id="159"/>
      <w:bookmarkEnd w:id="160"/>
      <w:bookmarkEnd w:id="161"/>
    </w:p>
    <w:p w14:paraId="2AC09C86">
      <w:pPr>
        <w:pStyle w:val="3"/>
        <w:shd w:val="clear"/>
        <w:bidi w:val="0"/>
        <w:ind w:left="575" w:leftChars="0" w:hanging="575" w:firstLineChars="0"/>
        <w:rPr>
          <w:rFonts w:hint="eastAsia"/>
          <w:color w:val="auto"/>
          <w:highlight w:val="none"/>
          <w:lang w:val="en-US" w:eastAsia="zh-CN"/>
        </w:rPr>
      </w:pPr>
      <w:bookmarkStart w:id="164" w:name="_Toc15259"/>
      <w:bookmarkStart w:id="165" w:name="_Toc3282"/>
      <w:bookmarkStart w:id="166" w:name="_Toc25024"/>
      <w:bookmarkStart w:id="167" w:name="_Toc7399"/>
      <w:bookmarkStart w:id="168" w:name="_Toc12049"/>
      <w:bookmarkStart w:id="169" w:name="_Toc29725"/>
      <w:r>
        <w:rPr>
          <w:rFonts w:hint="eastAsia"/>
          <w:color w:val="auto"/>
          <w:highlight w:val="none"/>
          <w:lang w:val="en-US" w:eastAsia="zh-CN"/>
        </w:rPr>
        <w:t>标准适用范围</w:t>
      </w:r>
      <w:bookmarkEnd w:id="164"/>
      <w:bookmarkEnd w:id="165"/>
      <w:bookmarkEnd w:id="166"/>
      <w:bookmarkEnd w:id="167"/>
      <w:bookmarkEnd w:id="168"/>
      <w:bookmarkEnd w:id="169"/>
    </w:p>
    <w:p w14:paraId="42E2FCBB">
      <w:pPr>
        <w:pStyle w:val="4"/>
        <w:shd w:val="clear"/>
        <w:bidi w:val="0"/>
        <w:ind w:left="0" w:leftChars="0" w:firstLine="0" w:firstLineChars="0"/>
        <w:rPr>
          <w:rFonts w:hint="eastAsia"/>
          <w:color w:val="auto"/>
          <w:highlight w:val="none"/>
          <w:lang w:val="en-US" w:eastAsia="zh-CN"/>
        </w:rPr>
      </w:pPr>
      <w:r>
        <w:rPr>
          <w:rFonts w:hint="eastAsia"/>
          <w:color w:val="auto"/>
          <w:highlight w:val="none"/>
          <w:lang w:val="en-US" w:eastAsia="zh-CN"/>
        </w:rPr>
        <w:t>适用行业</w:t>
      </w:r>
    </w:p>
    <w:p w14:paraId="2AAC9ADB">
      <w:pPr>
        <w:shd w:val="clear"/>
        <w:bidi w:val="0"/>
        <w:rPr>
          <w:rFonts w:hint="eastAsia"/>
          <w:color w:val="auto"/>
          <w:highlight w:val="none"/>
        </w:rPr>
      </w:pPr>
      <w:r>
        <w:rPr>
          <w:rFonts w:hint="eastAsia"/>
          <w:color w:val="auto"/>
          <w:highlight w:val="none"/>
        </w:rPr>
        <w:t>本文件规定了湖南省工业企业挥发性有机物有组织排放控制要求、无组织排放控制要求、台账要求、监测要求、达标判定、实施和监督要求。</w:t>
      </w:r>
    </w:p>
    <w:p w14:paraId="06DE16A9">
      <w:pPr>
        <w:shd w:val="clear"/>
        <w:bidi w:val="0"/>
        <w:rPr>
          <w:rFonts w:hint="eastAsia"/>
          <w:color w:val="auto"/>
          <w:highlight w:val="none"/>
          <w:lang w:val="en-US" w:eastAsia="zh-CN"/>
        </w:rPr>
      </w:pPr>
      <w:r>
        <w:rPr>
          <w:rFonts w:hint="eastAsia"/>
          <w:color w:val="auto"/>
          <w:highlight w:val="none"/>
        </w:rPr>
        <w:t>本文件适用于湖南省涉及挥发性有机溶剂使用的现有工业企业挥发性有机物排放管理，以及新建、改建、扩建项目的环境影响评价、环境保护设施设计、竣工环境保护设施验收、排污许可证核发及其投产后的挥发性有机物排放管理。</w:t>
      </w:r>
      <w:r>
        <w:rPr>
          <w:rFonts w:hint="eastAsia"/>
          <w:color w:val="auto"/>
          <w:highlight w:val="none"/>
          <w:lang w:val="en-US" w:eastAsia="zh-CN"/>
        </w:rPr>
        <w:t>本标准涉及的行业范围见</w:t>
      </w:r>
      <w:r>
        <w:rPr>
          <w:rFonts w:hint="eastAsia"/>
          <w:color w:val="auto"/>
          <w:highlight w:val="none"/>
          <w:lang w:val="en-US" w:eastAsia="zh-CN"/>
        </w:rPr>
        <w:fldChar w:fldCharType="begin"/>
      </w:r>
      <w:r>
        <w:rPr>
          <w:rFonts w:hint="eastAsia"/>
          <w:color w:val="auto"/>
          <w:highlight w:val="none"/>
          <w:lang w:val="en-US" w:eastAsia="zh-CN"/>
        </w:rPr>
        <w:instrText xml:space="preserve"> REF _Ref6979 \h </w:instrText>
      </w:r>
      <w:r>
        <w:rPr>
          <w:rFonts w:hint="eastAsia"/>
          <w:color w:val="auto"/>
          <w:highlight w:val="none"/>
          <w:lang w:val="en-US" w:eastAsia="zh-CN"/>
        </w:rPr>
        <w:fldChar w:fldCharType="separate"/>
      </w:r>
      <w:r>
        <w:t>表20</w:t>
      </w:r>
      <w:r>
        <w:rPr>
          <w:rFonts w:hint="eastAsia"/>
          <w:color w:val="auto"/>
          <w:highlight w:val="none"/>
          <w:lang w:val="en-US" w:eastAsia="zh-CN"/>
        </w:rPr>
        <w:fldChar w:fldCharType="end"/>
      </w:r>
      <w:r>
        <w:rPr>
          <w:rFonts w:hint="eastAsia"/>
          <w:color w:val="auto"/>
          <w:highlight w:val="none"/>
          <w:lang w:val="en-US" w:eastAsia="zh-CN"/>
        </w:rPr>
        <w:t>。</w:t>
      </w:r>
    </w:p>
    <w:p w14:paraId="4092E6B6">
      <w:pPr>
        <w:pStyle w:val="129"/>
        <w:shd w:val="clear"/>
        <w:bidi w:val="0"/>
        <w:outlineLvl w:val="4"/>
        <w:rPr>
          <w:rFonts w:hint="eastAsia"/>
          <w:lang w:val="en-US" w:eastAsia="zh-CN"/>
        </w:rPr>
      </w:pPr>
      <w:bookmarkStart w:id="170" w:name="_Ref6979"/>
      <w:r>
        <w:t>表</w:t>
      </w:r>
      <w:r>
        <w:fldChar w:fldCharType="begin"/>
      </w:r>
      <w:r>
        <w:instrText xml:space="preserve"> SEQ 表 \* ARABIC </w:instrText>
      </w:r>
      <w:r>
        <w:fldChar w:fldCharType="separate"/>
      </w:r>
      <w:r>
        <w:t>20</w:t>
      </w:r>
      <w:r>
        <w:fldChar w:fldCharType="end"/>
      </w:r>
      <w:bookmarkEnd w:id="170"/>
      <w:r>
        <w:rPr>
          <w:rFonts w:hint="eastAsia"/>
          <w:lang w:val="en-US" w:eastAsia="zh-CN"/>
        </w:rPr>
        <w:t xml:space="preserve"> 本标准涉及的行业范围</w:t>
      </w:r>
    </w:p>
    <w:tbl>
      <w:tblPr>
        <w:tblStyle w:val="132"/>
        <w:tblW w:w="898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Layout w:type="fixed"/>
        <w:tblCellMar>
          <w:top w:w="0" w:type="dxa"/>
          <w:left w:w="113" w:type="dxa"/>
          <w:bottom w:w="0" w:type="dxa"/>
          <w:right w:w="113" w:type="dxa"/>
        </w:tblCellMar>
      </w:tblPr>
      <w:tblGrid>
        <w:gridCol w:w="1447"/>
        <w:gridCol w:w="851"/>
        <w:gridCol w:w="6683"/>
      </w:tblGrid>
      <w:tr w14:paraId="23A96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13" w:type="dxa"/>
            <w:bottom w:w="0" w:type="dxa"/>
            <w:right w:w="113" w:type="dxa"/>
          </w:tblCellMar>
        </w:tblPrEx>
        <w:trPr>
          <w:trHeight w:val="351" w:hRule="atLeast"/>
          <w:tblHeader/>
          <w:jc w:val="center"/>
        </w:trPr>
        <w:tc>
          <w:tcPr>
            <w:tcW w:w="1447" w:type="dxa"/>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3DA6C69B">
            <w:pPr>
              <w:pStyle w:val="133"/>
              <w:spacing w:line="240" w:lineRule="auto"/>
              <w:ind w:firstLine="0" w:firstLineChars="0"/>
              <w:rPr>
                <w:rFonts w:eastAsiaTheme="minorEastAsia"/>
                <w:b w:val="0"/>
                <w:color w:val="000000"/>
                <w:sz w:val="18"/>
                <w:szCs w:val="18"/>
                <w:highlight w:val="none"/>
              </w:rPr>
            </w:pPr>
            <w:r>
              <w:rPr>
                <w:rFonts w:eastAsiaTheme="minorEastAsia"/>
                <w:b w:val="0"/>
                <w:color w:val="000000"/>
                <w:spacing w:val="-3"/>
                <w:sz w:val="18"/>
                <w:szCs w:val="18"/>
                <w:highlight w:val="none"/>
              </w:rPr>
              <w:t>行业名称</w:t>
            </w:r>
          </w:p>
        </w:tc>
        <w:tc>
          <w:tcPr>
            <w:tcW w:w="851" w:type="dxa"/>
            <w:tcBorders>
              <w:top w:val="single" w:color="000000" w:sz="12" w:space="0"/>
              <w:left w:val="single" w:color="000000" w:sz="4" w:space="0"/>
              <w:bottom w:val="single" w:color="000000" w:sz="4" w:space="0"/>
              <w:right w:val="single" w:color="000000" w:sz="4" w:space="0"/>
            </w:tcBorders>
            <w:shd w:val="clear" w:color="auto" w:fill="FFFFFF"/>
            <w:vAlign w:val="center"/>
          </w:tcPr>
          <w:p w14:paraId="32D8659E">
            <w:pPr>
              <w:pStyle w:val="133"/>
              <w:spacing w:line="240" w:lineRule="auto"/>
              <w:ind w:firstLine="0" w:firstLineChars="0"/>
              <w:jc w:val="center"/>
              <w:rPr>
                <w:rFonts w:eastAsiaTheme="minorEastAsia"/>
                <w:b w:val="0"/>
                <w:color w:val="000000"/>
                <w:sz w:val="18"/>
                <w:szCs w:val="18"/>
                <w:highlight w:val="none"/>
                <w:lang w:eastAsia="zh-CN"/>
              </w:rPr>
            </w:pPr>
            <w:r>
              <w:rPr>
                <w:rFonts w:eastAsiaTheme="minorEastAsia"/>
                <w:b w:val="0"/>
                <w:color w:val="000000"/>
                <w:spacing w:val="-2"/>
                <w:sz w:val="18"/>
                <w:szCs w:val="18"/>
                <w:highlight w:val="none"/>
              </w:rPr>
              <w:t>行业</w:t>
            </w:r>
            <w:r>
              <w:rPr>
                <w:rFonts w:eastAsiaTheme="minorEastAsia"/>
                <w:b w:val="0"/>
                <w:color w:val="000000"/>
                <w:spacing w:val="-2"/>
                <w:sz w:val="18"/>
                <w:szCs w:val="18"/>
                <w:highlight w:val="none"/>
              </w:rPr>
              <w:br w:type="textWrapping"/>
            </w:r>
            <w:r>
              <w:rPr>
                <w:rFonts w:eastAsiaTheme="minorEastAsia"/>
                <w:b w:val="0"/>
                <w:color w:val="000000"/>
                <w:spacing w:val="-2"/>
                <w:sz w:val="18"/>
                <w:szCs w:val="18"/>
                <w:highlight w:val="none"/>
              </w:rPr>
              <w:t>代码</w:t>
            </w:r>
          </w:p>
        </w:tc>
        <w:tc>
          <w:tcPr>
            <w:tcW w:w="6683" w:type="dxa"/>
            <w:tcBorders>
              <w:top w:val="single" w:color="000000" w:sz="12" w:space="0"/>
              <w:left w:val="single" w:color="000000" w:sz="4" w:space="0"/>
              <w:bottom w:val="single" w:color="000000" w:sz="4" w:space="0"/>
              <w:right w:val="single" w:color="000000" w:sz="12" w:space="0"/>
            </w:tcBorders>
            <w:shd w:val="clear" w:color="auto" w:fill="FFFFFF"/>
            <w:vAlign w:val="center"/>
          </w:tcPr>
          <w:p w14:paraId="667A1689">
            <w:pPr>
              <w:pStyle w:val="133"/>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textAlignment w:val="baseline"/>
              <w:rPr>
                <w:rFonts w:eastAsiaTheme="minorEastAsia"/>
                <w:b w:val="0"/>
                <w:color w:val="000000"/>
                <w:sz w:val="18"/>
                <w:szCs w:val="18"/>
                <w:highlight w:val="none"/>
                <w:lang w:eastAsia="zh-CN"/>
              </w:rPr>
            </w:pPr>
            <w:r>
              <w:rPr>
                <w:rFonts w:eastAsiaTheme="minorEastAsia"/>
                <w:b w:val="0"/>
                <w:color w:val="000000"/>
                <w:sz w:val="18"/>
                <w:szCs w:val="18"/>
                <w:highlight w:val="none"/>
                <w:lang w:eastAsia="zh-CN"/>
              </w:rPr>
              <w:t>涉及的行业类别</w:t>
            </w:r>
          </w:p>
        </w:tc>
      </w:tr>
      <w:tr w14:paraId="3F45F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113" w:type="dxa"/>
            <w:bottom w:w="0" w:type="dxa"/>
            <w:right w:w="113" w:type="dxa"/>
          </w:tblCellMar>
        </w:tblPrEx>
        <w:trPr>
          <w:trHeight w:val="90" w:hRule="atLeast"/>
          <w:jc w:val="center"/>
        </w:trPr>
        <w:tc>
          <w:tcPr>
            <w:tcW w:w="1447"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41592739">
            <w:pPr>
              <w:pStyle w:val="133"/>
              <w:spacing w:line="240" w:lineRule="auto"/>
              <w:ind w:firstLine="0" w:firstLineChars="0"/>
              <w:rPr>
                <w:rFonts w:eastAsiaTheme="minorEastAsia"/>
                <w:b w:val="0"/>
                <w:color w:val="000000"/>
                <w:sz w:val="18"/>
                <w:szCs w:val="18"/>
                <w:highlight w:val="none"/>
              </w:rPr>
            </w:pPr>
            <w:r>
              <w:rPr>
                <w:rFonts w:eastAsiaTheme="minorEastAsia"/>
                <w:b w:val="0"/>
                <w:color w:val="000000"/>
                <w:spacing w:val="-5"/>
                <w:sz w:val="18"/>
                <w:szCs w:val="18"/>
                <w:highlight w:val="none"/>
              </w:rPr>
              <w:t>家具制造</w:t>
            </w:r>
          </w:p>
        </w:tc>
        <w:tc>
          <w:tcPr>
            <w:tcW w:w="8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8B0D80">
            <w:pPr>
              <w:pStyle w:val="133"/>
              <w:spacing w:line="240" w:lineRule="auto"/>
              <w:ind w:firstLine="0" w:firstLineChars="0"/>
              <w:jc w:val="center"/>
              <w:rPr>
                <w:rFonts w:eastAsiaTheme="minorEastAsia"/>
                <w:b w:val="0"/>
                <w:color w:val="000000"/>
                <w:sz w:val="18"/>
                <w:szCs w:val="18"/>
                <w:highlight w:val="none"/>
              </w:rPr>
            </w:pPr>
            <w:r>
              <w:rPr>
                <w:rFonts w:eastAsiaTheme="minorEastAsia"/>
                <w:b w:val="0"/>
                <w:color w:val="000000"/>
                <w:spacing w:val="-2"/>
                <w:sz w:val="18"/>
                <w:szCs w:val="18"/>
                <w:highlight w:val="none"/>
              </w:rPr>
              <w:t>C21</w:t>
            </w:r>
          </w:p>
        </w:tc>
        <w:tc>
          <w:tcPr>
            <w:tcW w:w="668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3CC4B42E">
            <w:pPr>
              <w:pStyle w:val="133"/>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eastAsiaTheme="minorEastAsia"/>
                <w:b w:val="0"/>
                <w:color w:val="000000"/>
                <w:sz w:val="18"/>
                <w:szCs w:val="18"/>
                <w:highlight w:val="none"/>
              </w:rPr>
            </w:pPr>
            <w:r>
              <w:rPr>
                <w:rFonts w:eastAsiaTheme="minorEastAsia"/>
                <w:b w:val="0"/>
                <w:color w:val="000000"/>
                <w:sz w:val="18"/>
                <w:szCs w:val="18"/>
                <w:highlight w:val="none"/>
                <w:shd w:val="clear" w:color="auto" w:fill="FFFFFF"/>
                <w:lang w:eastAsia="zh-CN"/>
              </w:rPr>
              <w:t>木质家具制造（C211）；竹藤家具制造（C212）；金属家具制造（C213）；塑料家具制造（C214）和其他家具制造（C219）。</w:t>
            </w:r>
          </w:p>
        </w:tc>
      </w:tr>
      <w:tr w14:paraId="4D2D7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113" w:type="dxa"/>
            <w:bottom w:w="0" w:type="dxa"/>
            <w:right w:w="113" w:type="dxa"/>
          </w:tblCellMar>
        </w:tblPrEx>
        <w:trPr>
          <w:trHeight w:val="354" w:hRule="atLeast"/>
          <w:jc w:val="center"/>
        </w:trPr>
        <w:tc>
          <w:tcPr>
            <w:tcW w:w="1447" w:type="dxa"/>
            <w:tcBorders>
              <w:top w:val="single" w:color="000000" w:sz="4" w:space="0"/>
              <w:left w:val="single" w:color="000000" w:sz="12" w:space="0"/>
              <w:bottom w:val="single" w:color="000000" w:sz="4" w:space="0"/>
              <w:right w:val="single" w:color="000000" w:sz="4" w:space="0"/>
              <w:tl2br w:val="nil"/>
            </w:tcBorders>
            <w:shd w:val="clear" w:color="auto" w:fill="FFFFFF"/>
            <w:vAlign w:val="center"/>
          </w:tcPr>
          <w:p w14:paraId="003DA85D">
            <w:pPr>
              <w:pStyle w:val="133"/>
              <w:spacing w:line="240" w:lineRule="auto"/>
              <w:ind w:firstLine="0" w:firstLineChars="0"/>
              <w:rPr>
                <w:rFonts w:eastAsiaTheme="minorEastAsia"/>
                <w:b w:val="0"/>
                <w:color w:val="000000"/>
                <w:spacing w:val="-3"/>
                <w:sz w:val="18"/>
                <w:szCs w:val="18"/>
                <w:highlight w:val="none"/>
                <w:lang w:eastAsia="zh-CN"/>
              </w:rPr>
            </w:pPr>
            <w:r>
              <w:rPr>
                <w:rFonts w:eastAsiaTheme="minorEastAsia"/>
                <w:b w:val="0"/>
                <w:color w:val="000000"/>
                <w:spacing w:val="-3"/>
                <w:sz w:val="18"/>
                <w:szCs w:val="18"/>
                <w:highlight w:val="none"/>
                <w:lang w:eastAsia="zh-CN"/>
              </w:rPr>
              <w:t>木制品制造</w:t>
            </w:r>
          </w:p>
        </w:tc>
        <w:tc>
          <w:tcPr>
            <w:tcW w:w="8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E9BCA6">
            <w:pPr>
              <w:pStyle w:val="133"/>
              <w:spacing w:line="240" w:lineRule="auto"/>
              <w:ind w:firstLine="0" w:firstLineChars="0"/>
              <w:jc w:val="center"/>
              <w:rPr>
                <w:rFonts w:eastAsiaTheme="minorEastAsia"/>
                <w:b w:val="0"/>
                <w:color w:val="000000"/>
                <w:spacing w:val="-2"/>
                <w:sz w:val="18"/>
                <w:szCs w:val="18"/>
                <w:highlight w:val="none"/>
                <w:lang w:eastAsia="zh-CN"/>
              </w:rPr>
            </w:pPr>
            <w:r>
              <w:rPr>
                <w:rFonts w:eastAsiaTheme="minorEastAsia"/>
                <w:b w:val="0"/>
                <w:color w:val="000000"/>
                <w:spacing w:val="-2"/>
                <w:sz w:val="18"/>
                <w:szCs w:val="18"/>
                <w:highlight w:val="none"/>
                <w:lang w:eastAsia="zh-CN"/>
              </w:rPr>
              <w:t>C20</w:t>
            </w:r>
          </w:p>
        </w:tc>
        <w:tc>
          <w:tcPr>
            <w:tcW w:w="668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25D91B8B">
            <w:pPr>
              <w:pStyle w:val="133"/>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eastAsiaTheme="minorEastAsia"/>
                <w:b w:val="0"/>
                <w:color w:val="000000"/>
                <w:sz w:val="18"/>
                <w:szCs w:val="18"/>
                <w:highlight w:val="none"/>
                <w:lang w:eastAsia="zh-CN"/>
              </w:rPr>
            </w:pPr>
            <w:r>
              <w:rPr>
                <w:rFonts w:eastAsiaTheme="minorEastAsia"/>
                <w:b w:val="0"/>
                <w:color w:val="000000"/>
                <w:sz w:val="18"/>
                <w:szCs w:val="18"/>
                <w:highlight w:val="none"/>
                <w:lang w:eastAsia="zh-CN"/>
              </w:rPr>
              <w:t>人造板制造（C202）；木质制品制造（C203）；竹制品制造（C2041）。</w:t>
            </w:r>
          </w:p>
        </w:tc>
      </w:tr>
      <w:tr w14:paraId="63E0B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113" w:type="dxa"/>
            <w:bottom w:w="0" w:type="dxa"/>
            <w:right w:w="113" w:type="dxa"/>
          </w:tblCellMar>
        </w:tblPrEx>
        <w:trPr>
          <w:trHeight w:val="622" w:hRule="atLeast"/>
          <w:jc w:val="center"/>
        </w:trPr>
        <w:tc>
          <w:tcPr>
            <w:tcW w:w="1447"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3D93241D">
            <w:pPr>
              <w:pStyle w:val="133"/>
              <w:spacing w:line="240" w:lineRule="auto"/>
              <w:ind w:firstLine="0" w:firstLineChars="0"/>
              <w:rPr>
                <w:rFonts w:eastAsiaTheme="minorEastAsia"/>
                <w:b w:val="0"/>
                <w:color w:val="000000"/>
                <w:sz w:val="18"/>
                <w:szCs w:val="18"/>
                <w:highlight w:val="none"/>
              </w:rPr>
            </w:pPr>
            <w:r>
              <w:rPr>
                <w:rFonts w:eastAsiaTheme="minorEastAsia"/>
                <w:b w:val="0"/>
                <w:color w:val="000000"/>
                <w:spacing w:val="-5"/>
                <w:sz w:val="18"/>
                <w:szCs w:val="18"/>
                <w:highlight w:val="none"/>
              </w:rPr>
              <w:t>汽车制造</w:t>
            </w:r>
          </w:p>
        </w:tc>
        <w:tc>
          <w:tcPr>
            <w:tcW w:w="8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6E995A">
            <w:pPr>
              <w:pStyle w:val="133"/>
              <w:spacing w:line="240" w:lineRule="auto"/>
              <w:ind w:firstLine="0" w:firstLineChars="0"/>
              <w:jc w:val="center"/>
              <w:rPr>
                <w:rFonts w:eastAsiaTheme="minorEastAsia"/>
                <w:b w:val="0"/>
                <w:color w:val="000000"/>
                <w:sz w:val="18"/>
                <w:szCs w:val="18"/>
                <w:highlight w:val="none"/>
              </w:rPr>
            </w:pPr>
            <w:r>
              <w:rPr>
                <w:rFonts w:eastAsiaTheme="minorEastAsia"/>
                <w:b w:val="0"/>
                <w:color w:val="000000"/>
                <w:spacing w:val="-2"/>
                <w:sz w:val="18"/>
                <w:szCs w:val="18"/>
                <w:highlight w:val="none"/>
              </w:rPr>
              <w:t>C36</w:t>
            </w:r>
          </w:p>
        </w:tc>
        <w:tc>
          <w:tcPr>
            <w:tcW w:w="668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1EE5EECD">
            <w:pPr>
              <w:pStyle w:val="133"/>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eastAsiaTheme="minorEastAsia"/>
                <w:b w:val="0"/>
                <w:color w:val="000000"/>
                <w:spacing w:val="-1"/>
                <w:sz w:val="18"/>
                <w:szCs w:val="18"/>
                <w:highlight w:val="none"/>
              </w:rPr>
            </w:pPr>
            <w:r>
              <w:rPr>
                <w:rFonts w:eastAsiaTheme="minorEastAsia"/>
                <w:b w:val="0"/>
                <w:color w:val="000000"/>
                <w:sz w:val="18"/>
                <w:szCs w:val="18"/>
                <w:highlight w:val="none"/>
                <w:shd w:val="clear" w:color="auto" w:fill="FFFFFF"/>
                <w:lang w:eastAsia="zh-CN"/>
              </w:rPr>
              <w:t>汽车整车制造（C361）；汽车用发动机制造（C362）；改装汽车制造（C363）；低速汽车制造</w:t>
            </w:r>
            <w:r>
              <w:rPr>
                <w:rFonts w:hint="eastAsia" w:eastAsiaTheme="minorEastAsia"/>
                <w:b w:val="0"/>
                <w:color w:val="000000"/>
                <w:sz w:val="18"/>
                <w:szCs w:val="18"/>
                <w:highlight w:val="none"/>
                <w:shd w:val="clear" w:color="auto" w:fill="FFFFFF"/>
                <w:lang w:eastAsia="zh-CN"/>
              </w:rPr>
              <w:t>（C364）；</w:t>
            </w:r>
            <w:r>
              <w:rPr>
                <w:rFonts w:eastAsiaTheme="minorEastAsia"/>
                <w:b w:val="0"/>
                <w:color w:val="000000"/>
                <w:sz w:val="18"/>
                <w:szCs w:val="18"/>
                <w:highlight w:val="none"/>
                <w:shd w:val="clear" w:color="auto" w:fill="FFFFFF"/>
                <w:lang w:eastAsia="zh-CN"/>
              </w:rPr>
              <w:t>电车制造（C365）；汽车车身、挂车制造（C366）；汽车零部件及配件制造（C367）。</w:t>
            </w:r>
          </w:p>
        </w:tc>
      </w:tr>
      <w:tr w14:paraId="299CF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113" w:type="dxa"/>
            <w:bottom w:w="0" w:type="dxa"/>
            <w:right w:w="113" w:type="dxa"/>
          </w:tblCellMar>
        </w:tblPrEx>
        <w:trPr>
          <w:trHeight w:val="557" w:hRule="atLeast"/>
          <w:jc w:val="center"/>
        </w:trPr>
        <w:tc>
          <w:tcPr>
            <w:tcW w:w="1447"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7B0F5300">
            <w:pPr>
              <w:pStyle w:val="133"/>
              <w:spacing w:line="240" w:lineRule="auto"/>
              <w:ind w:firstLine="0" w:firstLineChars="0"/>
              <w:rPr>
                <w:rFonts w:eastAsiaTheme="minorEastAsia"/>
                <w:b w:val="0"/>
                <w:color w:val="000000"/>
                <w:spacing w:val="-5"/>
                <w:sz w:val="18"/>
                <w:szCs w:val="18"/>
                <w:highlight w:val="none"/>
                <w:lang w:eastAsia="zh-CN"/>
              </w:rPr>
            </w:pPr>
            <w:r>
              <w:rPr>
                <w:rFonts w:eastAsiaTheme="minorEastAsia"/>
                <w:b w:val="0"/>
                <w:color w:val="000000"/>
                <w:spacing w:val="-5"/>
                <w:sz w:val="18"/>
                <w:szCs w:val="18"/>
                <w:highlight w:val="none"/>
                <w:lang w:eastAsia="zh-CN"/>
              </w:rPr>
              <w:t>汽车维修</w:t>
            </w:r>
          </w:p>
        </w:tc>
        <w:tc>
          <w:tcPr>
            <w:tcW w:w="8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A5792C">
            <w:pPr>
              <w:pStyle w:val="133"/>
              <w:spacing w:line="240" w:lineRule="auto"/>
              <w:ind w:firstLine="0" w:firstLineChars="0"/>
              <w:jc w:val="center"/>
              <w:rPr>
                <w:rFonts w:eastAsiaTheme="minorEastAsia"/>
                <w:b w:val="0"/>
                <w:color w:val="000000"/>
                <w:spacing w:val="-2"/>
                <w:sz w:val="18"/>
                <w:szCs w:val="18"/>
                <w:highlight w:val="none"/>
                <w:lang w:eastAsia="zh-CN"/>
              </w:rPr>
            </w:pPr>
            <w:r>
              <w:rPr>
                <w:rFonts w:eastAsiaTheme="minorEastAsia"/>
                <w:b w:val="0"/>
                <w:color w:val="000000"/>
                <w:spacing w:val="-2"/>
                <w:sz w:val="18"/>
                <w:szCs w:val="18"/>
                <w:highlight w:val="none"/>
                <w:lang w:eastAsia="zh-CN"/>
              </w:rPr>
              <w:t>O811</w:t>
            </w:r>
          </w:p>
        </w:tc>
        <w:tc>
          <w:tcPr>
            <w:tcW w:w="668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328AB87D">
            <w:pPr>
              <w:pStyle w:val="133"/>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eastAsiaTheme="minorEastAsia"/>
                <w:b w:val="0"/>
                <w:color w:val="000000"/>
                <w:spacing w:val="-1"/>
                <w:sz w:val="18"/>
                <w:szCs w:val="18"/>
                <w:highlight w:val="none"/>
                <w:lang w:eastAsia="zh-CN"/>
              </w:rPr>
            </w:pPr>
            <w:r>
              <w:rPr>
                <w:rFonts w:eastAsiaTheme="minorEastAsia"/>
                <w:b w:val="0"/>
                <w:color w:val="000000"/>
                <w:spacing w:val="-1"/>
                <w:sz w:val="18"/>
                <w:szCs w:val="18"/>
                <w:highlight w:val="none"/>
                <w:lang w:eastAsia="zh-CN"/>
              </w:rPr>
              <w:t>汽车修理与维护（O8111）；大型车辆装备修理与维护（O8112）；大型车辆装备修理与维护（O8113）；助动车等修理与维护（O8114）</w:t>
            </w:r>
            <w:r>
              <w:rPr>
                <w:rFonts w:hint="eastAsia" w:eastAsiaTheme="minorEastAsia"/>
                <w:b w:val="0"/>
                <w:color w:val="000000"/>
                <w:spacing w:val="-1"/>
                <w:sz w:val="18"/>
                <w:szCs w:val="18"/>
                <w:highlight w:val="none"/>
                <w:lang w:eastAsia="zh-CN"/>
              </w:rPr>
              <w:t>。</w:t>
            </w:r>
          </w:p>
        </w:tc>
      </w:tr>
      <w:tr w14:paraId="384B8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113" w:type="dxa"/>
            <w:bottom w:w="0" w:type="dxa"/>
            <w:right w:w="113" w:type="dxa"/>
          </w:tblCellMar>
        </w:tblPrEx>
        <w:trPr>
          <w:trHeight w:val="622" w:hRule="atLeast"/>
          <w:jc w:val="center"/>
        </w:trPr>
        <w:tc>
          <w:tcPr>
            <w:tcW w:w="1447"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3E03E155">
            <w:pPr>
              <w:pStyle w:val="133"/>
              <w:spacing w:line="240" w:lineRule="auto"/>
              <w:ind w:firstLine="0" w:firstLineChars="0"/>
              <w:rPr>
                <w:rFonts w:eastAsiaTheme="minorEastAsia"/>
                <w:b w:val="0"/>
                <w:color w:val="000000"/>
                <w:sz w:val="18"/>
                <w:szCs w:val="18"/>
                <w:highlight w:val="none"/>
                <w:lang w:eastAsia="zh-CN"/>
              </w:rPr>
            </w:pPr>
            <w:r>
              <w:rPr>
                <w:rFonts w:eastAsiaTheme="minorEastAsia"/>
                <w:b w:val="0"/>
                <w:color w:val="000000"/>
                <w:spacing w:val="-5"/>
                <w:sz w:val="18"/>
                <w:szCs w:val="18"/>
                <w:highlight w:val="none"/>
              </w:rPr>
              <w:t>通用设备制造</w:t>
            </w:r>
          </w:p>
        </w:tc>
        <w:tc>
          <w:tcPr>
            <w:tcW w:w="8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54EBC8">
            <w:pPr>
              <w:pStyle w:val="133"/>
              <w:spacing w:line="240" w:lineRule="auto"/>
              <w:ind w:firstLine="0" w:firstLineChars="0"/>
              <w:jc w:val="center"/>
              <w:rPr>
                <w:rFonts w:eastAsiaTheme="minorEastAsia"/>
                <w:b w:val="0"/>
                <w:color w:val="000000"/>
                <w:sz w:val="18"/>
                <w:szCs w:val="18"/>
                <w:highlight w:val="none"/>
                <w:lang w:eastAsia="zh-CN"/>
              </w:rPr>
            </w:pPr>
            <w:r>
              <w:rPr>
                <w:rFonts w:eastAsiaTheme="minorEastAsia"/>
                <w:b w:val="0"/>
                <w:color w:val="000000"/>
                <w:spacing w:val="-2"/>
                <w:sz w:val="18"/>
                <w:szCs w:val="18"/>
                <w:highlight w:val="none"/>
              </w:rPr>
              <w:t>C34</w:t>
            </w:r>
          </w:p>
        </w:tc>
        <w:tc>
          <w:tcPr>
            <w:tcW w:w="668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62D7B429">
            <w:pPr>
              <w:pStyle w:val="133"/>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eastAsiaTheme="minorEastAsia"/>
                <w:b w:val="0"/>
                <w:color w:val="000000"/>
                <w:sz w:val="18"/>
                <w:szCs w:val="18"/>
                <w:highlight w:val="none"/>
              </w:rPr>
            </w:pPr>
            <w:r>
              <w:rPr>
                <w:rFonts w:eastAsiaTheme="minorEastAsia"/>
                <w:b w:val="0"/>
                <w:color w:val="000000"/>
                <w:spacing w:val="-1"/>
                <w:sz w:val="18"/>
                <w:szCs w:val="18"/>
                <w:highlight w:val="none"/>
              </w:rPr>
              <w:t>锅炉及原动设备制造</w:t>
            </w:r>
            <w:r>
              <w:rPr>
                <w:rFonts w:eastAsiaTheme="minorEastAsia"/>
                <w:b w:val="0"/>
                <w:color w:val="000000"/>
                <w:spacing w:val="-1"/>
                <w:sz w:val="18"/>
                <w:szCs w:val="18"/>
                <w:highlight w:val="none"/>
                <w:lang w:eastAsia="zh-CN"/>
              </w:rPr>
              <w:t>（C</w:t>
            </w:r>
            <w:r>
              <w:rPr>
                <w:rFonts w:eastAsiaTheme="minorEastAsia"/>
                <w:b w:val="0"/>
                <w:color w:val="000000"/>
                <w:spacing w:val="-1"/>
                <w:sz w:val="18"/>
                <w:szCs w:val="18"/>
                <w:highlight w:val="none"/>
              </w:rPr>
              <w:t>341</w:t>
            </w:r>
            <w:r>
              <w:rPr>
                <w:rFonts w:eastAsiaTheme="minorEastAsia"/>
                <w:b w:val="0"/>
                <w:color w:val="000000"/>
                <w:spacing w:val="-1"/>
                <w:sz w:val="18"/>
                <w:szCs w:val="18"/>
                <w:highlight w:val="none"/>
                <w:lang w:eastAsia="zh-CN"/>
              </w:rPr>
              <w:t>）</w:t>
            </w:r>
            <w:r>
              <w:rPr>
                <w:rFonts w:eastAsiaTheme="minorEastAsia"/>
                <w:b w:val="0"/>
                <w:color w:val="000000"/>
                <w:spacing w:val="-1"/>
                <w:sz w:val="18"/>
                <w:szCs w:val="18"/>
                <w:highlight w:val="none"/>
              </w:rPr>
              <w:t>；金属加工机械制造</w:t>
            </w:r>
            <w:r>
              <w:rPr>
                <w:rFonts w:eastAsiaTheme="minorEastAsia"/>
                <w:b w:val="0"/>
                <w:color w:val="000000"/>
                <w:spacing w:val="-1"/>
                <w:sz w:val="18"/>
                <w:szCs w:val="18"/>
                <w:highlight w:val="none"/>
                <w:lang w:eastAsia="zh-CN"/>
              </w:rPr>
              <w:t>（C</w:t>
            </w:r>
            <w:r>
              <w:rPr>
                <w:rFonts w:eastAsiaTheme="minorEastAsia"/>
                <w:b w:val="0"/>
                <w:color w:val="000000"/>
                <w:spacing w:val="-1"/>
                <w:sz w:val="18"/>
                <w:szCs w:val="18"/>
                <w:highlight w:val="none"/>
              </w:rPr>
              <w:t>342</w:t>
            </w:r>
            <w:r>
              <w:rPr>
                <w:rFonts w:eastAsiaTheme="minorEastAsia"/>
                <w:b w:val="0"/>
                <w:color w:val="000000"/>
                <w:spacing w:val="-1"/>
                <w:sz w:val="18"/>
                <w:szCs w:val="18"/>
                <w:highlight w:val="none"/>
                <w:lang w:eastAsia="zh-CN"/>
              </w:rPr>
              <w:t>）</w:t>
            </w:r>
            <w:r>
              <w:rPr>
                <w:rFonts w:eastAsiaTheme="minorEastAsia"/>
                <w:b w:val="0"/>
                <w:color w:val="000000"/>
                <w:spacing w:val="-1"/>
                <w:sz w:val="18"/>
                <w:szCs w:val="18"/>
                <w:highlight w:val="none"/>
              </w:rPr>
              <w:t>；物料搬运设</w:t>
            </w:r>
            <w:r>
              <w:rPr>
                <w:rFonts w:eastAsiaTheme="minorEastAsia"/>
                <w:b w:val="0"/>
                <w:color w:val="000000"/>
                <w:spacing w:val="-2"/>
                <w:sz w:val="18"/>
                <w:szCs w:val="18"/>
                <w:highlight w:val="none"/>
              </w:rPr>
              <w:t>备制造</w:t>
            </w:r>
            <w:r>
              <w:rPr>
                <w:rFonts w:eastAsiaTheme="minorEastAsia"/>
                <w:b w:val="0"/>
                <w:color w:val="000000"/>
                <w:spacing w:val="-1"/>
                <w:sz w:val="18"/>
                <w:szCs w:val="18"/>
                <w:highlight w:val="none"/>
                <w:lang w:eastAsia="zh-CN"/>
              </w:rPr>
              <w:t>（C</w:t>
            </w:r>
            <w:r>
              <w:rPr>
                <w:rFonts w:eastAsiaTheme="minorEastAsia"/>
                <w:b w:val="0"/>
                <w:color w:val="000000"/>
                <w:spacing w:val="-1"/>
                <w:sz w:val="18"/>
                <w:szCs w:val="18"/>
                <w:highlight w:val="none"/>
              </w:rPr>
              <w:t>343</w:t>
            </w:r>
            <w:r>
              <w:rPr>
                <w:rFonts w:eastAsiaTheme="minorEastAsia"/>
                <w:b w:val="0"/>
                <w:color w:val="000000"/>
                <w:spacing w:val="-1"/>
                <w:sz w:val="18"/>
                <w:szCs w:val="18"/>
                <w:highlight w:val="none"/>
                <w:lang w:eastAsia="zh-CN"/>
              </w:rPr>
              <w:t>）</w:t>
            </w:r>
            <w:r>
              <w:rPr>
                <w:rFonts w:eastAsiaTheme="minorEastAsia"/>
                <w:b w:val="0"/>
                <w:color w:val="000000"/>
                <w:spacing w:val="-2"/>
                <w:sz w:val="18"/>
                <w:szCs w:val="18"/>
                <w:highlight w:val="none"/>
              </w:rPr>
              <w:t>；</w:t>
            </w:r>
            <w:r>
              <w:rPr>
                <w:rFonts w:eastAsiaTheme="minorEastAsia"/>
                <w:b w:val="0"/>
                <w:color w:val="000000"/>
                <w:spacing w:val="-3"/>
                <w:sz w:val="18"/>
                <w:szCs w:val="18"/>
                <w:highlight w:val="none"/>
              </w:rPr>
              <w:t>泵、阀门、压缩机及类似机械制造</w:t>
            </w:r>
            <w:r>
              <w:rPr>
                <w:rFonts w:eastAsiaTheme="minorEastAsia"/>
                <w:b w:val="0"/>
                <w:color w:val="000000"/>
                <w:spacing w:val="-1"/>
                <w:sz w:val="18"/>
                <w:szCs w:val="18"/>
                <w:highlight w:val="none"/>
                <w:lang w:eastAsia="zh-CN"/>
              </w:rPr>
              <w:t>（</w:t>
            </w:r>
            <w:r>
              <w:rPr>
                <w:rFonts w:eastAsiaTheme="minorEastAsia"/>
                <w:b w:val="0"/>
                <w:color w:val="000000"/>
                <w:spacing w:val="-2"/>
                <w:sz w:val="18"/>
                <w:szCs w:val="18"/>
                <w:highlight w:val="none"/>
                <w:lang w:eastAsia="zh-CN"/>
              </w:rPr>
              <w:t>C</w:t>
            </w:r>
            <w:r>
              <w:rPr>
                <w:rFonts w:eastAsiaTheme="minorEastAsia"/>
                <w:b w:val="0"/>
                <w:color w:val="000000"/>
                <w:spacing w:val="-2"/>
                <w:sz w:val="18"/>
                <w:szCs w:val="18"/>
                <w:highlight w:val="none"/>
              </w:rPr>
              <w:t>344</w:t>
            </w:r>
            <w:r>
              <w:rPr>
                <w:rFonts w:eastAsiaTheme="minorEastAsia"/>
                <w:b w:val="0"/>
                <w:color w:val="000000"/>
                <w:spacing w:val="-1"/>
                <w:sz w:val="18"/>
                <w:szCs w:val="18"/>
                <w:highlight w:val="none"/>
                <w:lang w:eastAsia="zh-CN"/>
              </w:rPr>
              <w:t>）</w:t>
            </w:r>
            <w:r>
              <w:rPr>
                <w:rFonts w:eastAsiaTheme="minorEastAsia"/>
                <w:b w:val="0"/>
                <w:color w:val="000000"/>
                <w:spacing w:val="-3"/>
                <w:sz w:val="18"/>
                <w:szCs w:val="18"/>
                <w:highlight w:val="none"/>
              </w:rPr>
              <w:t>；轴承、齿轮和传动部件制造</w:t>
            </w:r>
            <w:r>
              <w:rPr>
                <w:rFonts w:eastAsiaTheme="minorEastAsia"/>
                <w:b w:val="0"/>
                <w:color w:val="000000"/>
                <w:spacing w:val="-1"/>
                <w:sz w:val="18"/>
                <w:szCs w:val="18"/>
                <w:highlight w:val="none"/>
                <w:lang w:eastAsia="zh-CN"/>
              </w:rPr>
              <w:t>（</w:t>
            </w:r>
            <w:r>
              <w:rPr>
                <w:rFonts w:eastAsiaTheme="minorEastAsia"/>
                <w:b w:val="0"/>
                <w:color w:val="000000"/>
                <w:spacing w:val="-3"/>
                <w:sz w:val="18"/>
                <w:szCs w:val="18"/>
                <w:highlight w:val="none"/>
                <w:lang w:eastAsia="zh-CN"/>
              </w:rPr>
              <w:t>C</w:t>
            </w:r>
            <w:r>
              <w:rPr>
                <w:rFonts w:eastAsiaTheme="minorEastAsia"/>
                <w:b w:val="0"/>
                <w:color w:val="000000"/>
                <w:spacing w:val="-3"/>
                <w:sz w:val="18"/>
                <w:szCs w:val="18"/>
                <w:highlight w:val="none"/>
              </w:rPr>
              <w:t>345</w:t>
            </w:r>
            <w:r>
              <w:rPr>
                <w:rFonts w:eastAsiaTheme="minorEastAsia"/>
                <w:b w:val="0"/>
                <w:color w:val="000000"/>
                <w:spacing w:val="-1"/>
                <w:sz w:val="18"/>
                <w:szCs w:val="18"/>
                <w:highlight w:val="none"/>
                <w:lang w:eastAsia="zh-CN"/>
              </w:rPr>
              <w:t>）</w:t>
            </w:r>
            <w:r>
              <w:rPr>
                <w:rFonts w:eastAsiaTheme="minorEastAsia"/>
                <w:b w:val="0"/>
                <w:color w:val="000000"/>
                <w:spacing w:val="-3"/>
                <w:sz w:val="18"/>
                <w:szCs w:val="18"/>
                <w:highlight w:val="none"/>
              </w:rPr>
              <w:t>；烘炉、</w:t>
            </w:r>
            <w:r>
              <w:rPr>
                <w:rFonts w:eastAsiaTheme="minorEastAsia"/>
                <w:b w:val="0"/>
                <w:color w:val="000000"/>
                <w:spacing w:val="-6"/>
                <w:sz w:val="18"/>
                <w:szCs w:val="18"/>
                <w:highlight w:val="none"/>
              </w:rPr>
              <w:t>风机、包装等设备制造</w:t>
            </w:r>
            <w:r>
              <w:rPr>
                <w:rFonts w:eastAsiaTheme="minorEastAsia"/>
                <w:b w:val="0"/>
                <w:color w:val="000000"/>
                <w:spacing w:val="-1"/>
                <w:sz w:val="18"/>
                <w:szCs w:val="18"/>
                <w:highlight w:val="none"/>
                <w:lang w:eastAsia="zh-CN"/>
              </w:rPr>
              <w:t>（</w:t>
            </w:r>
            <w:r>
              <w:rPr>
                <w:rFonts w:eastAsiaTheme="minorEastAsia"/>
                <w:b w:val="0"/>
                <w:color w:val="000000"/>
                <w:spacing w:val="-3"/>
                <w:sz w:val="18"/>
                <w:szCs w:val="18"/>
                <w:highlight w:val="none"/>
                <w:lang w:eastAsia="zh-CN"/>
              </w:rPr>
              <w:t>C</w:t>
            </w:r>
            <w:r>
              <w:rPr>
                <w:rFonts w:eastAsiaTheme="minorEastAsia"/>
                <w:b w:val="0"/>
                <w:color w:val="000000"/>
                <w:spacing w:val="-3"/>
                <w:sz w:val="18"/>
                <w:szCs w:val="18"/>
                <w:highlight w:val="none"/>
              </w:rPr>
              <w:t>346</w:t>
            </w:r>
            <w:r>
              <w:rPr>
                <w:rFonts w:eastAsiaTheme="minorEastAsia"/>
                <w:b w:val="0"/>
                <w:color w:val="000000"/>
                <w:spacing w:val="-1"/>
                <w:sz w:val="18"/>
                <w:szCs w:val="18"/>
                <w:highlight w:val="none"/>
                <w:lang w:eastAsia="zh-CN"/>
              </w:rPr>
              <w:t>）</w:t>
            </w:r>
            <w:r>
              <w:rPr>
                <w:rFonts w:eastAsiaTheme="minorEastAsia"/>
                <w:b w:val="0"/>
                <w:color w:val="000000"/>
                <w:spacing w:val="-6"/>
                <w:sz w:val="18"/>
                <w:szCs w:val="18"/>
                <w:highlight w:val="none"/>
              </w:rPr>
              <w:t>；文化、办公用机械制造</w:t>
            </w:r>
            <w:r>
              <w:rPr>
                <w:rFonts w:eastAsiaTheme="minorEastAsia"/>
                <w:b w:val="0"/>
                <w:color w:val="000000"/>
                <w:spacing w:val="-1"/>
                <w:sz w:val="18"/>
                <w:szCs w:val="18"/>
                <w:highlight w:val="none"/>
                <w:lang w:eastAsia="zh-CN"/>
              </w:rPr>
              <w:t>（</w:t>
            </w:r>
            <w:r>
              <w:rPr>
                <w:rFonts w:eastAsiaTheme="minorEastAsia"/>
                <w:b w:val="0"/>
                <w:color w:val="000000"/>
                <w:spacing w:val="-6"/>
                <w:sz w:val="18"/>
                <w:szCs w:val="18"/>
                <w:highlight w:val="none"/>
                <w:lang w:eastAsia="zh-CN"/>
              </w:rPr>
              <w:t>C</w:t>
            </w:r>
            <w:r>
              <w:rPr>
                <w:rFonts w:eastAsiaTheme="minorEastAsia"/>
                <w:b w:val="0"/>
                <w:color w:val="000000"/>
                <w:spacing w:val="-6"/>
                <w:sz w:val="18"/>
                <w:szCs w:val="18"/>
                <w:highlight w:val="none"/>
              </w:rPr>
              <w:t>347</w:t>
            </w:r>
            <w:r>
              <w:rPr>
                <w:rFonts w:eastAsiaTheme="minorEastAsia"/>
                <w:b w:val="0"/>
                <w:color w:val="000000"/>
                <w:spacing w:val="-1"/>
                <w:sz w:val="18"/>
                <w:szCs w:val="18"/>
                <w:highlight w:val="none"/>
                <w:lang w:eastAsia="zh-CN"/>
              </w:rPr>
              <w:t>）</w:t>
            </w:r>
            <w:r>
              <w:rPr>
                <w:rFonts w:eastAsiaTheme="minorEastAsia"/>
                <w:b w:val="0"/>
                <w:color w:val="000000"/>
                <w:spacing w:val="-7"/>
                <w:sz w:val="18"/>
                <w:szCs w:val="18"/>
                <w:highlight w:val="none"/>
              </w:rPr>
              <w:t>；通用零部件制造</w:t>
            </w:r>
            <w:r>
              <w:rPr>
                <w:rFonts w:eastAsiaTheme="minorEastAsia"/>
                <w:b w:val="0"/>
                <w:color w:val="000000"/>
                <w:spacing w:val="-1"/>
                <w:sz w:val="18"/>
                <w:szCs w:val="18"/>
                <w:highlight w:val="none"/>
                <w:lang w:eastAsia="zh-CN"/>
              </w:rPr>
              <w:t>（</w:t>
            </w:r>
            <w:r>
              <w:rPr>
                <w:rFonts w:eastAsiaTheme="minorEastAsia"/>
                <w:b w:val="0"/>
                <w:color w:val="000000"/>
                <w:spacing w:val="-7"/>
                <w:sz w:val="18"/>
                <w:szCs w:val="18"/>
                <w:highlight w:val="none"/>
                <w:lang w:eastAsia="zh-CN"/>
              </w:rPr>
              <w:t>C</w:t>
            </w:r>
            <w:r>
              <w:rPr>
                <w:rFonts w:eastAsiaTheme="minorEastAsia"/>
                <w:b w:val="0"/>
                <w:color w:val="000000"/>
                <w:spacing w:val="-7"/>
                <w:sz w:val="18"/>
                <w:szCs w:val="18"/>
                <w:highlight w:val="none"/>
              </w:rPr>
              <w:t>348</w:t>
            </w:r>
            <w:r>
              <w:rPr>
                <w:rFonts w:eastAsiaTheme="minorEastAsia"/>
                <w:b w:val="0"/>
                <w:color w:val="000000"/>
                <w:spacing w:val="-1"/>
                <w:sz w:val="18"/>
                <w:szCs w:val="18"/>
                <w:highlight w:val="none"/>
                <w:lang w:eastAsia="zh-CN"/>
              </w:rPr>
              <w:t>）</w:t>
            </w:r>
            <w:r>
              <w:rPr>
                <w:rFonts w:eastAsiaTheme="minorEastAsia"/>
                <w:b w:val="0"/>
                <w:color w:val="000000"/>
                <w:spacing w:val="-7"/>
                <w:sz w:val="18"/>
                <w:szCs w:val="18"/>
                <w:highlight w:val="none"/>
              </w:rPr>
              <w:t>；</w:t>
            </w:r>
            <w:r>
              <w:rPr>
                <w:rFonts w:eastAsiaTheme="minorEastAsia"/>
                <w:b w:val="0"/>
                <w:color w:val="000000"/>
                <w:spacing w:val="-1"/>
                <w:sz w:val="18"/>
                <w:szCs w:val="18"/>
                <w:highlight w:val="none"/>
              </w:rPr>
              <w:t>其他通用设备制造业</w:t>
            </w:r>
            <w:r>
              <w:rPr>
                <w:rFonts w:eastAsiaTheme="minorEastAsia"/>
                <w:b w:val="0"/>
                <w:color w:val="000000"/>
                <w:spacing w:val="-1"/>
                <w:sz w:val="18"/>
                <w:szCs w:val="18"/>
                <w:highlight w:val="none"/>
                <w:lang w:eastAsia="zh-CN"/>
              </w:rPr>
              <w:t>（</w:t>
            </w:r>
            <w:r>
              <w:rPr>
                <w:rFonts w:eastAsiaTheme="minorEastAsia"/>
                <w:b w:val="0"/>
                <w:color w:val="000000"/>
                <w:spacing w:val="-7"/>
                <w:sz w:val="18"/>
                <w:szCs w:val="18"/>
                <w:highlight w:val="none"/>
                <w:lang w:eastAsia="zh-CN"/>
              </w:rPr>
              <w:t>C</w:t>
            </w:r>
            <w:r>
              <w:rPr>
                <w:rFonts w:eastAsiaTheme="minorEastAsia"/>
                <w:b w:val="0"/>
                <w:color w:val="000000"/>
                <w:spacing w:val="-7"/>
                <w:sz w:val="18"/>
                <w:szCs w:val="18"/>
                <w:highlight w:val="none"/>
              </w:rPr>
              <w:t>349</w:t>
            </w:r>
            <w:r>
              <w:rPr>
                <w:rFonts w:eastAsiaTheme="minorEastAsia"/>
                <w:b w:val="0"/>
                <w:color w:val="000000"/>
                <w:spacing w:val="-1"/>
                <w:sz w:val="18"/>
                <w:szCs w:val="18"/>
                <w:highlight w:val="none"/>
                <w:lang w:eastAsia="zh-CN"/>
              </w:rPr>
              <w:t>）</w:t>
            </w:r>
            <w:r>
              <w:rPr>
                <w:rFonts w:eastAsiaTheme="minorEastAsia"/>
                <w:b w:val="0"/>
                <w:color w:val="000000"/>
                <w:spacing w:val="-1"/>
                <w:sz w:val="18"/>
                <w:szCs w:val="18"/>
                <w:highlight w:val="none"/>
              </w:rPr>
              <w:t>。</w:t>
            </w:r>
          </w:p>
        </w:tc>
      </w:tr>
      <w:tr w14:paraId="438A0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113" w:type="dxa"/>
            <w:bottom w:w="0" w:type="dxa"/>
            <w:right w:w="113" w:type="dxa"/>
          </w:tblCellMar>
        </w:tblPrEx>
        <w:trPr>
          <w:trHeight w:val="622" w:hRule="atLeast"/>
          <w:jc w:val="center"/>
        </w:trPr>
        <w:tc>
          <w:tcPr>
            <w:tcW w:w="1447"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10E55194">
            <w:pPr>
              <w:pStyle w:val="133"/>
              <w:spacing w:line="240" w:lineRule="auto"/>
              <w:ind w:firstLine="0" w:firstLineChars="0"/>
              <w:rPr>
                <w:rFonts w:eastAsiaTheme="minorEastAsia"/>
                <w:b w:val="0"/>
                <w:color w:val="000000"/>
                <w:sz w:val="18"/>
                <w:szCs w:val="18"/>
                <w:highlight w:val="none"/>
                <w:lang w:eastAsia="zh-CN"/>
              </w:rPr>
            </w:pPr>
            <w:r>
              <w:rPr>
                <w:rFonts w:eastAsiaTheme="minorEastAsia"/>
                <w:b w:val="0"/>
                <w:color w:val="000000"/>
                <w:spacing w:val="-5"/>
                <w:sz w:val="18"/>
                <w:szCs w:val="18"/>
                <w:highlight w:val="none"/>
              </w:rPr>
              <w:t>专用设备制造</w:t>
            </w:r>
          </w:p>
        </w:tc>
        <w:tc>
          <w:tcPr>
            <w:tcW w:w="8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1B333A">
            <w:pPr>
              <w:pStyle w:val="133"/>
              <w:spacing w:line="240" w:lineRule="auto"/>
              <w:ind w:firstLine="0" w:firstLineChars="0"/>
              <w:jc w:val="center"/>
              <w:rPr>
                <w:rFonts w:eastAsiaTheme="minorEastAsia"/>
                <w:b w:val="0"/>
                <w:color w:val="000000"/>
                <w:sz w:val="18"/>
                <w:szCs w:val="18"/>
                <w:highlight w:val="none"/>
                <w:lang w:eastAsia="zh-CN"/>
              </w:rPr>
            </w:pPr>
            <w:r>
              <w:rPr>
                <w:rFonts w:eastAsiaTheme="minorEastAsia"/>
                <w:b w:val="0"/>
                <w:color w:val="000000"/>
                <w:spacing w:val="-2"/>
                <w:sz w:val="18"/>
                <w:szCs w:val="18"/>
                <w:highlight w:val="none"/>
              </w:rPr>
              <w:t>C35</w:t>
            </w:r>
          </w:p>
        </w:tc>
        <w:tc>
          <w:tcPr>
            <w:tcW w:w="668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01F6AE11">
            <w:pPr>
              <w:pStyle w:val="133"/>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eastAsiaTheme="minorEastAsia"/>
                <w:b w:val="0"/>
                <w:color w:val="000000"/>
                <w:sz w:val="18"/>
                <w:szCs w:val="18"/>
                <w:highlight w:val="none"/>
              </w:rPr>
            </w:pPr>
            <w:r>
              <w:rPr>
                <w:rFonts w:eastAsiaTheme="minorEastAsia"/>
                <w:b w:val="0"/>
                <w:color w:val="000000"/>
                <w:spacing w:val="-1"/>
                <w:sz w:val="18"/>
                <w:szCs w:val="18"/>
                <w:highlight w:val="none"/>
              </w:rPr>
              <w:t>采矿、冶金、建筑专用设备制造</w:t>
            </w:r>
            <w:r>
              <w:rPr>
                <w:rFonts w:eastAsiaTheme="minorEastAsia"/>
                <w:b w:val="0"/>
                <w:color w:val="000000"/>
                <w:spacing w:val="-1"/>
                <w:sz w:val="18"/>
                <w:szCs w:val="18"/>
                <w:highlight w:val="none"/>
                <w:lang w:eastAsia="zh-CN"/>
              </w:rPr>
              <w:t>（C</w:t>
            </w:r>
            <w:r>
              <w:rPr>
                <w:rFonts w:eastAsiaTheme="minorEastAsia"/>
                <w:b w:val="0"/>
                <w:color w:val="000000"/>
                <w:spacing w:val="-1"/>
                <w:sz w:val="18"/>
                <w:szCs w:val="18"/>
                <w:highlight w:val="none"/>
              </w:rPr>
              <w:t>351</w:t>
            </w:r>
            <w:r>
              <w:rPr>
                <w:rFonts w:eastAsiaTheme="minorEastAsia"/>
                <w:b w:val="0"/>
                <w:color w:val="000000"/>
                <w:spacing w:val="-1"/>
                <w:sz w:val="18"/>
                <w:szCs w:val="18"/>
                <w:highlight w:val="none"/>
                <w:lang w:eastAsia="zh-CN"/>
              </w:rPr>
              <w:t>）</w:t>
            </w:r>
            <w:r>
              <w:rPr>
                <w:rFonts w:eastAsiaTheme="minorEastAsia"/>
                <w:b w:val="0"/>
                <w:color w:val="000000"/>
                <w:spacing w:val="-1"/>
                <w:sz w:val="18"/>
                <w:szCs w:val="18"/>
                <w:highlight w:val="none"/>
              </w:rPr>
              <w:t>；化工、木材、非金属加工专用设备制造</w:t>
            </w:r>
            <w:r>
              <w:rPr>
                <w:rFonts w:eastAsiaTheme="minorEastAsia"/>
                <w:b w:val="0"/>
                <w:color w:val="000000"/>
                <w:spacing w:val="-1"/>
                <w:sz w:val="18"/>
                <w:szCs w:val="18"/>
                <w:highlight w:val="none"/>
                <w:lang w:eastAsia="zh-CN"/>
              </w:rPr>
              <w:t>（C</w:t>
            </w:r>
            <w:r>
              <w:rPr>
                <w:rFonts w:eastAsiaTheme="minorEastAsia"/>
                <w:b w:val="0"/>
                <w:color w:val="000000"/>
                <w:spacing w:val="-1"/>
                <w:sz w:val="18"/>
                <w:szCs w:val="18"/>
                <w:highlight w:val="none"/>
              </w:rPr>
              <w:t>352</w:t>
            </w:r>
            <w:r>
              <w:rPr>
                <w:rFonts w:eastAsiaTheme="minorEastAsia"/>
                <w:b w:val="0"/>
                <w:color w:val="000000"/>
                <w:spacing w:val="-1"/>
                <w:sz w:val="18"/>
                <w:szCs w:val="18"/>
                <w:highlight w:val="none"/>
                <w:lang w:eastAsia="zh-CN"/>
              </w:rPr>
              <w:t>）</w:t>
            </w:r>
            <w:r>
              <w:rPr>
                <w:rFonts w:eastAsiaTheme="minorEastAsia"/>
                <w:b w:val="0"/>
                <w:color w:val="000000"/>
                <w:spacing w:val="-1"/>
                <w:sz w:val="18"/>
                <w:szCs w:val="18"/>
                <w:highlight w:val="none"/>
              </w:rPr>
              <w:t>；食品、饮料、烟草及饲料生产专用设备制造</w:t>
            </w:r>
            <w:r>
              <w:rPr>
                <w:rFonts w:eastAsiaTheme="minorEastAsia"/>
                <w:b w:val="0"/>
                <w:color w:val="000000"/>
                <w:spacing w:val="-1"/>
                <w:sz w:val="18"/>
                <w:szCs w:val="18"/>
                <w:highlight w:val="none"/>
                <w:lang w:eastAsia="zh-CN"/>
              </w:rPr>
              <w:t>（C</w:t>
            </w:r>
            <w:r>
              <w:rPr>
                <w:rFonts w:eastAsiaTheme="minorEastAsia"/>
                <w:b w:val="0"/>
                <w:color w:val="000000"/>
                <w:spacing w:val="-1"/>
                <w:sz w:val="18"/>
                <w:szCs w:val="18"/>
                <w:highlight w:val="none"/>
              </w:rPr>
              <w:t>353</w:t>
            </w:r>
            <w:r>
              <w:rPr>
                <w:rFonts w:eastAsiaTheme="minorEastAsia"/>
                <w:b w:val="0"/>
                <w:color w:val="000000"/>
                <w:spacing w:val="-1"/>
                <w:sz w:val="18"/>
                <w:szCs w:val="18"/>
                <w:highlight w:val="none"/>
                <w:lang w:eastAsia="zh-CN"/>
              </w:rPr>
              <w:t>）</w:t>
            </w:r>
            <w:r>
              <w:rPr>
                <w:rFonts w:eastAsiaTheme="minorEastAsia"/>
                <w:b w:val="0"/>
                <w:color w:val="000000"/>
                <w:spacing w:val="-1"/>
                <w:sz w:val="18"/>
                <w:szCs w:val="18"/>
                <w:highlight w:val="none"/>
              </w:rPr>
              <w:t>；印</w:t>
            </w:r>
            <w:r>
              <w:rPr>
                <w:rFonts w:eastAsiaTheme="minorEastAsia"/>
                <w:b w:val="0"/>
                <w:color w:val="000000"/>
                <w:spacing w:val="-2"/>
                <w:sz w:val="18"/>
                <w:szCs w:val="18"/>
                <w:highlight w:val="none"/>
              </w:rPr>
              <w:t>刷、制药、日化及</w:t>
            </w:r>
            <w:r>
              <w:rPr>
                <w:rFonts w:eastAsiaTheme="minorEastAsia"/>
                <w:b w:val="0"/>
                <w:color w:val="000000"/>
                <w:spacing w:val="-1"/>
                <w:sz w:val="18"/>
                <w:szCs w:val="18"/>
                <w:highlight w:val="none"/>
              </w:rPr>
              <w:t>日用品生产专用设备制造</w:t>
            </w:r>
            <w:r>
              <w:rPr>
                <w:rFonts w:eastAsiaTheme="minorEastAsia"/>
                <w:b w:val="0"/>
                <w:color w:val="000000"/>
                <w:spacing w:val="-1"/>
                <w:sz w:val="18"/>
                <w:szCs w:val="18"/>
                <w:highlight w:val="none"/>
                <w:lang w:eastAsia="zh-CN"/>
              </w:rPr>
              <w:t>（C</w:t>
            </w:r>
            <w:r>
              <w:rPr>
                <w:rFonts w:eastAsiaTheme="minorEastAsia"/>
                <w:b w:val="0"/>
                <w:color w:val="000000"/>
                <w:spacing w:val="-1"/>
                <w:sz w:val="18"/>
                <w:szCs w:val="18"/>
                <w:highlight w:val="none"/>
              </w:rPr>
              <w:t>354</w:t>
            </w:r>
            <w:r>
              <w:rPr>
                <w:rFonts w:eastAsiaTheme="minorEastAsia"/>
                <w:b w:val="0"/>
                <w:color w:val="000000"/>
                <w:spacing w:val="-1"/>
                <w:sz w:val="18"/>
                <w:szCs w:val="18"/>
                <w:highlight w:val="none"/>
                <w:lang w:eastAsia="zh-CN"/>
              </w:rPr>
              <w:t>）</w:t>
            </w:r>
            <w:r>
              <w:rPr>
                <w:rFonts w:eastAsiaTheme="minorEastAsia"/>
                <w:b w:val="0"/>
                <w:color w:val="000000"/>
                <w:spacing w:val="-1"/>
                <w:sz w:val="18"/>
                <w:szCs w:val="18"/>
                <w:highlight w:val="none"/>
              </w:rPr>
              <w:t>；纺织、服装和皮革加工专用设备</w:t>
            </w:r>
            <w:r>
              <w:rPr>
                <w:rFonts w:eastAsiaTheme="minorEastAsia"/>
                <w:b w:val="0"/>
                <w:color w:val="000000"/>
                <w:spacing w:val="-2"/>
                <w:sz w:val="18"/>
                <w:szCs w:val="18"/>
                <w:highlight w:val="none"/>
              </w:rPr>
              <w:t>制造</w:t>
            </w:r>
            <w:r>
              <w:rPr>
                <w:rFonts w:eastAsiaTheme="minorEastAsia"/>
                <w:b w:val="0"/>
                <w:color w:val="000000"/>
                <w:spacing w:val="-1"/>
                <w:sz w:val="18"/>
                <w:szCs w:val="18"/>
                <w:highlight w:val="none"/>
                <w:lang w:eastAsia="zh-CN"/>
              </w:rPr>
              <w:t>（C</w:t>
            </w:r>
            <w:r>
              <w:rPr>
                <w:rFonts w:eastAsiaTheme="minorEastAsia"/>
                <w:b w:val="0"/>
                <w:color w:val="000000"/>
                <w:spacing w:val="-1"/>
                <w:sz w:val="18"/>
                <w:szCs w:val="18"/>
                <w:highlight w:val="none"/>
              </w:rPr>
              <w:t>355</w:t>
            </w:r>
            <w:r>
              <w:rPr>
                <w:rFonts w:eastAsiaTheme="minorEastAsia"/>
                <w:b w:val="0"/>
                <w:color w:val="000000"/>
                <w:spacing w:val="-1"/>
                <w:sz w:val="18"/>
                <w:szCs w:val="18"/>
                <w:highlight w:val="none"/>
                <w:lang w:eastAsia="zh-CN"/>
              </w:rPr>
              <w:t>）</w:t>
            </w:r>
            <w:r>
              <w:rPr>
                <w:rFonts w:eastAsiaTheme="minorEastAsia"/>
                <w:b w:val="0"/>
                <w:color w:val="000000"/>
                <w:spacing w:val="-2"/>
                <w:sz w:val="18"/>
                <w:szCs w:val="18"/>
                <w:highlight w:val="none"/>
              </w:rPr>
              <w:t>；电子</w:t>
            </w:r>
            <w:r>
              <w:rPr>
                <w:rFonts w:eastAsiaTheme="minorEastAsia"/>
                <w:b w:val="0"/>
                <w:color w:val="000000"/>
                <w:spacing w:val="-1"/>
                <w:sz w:val="18"/>
                <w:szCs w:val="18"/>
                <w:highlight w:val="none"/>
              </w:rPr>
              <w:t>和电工机械专用设备制造</w:t>
            </w:r>
            <w:r>
              <w:rPr>
                <w:rFonts w:eastAsiaTheme="minorEastAsia"/>
                <w:b w:val="0"/>
                <w:color w:val="000000"/>
                <w:spacing w:val="-1"/>
                <w:sz w:val="18"/>
                <w:szCs w:val="18"/>
                <w:highlight w:val="none"/>
                <w:lang w:eastAsia="zh-CN"/>
              </w:rPr>
              <w:t>（</w:t>
            </w:r>
            <w:r>
              <w:rPr>
                <w:rFonts w:eastAsiaTheme="minorEastAsia"/>
                <w:b w:val="0"/>
                <w:color w:val="000000"/>
                <w:spacing w:val="-2"/>
                <w:sz w:val="18"/>
                <w:szCs w:val="18"/>
                <w:highlight w:val="none"/>
                <w:lang w:eastAsia="zh-CN"/>
              </w:rPr>
              <w:t>C</w:t>
            </w:r>
            <w:r>
              <w:rPr>
                <w:rFonts w:eastAsiaTheme="minorEastAsia"/>
                <w:b w:val="0"/>
                <w:color w:val="000000"/>
                <w:spacing w:val="-2"/>
                <w:sz w:val="18"/>
                <w:szCs w:val="18"/>
                <w:highlight w:val="none"/>
              </w:rPr>
              <w:t>356</w:t>
            </w:r>
            <w:r>
              <w:rPr>
                <w:rFonts w:eastAsiaTheme="minorEastAsia"/>
                <w:b w:val="0"/>
                <w:color w:val="000000"/>
                <w:spacing w:val="-1"/>
                <w:sz w:val="18"/>
                <w:szCs w:val="18"/>
                <w:highlight w:val="none"/>
                <w:lang w:eastAsia="zh-CN"/>
              </w:rPr>
              <w:t>）</w:t>
            </w:r>
            <w:r>
              <w:rPr>
                <w:rFonts w:eastAsiaTheme="minorEastAsia"/>
                <w:b w:val="0"/>
                <w:color w:val="000000"/>
                <w:spacing w:val="-1"/>
                <w:sz w:val="18"/>
                <w:szCs w:val="18"/>
                <w:highlight w:val="none"/>
              </w:rPr>
              <w:t>；农、林、牧、渔专用机械制造</w:t>
            </w:r>
            <w:r>
              <w:rPr>
                <w:rFonts w:eastAsiaTheme="minorEastAsia"/>
                <w:b w:val="0"/>
                <w:color w:val="000000"/>
                <w:spacing w:val="-1"/>
                <w:sz w:val="18"/>
                <w:szCs w:val="18"/>
                <w:highlight w:val="none"/>
                <w:lang w:eastAsia="zh-CN"/>
              </w:rPr>
              <w:t>（C</w:t>
            </w:r>
            <w:r>
              <w:rPr>
                <w:rFonts w:eastAsiaTheme="minorEastAsia"/>
                <w:b w:val="0"/>
                <w:color w:val="000000"/>
                <w:spacing w:val="-1"/>
                <w:sz w:val="18"/>
                <w:szCs w:val="18"/>
                <w:highlight w:val="none"/>
              </w:rPr>
              <w:t>357</w:t>
            </w:r>
            <w:r>
              <w:rPr>
                <w:rFonts w:eastAsiaTheme="minorEastAsia"/>
                <w:b w:val="0"/>
                <w:color w:val="000000"/>
                <w:spacing w:val="-1"/>
                <w:sz w:val="18"/>
                <w:szCs w:val="18"/>
                <w:highlight w:val="none"/>
                <w:lang w:eastAsia="zh-CN"/>
              </w:rPr>
              <w:t>）；</w:t>
            </w:r>
            <w:r>
              <w:rPr>
                <w:rFonts w:eastAsiaTheme="minorEastAsia"/>
                <w:b w:val="0"/>
                <w:color w:val="000000"/>
                <w:spacing w:val="-2"/>
                <w:sz w:val="18"/>
                <w:szCs w:val="18"/>
                <w:highlight w:val="none"/>
              </w:rPr>
              <w:t>医疗仪器设</w:t>
            </w:r>
            <w:r>
              <w:rPr>
                <w:rFonts w:eastAsiaTheme="minorEastAsia"/>
                <w:b w:val="0"/>
                <w:color w:val="000000"/>
                <w:spacing w:val="-1"/>
                <w:sz w:val="18"/>
                <w:szCs w:val="18"/>
                <w:highlight w:val="none"/>
              </w:rPr>
              <w:t>备及器械制造</w:t>
            </w:r>
            <w:r>
              <w:rPr>
                <w:rFonts w:eastAsiaTheme="minorEastAsia"/>
                <w:b w:val="0"/>
                <w:color w:val="000000"/>
                <w:spacing w:val="-1"/>
                <w:sz w:val="18"/>
                <w:szCs w:val="18"/>
                <w:highlight w:val="none"/>
                <w:lang w:eastAsia="zh-CN"/>
              </w:rPr>
              <w:t>（C</w:t>
            </w:r>
            <w:r>
              <w:rPr>
                <w:rFonts w:eastAsiaTheme="minorEastAsia"/>
                <w:b w:val="0"/>
                <w:color w:val="000000"/>
                <w:spacing w:val="-1"/>
                <w:sz w:val="18"/>
                <w:szCs w:val="18"/>
                <w:highlight w:val="none"/>
              </w:rPr>
              <w:t>358</w:t>
            </w:r>
            <w:r>
              <w:rPr>
                <w:rFonts w:eastAsiaTheme="minorEastAsia"/>
                <w:b w:val="0"/>
                <w:color w:val="000000"/>
                <w:spacing w:val="-1"/>
                <w:sz w:val="18"/>
                <w:szCs w:val="18"/>
                <w:highlight w:val="none"/>
                <w:lang w:eastAsia="zh-CN"/>
              </w:rPr>
              <w:t>）</w:t>
            </w:r>
            <w:r>
              <w:rPr>
                <w:rFonts w:eastAsiaTheme="minorEastAsia"/>
                <w:b w:val="0"/>
                <w:color w:val="000000"/>
                <w:spacing w:val="-1"/>
                <w:sz w:val="18"/>
                <w:szCs w:val="18"/>
                <w:highlight w:val="none"/>
              </w:rPr>
              <w:t>；环保、邮政、社会公共服务及</w:t>
            </w:r>
            <w:r>
              <w:rPr>
                <w:rFonts w:eastAsiaTheme="minorEastAsia"/>
                <w:b w:val="0"/>
                <w:color w:val="000000"/>
                <w:spacing w:val="-2"/>
                <w:sz w:val="18"/>
                <w:szCs w:val="18"/>
                <w:highlight w:val="none"/>
              </w:rPr>
              <w:t>其他专用设备制造</w:t>
            </w:r>
            <w:r>
              <w:rPr>
                <w:rFonts w:eastAsiaTheme="minorEastAsia"/>
                <w:b w:val="0"/>
                <w:color w:val="000000"/>
                <w:spacing w:val="-1"/>
                <w:sz w:val="18"/>
                <w:szCs w:val="18"/>
                <w:highlight w:val="none"/>
                <w:lang w:eastAsia="zh-CN"/>
              </w:rPr>
              <w:t>（C</w:t>
            </w:r>
            <w:r>
              <w:rPr>
                <w:rFonts w:eastAsiaTheme="minorEastAsia"/>
                <w:b w:val="0"/>
                <w:color w:val="000000"/>
                <w:spacing w:val="-1"/>
                <w:sz w:val="18"/>
                <w:szCs w:val="18"/>
                <w:highlight w:val="none"/>
              </w:rPr>
              <w:t>359</w:t>
            </w:r>
            <w:r>
              <w:rPr>
                <w:rFonts w:eastAsiaTheme="minorEastAsia"/>
                <w:b w:val="0"/>
                <w:color w:val="000000"/>
                <w:spacing w:val="-1"/>
                <w:sz w:val="18"/>
                <w:szCs w:val="18"/>
                <w:highlight w:val="none"/>
                <w:lang w:eastAsia="zh-CN"/>
              </w:rPr>
              <w:t>）</w:t>
            </w:r>
            <w:r>
              <w:rPr>
                <w:rFonts w:eastAsiaTheme="minorEastAsia"/>
                <w:b w:val="0"/>
                <w:color w:val="000000"/>
                <w:spacing w:val="-2"/>
                <w:sz w:val="18"/>
                <w:szCs w:val="18"/>
                <w:highlight w:val="none"/>
              </w:rPr>
              <w:t>。</w:t>
            </w:r>
          </w:p>
        </w:tc>
      </w:tr>
      <w:tr w14:paraId="373AB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113" w:type="dxa"/>
            <w:bottom w:w="0" w:type="dxa"/>
            <w:right w:w="113" w:type="dxa"/>
          </w:tblCellMar>
        </w:tblPrEx>
        <w:trPr>
          <w:trHeight w:val="622" w:hRule="atLeast"/>
          <w:jc w:val="center"/>
        </w:trPr>
        <w:tc>
          <w:tcPr>
            <w:tcW w:w="1447"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3C3B7F2D">
            <w:pPr>
              <w:pStyle w:val="133"/>
              <w:spacing w:line="240" w:lineRule="auto"/>
              <w:ind w:firstLine="0" w:firstLineChars="0"/>
              <w:rPr>
                <w:rFonts w:eastAsiaTheme="minorEastAsia"/>
                <w:b w:val="0"/>
                <w:color w:val="000000"/>
                <w:sz w:val="18"/>
                <w:szCs w:val="18"/>
                <w:highlight w:val="none"/>
              </w:rPr>
            </w:pPr>
            <w:r>
              <w:rPr>
                <w:rFonts w:eastAsiaTheme="minorEastAsia"/>
                <w:b w:val="0"/>
                <w:color w:val="000000"/>
                <w:spacing w:val="-10"/>
                <w:sz w:val="18"/>
                <w:szCs w:val="18"/>
                <w:highlight w:val="none"/>
              </w:rPr>
              <w:t>铁路、船舶、航空航天和</w:t>
            </w:r>
            <w:r>
              <w:rPr>
                <w:rFonts w:eastAsiaTheme="minorEastAsia"/>
                <w:b w:val="0"/>
                <w:color w:val="000000"/>
                <w:spacing w:val="-5"/>
                <w:sz w:val="18"/>
                <w:szCs w:val="18"/>
                <w:highlight w:val="none"/>
              </w:rPr>
              <w:t>其他运输设备制造业</w:t>
            </w:r>
          </w:p>
        </w:tc>
        <w:tc>
          <w:tcPr>
            <w:tcW w:w="8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85B43A">
            <w:pPr>
              <w:pStyle w:val="133"/>
              <w:spacing w:line="240" w:lineRule="auto"/>
              <w:ind w:firstLine="0" w:firstLineChars="0"/>
              <w:jc w:val="center"/>
              <w:rPr>
                <w:rFonts w:eastAsiaTheme="minorEastAsia"/>
                <w:b w:val="0"/>
                <w:color w:val="000000"/>
                <w:sz w:val="18"/>
                <w:szCs w:val="18"/>
                <w:highlight w:val="none"/>
              </w:rPr>
            </w:pPr>
            <w:r>
              <w:rPr>
                <w:rFonts w:eastAsiaTheme="minorEastAsia"/>
                <w:b w:val="0"/>
                <w:color w:val="000000"/>
                <w:spacing w:val="-2"/>
                <w:sz w:val="18"/>
                <w:szCs w:val="18"/>
                <w:highlight w:val="none"/>
              </w:rPr>
              <w:t>C37</w:t>
            </w:r>
          </w:p>
        </w:tc>
        <w:tc>
          <w:tcPr>
            <w:tcW w:w="668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6EF388EE">
            <w:pPr>
              <w:pStyle w:val="133"/>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eastAsiaTheme="minorEastAsia"/>
                <w:b w:val="0"/>
                <w:color w:val="000000"/>
                <w:sz w:val="18"/>
                <w:szCs w:val="18"/>
                <w:highlight w:val="none"/>
              </w:rPr>
            </w:pPr>
            <w:r>
              <w:rPr>
                <w:rFonts w:eastAsiaTheme="minorEastAsia"/>
                <w:b w:val="0"/>
                <w:color w:val="000000"/>
                <w:spacing w:val="-4"/>
                <w:sz w:val="18"/>
                <w:szCs w:val="18"/>
                <w:highlight w:val="none"/>
              </w:rPr>
              <w:t>铁路运输设备制造</w:t>
            </w:r>
            <w:r>
              <w:rPr>
                <w:rFonts w:eastAsiaTheme="minorEastAsia"/>
                <w:b w:val="0"/>
                <w:color w:val="000000"/>
                <w:spacing w:val="-1"/>
                <w:sz w:val="18"/>
                <w:szCs w:val="18"/>
                <w:highlight w:val="none"/>
                <w:lang w:eastAsia="zh-CN"/>
              </w:rPr>
              <w:t>（C</w:t>
            </w:r>
            <w:r>
              <w:rPr>
                <w:rFonts w:eastAsiaTheme="minorEastAsia"/>
                <w:b w:val="0"/>
                <w:color w:val="000000"/>
                <w:spacing w:val="-4"/>
                <w:sz w:val="18"/>
                <w:szCs w:val="18"/>
                <w:highlight w:val="none"/>
              </w:rPr>
              <w:t>371</w:t>
            </w:r>
            <w:r>
              <w:rPr>
                <w:rFonts w:eastAsiaTheme="minorEastAsia"/>
                <w:b w:val="0"/>
                <w:color w:val="000000"/>
                <w:spacing w:val="-1"/>
                <w:sz w:val="18"/>
                <w:szCs w:val="18"/>
                <w:highlight w:val="none"/>
                <w:lang w:eastAsia="zh-CN"/>
              </w:rPr>
              <w:t>）</w:t>
            </w:r>
            <w:r>
              <w:rPr>
                <w:rFonts w:eastAsiaTheme="minorEastAsia"/>
                <w:b w:val="0"/>
                <w:color w:val="000000"/>
                <w:spacing w:val="-4"/>
                <w:sz w:val="18"/>
                <w:szCs w:val="18"/>
                <w:highlight w:val="none"/>
              </w:rPr>
              <w:t>；城市轨道交通设备制造</w:t>
            </w:r>
            <w:r>
              <w:rPr>
                <w:rFonts w:eastAsiaTheme="minorEastAsia"/>
                <w:b w:val="0"/>
                <w:color w:val="000000"/>
                <w:spacing w:val="-1"/>
                <w:sz w:val="18"/>
                <w:szCs w:val="18"/>
                <w:highlight w:val="none"/>
                <w:lang w:eastAsia="zh-CN"/>
              </w:rPr>
              <w:t>（C</w:t>
            </w:r>
            <w:r>
              <w:rPr>
                <w:rFonts w:eastAsiaTheme="minorEastAsia"/>
                <w:b w:val="0"/>
                <w:color w:val="000000"/>
                <w:spacing w:val="-4"/>
                <w:sz w:val="18"/>
                <w:szCs w:val="18"/>
                <w:highlight w:val="none"/>
              </w:rPr>
              <w:t>372</w:t>
            </w:r>
            <w:r>
              <w:rPr>
                <w:rFonts w:eastAsiaTheme="minorEastAsia"/>
                <w:b w:val="0"/>
                <w:color w:val="000000"/>
                <w:spacing w:val="-1"/>
                <w:sz w:val="18"/>
                <w:szCs w:val="18"/>
                <w:highlight w:val="none"/>
                <w:lang w:eastAsia="zh-CN"/>
              </w:rPr>
              <w:t>）</w:t>
            </w:r>
            <w:r>
              <w:rPr>
                <w:rFonts w:eastAsiaTheme="minorEastAsia"/>
                <w:b w:val="0"/>
                <w:color w:val="000000"/>
                <w:spacing w:val="-4"/>
                <w:sz w:val="18"/>
                <w:szCs w:val="18"/>
                <w:highlight w:val="none"/>
              </w:rPr>
              <w:t>；</w:t>
            </w:r>
            <w:r>
              <w:rPr>
                <w:rFonts w:eastAsiaTheme="minorEastAsia"/>
                <w:b w:val="0"/>
                <w:color w:val="000000"/>
                <w:spacing w:val="-5"/>
                <w:sz w:val="18"/>
                <w:szCs w:val="18"/>
                <w:highlight w:val="none"/>
              </w:rPr>
              <w:t>船舶及相关装置制造</w:t>
            </w:r>
            <w:r>
              <w:rPr>
                <w:rFonts w:eastAsiaTheme="minorEastAsia"/>
                <w:b w:val="0"/>
                <w:color w:val="000000"/>
                <w:spacing w:val="-1"/>
                <w:sz w:val="18"/>
                <w:szCs w:val="18"/>
                <w:highlight w:val="none"/>
                <w:lang w:eastAsia="zh-CN"/>
              </w:rPr>
              <w:t>（C</w:t>
            </w:r>
            <w:r>
              <w:rPr>
                <w:rFonts w:eastAsiaTheme="minorEastAsia"/>
                <w:b w:val="0"/>
                <w:color w:val="000000"/>
                <w:spacing w:val="-5"/>
                <w:sz w:val="18"/>
                <w:szCs w:val="18"/>
                <w:highlight w:val="none"/>
              </w:rPr>
              <w:t>373</w:t>
            </w:r>
            <w:r>
              <w:rPr>
                <w:rFonts w:eastAsiaTheme="minorEastAsia"/>
                <w:b w:val="0"/>
                <w:color w:val="000000"/>
                <w:spacing w:val="-1"/>
                <w:sz w:val="18"/>
                <w:szCs w:val="18"/>
                <w:highlight w:val="none"/>
                <w:lang w:eastAsia="zh-CN"/>
              </w:rPr>
              <w:t>）</w:t>
            </w:r>
            <w:r>
              <w:rPr>
                <w:rFonts w:eastAsiaTheme="minorEastAsia"/>
                <w:b w:val="0"/>
                <w:color w:val="000000"/>
                <w:spacing w:val="-5"/>
                <w:sz w:val="18"/>
                <w:szCs w:val="18"/>
                <w:highlight w:val="none"/>
              </w:rPr>
              <w:t>；</w:t>
            </w:r>
            <w:r>
              <w:rPr>
                <w:rFonts w:eastAsiaTheme="minorEastAsia"/>
                <w:b w:val="0"/>
                <w:color w:val="000000"/>
                <w:spacing w:val="-4"/>
                <w:sz w:val="18"/>
                <w:szCs w:val="18"/>
                <w:highlight w:val="none"/>
              </w:rPr>
              <w:t>航空、航天器及设备制造</w:t>
            </w:r>
            <w:r>
              <w:rPr>
                <w:rFonts w:eastAsiaTheme="minorEastAsia"/>
                <w:b w:val="0"/>
                <w:color w:val="000000"/>
                <w:spacing w:val="-1"/>
                <w:sz w:val="18"/>
                <w:szCs w:val="18"/>
                <w:highlight w:val="none"/>
                <w:lang w:eastAsia="zh-CN"/>
              </w:rPr>
              <w:t>（C</w:t>
            </w:r>
            <w:r>
              <w:rPr>
                <w:rFonts w:eastAsiaTheme="minorEastAsia"/>
                <w:b w:val="0"/>
                <w:color w:val="000000"/>
                <w:spacing w:val="-4"/>
                <w:sz w:val="18"/>
                <w:szCs w:val="18"/>
                <w:highlight w:val="none"/>
              </w:rPr>
              <w:t>374</w:t>
            </w:r>
            <w:r>
              <w:rPr>
                <w:rFonts w:eastAsiaTheme="minorEastAsia"/>
                <w:b w:val="0"/>
                <w:color w:val="000000"/>
                <w:spacing w:val="-1"/>
                <w:sz w:val="18"/>
                <w:szCs w:val="18"/>
                <w:highlight w:val="none"/>
                <w:lang w:eastAsia="zh-CN"/>
              </w:rPr>
              <w:t>）</w:t>
            </w:r>
            <w:r>
              <w:rPr>
                <w:rFonts w:eastAsiaTheme="minorEastAsia"/>
                <w:b w:val="0"/>
                <w:color w:val="000000"/>
                <w:spacing w:val="-4"/>
                <w:sz w:val="18"/>
                <w:szCs w:val="18"/>
                <w:highlight w:val="none"/>
              </w:rPr>
              <w:t>；摩托车制造</w:t>
            </w:r>
            <w:r>
              <w:rPr>
                <w:rFonts w:eastAsiaTheme="minorEastAsia"/>
                <w:b w:val="0"/>
                <w:color w:val="000000"/>
                <w:spacing w:val="-1"/>
                <w:sz w:val="18"/>
                <w:szCs w:val="18"/>
                <w:highlight w:val="none"/>
                <w:lang w:eastAsia="zh-CN"/>
              </w:rPr>
              <w:t>（C</w:t>
            </w:r>
            <w:r>
              <w:rPr>
                <w:rFonts w:eastAsiaTheme="minorEastAsia"/>
                <w:b w:val="0"/>
                <w:color w:val="000000"/>
                <w:spacing w:val="-4"/>
                <w:sz w:val="18"/>
                <w:szCs w:val="18"/>
                <w:highlight w:val="none"/>
              </w:rPr>
              <w:t>375</w:t>
            </w:r>
            <w:r>
              <w:rPr>
                <w:rFonts w:eastAsiaTheme="minorEastAsia"/>
                <w:b w:val="0"/>
                <w:color w:val="000000"/>
                <w:spacing w:val="-1"/>
                <w:sz w:val="18"/>
                <w:szCs w:val="18"/>
                <w:highlight w:val="none"/>
                <w:lang w:eastAsia="zh-CN"/>
              </w:rPr>
              <w:t>）</w:t>
            </w:r>
            <w:r>
              <w:rPr>
                <w:rFonts w:eastAsiaTheme="minorEastAsia"/>
                <w:b w:val="0"/>
                <w:color w:val="000000"/>
                <w:spacing w:val="-4"/>
                <w:sz w:val="18"/>
                <w:szCs w:val="18"/>
                <w:highlight w:val="none"/>
              </w:rPr>
              <w:t>；自行车和残疾人座车制造</w:t>
            </w:r>
            <w:r>
              <w:rPr>
                <w:rFonts w:eastAsiaTheme="minorEastAsia"/>
                <w:b w:val="0"/>
                <w:color w:val="000000"/>
                <w:spacing w:val="-1"/>
                <w:sz w:val="18"/>
                <w:szCs w:val="18"/>
                <w:highlight w:val="none"/>
                <w:lang w:eastAsia="zh-CN"/>
              </w:rPr>
              <w:t>（C</w:t>
            </w:r>
            <w:r>
              <w:rPr>
                <w:rFonts w:eastAsiaTheme="minorEastAsia"/>
                <w:b w:val="0"/>
                <w:color w:val="000000"/>
                <w:spacing w:val="-4"/>
                <w:sz w:val="18"/>
                <w:szCs w:val="18"/>
                <w:highlight w:val="none"/>
              </w:rPr>
              <w:t>376</w:t>
            </w:r>
            <w:r>
              <w:rPr>
                <w:rFonts w:eastAsiaTheme="minorEastAsia"/>
                <w:b w:val="0"/>
                <w:color w:val="000000"/>
                <w:spacing w:val="-1"/>
                <w:sz w:val="18"/>
                <w:szCs w:val="18"/>
                <w:highlight w:val="none"/>
                <w:lang w:eastAsia="zh-CN"/>
              </w:rPr>
              <w:t>）</w:t>
            </w:r>
            <w:r>
              <w:rPr>
                <w:rFonts w:eastAsiaTheme="minorEastAsia"/>
                <w:b w:val="0"/>
                <w:color w:val="000000"/>
                <w:spacing w:val="-4"/>
                <w:sz w:val="18"/>
                <w:szCs w:val="18"/>
                <w:highlight w:val="none"/>
              </w:rPr>
              <w:t>；</w:t>
            </w:r>
            <w:r>
              <w:rPr>
                <w:rFonts w:eastAsiaTheme="minorEastAsia"/>
                <w:b w:val="0"/>
                <w:color w:val="000000"/>
                <w:spacing w:val="-2"/>
                <w:sz w:val="18"/>
                <w:szCs w:val="18"/>
                <w:highlight w:val="none"/>
              </w:rPr>
              <w:t>助动车制造</w:t>
            </w:r>
            <w:r>
              <w:rPr>
                <w:rFonts w:eastAsiaTheme="minorEastAsia"/>
                <w:b w:val="0"/>
                <w:color w:val="000000"/>
                <w:spacing w:val="-1"/>
                <w:sz w:val="18"/>
                <w:szCs w:val="18"/>
                <w:highlight w:val="none"/>
                <w:lang w:eastAsia="zh-CN"/>
              </w:rPr>
              <w:t>（C</w:t>
            </w:r>
            <w:r>
              <w:rPr>
                <w:rFonts w:eastAsiaTheme="minorEastAsia"/>
                <w:b w:val="0"/>
                <w:color w:val="000000"/>
                <w:spacing w:val="-2"/>
                <w:sz w:val="18"/>
                <w:szCs w:val="18"/>
                <w:highlight w:val="none"/>
              </w:rPr>
              <w:t>377</w:t>
            </w:r>
            <w:r>
              <w:rPr>
                <w:rFonts w:eastAsiaTheme="minorEastAsia"/>
                <w:b w:val="0"/>
                <w:color w:val="000000"/>
                <w:spacing w:val="-1"/>
                <w:sz w:val="18"/>
                <w:szCs w:val="18"/>
                <w:highlight w:val="none"/>
                <w:lang w:eastAsia="zh-CN"/>
              </w:rPr>
              <w:t>）</w:t>
            </w:r>
            <w:r>
              <w:rPr>
                <w:rFonts w:eastAsiaTheme="minorEastAsia"/>
                <w:b w:val="0"/>
                <w:color w:val="000000"/>
                <w:spacing w:val="-2"/>
                <w:sz w:val="18"/>
                <w:szCs w:val="18"/>
                <w:highlight w:val="none"/>
              </w:rPr>
              <w:t>；非公路休闲车及零配件制造</w:t>
            </w:r>
            <w:r>
              <w:rPr>
                <w:rFonts w:eastAsiaTheme="minorEastAsia"/>
                <w:b w:val="0"/>
                <w:color w:val="000000"/>
                <w:spacing w:val="-1"/>
                <w:sz w:val="18"/>
                <w:szCs w:val="18"/>
                <w:highlight w:val="none"/>
                <w:lang w:eastAsia="zh-CN"/>
              </w:rPr>
              <w:t>（C</w:t>
            </w:r>
            <w:r>
              <w:rPr>
                <w:rFonts w:eastAsiaTheme="minorEastAsia"/>
                <w:b w:val="0"/>
                <w:color w:val="000000"/>
                <w:spacing w:val="-2"/>
                <w:sz w:val="18"/>
                <w:szCs w:val="18"/>
                <w:highlight w:val="none"/>
              </w:rPr>
              <w:t>378</w:t>
            </w:r>
            <w:r>
              <w:rPr>
                <w:rFonts w:eastAsiaTheme="minorEastAsia"/>
                <w:b w:val="0"/>
                <w:color w:val="000000"/>
                <w:spacing w:val="-1"/>
                <w:sz w:val="18"/>
                <w:szCs w:val="18"/>
                <w:highlight w:val="none"/>
                <w:lang w:eastAsia="zh-CN"/>
              </w:rPr>
              <w:t>）</w:t>
            </w:r>
            <w:r>
              <w:rPr>
                <w:rFonts w:eastAsiaTheme="minorEastAsia"/>
                <w:b w:val="0"/>
                <w:color w:val="000000"/>
                <w:spacing w:val="-2"/>
                <w:sz w:val="18"/>
                <w:szCs w:val="18"/>
                <w:highlight w:val="none"/>
              </w:rPr>
              <w:t>；潜水救捞及其他未列明运输设备制造</w:t>
            </w:r>
            <w:r>
              <w:rPr>
                <w:rFonts w:eastAsiaTheme="minorEastAsia"/>
                <w:b w:val="0"/>
                <w:color w:val="000000"/>
                <w:spacing w:val="-1"/>
                <w:sz w:val="18"/>
                <w:szCs w:val="18"/>
                <w:highlight w:val="none"/>
                <w:lang w:eastAsia="zh-CN"/>
              </w:rPr>
              <w:t>（C</w:t>
            </w:r>
            <w:r>
              <w:rPr>
                <w:rFonts w:eastAsiaTheme="minorEastAsia"/>
                <w:b w:val="0"/>
                <w:color w:val="000000"/>
                <w:spacing w:val="-2"/>
                <w:sz w:val="18"/>
                <w:szCs w:val="18"/>
                <w:highlight w:val="none"/>
              </w:rPr>
              <w:t>379</w:t>
            </w:r>
            <w:r>
              <w:rPr>
                <w:rFonts w:eastAsiaTheme="minorEastAsia"/>
                <w:b w:val="0"/>
                <w:color w:val="000000"/>
                <w:spacing w:val="-1"/>
                <w:sz w:val="18"/>
                <w:szCs w:val="18"/>
                <w:highlight w:val="none"/>
                <w:lang w:eastAsia="zh-CN"/>
              </w:rPr>
              <w:t>）</w:t>
            </w:r>
            <w:r>
              <w:rPr>
                <w:rFonts w:eastAsiaTheme="minorEastAsia"/>
                <w:b w:val="0"/>
                <w:color w:val="000000"/>
                <w:spacing w:val="-2"/>
                <w:sz w:val="18"/>
                <w:szCs w:val="18"/>
                <w:highlight w:val="none"/>
              </w:rPr>
              <w:t>。</w:t>
            </w:r>
          </w:p>
        </w:tc>
      </w:tr>
      <w:tr w14:paraId="3295C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13" w:type="dxa"/>
            <w:bottom w:w="0" w:type="dxa"/>
            <w:right w:w="113" w:type="dxa"/>
          </w:tblCellMar>
        </w:tblPrEx>
        <w:trPr>
          <w:trHeight w:val="622" w:hRule="atLeast"/>
          <w:jc w:val="center"/>
        </w:trPr>
        <w:tc>
          <w:tcPr>
            <w:tcW w:w="1447"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05447EB2">
            <w:pPr>
              <w:pStyle w:val="133"/>
              <w:spacing w:line="240" w:lineRule="auto"/>
              <w:ind w:firstLine="0" w:firstLineChars="0"/>
              <w:rPr>
                <w:rFonts w:eastAsiaTheme="minorEastAsia"/>
                <w:b w:val="0"/>
                <w:color w:val="000000"/>
                <w:sz w:val="18"/>
                <w:szCs w:val="18"/>
                <w:highlight w:val="none"/>
              </w:rPr>
            </w:pPr>
            <w:r>
              <w:rPr>
                <w:rFonts w:eastAsiaTheme="minorEastAsia"/>
                <w:b w:val="0"/>
                <w:color w:val="000000"/>
                <w:spacing w:val="-5"/>
                <w:sz w:val="18"/>
                <w:szCs w:val="18"/>
                <w:highlight w:val="none"/>
              </w:rPr>
              <w:t>金属制品业</w:t>
            </w:r>
          </w:p>
        </w:tc>
        <w:tc>
          <w:tcPr>
            <w:tcW w:w="8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3F5008">
            <w:pPr>
              <w:pStyle w:val="133"/>
              <w:spacing w:line="240" w:lineRule="auto"/>
              <w:ind w:firstLine="0" w:firstLineChars="0"/>
              <w:jc w:val="center"/>
              <w:rPr>
                <w:rFonts w:eastAsiaTheme="minorEastAsia"/>
                <w:b w:val="0"/>
                <w:color w:val="000000"/>
                <w:sz w:val="18"/>
                <w:szCs w:val="18"/>
                <w:highlight w:val="none"/>
              </w:rPr>
            </w:pPr>
            <w:r>
              <w:rPr>
                <w:rFonts w:eastAsiaTheme="minorEastAsia"/>
                <w:b w:val="0"/>
                <w:color w:val="000000"/>
                <w:spacing w:val="-2"/>
                <w:sz w:val="18"/>
                <w:szCs w:val="18"/>
                <w:highlight w:val="none"/>
              </w:rPr>
              <w:t>C33</w:t>
            </w:r>
          </w:p>
        </w:tc>
        <w:tc>
          <w:tcPr>
            <w:tcW w:w="668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1BC63FD8">
            <w:pPr>
              <w:pStyle w:val="133"/>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eastAsiaTheme="minorEastAsia"/>
                <w:b w:val="0"/>
                <w:color w:val="000000"/>
                <w:sz w:val="18"/>
                <w:szCs w:val="18"/>
                <w:highlight w:val="none"/>
              </w:rPr>
            </w:pPr>
            <w:r>
              <w:rPr>
                <w:rFonts w:eastAsiaTheme="minorEastAsia"/>
                <w:b w:val="0"/>
                <w:color w:val="000000"/>
                <w:spacing w:val="-2"/>
                <w:sz w:val="18"/>
                <w:szCs w:val="18"/>
                <w:highlight w:val="none"/>
              </w:rPr>
              <w:t>结构性金属制品制造</w:t>
            </w:r>
            <w:r>
              <w:rPr>
                <w:rFonts w:eastAsiaTheme="minorEastAsia"/>
                <w:b w:val="0"/>
                <w:color w:val="000000"/>
                <w:spacing w:val="-1"/>
                <w:sz w:val="18"/>
                <w:szCs w:val="18"/>
                <w:highlight w:val="none"/>
                <w:lang w:eastAsia="zh-CN"/>
              </w:rPr>
              <w:t>（</w:t>
            </w:r>
            <w:r>
              <w:rPr>
                <w:rFonts w:eastAsiaTheme="minorEastAsia"/>
                <w:b w:val="0"/>
                <w:color w:val="000000"/>
                <w:spacing w:val="-2"/>
                <w:sz w:val="18"/>
                <w:szCs w:val="18"/>
                <w:highlight w:val="none"/>
                <w:lang w:eastAsia="zh-CN"/>
              </w:rPr>
              <w:t>C</w:t>
            </w:r>
            <w:r>
              <w:rPr>
                <w:rFonts w:eastAsiaTheme="minorEastAsia"/>
                <w:b w:val="0"/>
                <w:color w:val="000000"/>
                <w:spacing w:val="-2"/>
                <w:sz w:val="18"/>
                <w:szCs w:val="18"/>
                <w:highlight w:val="none"/>
              </w:rPr>
              <w:t>331</w:t>
            </w:r>
            <w:r>
              <w:rPr>
                <w:rFonts w:eastAsiaTheme="minorEastAsia"/>
                <w:b w:val="0"/>
                <w:color w:val="000000"/>
                <w:spacing w:val="-1"/>
                <w:sz w:val="18"/>
                <w:szCs w:val="18"/>
                <w:highlight w:val="none"/>
                <w:lang w:eastAsia="zh-CN"/>
              </w:rPr>
              <w:t>）</w:t>
            </w:r>
            <w:r>
              <w:rPr>
                <w:rFonts w:eastAsiaTheme="minorEastAsia"/>
                <w:b w:val="0"/>
                <w:color w:val="000000"/>
                <w:spacing w:val="-2"/>
                <w:sz w:val="18"/>
                <w:szCs w:val="18"/>
                <w:highlight w:val="none"/>
              </w:rPr>
              <w:t>；金属工具制造</w:t>
            </w:r>
            <w:r>
              <w:rPr>
                <w:rFonts w:eastAsiaTheme="minorEastAsia"/>
                <w:b w:val="0"/>
                <w:color w:val="000000"/>
                <w:spacing w:val="-1"/>
                <w:sz w:val="18"/>
                <w:szCs w:val="18"/>
                <w:highlight w:val="none"/>
                <w:lang w:eastAsia="zh-CN"/>
              </w:rPr>
              <w:t>（</w:t>
            </w:r>
            <w:r>
              <w:rPr>
                <w:rFonts w:eastAsiaTheme="minorEastAsia"/>
                <w:b w:val="0"/>
                <w:color w:val="000000"/>
                <w:spacing w:val="-2"/>
                <w:sz w:val="18"/>
                <w:szCs w:val="18"/>
                <w:highlight w:val="none"/>
                <w:lang w:eastAsia="zh-CN"/>
              </w:rPr>
              <w:t>C</w:t>
            </w:r>
            <w:r>
              <w:rPr>
                <w:rFonts w:eastAsiaTheme="minorEastAsia"/>
                <w:b w:val="0"/>
                <w:color w:val="000000"/>
                <w:spacing w:val="-2"/>
                <w:sz w:val="18"/>
                <w:szCs w:val="18"/>
                <w:highlight w:val="none"/>
              </w:rPr>
              <w:t>332</w:t>
            </w:r>
            <w:r>
              <w:rPr>
                <w:rFonts w:eastAsiaTheme="minorEastAsia"/>
                <w:b w:val="0"/>
                <w:color w:val="000000"/>
                <w:spacing w:val="-1"/>
                <w:sz w:val="18"/>
                <w:szCs w:val="18"/>
                <w:highlight w:val="none"/>
                <w:lang w:eastAsia="zh-CN"/>
              </w:rPr>
              <w:t>）</w:t>
            </w:r>
            <w:r>
              <w:rPr>
                <w:rFonts w:eastAsiaTheme="minorEastAsia"/>
                <w:b w:val="0"/>
                <w:color w:val="000000"/>
                <w:spacing w:val="-3"/>
                <w:sz w:val="18"/>
                <w:szCs w:val="18"/>
                <w:highlight w:val="none"/>
              </w:rPr>
              <w:t>；集装箱及金属包装容器制造</w:t>
            </w:r>
            <w:r>
              <w:rPr>
                <w:rFonts w:eastAsiaTheme="minorEastAsia"/>
                <w:b w:val="0"/>
                <w:color w:val="000000"/>
                <w:spacing w:val="-1"/>
                <w:sz w:val="18"/>
                <w:szCs w:val="18"/>
                <w:highlight w:val="none"/>
                <w:lang w:eastAsia="zh-CN"/>
              </w:rPr>
              <w:t>（</w:t>
            </w:r>
            <w:r>
              <w:rPr>
                <w:rFonts w:eastAsiaTheme="minorEastAsia"/>
                <w:b w:val="0"/>
                <w:color w:val="000000"/>
                <w:spacing w:val="-3"/>
                <w:sz w:val="18"/>
                <w:szCs w:val="18"/>
                <w:highlight w:val="none"/>
                <w:lang w:eastAsia="zh-CN"/>
              </w:rPr>
              <w:t>C</w:t>
            </w:r>
            <w:r>
              <w:rPr>
                <w:rFonts w:eastAsiaTheme="minorEastAsia"/>
                <w:b w:val="0"/>
                <w:color w:val="000000"/>
                <w:spacing w:val="-3"/>
                <w:sz w:val="18"/>
                <w:szCs w:val="18"/>
                <w:highlight w:val="none"/>
              </w:rPr>
              <w:t>333</w:t>
            </w:r>
            <w:r>
              <w:rPr>
                <w:rFonts w:eastAsiaTheme="minorEastAsia"/>
                <w:b w:val="0"/>
                <w:color w:val="000000"/>
                <w:spacing w:val="-1"/>
                <w:sz w:val="18"/>
                <w:szCs w:val="18"/>
                <w:highlight w:val="none"/>
                <w:lang w:eastAsia="zh-CN"/>
              </w:rPr>
              <w:t>）</w:t>
            </w:r>
            <w:r>
              <w:rPr>
                <w:rFonts w:eastAsiaTheme="minorEastAsia"/>
                <w:b w:val="0"/>
                <w:color w:val="000000"/>
                <w:spacing w:val="-3"/>
                <w:sz w:val="18"/>
                <w:szCs w:val="18"/>
                <w:highlight w:val="none"/>
              </w:rPr>
              <w:t>；</w:t>
            </w:r>
            <w:r>
              <w:rPr>
                <w:rFonts w:eastAsiaTheme="minorEastAsia"/>
                <w:b w:val="0"/>
                <w:color w:val="000000"/>
                <w:spacing w:val="-1"/>
                <w:sz w:val="18"/>
                <w:szCs w:val="18"/>
                <w:highlight w:val="none"/>
              </w:rPr>
              <w:t>金属丝绳及其制品制造</w:t>
            </w:r>
            <w:r>
              <w:rPr>
                <w:rFonts w:eastAsiaTheme="minorEastAsia"/>
                <w:b w:val="0"/>
                <w:color w:val="000000"/>
                <w:spacing w:val="-1"/>
                <w:sz w:val="18"/>
                <w:szCs w:val="18"/>
                <w:highlight w:val="none"/>
                <w:lang w:eastAsia="zh-CN"/>
              </w:rPr>
              <w:t>（</w:t>
            </w:r>
            <w:r>
              <w:rPr>
                <w:rFonts w:eastAsiaTheme="minorEastAsia"/>
                <w:b w:val="0"/>
                <w:color w:val="000000"/>
                <w:spacing w:val="-3"/>
                <w:sz w:val="18"/>
                <w:szCs w:val="18"/>
                <w:highlight w:val="none"/>
                <w:lang w:eastAsia="zh-CN"/>
              </w:rPr>
              <w:t>C</w:t>
            </w:r>
            <w:r>
              <w:rPr>
                <w:rFonts w:eastAsiaTheme="minorEastAsia"/>
                <w:b w:val="0"/>
                <w:color w:val="000000"/>
                <w:spacing w:val="-1"/>
                <w:sz w:val="18"/>
                <w:szCs w:val="18"/>
                <w:highlight w:val="none"/>
              </w:rPr>
              <w:t>334</w:t>
            </w:r>
            <w:r>
              <w:rPr>
                <w:rFonts w:eastAsiaTheme="minorEastAsia"/>
                <w:b w:val="0"/>
                <w:color w:val="000000"/>
                <w:spacing w:val="-1"/>
                <w:sz w:val="18"/>
                <w:szCs w:val="18"/>
                <w:highlight w:val="none"/>
                <w:lang w:eastAsia="zh-CN"/>
              </w:rPr>
              <w:t>）</w:t>
            </w:r>
            <w:r>
              <w:rPr>
                <w:rFonts w:eastAsiaTheme="minorEastAsia"/>
                <w:b w:val="0"/>
                <w:color w:val="000000"/>
                <w:spacing w:val="-1"/>
                <w:sz w:val="18"/>
                <w:szCs w:val="18"/>
                <w:highlight w:val="none"/>
              </w:rPr>
              <w:t>建筑、</w:t>
            </w:r>
            <w:r>
              <w:rPr>
                <w:rFonts w:eastAsiaTheme="minorEastAsia"/>
                <w:b w:val="0"/>
                <w:color w:val="000000"/>
                <w:spacing w:val="-2"/>
                <w:sz w:val="18"/>
                <w:szCs w:val="18"/>
                <w:highlight w:val="none"/>
              </w:rPr>
              <w:t>安全用金属制品制造</w:t>
            </w:r>
            <w:r>
              <w:rPr>
                <w:rFonts w:eastAsiaTheme="minorEastAsia"/>
                <w:b w:val="0"/>
                <w:color w:val="000000"/>
                <w:spacing w:val="-1"/>
                <w:sz w:val="18"/>
                <w:szCs w:val="18"/>
                <w:highlight w:val="none"/>
                <w:lang w:eastAsia="zh-CN"/>
              </w:rPr>
              <w:t>（</w:t>
            </w:r>
            <w:r>
              <w:rPr>
                <w:rFonts w:eastAsiaTheme="minorEastAsia"/>
                <w:b w:val="0"/>
                <w:color w:val="000000"/>
                <w:spacing w:val="-1"/>
                <w:sz w:val="18"/>
                <w:szCs w:val="18"/>
                <w:highlight w:val="none"/>
              </w:rPr>
              <w:t>；</w:t>
            </w:r>
            <w:r>
              <w:rPr>
                <w:rFonts w:eastAsiaTheme="minorEastAsia"/>
                <w:b w:val="0"/>
                <w:color w:val="000000"/>
                <w:spacing w:val="-1"/>
                <w:sz w:val="18"/>
                <w:szCs w:val="18"/>
                <w:highlight w:val="none"/>
                <w:lang w:eastAsia="zh-CN"/>
              </w:rPr>
              <w:t>C</w:t>
            </w:r>
            <w:r>
              <w:rPr>
                <w:rFonts w:eastAsiaTheme="minorEastAsia"/>
                <w:b w:val="0"/>
                <w:color w:val="000000"/>
                <w:spacing w:val="-1"/>
                <w:sz w:val="18"/>
                <w:szCs w:val="18"/>
                <w:highlight w:val="none"/>
              </w:rPr>
              <w:t>335</w:t>
            </w:r>
            <w:r>
              <w:rPr>
                <w:rFonts w:eastAsiaTheme="minorEastAsia"/>
                <w:b w:val="0"/>
                <w:color w:val="000000"/>
                <w:spacing w:val="-1"/>
                <w:sz w:val="18"/>
                <w:szCs w:val="18"/>
                <w:highlight w:val="none"/>
                <w:lang w:eastAsia="zh-CN"/>
              </w:rPr>
              <w:t>）</w:t>
            </w:r>
            <w:r>
              <w:rPr>
                <w:rFonts w:eastAsiaTheme="minorEastAsia"/>
                <w:b w:val="0"/>
                <w:color w:val="000000"/>
                <w:spacing w:val="-2"/>
                <w:sz w:val="18"/>
                <w:szCs w:val="18"/>
                <w:highlight w:val="none"/>
              </w:rPr>
              <w:t>；金属表面处理及热处理加工</w:t>
            </w:r>
            <w:r>
              <w:rPr>
                <w:rFonts w:eastAsiaTheme="minorEastAsia"/>
                <w:b w:val="0"/>
                <w:color w:val="000000"/>
                <w:spacing w:val="-1"/>
                <w:sz w:val="18"/>
                <w:szCs w:val="18"/>
                <w:highlight w:val="none"/>
                <w:lang w:eastAsia="zh-CN"/>
              </w:rPr>
              <w:t>（</w:t>
            </w:r>
            <w:r>
              <w:rPr>
                <w:rFonts w:eastAsiaTheme="minorEastAsia"/>
                <w:b w:val="0"/>
                <w:color w:val="000000"/>
                <w:spacing w:val="-2"/>
                <w:sz w:val="18"/>
                <w:szCs w:val="18"/>
                <w:highlight w:val="none"/>
                <w:lang w:eastAsia="zh-CN"/>
              </w:rPr>
              <w:t>C</w:t>
            </w:r>
            <w:r>
              <w:rPr>
                <w:rFonts w:eastAsiaTheme="minorEastAsia"/>
                <w:b w:val="0"/>
                <w:color w:val="000000"/>
                <w:spacing w:val="-2"/>
                <w:sz w:val="18"/>
                <w:szCs w:val="18"/>
                <w:highlight w:val="none"/>
              </w:rPr>
              <w:t>336</w:t>
            </w:r>
            <w:r>
              <w:rPr>
                <w:rFonts w:eastAsiaTheme="minorEastAsia"/>
                <w:b w:val="0"/>
                <w:color w:val="000000"/>
                <w:spacing w:val="-1"/>
                <w:sz w:val="18"/>
                <w:szCs w:val="18"/>
                <w:highlight w:val="none"/>
                <w:lang w:eastAsia="zh-CN"/>
              </w:rPr>
              <w:t>）</w:t>
            </w:r>
            <w:r>
              <w:rPr>
                <w:rFonts w:eastAsiaTheme="minorEastAsia"/>
                <w:b w:val="0"/>
                <w:color w:val="000000"/>
                <w:spacing w:val="-2"/>
                <w:sz w:val="18"/>
                <w:szCs w:val="18"/>
                <w:highlight w:val="none"/>
              </w:rPr>
              <w:t>；搪瓷制品制造</w:t>
            </w:r>
            <w:r>
              <w:rPr>
                <w:rFonts w:eastAsiaTheme="minorEastAsia"/>
                <w:b w:val="0"/>
                <w:color w:val="000000"/>
                <w:spacing w:val="-1"/>
                <w:sz w:val="18"/>
                <w:szCs w:val="18"/>
                <w:highlight w:val="none"/>
                <w:lang w:eastAsia="zh-CN"/>
              </w:rPr>
              <w:t>（</w:t>
            </w:r>
            <w:r>
              <w:rPr>
                <w:rFonts w:eastAsiaTheme="minorEastAsia"/>
                <w:b w:val="0"/>
                <w:color w:val="000000"/>
                <w:spacing w:val="-2"/>
                <w:sz w:val="18"/>
                <w:szCs w:val="18"/>
                <w:highlight w:val="none"/>
                <w:lang w:eastAsia="zh-CN"/>
              </w:rPr>
              <w:t>C</w:t>
            </w:r>
            <w:r>
              <w:rPr>
                <w:rFonts w:eastAsiaTheme="minorEastAsia"/>
                <w:b w:val="0"/>
                <w:color w:val="000000"/>
                <w:spacing w:val="-2"/>
                <w:sz w:val="18"/>
                <w:szCs w:val="18"/>
                <w:highlight w:val="none"/>
              </w:rPr>
              <w:t>337</w:t>
            </w:r>
            <w:r>
              <w:rPr>
                <w:rFonts w:eastAsiaTheme="minorEastAsia"/>
                <w:b w:val="0"/>
                <w:color w:val="000000"/>
                <w:spacing w:val="-1"/>
                <w:sz w:val="18"/>
                <w:szCs w:val="18"/>
                <w:highlight w:val="none"/>
                <w:lang w:eastAsia="zh-CN"/>
              </w:rPr>
              <w:t>）</w:t>
            </w:r>
            <w:r>
              <w:rPr>
                <w:rFonts w:eastAsiaTheme="minorEastAsia"/>
                <w:b w:val="0"/>
                <w:color w:val="000000"/>
                <w:spacing w:val="-2"/>
                <w:sz w:val="18"/>
                <w:szCs w:val="18"/>
                <w:highlight w:val="none"/>
              </w:rPr>
              <w:t>；金属制日用品制造</w:t>
            </w:r>
            <w:r>
              <w:rPr>
                <w:rFonts w:eastAsiaTheme="minorEastAsia"/>
                <w:b w:val="0"/>
                <w:color w:val="000000"/>
                <w:spacing w:val="-1"/>
                <w:sz w:val="18"/>
                <w:szCs w:val="18"/>
                <w:highlight w:val="none"/>
                <w:lang w:eastAsia="zh-CN"/>
              </w:rPr>
              <w:t>（</w:t>
            </w:r>
            <w:r>
              <w:rPr>
                <w:rFonts w:eastAsiaTheme="minorEastAsia"/>
                <w:b w:val="0"/>
                <w:color w:val="000000"/>
                <w:spacing w:val="-2"/>
                <w:sz w:val="18"/>
                <w:szCs w:val="18"/>
                <w:highlight w:val="none"/>
                <w:lang w:eastAsia="zh-CN"/>
              </w:rPr>
              <w:t>C</w:t>
            </w:r>
            <w:r>
              <w:rPr>
                <w:rFonts w:eastAsiaTheme="minorEastAsia"/>
                <w:b w:val="0"/>
                <w:color w:val="000000"/>
                <w:spacing w:val="-2"/>
                <w:sz w:val="18"/>
                <w:szCs w:val="18"/>
                <w:highlight w:val="none"/>
              </w:rPr>
              <w:t>338</w:t>
            </w:r>
            <w:r>
              <w:rPr>
                <w:rFonts w:eastAsiaTheme="minorEastAsia"/>
                <w:b w:val="0"/>
                <w:color w:val="000000"/>
                <w:spacing w:val="-1"/>
                <w:sz w:val="18"/>
                <w:szCs w:val="18"/>
                <w:highlight w:val="none"/>
                <w:lang w:eastAsia="zh-CN"/>
              </w:rPr>
              <w:t>）</w:t>
            </w:r>
            <w:r>
              <w:rPr>
                <w:rFonts w:hint="default" w:ascii="Times New Roman" w:hAnsi="Times New Roman" w:cs="Times New Roman" w:eastAsiaTheme="minorEastAsia"/>
                <w:b w:val="0"/>
                <w:color w:val="000000"/>
                <w:spacing w:val="0"/>
                <w:highlight w:val="none"/>
                <w:lang w:eastAsia="zh-CN"/>
              </w:rPr>
              <w:t>；</w:t>
            </w:r>
            <w:r>
              <w:rPr>
                <w:rFonts w:hint="default" w:ascii="Times New Roman" w:hAnsi="Times New Roman" w:cs="Times New Roman" w:eastAsiaTheme="minorEastAsia"/>
                <w:b w:val="0"/>
                <w:color w:val="000000"/>
                <w:spacing w:val="0"/>
                <w:highlight w:val="none"/>
              </w:rPr>
              <w:t>锻造及其他金属制品制造</w:t>
            </w:r>
            <w:r>
              <w:rPr>
                <w:rFonts w:hint="default" w:ascii="Times New Roman" w:hAnsi="Times New Roman" w:cs="Times New Roman" w:eastAsiaTheme="minorEastAsia"/>
                <w:b w:val="0"/>
                <w:color w:val="000000"/>
                <w:spacing w:val="0"/>
                <w:highlight w:val="none"/>
                <w:lang w:eastAsia="zh-CN"/>
              </w:rPr>
              <w:t>（</w:t>
            </w:r>
            <w:r>
              <w:rPr>
                <w:rFonts w:hint="default" w:ascii="Times New Roman" w:hAnsi="Times New Roman" w:cs="Times New Roman" w:eastAsiaTheme="minorEastAsia"/>
                <w:b w:val="0"/>
                <w:color w:val="000000"/>
                <w:spacing w:val="0"/>
                <w:highlight w:val="none"/>
                <w:lang w:val="en-US" w:eastAsia="zh-CN"/>
              </w:rPr>
              <w:t>C</w:t>
            </w:r>
            <w:r>
              <w:rPr>
                <w:rFonts w:hint="default" w:ascii="Times New Roman" w:hAnsi="Times New Roman" w:cs="Times New Roman" w:eastAsiaTheme="minorEastAsia"/>
                <w:b w:val="0"/>
                <w:color w:val="000000"/>
                <w:spacing w:val="0"/>
                <w:highlight w:val="none"/>
              </w:rPr>
              <w:t>339</w:t>
            </w:r>
            <w:r>
              <w:rPr>
                <w:rFonts w:hint="default" w:ascii="Times New Roman" w:hAnsi="Times New Roman" w:cs="Times New Roman" w:eastAsiaTheme="minorEastAsia"/>
                <w:b w:val="0"/>
                <w:color w:val="000000"/>
                <w:spacing w:val="0"/>
                <w:highlight w:val="none"/>
                <w:lang w:eastAsia="zh-CN"/>
              </w:rPr>
              <w:t>）</w:t>
            </w:r>
            <w:r>
              <w:rPr>
                <w:rFonts w:eastAsiaTheme="minorEastAsia"/>
                <w:b w:val="0"/>
                <w:color w:val="000000"/>
                <w:spacing w:val="-4"/>
                <w:sz w:val="18"/>
                <w:szCs w:val="18"/>
                <w:highlight w:val="none"/>
              </w:rPr>
              <w:t>。</w:t>
            </w:r>
          </w:p>
        </w:tc>
      </w:tr>
      <w:tr w14:paraId="76CDE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113" w:type="dxa"/>
            <w:bottom w:w="0" w:type="dxa"/>
            <w:right w:w="113" w:type="dxa"/>
          </w:tblCellMar>
        </w:tblPrEx>
        <w:trPr>
          <w:trHeight w:val="345" w:hRule="atLeast"/>
          <w:jc w:val="center"/>
        </w:trPr>
        <w:tc>
          <w:tcPr>
            <w:tcW w:w="1447"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2C0C2012">
            <w:pPr>
              <w:pStyle w:val="133"/>
              <w:spacing w:line="240" w:lineRule="auto"/>
              <w:ind w:firstLine="0" w:firstLineChars="0"/>
              <w:rPr>
                <w:rFonts w:hint="eastAsia" w:eastAsiaTheme="minorEastAsia"/>
                <w:b w:val="0"/>
                <w:color w:val="000000"/>
                <w:spacing w:val="-5"/>
                <w:sz w:val="18"/>
                <w:szCs w:val="18"/>
                <w:highlight w:val="none"/>
                <w:lang w:val="en-US" w:eastAsia="zh-CN"/>
              </w:rPr>
            </w:pPr>
            <w:r>
              <w:rPr>
                <w:rFonts w:eastAsiaTheme="minorEastAsia"/>
                <w:b w:val="0"/>
                <w:color w:val="000000"/>
                <w:spacing w:val="-5"/>
                <w:sz w:val="18"/>
                <w:szCs w:val="18"/>
                <w:highlight w:val="none"/>
              </w:rPr>
              <w:t>印刷</w:t>
            </w:r>
            <w:r>
              <w:rPr>
                <w:rFonts w:hint="eastAsia" w:eastAsiaTheme="minorEastAsia"/>
                <w:b w:val="0"/>
                <w:color w:val="000000"/>
                <w:spacing w:val="-5"/>
                <w:sz w:val="18"/>
                <w:szCs w:val="18"/>
                <w:highlight w:val="none"/>
                <w:lang w:val="en-US" w:eastAsia="zh-CN"/>
              </w:rPr>
              <w:t>工业</w:t>
            </w:r>
          </w:p>
        </w:tc>
        <w:tc>
          <w:tcPr>
            <w:tcW w:w="8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72A86">
            <w:pPr>
              <w:pStyle w:val="133"/>
              <w:spacing w:line="240" w:lineRule="auto"/>
              <w:ind w:firstLine="0" w:firstLineChars="0"/>
              <w:jc w:val="center"/>
              <w:rPr>
                <w:rFonts w:eastAsiaTheme="minorEastAsia"/>
                <w:b w:val="0"/>
                <w:color w:val="000000"/>
                <w:spacing w:val="-5"/>
                <w:sz w:val="18"/>
                <w:szCs w:val="18"/>
                <w:highlight w:val="none"/>
              </w:rPr>
            </w:pPr>
            <w:r>
              <w:rPr>
                <w:rFonts w:eastAsiaTheme="minorEastAsia"/>
                <w:b w:val="0"/>
                <w:color w:val="000000"/>
                <w:spacing w:val="-5"/>
                <w:sz w:val="18"/>
                <w:szCs w:val="18"/>
                <w:highlight w:val="none"/>
              </w:rPr>
              <w:t>C23</w:t>
            </w:r>
          </w:p>
        </w:tc>
        <w:tc>
          <w:tcPr>
            <w:tcW w:w="668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14B9794A">
            <w:pPr>
              <w:pStyle w:val="133"/>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eastAsiaTheme="minorEastAsia"/>
                <w:b w:val="0"/>
                <w:color w:val="000000"/>
                <w:spacing w:val="-5"/>
                <w:sz w:val="18"/>
                <w:szCs w:val="18"/>
                <w:highlight w:val="none"/>
                <w:lang w:eastAsia="zh-CN"/>
              </w:rPr>
            </w:pPr>
            <w:r>
              <w:rPr>
                <w:rFonts w:eastAsiaTheme="minorEastAsia"/>
                <w:b w:val="0"/>
                <w:color w:val="000000"/>
                <w:sz w:val="18"/>
                <w:szCs w:val="18"/>
                <w:highlight w:val="none"/>
                <w:shd w:val="clear" w:color="auto" w:fill="FFFFFF"/>
                <w:lang w:eastAsia="zh-CN"/>
              </w:rPr>
              <w:t>书、报刊印刷（C2311）；本册印刷（C2312）；包装装潢及其他印刷（C2319）。</w:t>
            </w:r>
          </w:p>
        </w:tc>
      </w:tr>
      <w:tr w14:paraId="3AE49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113" w:type="dxa"/>
            <w:bottom w:w="0" w:type="dxa"/>
            <w:right w:w="113" w:type="dxa"/>
          </w:tblCellMar>
        </w:tblPrEx>
        <w:trPr>
          <w:trHeight w:val="939" w:hRule="atLeast"/>
          <w:jc w:val="center"/>
        </w:trPr>
        <w:tc>
          <w:tcPr>
            <w:tcW w:w="1447"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0083E8CB">
            <w:pPr>
              <w:pStyle w:val="133"/>
              <w:spacing w:line="240" w:lineRule="auto"/>
              <w:ind w:firstLine="0" w:firstLineChars="0"/>
              <w:rPr>
                <w:rFonts w:eastAsiaTheme="minorEastAsia"/>
                <w:b w:val="0"/>
                <w:color w:val="000000"/>
                <w:spacing w:val="-5"/>
                <w:sz w:val="18"/>
                <w:szCs w:val="18"/>
                <w:highlight w:val="none"/>
                <w:lang w:eastAsia="zh-CN"/>
              </w:rPr>
            </w:pPr>
            <w:r>
              <w:rPr>
                <w:rFonts w:eastAsiaTheme="minorEastAsia"/>
                <w:b w:val="0"/>
                <w:color w:val="000000"/>
                <w:spacing w:val="-5"/>
                <w:sz w:val="18"/>
                <w:szCs w:val="18"/>
                <w:highlight w:val="none"/>
              </w:rPr>
              <w:t>纺织业</w:t>
            </w:r>
          </w:p>
        </w:tc>
        <w:tc>
          <w:tcPr>
            <w:tcW w:w="8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C63145">
            <w:pPr>
              <w:pStyle w:val="133"/>
              <w:spacing w:line="240" w:lineRule="auto"/>
              <w:ind w:firstLine="0" w:firstLineChars="0"/>
              <w:jc w:val="center"/>
              <w:rPr>
                <w:rFonts w:eastAsiaTheme="minorEastAsia"/>
                <w:b w:val="0"/>
                <w:color w:val="000000"/>
                <w:spacing w:val="-5"/>
                <w:sz w:val="18"/>
                <w:szCs w:val="18"/>
                <w:highlight w:val="none"/>
              </w:rPr>
            </w:pPr>
            <w:r>
              <w:rPr>
                <w:rFonts w:eastAsiaTheme="minorEastAsia"/>
                <w:b w:val="0"/>
                <w:color w:val="000000"/>
                <w:spacing w:val="-5"/>
                <w:sz w:val="18"/>
                <w:szCs w:val="18"/>
                <w:highlight w:val="none"/>
              </w:rPr>
              <w:t>C17</w:t>
            </w:r>
          </w:p>
        </w:tc>
        <w:tc>
          <w:tcPr>
            <w:tcW w:w="668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7A356589">
            <w:pPr>
              <w:pStyle w:val="133"/>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eastAsiaTheme="minorEastAsia"/>
                <w:b w:val="0"/>
                <w:color w:val="000000"/>
                <w:spacing w:val="-5"/>
                <w:sz w:val="18"/>
                <w:szCs w:val="18"/>
                <w:highlight w:val="none"/>
                <w:lang w:eastAsia="zh-CN"/>
              </w:rPr>
            </w:pPr>
            <w:r>
              <w:rPr>
                <w:rFonts w:eastAsiaTheme="minorEastAsia"/>
                <w:b w:val="0"/>
                <w:color w:val="000000"/>
                <w:spacing w:val="-5"/>
                <w:sz w:val="18"/>
                <w:szCs w:val="18"/>
                <w:highlight w:val="none"/>
                <w:lang w:eastAsia="zh-CN"/>
              </w:rPr>
              <w:t>棉纺织及印染精加工</w:t>
            </w:r>
            <w:r>
              <w:rPr>
                <w:rFonts w:eastAsiaTheme="minorEastAsia"/>
                <w:b w:val="0"/>
                <w:color w:val="000000"/>
                <w:spacing w:val="-1"/>
                <w:sz w:val="18"/>
                <w:szCs w:val="18"/>
                <w:highlight w:val="none"/>
                <w:lang w:eastAsia="zh-CN"/>
              </w:rPr>
              <w:t>（C</w:t>
            </w:r>
            <w:r>
              <w:rPr>
                <w:rFonts w:eastAsiaTheme="minorEastAsia"/>
                <w:b w:val="0"/>
                <w:color w:val="000000"/>
                <w:spacing w:val="-5"/>
                <w:sz w:val="18"/>
                <w:szCs w:val="18"/>
                <w:highlight w:val="none"/>
                <w:lang w:eastAsia="zh-CN"/>
              </w:rPr>
              <w:t>171</w:t>
            </w:r>
            <w:r>
              <w:rPr>
                <w:rFonts w:eastAsiaTheme="minorEastAsia"/>
                <w:b w:val="0"/>
                <w:color w:val="000000"/>
                <w:spacing w:val="-1"/>
                <w:sz w:val="18"/>
                <w:szCs w:val="18"/>
                <w:highlight w:val="none"/>
                <w:lang w:eastAsia="zh-CN"/>
              </w:rPr>
              <w:t>）</w:t>
            </w:r>
            <w:r>
              <w:rPr>
                <w:rFonts w:eastAsiaTheme="minorEastAsia"/>
                <w:b w:val="0"/>
                <w:color w:val="000000"/>
                <w:spacing w:val="-5"/>
                <w:sz w:val="18"/>
                <w:szCs w:val="18"/>
                <w:highlight w:val="none"/>
                <w:lang w:eastAsia="zh-CN"/>
              </w:rPr>
              <w:t>；毛纺织及印染精加工</w:t>
            </w:r>
            <w:r>
              <w:rPr>
                <w:rFonts w:eastAsiaTheme="minorEastAsia"/>
                <w:b w:val="0"/>
                <w:color w:val="000000"/>
                <w:spacing w:val="-1"/>
                <w:sz w:val="18"/>
                <w:szCs w:val="18"/>
                <w:highlight w:val="none"/>
                <w:lang w:eastAsia="zh-CN"/>
              </w:rPr>
              <w:t>（C</w:t>
            </w:r>
            <w:r>
              <w:rPr>
                <w:rFonts w:eastAsiaTheme="minorEastAsia"/>
                <w:b w:val="0"/>
                <w:color w:val="000000"/>
                <w:spacing w:val="-5"/>
                <w:sz w:val="18"/>
                <w:szCs w:val="18"/>
                <w:highlight w:val="none"/>
                <w:lang w:eastAsia="zh-CN"/>
              </w:rPr>
              <w:t>172</w:t>
            </w:r>
            <w:r>
              <w:rPr>
                <w:rFonts w:eastAsiaTheme="minorEastAsia"/>
                <w:b w:val="0"/>
                <w:color w:val="000000"/>
                <w:spacing w:val="-1"/>
                <w:sz w:val="18"/>
                <w:szCs w:val="18"/>
                <w:highlight w:val="none"/>
                <w:lang w:eastAsia="zh-CN"/>
              </w:rPr>
              <w:t>）</w:t>
            </w:r>
            <w:r>
              <w:rPr>
                <w:rFonts w:eastAsiaTheme="minorEastAsia"/>
                <w:b w:val="0"/>
                <w:color w:val="000000"/>
                <w:spacing w:val="-5"/>
                <w:sz w:val="18"/>
                <w:szCs w:val="18"/>
                <w:highlight w:val="none"/>
                <w:lang w:eastAsia="zh-CN"/>
              </w:rPr>
              <w:t>；麻纺织及印染精加工</w:t>
            </w:r>
            <w:r>
              <w:rPr>
                <w:rFonts w:eastAsiaTheme="minorEastAsia"/>
                <w:b w:val="0"/>
                <w:color w:val="000000"/>
                <w:spacing w:val="-1"/>
                <w:sz w:val="18"/>
                <w:szCs w:val="18"/>
                <w:highlight w:val="none"/>
                <w:lang w:eastAsia="zh-CN"/>
              </w:rPr>
              <w:t>（C</w:t>
            </w:r>
            <w:r>
              <w:rPr>
                <w:rFonts w:eastAsiaTheme="minorEastAsia"/>
                <w:b w:val="0"/>
                <w:color w:val="000000"/>
                <w:spacing w:val="-5"/>
                <w:sz w:val="18"/>
                <w:szCs w:val="18"/>
                <w:highlight w:val="none"/>
                <w:lang w:eastAsia="zh-CN"/>
              </w:rPr>
              <w:t>173</w:t>
            </w:r>
            <w:r>
              <w:rPr>
                <w:rFonts w:eastAsiaTheme="minorEastAsia"/>
                <w:b w:val="0"/>
                <w:color w:val="000000"/>
                <w:spacing w:val="-1"/>
                <w:sz w:val="18"/>
                <w:szCs w:val="18"/>
                <w:highlight w:val="none"/>
                <w:lang w:eastAsia="zh-CN"/>
              </w:rPr>
              <w:t>）</w:t>
            </w:r>
            <w:r>
              <w:rPr>
                <w:rFonts w:eastAsiaTheme="minorEastAsia"/>
                <w:b w:val="0"/>
                <w:color w:val="000000"/>
                <w:spacing w:val="-5"/>
                <w:sz w:val="18"/>
                <w:szCs w:val="18"/>
                <w:highlight w:val="none"/>
                <w:lang w:eastAsia="zh-CN"/>
              </w:rPr>
              <w:t>；丝绢纺织及印染精加工</w:t>
            </w:r>
            <w:r>
              <w:rPr>
                <w:rFonts w:eastAsiaTheme="minorEastAsia"/>
                <w:b w:val="0"/>
                <w:color w:val="000000"/>
                <w:spacing w:val="-1"/>
                <w:sz w:val="18"/>
                <w:szCs w:val="18"/>
                <w:highlight w:val="none"/>
                <w:lang w:eastAsia="zh-CN"/>
              </w:rPr>
              <w:t>（C</w:t>
            </w:r>
            <w:r>
              <w:rPr>
                <w:rFonts w:eastAsiaTheme="minorEastAsia"/>
                <w:b w:val="0"/>
                <w:color w:val="000000"/>
                <w:spacing w:val="-5"/>
                <w:sz w:val="18"/>
                <w:szCs w:val="18"/>
                <w:highlight w:val="none"/>
                <w:lang w:eastAsia="zh-CN"/>
              </w:rPr>
              <w:t>174</w:t>
            </w:r>
            <w:r>
              <w:rPr>
                <w:rFonts w:eastAsiaTheme="minorEastAsia"/>
                <w:b w:val="0"/>
                <w:color w:val="000000"/>
                <w:spacing w:val="-1"/>
                <w:sz w:val="18"/>
                <w:szCs w:val="18"/>
                <w:highlight w:val="none"/>
                <w:lang w:eastAsia="zh-CN"/>
              </w:rPr>
              <w:t>）</w:t>
            </w:r>
            <w:r>
              <w:rPr>
                <w:rFonts w:eastAsiaTheme="minorEastAsia"/>
                <w:b w:val="0"/>
                <w:color w:val="000000"/>
                <w:spacing w:val="-5"/>
                <w:sz w:val="18"/>
                <w:szCs w:val="18"/>
                <w:highlight w:val="none"/>
                <w:lang w:eastAsia="zh-CN"/>
              </w:rPr>
              <w:t>；化纤织造及印染精加工</w:t>
            </w:r>
            <w:r>
              <w:rPr>
                <w:rFonts w:eastAsiaTheme="minorEastAsia"/>
                <w:b w:val="0"/>
                <w:color w:val="000000"/>
                <w:spacing w:val="-1"/>
                <w:sz w:val="18"/>
                <w:szCs w:val="18"/>
                <w:highlight w:val="none"/>
                <w:lang w:eastAsia="zh-CN"/>
              </w:rPr>
              <w:t>（C</w:t>
            </w:r>
            <w:r>
              <w:rPr>
                <w:rFonts w:eastAsiaTheme="minorEastAsia"/>
                <w:b w:val="0"/>
                <w:color w:val="000000"/>
                <w:spacing w:val="-5"/>
                <w:sz w:val="18"/>
                <w:szCs w:val="18"/>
                <w:highlight w:val="none"/>
                <w:lang w:eastAsia="zh-CN"/>
              </w:rPr>
              <w:t>175</w:t>
            </w:r>
            <w:r>
              <w:rPr>
                <w:rFonts w:eastAsiaTheme="minorEastAsia"/>
                <w:b w:val="0"/>
                <w:color w:val="000000"/>
                <w:spacing w:val="-1"/>
                <w:sz w:val="18"/>
                <w:szCs w:val="18"/>
                <w:highlight w:val="none"/>
                <w:lang w:eastAsia="zh-CN"/>
              </w:rPr>
              <w:t>）</w:t>
            </w:r>
            <w:r>
              <w:rPr>
                <w:rFonts w:eastAsiaTheme="minorEastAsia"/>
                <w:b w:val="0"/>
                <w:color w:val="000000"/>
                <w:spacing w:val="-5"/>
                <w:sz w:val="18"/>
                <w:szCs w:val="18"/>
                <w:highlight w:val="none"/>
                <w:lang w:eastAsia="zh-CN"/>
              </w:rPr>
              <w:t>；针织或钩针编织物及其制品制造</w:t>
            </w:r>
            <w:r>
              <w:rPr>
                <w:rFonts w:eastAsiaTheme="minorEastAsia"/>
                <w:b w:val="0"/>
                <w:color w:val="000000"/>
                <w:spacing w:val="-1"/>
                <w:sz w:val="18"/>
                <w:szCs w:val="18"/>
                <w:highlight w:val="none"/>
                <w:lang w:eastAsia="zh-CN"/>
              </w:rPr>
              <w:t>（C</w:t>
            </w:r>
            <w:r>
              <w:rPr>
                <w:rFonts w:eastAsiaTheme="minorEastAsia"/>
                <w:b w:val="0"/>
                <w:color w:val="000000"/>
                <w:spacing w:val="-5"/>
                <w:sz w:val="18"/>
                <w:szCs w:val="18"/>
                <w:highlight w:val="none"/>
                <w:lang w:eastAsia="zh-CN"/>
              </w:rPr>
              <w:t>176</w:t>
            </w:r>
            <w:r>
              <w:rPr>
                <w:rFonts w:eastAsiaTheme="minorEastAsia"/>
                <w:b w:val="0"/>
                <w:color w:val="000000"/>
                <w:spacing w:val="-1"/>
                <w:sz w:val="18"/>
                <w:szCs w:val="18"/>
                <w:highlight w:val="none"/>
                <w:lang w:eastAsia="zh-CN"/>
              </w:rPr>
              <w:t>）</w:t>
            </w:r>
            <w:r>
              <w:rPr>
                <w:rFonts w:eastAsiaTheme="minorEastAsia"/>
                <w:b w:val="0"/>
                <w:color w:val="000000"/>
                <w:spacing w:val="-5"/>
                <w:sz w:val="18"/>
                <w:szCs w:val="18"/>
                <w:highlight w:val="none"/>
                <w:lang w:eastAsia="zh-CN"/>
              </w:rPr>
              <w:t>；家用纺织制成品制造</w:t>
            </w:r>
            <w:r>
              <w:rPr>
                <w:rFonts w:eastAsiaTheme="minorEastAsia"/>
                <w:b w:val="0"/>
                <w:color w:val="000000"/>
                <w:spacing w:val="-1"/>
                <w:sz w:val="18"/>
                <w:szCs w:val="18"/>
                <w:highlight w:val="none"/>
                <w:lang w:eastAsia="zh-CN"/>
              </w:rPr>
              <w:t>（C</w:t>
            </w:r>
            <w:r>
              <w:rPr>
                <w:rFonts w:eastAsiaTheme="minorEastAsia"/>
                <w:b w:val="0"/>
                <w:color w:val="000000"/>
                <w:spacing w:val="-5"/>
                <w:sz w:val="18"/>
                <w:szCs w:val="18"/>
                <w:highlight w:val="none"/>
                <w:lang w:eastAsia="zh-CN"/>
              </w:rPr>
              <w:t>177</w:t>
            </w:r>
            <w:r>
              <w:rPr>
                <w:rFonts w:eastAsiaTheme="minorEastAsia"/>
                <w:b w:val="0"/>
                <w:color w:val="000000"/>
                <w:spacing w:val="-1"/>
                <w:sz w:val="18"/>
                <w:szCs w:val="18"/>
                <w:highlight w:val="none"/>
                <w:lang w:eastAsia="zh-CN"/>
              </w:rPr>
              <w:t>）</w:t>
            </w:r>
            <w:r>
              <w:rPr>
                <w:rFonts w:eastAsiaTheme="minorEastAsia"/>
                <w:b w:val="0"/>
                <w:color w:val="000000"/>
                <w:spacing w:val="-5"/>
                <w:sz w:val="18"/>
                <w:szCs w:val="18"/>
                <w:highlight w:val="none"/>
                <w:lang w:eastAsia="zh-CN"/>
              </w:rPr>
              <w:t>；产业用纺织制成品制造</w:t>
            </w:r>
            <w:r>
              <w:rPr>
                <w:rFonts w:eastAsiaTheme="minorEastAsia"/>
                <w:b w:val="0"/>
                <w:color w:val="000000"/>
                <w:spacing w:val="-1"/>
                <w:sz w:val="18"/>
                <w:szCs w:val="18"/>
                <w:highlight w:val="none"/>
                <w:lang w:eastAsia="zh-CN"/>
              </w:rPr>
              <w:t>（C</w:t>
            </w:r>
            <w:r>
              <w:rPr>
                <w:rFonts w:eastAsiaTheme="minorEastAsia"/>
                <w:b w:val="0"/>
                <w:color w:val="000000"/>
                <w:spacing w:val="-5"/>
                <w:sz w:val="18"/>
                <w:szCs w:val="18"/>
                <w:highlight w:val="none"/>
                <w:lang w:eastAsia="zh-CN"/>
              </w:rPr>
              <w:t>178</w:t>
            </w:r>
            <w:r>
              <w:rPr>
                <w:rFonts w:eastAsiaTheme="minorEastAsia"/>
                <w:b w:val="0"/>
                <w:color w:val="000000"/>
                <w:spacing w:val="-1"/>
                <w:sz w:val="18"/>
                <w:szCs w:val="18"/>
                <w:highlight w:val="none"/>
                <w:lang w:eastAsia="zh-CN"/>
              </w:rPr>
              <w:t>）</w:t>
            </w:r>
            <w:r>
              <w:rPr>
                <w:rFonts w:eastAsiaTheme="minorEastAsia"/>
                <w:b w:val="0"/>
                <w:color w:val="000000"/>
                <w:spacing w:val="-5"/>
                <w:sz w:val="18"/>
                <w:szCs w:val="18"/>
                <w:highlight w:val="none"/>
              </w:rPr>
              <w:t>。</w:t>
            </w:r>
          </w:p>
        </w:tc>
      </w:tr>
      <w:tr w14:paraId="719C0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113" w:type="dxa"/>
            <w:bottom w:w="0" w:type="dxa"/>
            <w:right w:w="113" w:type="dxa"/>
          </w:tblCellMar>
        </w:tblPrEx>
        <w:trPr>
          <w:trHeight w:val="537" w:hRule="atLeast"/>
          <w:jc w:val="center"/>
        </w:trPr>
        <w:tc>
          <w:tcPr>
            <w:tcW w:w="1447"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014997ED">
            <w:pPr>
              <w:pStyle w:val="133"/>
              <w:spacing w:line="240" w:lineRule="auto"/>
              <w:ind w:firstLine="0" w:firstLineChars="0"/>
              <w:rPr>
                <w:rFonts w:eastAsiaTheme="minorEastAsia"/>
                <w:b w:val="0"/>
                <w:color w:val="000000"/>
                <w:spacing w:val="-5"/>
                <w:sz w:val="18"/>
                <w:szCs w:val="18"/>
                <w:highlight w:val="none"/>
                <w:lang w:eastAsia="zh-CN"/>
              </w:rPr>
            </w:pPr>
            <w:r>
              <w:rPr>
                <w:rFonts w:eastAsiaTheme="minorEastAsia"/>
                <w:b w:val="0"/>
                <w:color w:val="000000"/>
                <w:spacing w:val="-5"/>
                <w:sz w:val="18"/>
                <w:szCs w:val="18"/>
                <w:highlight w:val="none"/>
                <w:lang w:eastAsia="zh-CN"/>
              </w:rPr>
              <w:t>制鞋业</w:t>
            </w:r>
          </w:p>
        </w:tc>
        <w:tc>
          <w:tcPr>
            <w:tcW w:w="8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23F60">
            <w:pPr>
              <w:pStyle w:val="133"/>
              <w:spacing w:line="240" w:lineRule="auto"/>
              <w:ind w:firstLine="0" w:firstLineChars="0"/>
              <w:jc w:val="center"/>
              <w:rPr>
                <w:rFonts w:eastAsiaTheme="minorEastAsia"/>
                <w:b w:val="0"/>
                <w:color w:val="000000"/>
                <w:spacing w:val="-5"/>
                <w:sz w:val="18"/>
                <w:szCs w:val="18"/>
                <w:highlight w:val="none"/>
                <w:lang w:eastAsia="zh-CN"/>
              </w:rPr>
            </w:pPr>
            <w:r>
              <w:rPr>
                <w:rFonts w:eastAsiaTheme="minorEastAsia"/>
                <w:b w:val="0"/>
                <w:color w:val="000000"/>
                <w:spacing w:val="-5"/>
                <w:sz w:val="18"/>
                <w:szCs w:val="18"/>
                <w:highlight w:val="none"/>
              </w:rPr>
              <w:t>C1</w:t>
            </w:r>
            <w:r>
              <w:rPr>
                <w:rFonts w:eastAsiaTheme="minorEastAsia"/>
                <w:b w:val="0"/>
                <w:color w:val="000000"/>
                <w:spacing w:val="-5"/>
                <w:sz w:val="18"/>
                <w:szCs w:val="18"/>
                <w:highlight w:val="none"/>
                <w:lang w:eastAsia="zh-CN"/>
              </w:rPr>
              <w:t>95</w:t>
            </w:r>
          </w:p>
        </w:tc>
        <w:tc>
          <w:tcPr>
            <w:tcW w:w="668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15AB7B97">
            <w:pPr>
              <w:pStyle w:val="133"/>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eastAsiaTheme="minorEastAsia"/>
                <w:b w:val="0"/>
                <w:color w:val="000000"/>
                <w:spacing w:val="-5"/>
                <w:sz w:val="18"/>
                <w:szCs w:val="18"/>
                <w:highlight w:val="none"/>
                <w:lang w:eastAsia="zh-CN"/>
              </w:rPr>
            </w:pPr>
            <w:r>
              <w:rPr>
                <w:rFonts w:eastAsiaTheme="minorEastAsia"/>
                <w:b w:val="0"/>
                <w:color w:val="000000"/>
                <w:sz w:val="18"/>
                <w:szCs w:val="18"/>
                <w:highlight w:val="none"/>
                <w:lang w:eastAsia="zh-CN"/>
              </w:rPr>
              <w:t>纺织面料鞋制造（C1951）、皮鞋制造（C1952）、塑料鞋制造（C1953）、橡胶鞋制造（C1954）、其他鞋制造（C1959）</w:t>
            </w:r>
            <w:r>
              <w:rPr>
                <w:rFonts w:hint="eastAsia" w:eastAsiaTheme="minorEastAsia"/>
                <w:b w:val="0"/>
                <w:color w:val="000000"/>
                <w:sz w:val="18"/>
                <w:szCs w:val="18"/>
                <w:highlight w:val="none"/>
                <w:lang w:eastAsia="zh-CN"/>
              </w:rPr>
              <w:t>。</w:t>
            </w:r>
          </w:p>
        </w:tc>
      </w:tr>
      <w:tr w14:paraId="7D5E5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113" w:type="dxa"/>
            <w:bottom w:w="0" w:type="dxa"/>
            <w:right w:w="113" w:type="dxa"/>
          </w:tblCellMar>
        </w:tblPrEx>
        <w:trPr>
          <w:trHeight w:val="946" w:hRule="atLeast"/>
          <w:jc w:val="center"/>
        </w:trPr>
        <w:tc>
          <w:tcPr>
            <w:tcW w:w="1447"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6C8ACBDD">
            <w:pPr>
              <w:pStyle w:val="133"/>
              <w:spacing w:line="240" w:lineRule="auto"/>
              <w:ind w:firstLine="0" w:firstLineChars="0"/>
              <w:rPr>
                <w:rFonts w:eastAsiaTheme="minorEastAsia"/>
                <w:b w:val="0"/>
                <w:color w:val="000000"/>
                <w:spacing w:val="-5"/>
                <w:sz w:val="18"/>
                <w:szCs w:val="18"/>
                <w:highlight w:val="none"/>
                <w:lang w:eastAsia="zh-CN"/>
              </w:rPr>
            </w:pPr>
            <w:r>
              <w:rPr>
                <w:rFonts w:hint="eastAsia" w:eastAsiaTheme="minorEastAsia"/>
                <w:b w:val="0"/>
                <w:color w:val="000000"/>
                <w:spacing w:val="-5"/>
                <w:sz w:val="18"/>
                <w:szCs w:val="18"/>
                <w:highlight w:val="none"/>
                <w:lang w:eastAsia="zh-CN"/>
              </w:rPr>
              <w:t>计算机、通信和其他电子设备制造业</w:t>
            </w:r>
          </w:p>
        </w:tc>
        <w:tc>
          <w:tcPr>
            <w:tcW w:w="8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082B5">
            <w:pPr>
              <w:pStyle w:val="133"/>
              <w:spacing w:line="240" w:lineRule="auto"/>
              <w:ind w:firstLine="0" w:firstLineChars="0"/>
              <w:jc w:val="center"/>
              <w:rPr>
                <w:rFonts w:eastAsiaTheme="minorEastAsia"/>
                <w:b w:val="0"/>
                <w:color w:val="000000"/>
                <w:spacing w:val="-5"/>
                <w:sz w:val="18"/>
                <w:szCs w:val="18"/>
                <w:highlight w:val="none"/>
              </w:rPr>
            </w:pPr>
            <w:r>
              <w:rPr>
                <w:rFonts w:eastAsiaTheme="minorEastAsia"/>
                <w:b w:val="0"/>
                <w:color w:val="000000"/>
                <w:spacing w:val="-5"/>
                <w:sz w:val="18"/>
                <w:szCs w:val="18"/>
                <w:highlight w:val="none"/>
              </w:rPr>
              <w:t>C39</w:t>
            </w:r>
          </w:p>
        </w:tc>
        <w:tc>
          <w:tcPr>
            <w:tcW w:w="668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240F7617">
            <w:pPr>
              <w:pStyle w:val="133"/>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eastAsiaTheme="minorEastAsia"/>
                <w:b w:val="0"/>
                <w:color w:val="000000"/>
                <w:spacing w:val="-5"/>
                <w:sz w:val="18"/>
                <w:szCs w:val="18"/>
                <w:highlight w:val="none"/>
              </w:rPr>
            </w:pPr>
            <w:r>
              <w:rPr>
                <w:rFonts w:eastAsiaTheme="minorEastAsia"/>
                <w:b w:val="0"/>
                <w:color w:val="000000"/>
                <w:spacing w:val="-5"/>
                <w:sz w:val="18"/>
                <w:szCs w:val="18"/>
                <w:highlight w:val="none"/>
              </w:rPr>
              <w:t>计算机制造</w:t>
            </w:r>
            <w:r>
              <w:rPr>
                <w:rFonts w:eastAsiaTheme="minorEastAsia"/>
                <w:b w:val="0"/>
                <w:color w:val="000000"/>
                <w:spacing w:val="-1"/>
                <w:sz w:val="18"/>
                <w:szCs w:val="18"/>
                <w:highlight w:val="none"/>
                <w:lang w:eastAsia="zh-CN"/>
              </w:rPr>
              <w:t>（C</w:t>
            </w:r>
            <w:r>
              <w:rPr>
                <w:rFonts w:eastAsiaTheme="minorEastAsia"/>
                <w:b w:val="0"/>
                <w:color w:val="000000"/>
                <w:spacing w:val="-5"/>
                <w:sz w:val="18"/>
                <w:szCs w:val="18"/>
                <w:highlight w:val="none"/>
              </w:rPr>
              <w:t>391</w:t>
            </w:r>
            <w:r>
              <w:rPr>
                <w:rFonts w:eastAsiaTheme="minorEastAsia"/>
                <w:b w:val="0"/>
                <w:color w:val="000000"/>
                <w:spacing w:val="-1"/>
                <w:sz w:val="18"/>
                <w:szCs w:val="18"/>
                <w:highlight w:val="none"/>
                <w:lang w:eastAsia="zh-CN"/>
              </w:rPr>
              <w:t>）</w:t>
            </w:r>
            <w:r>
              <w:rPr>
                <w:rFonts w:eastAsiaTheme="minorEastAsia"/>
                <w:b w:val="0"/>
                <w:color w:val="000000"/>
                <w:spacing w:val="-5"/>
                <w:sz w:val="18"/>
                <w:szCs w:val="18"/>
                <w:highlight w:val="none"/>
              </w:rPr>
              <w:t>；通信设备制造</w:t>
            </w:r>
            <w:r>
              <w:rPr>
                <w:rFonts w:eastAsiaTheme="minorEastAsia"/>
                <w:b w:val="0"/>
                <w:color w:val="000000"/>
                <w:spacing w:val="-1"/>
                <w:sz w:val="18"/>
                <w:szCs w:val="18"/>
                <w:highlight w:val="none"/>
                <w:lang w:eastAsia="zh-CN"/>
              </w:rPr>
              <w:t>（C</w:t>
            </w:r>
            <w:r>
              <w:rPr>
                <w:rFonts w:eastAsiaTheme="minorEastAsia"/>
                <w:b w:val="0"/>
                <w:color w:val="000000"/>
                <w:spacing w:val="-5"/>
                <w:sz w:val="18"/>
                <w:szCs w:val="18"/>
                <w:highlight w:val="none"/>
              </w:rPr>
              <w:t>392</w:t>
            </w:r>
            <w:r>
              <w:rPr>
                <w:rFonts w:eastAsiaTheme="minorEastAsia"/>
                <w:b w:val="0"/>
                <w:color w:val="000000"/>
                <w:spacing w:val="-1"/>
                <w:sz w:val="18"/>
                <w:szCs w:val="18"/>
                <w:highlight w:val="none"/>
                <w:lang w:eastAsia="zh-CN"/>
              </w:rPr>
              <w:t>）</w:t>
            </w:r>
            <w:r>
              <w:rPr>
                <w:rFonts w:eastAsiaTheme="minorEastAsia"/>
                <w:b w:val="0"/>
                <w:color w:val="000000"/>
                <w:spacing w:val="-5"/>
                <w:sz w:val="18"/>
                <w:szCs w:val="18"/>
                <w:highlight w:val="none"/>
              </w:rPr>
              <w:t>；广播电视设备制造</w:t>
            </w:r>
            <w:r>
              <w:rPr>
                <w:rFonts w:eastAsiaTheme="minorEastAsia"/>
                <w:b w:val="0"/>
                <w:color w:val="000000"/>
                <w:spacing w:val="-1"/>
                <w:sz w:val="18"/>
                <w:szCs w:val="18"/>
                <w:highlight w:val="none"/>
                <w:lang w:eastAsia="zh-CN"/>
              </w:rPr>
              <w:t>（C</w:t>
            </w:r>
            <w:r>
              <w:rPr>
                <w:rFonts w:eastAsiaTheme="minorEastAsia"/>
                <w:b w:val="0"/>
                <w:color w:val="000000"/>
                <w:spacing w:val="-5"/>
                <w:sz w:val="18"/>
                <w:szCs w:val="18"/>
                <w:highlight w:val="none"/>
              </w:rPr>
              <w:t>393</w:t>
            </w:r>
            <w:r>
              <w:rPr>
                <w:rFonts w:eastAsiaTheme="minorEastAsia"/>
                <w:b w:val="0"/>
                <w:color w:val="000000"/>
                <w:spacing w:val="-1"/>
                <w:sz w:val="18"/>
                <w:szCs w:val="18"/>
                <w:highlight w:val="none"/>
                <w:lang w:eastAsia="zh-CN"/>
              </w:rPr>
              <w:t>）</w:t>
            </w:r>
            <w:r>
              <w:rPr>
                <w:rFonts w:eastAsiaTheme="minorEastAsia"/>
                <w:b w:val="0"/>
                <w:color w:val="000000"/>
                <w:spacing w:val="-5"/>
                <w:sz w:val="18"/>
                <w:szCs w:val="18"/>
                <w:highlight w:val="none"/>
              </w:rPr>
              <w:t>；雷达及配套设备制造</w:t>
            </w:r>
            <w:r>
              <w:rPr>
                <w:rFonts w:eastAsiaTheme="minorEastAsia"/>
                <w:b w:val="0"/>
                <w:color w:val="000000"/>
                <w:spacing w:val="-1"/>
                <w:sz w:val="18"/>
                <w:szCs w:val="18"/>
                <w:highlight w:val="none"/>
                <w:lang w:eastAsia="zh-CN"/>
              </w:rPr>
              <w:t>（C</w:t>
            </w:r>
            <w:r>
              <w:rPr>
                <w:rFonts w:eastAsiaTheme="minorEastAsia"/>
                <w:b w:val="0"/>
                <w:color w:val="000000"/>
                <w:spacing w:val="-5"/>
                <w:sz w:val="18"/>
                <w:szCs w:val="18"/>
                <w:highlight w:val="none"/>
              </w:rPr>
              <w:t>394</w:t>
            </w:r>
            <w:r>
              <w:rPr>
                <w:rFonts w:eastAsiaTheme="minorEastAsia"/>
                <w:b w:val="0"/>
                <w:color w:val="000000"/>
                <w:spacing w:val="-1"/>
                <w:sz w:val="18"/>
                <w:szCs w:val="18"/>
                <w:highlight w:val="none"/>
                <w:lang w:eastAsia="zh-CN"/>
              </w:rPr>
              <w:t>）</w:t>
            </w:r>
            <w:r>
              <w:rPr>
                <w:rFonts w:eastAsiaTheme="minorEastAsia"/>
                <w:b w:val="0"/>
                <w:color w:val="000000"/>
                <w:spacing w:val="-5"/>
                <w:sz w:val="18"/>
                <w:szCs w:val="18"/>
                <w:highlight w:val="none"/>
              </w:rPr>
              <w:t>；非专业视听设备制造</w:t>
            </w:r>
            <w:r>
              <w:rPr>
                <w:rFonts w:eastAsiaTheme="minorEastAsia"/>
                <w:b w:val="0"/>
                <w:color w:val="000000"/>
                <w:spacing w:val="-1"/>
                <w:sz w:val="18"/>
                <w:szCs w:val="18"/>
                <w:highlight w:val="none"/>
                <w:lang w:eastAsia="zh-CN"/>
              </w:rPr>
              <w:t>（C</w:t>
            </w:r>
            <w:r>
              <w:rPr>
                <w:rFonts w:eastAsiaTheme="minorEastAsia"/>
                <w:b w:val="0"/>
                <w:color w:val="000000"/>
                <w:spacing w:val="-5"/>
                <w:sz w:val="18"/>
                <w:szCs w:val="18"/>
                <w:highlight w:val="none"/>
              </w:rPr>
              <w:t>395</w:t>
            </w:r>
            <w:r>
              <w:rPr>
                <w:rFonts w:eastAsiaTheme="minorEastAsia"/>
                <w:b w:val="0"/>
                <w:color w:val="000000"/>
                <w:spacing w:val="-1"/>
                <w:sz w:val="18"/>
                <w:szCs w:val="18"/>
                <w:highlight w:val="none"/>
                <w:lang w:eastAsia="zh-CN"/>
              </w:rPr>
              <w:t>）</w:t>
            </w:r>
            <w:r>
              <w:rPr>
                <w:rFonts w:eastAsiaTheme="minorEastAsia"/>
                <w:b w:val="0"/>
                <w:color w:val="000000"/>
                <w:spacing w:val="-5"/>
                <w:sz w:val="18"/>
                <w:szCs w:val="18"/>
                <w:highlight w:val="none"/>
              </w:rPr>
              <w:t>；智能消费设备制造</w:t>
            </w:r>
            <w:r>
              <w:rPr>
                <w:rFonts w:eastAsiaTheme="minorEastAsia"/>
                <w:b w:val="0"/>
                <w:color w:val="000000"/>
                <w:spacing w:val="-1"/>
                <w:sz w:val="18"/>
                <w:szCs w:val="18"/>
                <w:highlight w:val="none"/>
                <w:lang w:eastAsia="zh-CN"/>
              </w:rPr>
              <w:t>（C</w:t>
            </w:r>
            <w:r>
              <w:rPr>
                <w:rFonts w:eastAsiaTheme="minorEastAsia"/>
                <w:b w:val="0"/>
                <w:color w:val="000000"/>
                <w:spacing w:val="-5"/>
                <w:sz w:val="18"/>
                <w:szCs w:val="18"/>
                <w:highlight w:val="none"/>
              </w:rPr>
              <w:t>396</w:t>
            </w:r>
            <w:r>
              <w:rPr>
                <w:rFonts w:eastAsiaTheme="minorEastAsia"/>
                <w:b w:val="0"/>
                <w:color w:val="000000"/>
                <w:spacing w:val="-1"/>
                <w:sz w:val="18"/>
                <w:szCs w:val="18"/>
                <w:highlight w:val="none"/>
                <w:lang w:eastAsia="zh-CN"/>
              </w:rPr>
              <w:t>）</w:t>
            </w:r>
            <w:r>
              <w:rPr>
                <w:rFonts w:eastAsiaTheme="minorEastAsia"/>
                <w:b w:val="0"/>
                <w:color w:val="000000"/>
                <w:spacing w:val="-5"/>
                <w:sz w:val="18"/>
                <w:szCs w:val="18"/>
                <w:highlight w:val="none"/>
              </w:rPr>
              <w:t>；电子器件制造</w:t>
            </w:r>
            <w:r>
              <w:rPr>
                <w:rFonts w:eastAsiaTheme="minorEastAsia"/>
                <w:b w:val="0"/>
                <w:color w:val="000000"/>
                <w:spacing w:val="-1"/>
                <w:sz w:val="18"/>
                <w:szCs w:val="18"/>
                <w:highlight w:val="none"/>
                <w:lang w:eastAsia="zh-CN"/>
              </w:rPr>
              <w:t>（C</w:t>
            </w:r>
            <w:r>
              <w:rPr>
                <w:rFonts w:eastAsiaTheme="minorEastAsia"/>
                <w:b w:val="0"/>
                <w:color w:val="000000"/>
                <w:spacing w:val="-5"/>
                <w:sz w:val="18"/>
                <w:szCs w:val="18"/>
                <w:highlight w:val="none"/>
              </w:rPr>
              <w:t>397</w:t>
            </w:r>
            <w:r>
              <w:rPr>
                <w:rFonts w:eastAsiaTheme="minorEastAsia"/>
                <w:b w:val="0"/>
                <w:color w:val="000000"/>
                <w:spacing w:val="-1"/>
                <w:sz w:val="18"/>
                <w:szCs w:val="18"/>
                <w:highlight w:val="none"/>
                <w:lang w:eastAsia="zh-CN"/>
              </w:rPr>
              <w:t>）</w:t>
            </w:r>
            <w:r>
              <w:rPr>
                <w:rFonts w:eastAsiaTheme="minorEastAsia"/>
                <w:b w:val="0"/>
                <w:color w:val="000000"/>
                <w:spacing w:val="-5"/>
                <w:sz w:val="18"/>
                <w:szCs w:val="18"/>
                <w:highlight w:val="none"/>
              </w:rPr>
              <w:t>；电子元件及电子专用材料制造</w:t>
            </w:r>
            <w:r>
              <w:rPr>
                <w:rFonts w:eastAsiaTheme="minorEastAsia"/>
                <w:b w:val="0"/>
                <w:color w:val="000000"/>
                <w:spacing w:val="-1"/>
                <w:sz w:val="18"/>
                <w:szCs w:val="18"/>
                <w:highlight w:val="none"/>
                <w:lang w:eastAsia="zh-CN"/>
              </w:rPr>
              <w:t>（C</w:t>
            </w:r>
            <w:r>
              <w:rPr>
                <w:rFonts w:eastAsiaTheme="minorEastAsia"/>
                <w:b w:val="0"/>
                <w:color w:val="000000"/>
                <w:spacing w:val="-5"/>
                <w:sz w:val="18"/>
                <w:szCs w:val="18"/>
                <w:highlight w:val="none"/>
              </w:rPr>
              <w:t>398</w:t>
            </w:r>
            <w:r>
              <w:rPr>
                <w:rFonts w:eastAsiaTheme="minorEastAsia"/>
                <w:b w:val="0"/>
                <w:color w:val="000000"/>
                <w:spacing w:val="-1"/>
                <w:sz w:val="18"/>
                <w:szCs w:val="18"/>
                <w:highlight w:val="none"/>
                <w:lang w:eastAsia="zh-CN"/>
              </w:rPr>
              <w:t>）</w:t>
            </w:r>
            <w:r>
              <w:rPr>
                <w:rFonts w:eastAsiaTheme="minorEastAsia"/>
                <w:b w:val="0"/>
                <w:color w:val="000000"/>
                <w:spacing w:val="-5"/>
                <w:sz w:val="18"/>
                <w:szCs w:val="18"/>
                <w:highlight w:val="none"/>
              </w:rPr>
              <w:t>；其他电子设备制造</w:t>
            </w:r>
            <w:r>
              <w:rPr>
                <w:rFonts w:eastAsiaTheme="minorEastAsia"/>
                <w:b w:val="0"/>
                <w:color w:val="000000"/>
                <w:spacing w:val="-1"/>
                <w:sz w:val="18"/>
                <w:szCs w:val="18"/>
                <w:highlight w:val="none"/>
                <w:lang w:eastAsia="zh-CN"/>
              </w:rPr>
              <w:t>（C</w:t>
            </w:r>
            <w:r>
              <w:rPr>
                <w:rFonts w:eastAsiaTheme="minorEastAsia"/>
                <w:b w:val="0"/>
                <w:color w:val="000000"/>
                <w:spacing w:val="-5"/>
                <w:sz w:val="18"/>
                <w:szCs w:val="18"/>
                <w:highlight w:val="none"/>
              </w:rPr>
              <w:t>399</w:t>
            </w:r>
            <w:r>
              <w:rPr>
                <w:rFonts w:eastAsiaTheme="minorEastAsia"/>
                <w:b w:val="0"/>
                <w:color w:val="000000"/>
                <w:spacing w:val="-1"/>
                <w:sz w:val="18"/>
                <w:szCs w:val="18"/>
                <w:highlight w:val="none"/>
                <w:lang w:eastAsia="zh-CN"/>
              </w:rPr>
              <w:t>）</w:t>
            </w:r>
            <w:r>
              <w:rPr>
                <w:rFonts w:eastAsiaTheme="minorEastAsia"/>
                <w:b w:val="0"/>
                <w:color w:val="000000"/>
                <w:spacing w:val="-5"/>
                <w:sz w:val="18"/>
                <w:szCs w:val="18"/>
                <w:highlight w:val="none"/>
              </w:rPr>
              <w:t>。</w:t>
            </w:r>
          </w:p>
        </w:tc>
      </w:tr>
      <w:tr w14:paraId="02721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113" w:type="dxa"/>
            <w:bottom w:w="0" w:type="dxa"/>
            <w:right w:w="113" w:type="dxa"/>
          </w:tblCellMar>
        </w:tblPrEx>
        <w:trPr>
          <w:trHeight w:val="358" w:hRule="atLeast"/>
          <w:jc w:val="center"/>
        </w:trPr>
        <w:tc>
          <w:tcPr>
            <w:tcW w:w="1447" w:type="dxa"/>
            <w:tcBorders>
              <w:top w:val="single" w:color="000000" w:sz="4" w:space="0"/>
              <w:left w:val="single" w:color="000000" w:sz="12" w:space="0"/>
              <w:bottom w:val="single" w:color="000000" w:sz="12" w:space="0"/>
              <w:right w:val="single" w:color="000000" w:sz="4" w:space="0"/>
            </w:tcBorders>
            <w:shd w:val="clear" w:color="auto" w:fill="FFFFFF"/>
            <w:vAlign w:val="center"/>
          </w:tcPr>
          <w:p w14:paraId="429CE40E">
            <w:pPr>
              <w:pStyle w:val="133"/>
              <w:spacing w:line="240" w:lineRule="auto"/>
              <w:ind w:firstLine="0" w:firstLineChars="0"/>
              <w:rPr>
                <w:rFonts w:hint="default" w:eastAsiaTheme="minorEastAsia"/>
                <w:b w:val="0"/>
                <w:color w:val="000000"/>
                <w:spacing w:val="-5"/>
                <w:sz w:val="18"/>
                <w:szCs w:val="18"/>
                <w:highlight w:val="none"/>
                <w:lang w:val="en-US" w:eastAsia="zh-CN"/>
              </w:rPr>
            </w:pPr>
            <w:r>
              <w:rPr>
                <w:rFonts w:hint="eastAsia" w:eastAsiaTheme="minorEastAsia"/>
                <w:b w:val="0"/>
                <w:color w:val="000000"/>
                <w:spacing w:val="-5"/>
                <w:sz w:val="18"/>
                <w:szCs w:val="18"/>
                <w:highlight w:val="none"/>
                <w:lang w:val="en-US" w:eastAsia="zh-CN"/>
              </w:rPr>
              <w:t>其他行业</w:t>
            </w:r>
          </w:p>
        </w:tc>
        <w:tc>
          <w:tcPr>
            <w:tcW w:w="851" w:type="dxa"/>
            <w:tcBorders>
              <w:top w:val="single" w:color="000000" w:sz="4" w:space="0"/>
              <w:left w:val="single" w:color="000000" w:sz="4" w:space="0"/>
              <w:bottom w:val="single" w:color="000000" w:sz="12" w:space="0"/>
              <w:right w:val="single" w:color="000000" w:sz="4" w:space="0"/>
            </w:tcBorders>
            <w:shd w:val="clear" w:color="auto" w:fill="FFFFFF"/>
            <w:vAlign w:val="center"/>
          </w:tcPr>
          <w:p w14:paraId="2AD82CD6">
            <w:pPr>
              <w:pStyle w:val="133"/>
              <w:spacing w:line="240" w:lineRule="auto"/>
              <w:ind w:firstLine="0" w:firstLineChars="0"/>
              <w:jc w:val="center"/>
              <w:rPr>
                <w:rFonts w:hint="default" w:eastAsiaTheme="minorEastAsia"/>
                <w:b w:val="0"/>
                <w:color w:val="000000"/>
                <w:spacing w:val="-5"/>
                <w:sz w:val="18"/>
                <w:szCs w:val="18"/>
                <w:highlight w:val="none"/>
                <w:lang w:val="en-US" w:eastAsia="zh-CN"/>
              </w:rPr>
            </w:pPr>
            <w:r>
              <w:rPr>
                <w:rFonts w:hint="eastAsia" w:eastAsiaTheme="minorEastAsia"/>
                <w:b w:val="0"/>
                <w:color w:val="000000"/>
                <w:spacing w:val="-5"/>
                <w:sz w:val="18"/>
                <w:szCs w:val="18"/>
                <w:highlight w:val="none"/>
                <w:lang w:val="en-US" w:eastAsia="zh-CN"/>
              </w:rPr>
              <w:t>/</w:t>
            </w:r>
          </w:p>
        </w:tc>
        <w:tc>
          <w:tcPr>
            <w:tcW w:w="6683" w:type="dxa"/>
            <w:tcBorders>
              <w:top w:val="single" w:color="000000" w:sz="4" w:space="0"/>
              <w:left w:val="single" w:color="000000" w:sz="4" w:space="0"/>
              <w:bottom w:val="single" w:color="000000" w:sz="12" w:space="0"/>
              <w:right w:val="single" w:color="000000" w:sz="12" w:space="0"/>
            </w:tcBorders>
            <w:shd w:val="clear" w:color="auto" w:fill="FFFFFF"/>
            <w:vAlign w:val="center"/>
          </w:tcPr>
          <w:p w14:paraId="360E5F14">
            <w:pPr>
              <w:pStyle w:val="133"/>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both"/>
              <w:textAlignment w:val="baseline"/>
              <w:rPr>
                <w:rFonts w:hint="default" w:eastAsiaTheme="minorEastAsia"/>
                <w:b w:val="0"/>
                <w:color w:val="000000"/>
                <w:sz w:val="18"/>
                <w:szCs w:val="18"/>
                <w:highlight w:val="none"/>
                <w:lang w:val="en-US" w:eastAsia="zh-CN"/>
              </w:rPr>
            </w:pPr>
            <w:r>
              <w:rPr>
                <w:rFonts w:hint="eastAsia" w:eastAsiaTheme="minorEastAsia"/>
                <w:b w:val="0"/>
                <w:color w:val="000000"/>
                <w:sz w:val="18"/>
                <w:szCs w:val="18"/>
                <w:highlight w:val="none"/>
                <w:lang w:val="en-US" w:eastAsia="zh-CN"/>
              </w:rPr>
              <w:t>其他</w:t>
            </w:r>
            <w:r>
              <w:rPr>
                <w:rFonts w:hint="eastAsia" w:ascii="Times New Roman" w:hAnsi="Times New Roman" w:cs="Times New Roman"/>
                <w:b w:val="0"/>
                <w:color w:val="000000"/>
                <w:sz w:val="18"/>
                <w:szCs w:val="18"/>
                <w:highlight w:val="none"/>
                <w:lang w:eastAsia="zh-CN"/>
              </w:rPr>
              <w:t>涉及有机溶剂</w:t>
            </w:r>
            <w:r>
              <w:rPr>
                <w:rFonts w:hint="eastAsia" w:cs="Times New Roman"/>
                <w:b w:val="0"/>
                <w:color w:val="000000"/>
                <w:sz w:val="18"/>
                <w:szCs w:val="18"/>
                <w:highlight w:val="none"/>
                <w:lang w:val="en-US" w:eastAsia="zh-CN"/>
              </w:rPr>
              <w:t>使用，且无国家行业污染物排放标准的行业。</w:t>
            </w:r>
          </w:p>
        </w:tc>
      </w:tr>
    </w:tbl>
    <w:p w14:paraId="27F84CC1">
      <w:pPr>
        <w:shd w:val="clear"/>
        <w:bidi w:val="0"/>
        <w:rPr>
          <w:rFonts w:hint="eastAsia"/>
          <w:b w:val="0"/>
          <w:color w:val="auto"/>
          <w:sz w:val="21"/>
          <w:szCs w:val="21"/>
          <w:highlight w:val="none"/>
          <w:lang w:val="en-US" w:eastAsia="zh-CN"/>
        </w:rPr>
      </w:pPr>
    </w:p>
    <w:p w14:paraId="54B60191">
      <w:pPr>
        <w:pStyle w:val="4"/>
        <w:shd w:val="clear"/>
        <w:bidi w:val="0"/>
        <w:ind w:left="0" w:leftChars="0" w:firstLine="0" w:firstLineChars="0"/>
        <w:rPr>
          <w:rFonts w:hint="eastAsia"/>
          <w:color w:val="auto"/>
          <w:highlight w:val="none"/>
          <w:lang w:val="en-US" w:eastAsia="zh-CN"/>
        </w:rPr>
      </w:pPr>
      <w:r>
        <w:rPr>
          <w:rFonts w:hint="eastAsia"/>
          <w:color w:val="auto"/>
          <w:highlight w:val="none"/>
          <w:lang w:val="en-US" w:eastAsia="zh-CN"/>
        </w:rPr>
        <w:t>仍然执行国家行业排放标准的行业</w:t>
      </w:r>
    </w:p>
    <w:p w14:paraId="57354453">
      <w:pPr>
        <w:shd w:val="clear"/>
        <w:bidi w:val="0"/>
        <w:rPr>
          <w:rFonts w:hint="eastAsia"/>
          <w:color w:val="auto"/>
          <w:highlight w:val="none"/>
        </w:rPr>
      </w:pPr>
      <w:r>
        <w:rPr>
          <w:rFonts w:hint="eastAsia"/>
          <w:color w:val="auto"/>
          <w:highlight w:val="none"/>
        </w:rPr>
        <w:t>由于涉及挥发性有机物排放的工业行业众多，本文件主要针对工业涂装行业和其他有机溶剂使用等行业制定排放限值。</w:t>
      </w:r>
      <w:bookmarkStart w:id="379" w:name="_GoBack"/>
      <w:r>
        <w:rPr>
          <w:rFonts w:hint="eastAsia"/>
          <w:color w:val="auto"/>
          <w:highlight w:val="yellow"/>
        </w:rPr>
        <w:t>石油炼制与石油化工、无机化学、制药、农药、钢铁、有色金属冶炼等行业暂未纳入本文件的适用范围，</w:t>
      </w:r>
      <w:bookmarkEnd w:id="379"/>
      <w:r>
        <w:rPr>
          <w:rFonts w:hint="eastAsia"/>
          <w:color w:val="auto"/>
          <w:highlight w:val="none"/>
        </w:rPr>
        <w:t>这些行业仍然执行国家相应行业污染物排放标准要求。因此，本文件在前言中明确“除印刷</w:t>
      </w:r>
      <w:r>
        <w:rPr>
          <w:rFonts w:hint="eastAsia"/>
          <w:color w:val="auto"/>
          <w:highlight w:val="none"/>
          <w:lang w:val="en-US" w:eastAsia="zh-CN"/>
        </w:rPr>
        <w:t>和铸造</w:t>
      </w:r>
      <w:r>
        <w:rPr>
          <w:rFonts w:hint="eastAsia"/>
          <w:color w:val="auto"/>
          <w:highlight w:val="none"/>
        </w:rPr>
        <w:t>外，其他有国家行业污染物排放标准的行业，按国家行业污染物排放标准执行”。</w:t>
      </w:r>
      <w:r>
        <w:rPr>
          <w:rFonts w:hint="eastAsia"/>
          <w:color w:val="auto"/>
          <w:highlight w:val="none"/>
          <w:lang w:val="en-US" w:eastAsia="zh-CN"/>
        </w:rPr>
        <w:t>仍然执行国家行业排放标准的行业见</w:t>
      </w:r>
      <w:r>
        <w:rPr>
          <w:rFonts w:hint="eastAsia"/>
          <w:color w:val="auto"/>
          <w:highlight w:val="none"/>
          <w:lang w:val="en-US" w:eastAsia="zh-CN"/>
        </w:rPr>
        <w:fldChar w:fldCharType="begin"/>
      </w:r>
      <w:r>
        <w:rPr>
          <w:rFonts w:hint="eastAsia"/>
          <w:color w:val="auto"/>
          <w:highlight w:val="none"/>
          <w:lang w:val="en-US" w:eastAsia="zh-CN"/>
        </w:rPr>
        <w:instrText xml:space="preserve"> REF _Ref7022 \h </w:instrText>
      </w:r>
      <w:r>
        <w:rPr>
          <w:rFonts w:hint="eastAsia"/>
          <w:color w:val="auto"/>
          <w:highlight w:val="none"/>
          <w:lang w:val="en-US" w:eastAsia="zh-CN"/>
        </w:rPr>
        <w:fldChar w:fldCharType="separate"/>
      </w:r>
      <w:r>
        <w:t>表21</w:t>
      </w:r>
      <w:r>
        <w:rPr>
          <w:rFonts w:hint="eastAsia"/>
          <w:color w:val="auto"/>
          <w:highlight w:val="none"/>
          <w:lang w:val="en-US" w:eastAsia="zh-CN"/>
        </w:rPr>
        <w:fldChar w:fldCharType="end"/>
      </w:r>
      <w:r>
        <w:rPr>
          <w:rFonts w:hint="eastAsia"/>
          <w:color w:val="auto"/>
          <w:highlight w:val="none"/>
        </w:rPr>
        <w:t>。</w:t>
      </w:r>
    </w:p>
    <w:p w14:paraId="3DF974DB">
      <w:pPr>
        <w:pStyle w:val="129"/>
        <w:shd w:val="clear"/>
        <w:bidi w:val="0"/>
        <w:outlineLvl w:val="4"/>
        <w:rPr>
          <w:rFonts w:hint="eastAsia"/>
          <w:lang w:val="en-US" w:eastAsia="zh-CN"/>
        </w:rPr>
      </w:pPr>
      <w:bookmarkStart w:id="171" w:name="_Ref7022"/>
      <w:r>
        <w:t>表</w:t>
      </w:r>
      <w:r>
        <w:fldChar w:fldCharType="begin"/>
      </w:r>
      <w:r>
        <w:instrText xml:space="preserve"> SEQ 表 \* ARABIC </w:instrText>
      </w:r>
      <w:r>
        <w:fldChar w:fldCharType="separate"/>
      </w:r>
      <w:r>
        <w:t>21</w:t>
      </w:r>
      <w:r>
        <w:fldChar w:fldCharType="end"/>
      </w:r>
      <w:bookmarkEnd w:id="171"/>
      <w:r>
        <w:rPr>
          <w:rFonts w:hint="eastAsia"/>
          <w:lang w:val="en-US" w:eastAsia="zh-CN"/>
        </w:rPr>
        <w:t xml:space="preserve"> 仍然执行国家行业排放标准的行业</w:t>
      </w:r>
    </w:p>
    <w:tbl>
      <w:tblPr>
        <w:tblStyle w:val="34"/>
        <w:tblW w:w="539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28" w:type="dxa"/>
          <w:left w:w="113" w:type="dxa"/>
          <w:bottom w:w="28" w:type="dxa"/>
          <w:right w:w="113" w:type="dxa"/>
        </w:tblCellMar>
      </w:tblPr>
      <w:tblGrid>
        <w:gridCol w:w="770"/>
        <w:gridCol w:w="1000"/>
        <w:gridCol w:w="2878"/>
        <w:gridCol w:w="1079"/>
        <w:gridCol w:w="4039"/>
      </w:tblGrid>
      <w:tr w14:paraId="2B593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28" w:type="dxa"/>
            <w:left w:w="113" w:type="dxa"/>
            <w:bottom w:w="28" w:type="dxa"/>
            <w:right w:w="113" w:type="dxa"/>
          </w:tblCellMar>
        </w:tblPrEx>
        <w:trPr>
          <w:trHeight w:val="320" w:hRule="atLeast"/>
          <w:jc w:val="center"/>
        </w:trPr>
        <w:tc>
          <w:tcPr>
            <w:tcW w:w="394" w:type="pct"/>
            <w:tcBorders>
              <w:top w:val="single" w:color="000000" w:sz="12" w:space="0"/>
              <w:left w:val="single" w:color="000000" w:sz="12" w:space="0"/>
              <w:bottom w:val="single" w:color="000000" w:sz="4" w:space="0"/>
              <w:right w:val="single" w:color="000000" w:sz="4" w:space="0"/>
              <w:tl2br w:val="nil"/>
            </w:tcBorders>
            <w:shd w:val="clear" w:color="auto" w:fill="FFFFFF"/>
            <w:tcMar>
              <w:top w:w="8" w:type="dxa"/>
              <w:left w:w="8" w:type="dxa"/>
              <w:right w:w="8" w:type="dxa"/>
            </w:tcMar>
            <w:vAlign w:val="center"/>
          </w:tcPr>
          <w:p w14:paraId="3AD8B7CA">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分类</w:t>
            </w:r>
          </w:p>
        </w:tc>
        <w:tc>
          <w:tcPr>
            <w:tcW w:w="512" w:type="pct"/>
            <w:tcBorders>
              <w:top w:val="single" w:color="000000" w:sz="12"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723B278E">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行业代码</w:t>
            </w:r>
          </w:p>
        </w:tc>
        <w:tc>
          <w:tcPr>
            <w:tcW w:w="1473" w:type="pct"/>
            <w:tcBorders>
              <w:top w:val="single" w:color="000000" w:sz="12"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2F1ED746">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行业</w:t>
            </w:r>
          </w:p>
        </w:tc>
        <w:tc>
          <w:tcPr>
            <w:tcW w:w="552" w:type="pct"/>
            <w:tcBorders>
              <w:top w:val="single" w:color="000000" w:sz="12"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015CCF81">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标准类型</w:t>
            </w:r>
          </w:p>
        </w:tc>
        <w:tc>
          <w:tcPr>
            <w:tcW w:w="2067" w:type="pct"/>
            <w:tcBorders>
              <w:top w:val="single" w:color="000000" w:sz="12" w:space="0"/>
              <w:left w:val="single" w:color="000000" w:sz="4" w:space="0"/>
              <w:bottom w:val="single" w:color="000000" w:sz="4" w:space="0"/>
              <w:right w:val="single" w:color="000000" w:sz="12" w:space="0"/>
            </w:tcBorders>
            <w:shd w:val="clear" w:color="auto" w:fill="FFFFFF"/>
            <w:tcMar>
              <w:top w:w="8" w:type="dxa"/>
              <w:left w:w="8" w:type="dxa"/>
              <w:right w:w="8" w:type="dxa"/>
            </w:tcMar>
            <w:vAlign w:val="center"/>
          </w:tcPr>
          <w:p w14:paraId="791031AA">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执行标准</w:t>
            </w:r>
          </w:p>
        </w:tc>
      </w:tr>
      <w:tr w14:paraId="3CA4E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28" w:type="dxa"/>
            <w:left w:w="113" w:type="dxa"/>
            <w:bottom w:w="28" w:type="dxa"/>
            <w:right w:w="113" w:type="dxa"/>
          </w:tblCellMar>
        </w:tblPrEx>
        <w:trPr>
          <w:trHeight w:val="950" w:hRule="atLeast"/>
          <w:jc w:val="center"/>
        </w:trPr>
        <w:tc>
          <w:tcPr>
            <w:tcW w:w="394" w:type="pct"/>
            <w:vMerge w:val="restart"/>
            <w:tcBorders>
              <w:left w:val="single" w:color="000000" w:sz="12" w:space="0"/>
              <w:right w:val="single" w:color="000000" w:sz="4" w:space="0"/>
            </w:tcBorders>
            <w:shd w:val="clear" w:color="auto" w:fill="FFFFFF"/>
            <w:tcMar>
              <w:top w:w="8" w:type="dxa"/>
              <w:left w:w="8" w:type="dxa"/>
              <w:right w:w="8" w:type="dxa"/>
            </w:tcMar>
            <w:vAlign w:val="center"/>
          </w:tcPr>
          <w:p w14:paraId="2C45642E">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有机溶剂使用行业</w:t>
            </w:r>
          </w:p>
        </w:tc>
        <w:tc>
          <w:tcPr>
            <w:tcW w:w="512" w:type="pct"/>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0B1C9D5E">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C191、C192、C193；</w:t>
            </w:r>
          </w:p>
        </w:tc>
        <w:tc>
          <w:tcPr>
            <w:tcW w:w="1473" w:type="pct"/>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5A4B8DCA">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皮革鞣制加工、皮革制品制造、毛皮鞣制及制品加工</w:t>
            </w:r>
          </w:p>
        </w:tc>
        <w:tc>
          <w:tcPr>
            <w:tcW w:w="552" w:type="pct"/>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41F1D53A">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国家行业</w:t>
            </w:r>
          </w:p>
        </w:tc>
        <w:tc>
          <w:tcPr>
            <w:tcW w:w="2067" w:type="pct"/>
            <w:tcBorders>
              <w:top w:val="single" w:color="000000" w:sz="4" w:space="0"/>
              <w:left w:val="single" w:color="000000" w:sz="4" w:space="0"/>
              <w:bottom w:val="single" w:color="000000" w:sz="4" w:space="0"/>
              <w:right w:val="single" w:color="000000" w:sz="12" w:space="0"/>
            </w:tcBorders>
            <w:shd w:val="clear" w:color="auto" w:fill="FFFFFF"/>
            <w:tcMar>
              <w:top w:w="8" w:type="dxa"/>
              <w:left w:w="8" w:type="dxa"/>
              <w:right w:w="8" w:type="dxa"/>
            </w:tcMar>
            <w:vAlign w:val="center"/>
          </w:tcPr>
          <w:p w14:paraId="7C17D3FD">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合成革与人造革工业大气污染物排放标准（GB 21902</w:t>
            </w:r>
            <w:r>
              <w:rPr>
                <w:rFonts w:hint="eastAsia" w:ascii="Times New Roman" w:hAnsi="Times New Roman" w:cs="Times New Roman"/>
                <w:b w:val="0"/>
                <w:bCs/>
                <w:color w:val="auto"/>
                <w:sz w:val="18"/>
                <w:szCs w:val="18"/>
                <w:highlight w:val="none"/>
                <w:lang w:eastAsia="zh-CN"/>
              </w:rPr>
              <w:t>—</w:t>
            </w:r>
            <w:r>
              <w:rPr>
                <w:rFonts w:hint="eastAsia" w:ascii="Times New Roman" w:hAnsi="Times New Roman" w:cs="Times New Roman"/>
                <w:b w:val="0"/>
                <w:bCs/>
                <w:color w:val="auto"/>
                <w:sz w:val="18"/>
                <w:szCs w:val="18"/>
                <w:highlight w:val="none"/>
              </w:rPr>
              <w:t>2008）</w:t>
            </w:r>
          </w:p>
        </w:tc>
      </w:tr>
      <w:tr w14:paraId="5E1B6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28" w:type="dxa"/>
            <w:left w:w="113" w:type="dxa"/>
            <w:bottom w:w="28" w:type="dxa"/>
            <w:right w:w="113" w:type="dxa"/>
          </w:tblCellMar>
        </w:tblPrEx>
        <w:trPr>
          <w:trHeight w:val="945" w:hRule="atLeast"/>
          <w:jc w:val="center"/>
        </w:trPr>
        <w:tc>
          <w:tcPr>
            <w:tcW w:w="394" w:type="pct"/>
            <w:vMerge w:val="continue"/>
            <w:tcBorders>
              <w:left w:val="single" w:color="000000" w:sz="12" w:space="0"/>
              <w:right w:val="single" w:color="000000" w:sz="4" w:space="0"/>
            </w:tcBorders>
            <w:shd w:val="clear" w:color="auto" w:fill="FFFFFF"/>
            <w:tcMar>
              <w:top w:w="8" w:type="dxa"/>
              <w:left w:w="8" w:type="dxa"/>
              <w:right w:w="8" w:type="dxa"/>
            </w:tcMar>
            <w:vAlign w:val="center"/>
          </w:tcPr>
          <w:p w14:paraId="3778310A">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lang w:val="en-US" w:eastAsia="zh-CN"/>
              </w:rPr>
            </w:pPr>
          </w:p>
        </w:tc>
        <w:tc>
          <w:tcPr>
            <w:tcW w:w="512" w:type="pct"/>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5872CF37">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C30</w:t>
            </w:r>
          </w:p>
        </w:tc>
        <w:tc>
          <w:tcPr>
            <w:tcW w:w="1473" w:type="pct"/>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5DAF9ADA">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非金属矿物制品业</w:t>
            </w:r>
          </w:p>
        </w:tc>
        <w:tc>
          <w:tcPr>
            <w:tcW w:w="552" w:type="pct"/>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2DB54589">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国家行业</w:t>
            </w:r>
          </w:p>
        </w:tc>
        <w:tc>
          <w:tcPr>
            <w:tcW w:w="2067" w:type="pct"/>
            <w:tcBorders>
              <w:top w:val="single" w:color="000000" w:sz="4" w:space="0"/>
              <w:left w:val="single" w:color="000000" w:sz="4" w:space="0"/>
              <w:bottom w:val="single" w:color="000000" w:sz="4" w:space="0"/>
              <w:right w:val="single" w:color="000000" w:sz="12" w:space="0"/>
            </w:tcBorders>
            <w:shd w:val="clear" w:color="auto" w:fill="FFFFFF"/>
            <w:tcMar>
              <w:top w:w="8" w:type="dxa"/>
              <w:left w:w="8" w:type="dxa"/>
              <w:right w:w="8" w:type="dxa"/>
            </w:tcMar>
            <w:vAlign w:val="center"/>
          </w:tcPr>
          <w:p w14:paraId="1643F7C0">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玻璃工业大气污染物排放标准（GB 26453—2022）； 矿物棉工业大气污染物排放标准（GB 41617</w:t>
            </w:r>
            <w:r>
              <w:rPr>
                <w:rFonts w:hint="eastAsia" w:ascii="Times New Roman" w:hAnsi="Times New Roman" w:cs="Times New Roman"/>
                <w:b w:val="0"/>
                <w:bCs/>
                <w:color w:val="auto"/>
                <w:sz w:val="18"/>
                <w:szCs w:val="18"/>
                <w:highlight w:val="none"/>
                <w:lang w:val="en-US" w:eastAsia="zh-CN"/>
              </w:rPr>
              <w:t xml:space="preserve"> </w:t>
            </w:r>
            <w:r>
              <w:rPr>
                <w:rFonts w:hint="eastAsia" w:ascii="Times New Roman" w:hAnsi="Times New Roman" w:cs="Times New Roman"/>
                <w:b w:val="0"/>
                <w:bCs/>
                <w:color w:val="auto"/>
                <w:sz w:val="18"/>
                <w:szCs w:val="18"/>
                <w:highlight w:val="none"/>
              </w:rPr>
              <w:t>—2022）；</w:t>
            </w:r>
          </w:p>
        </w:tc>
      </w:tr>
      <w:tr w14:paraId="56EC8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28" w:type="dxa"/>
            <w:left w:w="113" w:type="dxa"/>
            <w:bottom w:w="28" w:type="dxa"/>
            <w:right w:w="113" w:type="dxa"/>
          </w:tblCellMar>
        </w:tblPrEx>
        <w:trPr>
          <w:trHeight w:val="444" w:hRule="atLeast"/>
          <w:jc w:val="center"/>
        </w:trPr>
        <w:tc>
          <w:tcPr>
            <w:tcW w:w="394" w:type="pct"/>
            <w:vMerge w:val="continue"/>
            <w:tcBorders>
              <w:left w:val="single" w:color="000000" w:sz="12" w:space="0"/>
              <w:right w:val="single" w:color="000000" w:sz="4" w:space="0"/>
            </w:tcBorders>
            <w:shd w:val="clear" w:color="auto" w:fill="FFFFFF"/>
            <w:tcMar>
              <w:top w:w="8" w:type="dxa"/>
              <w:left w:w="8" w:type="dxa"/>
              <w:right w:w="8" w:type="dxa"/>
            </w:tcMar>
            <w:vAlign w:val="center"/>
          </w:tcPr>
          <w:p w14:paraId="64106384">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lang w:val="en-US" w:eastAsia="zh-CN"/>
              </w:rPr>
            </w:pPr>
          </w:p>
        </w:tc>
        <w:tc>
          <w:tcPr>
            <w:tcW w:w="512" w:type="pct"/>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716FA813">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cs="Times New Roman"/>
                <w:b w:val="0"/>
                <w:bCs/>
                <w:color w:val="auto"/>
                <w:sz w:val="18"/>
                <w:szCs w:val="18"/>
                <w:highlight w:val="none"/>
              </w:rPr>
              <w:t>C31</w:t>
            </w:r>
          </w:p>
        </w:tc>
        <w:tc>
          <w:tcPr>
            <w:tcW w:w="1473" w:type="pct"/>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2EEEE2D0">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cs="Times New Roman"/>
                <w:b w:val="0"/>
                <w:bCs/>
                <w:color w:val="auto"/>
                <w:sz w:val="18"/>
                <w:szCs w:val="18"/>
                <w:highlight w:val="none"/>
              </w:rPr>
              <w:t>黑色金属冶炼和压延加工业</w:t>
            </w:r>
          </w:p>
        </w:tc>
        <w:tc>
          <w:tcPr>
            <w:tcW w:w="552" w:type="pct"/>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0B13254E">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cs="Times New Roman"/>
                <w:b w:val="0"/>
                <w:bCs/>
                <w:color w:val="auto"/>
                <w:sz w:val="18"/>
                <w:szCs w:val="18"/>
                <w:highlight w:val="none"/>
              </w:rPr>
              <w:t>国家行业</w:t>
            </w:r>
          </w:p>
        </w:tc>
        <w:tc>
          <w:tcPr>
            <w:tcW w:w="2067" w:type="pct"/>
            <w:tcBorders>
              <w:top w:val="single" w:color="000000" w:sz="4" w:space="0"/>
              <w:left w:val="single" w:color="000000" w:sz="4" w:space="0"/>
              <w:bottom w:val="single" w:color="000000" w:sz="4" w:space="0"/>
              <w:right w:val="single" w:color="000000" w:sz="12" w:space="0"/>
            </w:tcBorders>
            <w:shd w:val="clear" w:color="auto" w:fill="FFFFFF"/>
            <w:tcMar>
              <w:top w:w="8" w:type="dxa"/>
              <w:left w:w="8" w:type="dxa"/>
              <w:right w:w="8" w:type="dxa"/>
            </w:tcMar>
            <w:vAlign w:val="center"/>
          </w:tcPr>
          <w:p w14:paraId="0531F2DB">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cs="Times New Roman"/>
                <w:b w:val="0"/>
                <w:bCs/>
                <w:color w:val="auto"/>
                <w:sz w:val="18"/>
                <w:szCs w:val="18"/>
                <w:highlight w:val="none"/>
              </w:rPr>
              <w:t>轧钢工业大气污染物排放标准（GB 28665—2012）</w:t>
            </w:r>
          </w:p>
        </w:tc>
      </w:tr>
      <w:tr w14:paraId="5F93D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28" w:type="dxa"/>
            <w:left w:w="113" w:type="dxa"/>
            <w:bottom w:w="28" w:type="dxa"/>
            <w:right w:w="113" w:type="dxa"/>
          </w:tblCellMar>
        </w:tblPrEx>
        <w:trPr>
          <w:trHeight w:val="401" w:hRule="atLeast"/>
          <w:jc w:val="center"/>
        </w:trPr>
        <w:tc>
          <w:tcPr>
            <w:tcW w:w="394" w:type="pct"/>
            <w:vMerge w:val="continue"/>
            <w:tcBorders>
              <w:left w:val="single" w:color="000000" w:sz="12" w:space="0"/>
              <w:right w:val="single" w:color="000000" w:sz="4" w:space="0"/>
            </w:tcBorders>
            <w:shd w:val="clear" w:color="auto" w:fill="FFFFFF"/>
            <w:tcMar>
              <w:top w:w="8" w:type="dxa"/>
              <w:left w:w="8" w:type="dxa"/>
              <w:right w:w="8" w:type="dxa"/>
            </w:tcMar>
            <w:vAlign w:val="center"/>
          </w:tcPr>
          <w:p w14:paraId="1F928814">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lang w:val="en-US" w:eastAsia="zh-CN"/>
              </w:rPr>
            </w:pPr>
          </w:p>
        </w:tc>
        <w:tc>
          <w:tcPr>
            <w:tcW w:w="512" w:type="pct"/>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21390327">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cs="Times New Roman"/>
                <w:b w:val="0"/>
                <w:bCs/>
                <w:color w:val="auto"/>
                <w:sz w:val="18"/>
                <w:szCs w:val="18"/>
                <w:highlight w:val="none"/>
              </w:rPr>
              <w:t>C32</w:t>
            </w:r>
          </w:p>
        </w:tc>
        <w:tc>
          <w:tcPr>
            <w:tcW w:w="1473" w:type="pct"/>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13A3FF06">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cs="Times New Roman"/>
                <w:b w:val="0"/>
                <w:bCs/>
                <w:color w:val="auto"/>
                <w:sz w:val="18"/>
                <w:szCs w:val="18"/>
                <w:highlight w:val="none"/>
              </w:rPr>
              <w:t>有色金属冶炼和压延加工业</w:t>
            </w:r>
          </w:p>
        </w:tc>
        <w:tc>
          <w:tcPr>
            <w:tcW w:w="552" w:type="pct"/>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09C758CC">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cs="Times New Roman"/>
                <w:b w:val="0"/>
                <w:bCs/>
                <w:color w:val="auto"/>
                <w:sz w:val="18"/>
                <w:szCs w:val="18"/>
                <w:highlight w:val="none"/>
              </w:rPr>
              <w:t>国家行业</w:t>
            </w:r>
          </w:p>
        </w:tc>
        <w:tc>
          <w:tcPr>
            <w:tcW w:w="2067" w:type="pct"/>
            <w:tcBorders>
              <w:top w:val="single" w:color="000000" w:sz="4" w:space="0"/>
              <w:left w:val="single" w:color="000000" w:sz="4" w:space="0"/>
              <w:bottom w:val="single" w:color="000000" w:sz="4" w:space="0"/>
              <w:right w:val="single" w:color="000000" w:sz="12" w:space="0"/>
            </w:tcBorders>
            <w:shd w:val="clear" w:color="auto" w:fill="FFFFFF"/>
            <w:tcMar>
              <w:top w:w="8" w:type="dxa"/>
              <w:left w:w="8" w:type="dxa"/>
              <w:right w:w="8" w:type="dxa"/>
            </w:tcMar>
            <w:vAlign w:val="center"/>
          </w:tcPr>
          <w:p w14:paraId="6D07D61F">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cs="Times New Roman"/>
                <w:b w:val="0"/>
                <w:bCs/>
                <w:color w:val="auto"/>
                <w:sz w:val="18"/>
                <w:szCs w:val="18"/>
                <w:highlight w:val="none"/>
              </w:rPr>
              <w:t>各有色金属工业</w:t>
            </w:r>
            <w:r>
              <w:rPr>
                <w:rFonts w:hint="eastAsia" w:ascii="Times New Roman" w:hAnsi="Times New Roman" w:cs="Times New Roman"/>
                <w:b w:val="0"/>
                <w:bCs/>
                <w:color w:val="auto"/>
                <w:sz w:val="18"/>
                <w:szCs w:val="18"/>
                <w:highlight w:val="none"/>
                <w:lang w:val="en-US" w:eastAsia="zh-CN"/>
              </w:rPr>
              <w:t>大气污染物</w:t>
            </w:r>
            <w:r>
              <w:rPr>
                <w:rFonts w:hint="eastAsia" w:ascii="Times New Roman" w:hAnsi="Times New Roman" w:cs="Times New Roman"/>
                <w:b w:val="0"/>
                <w:bCs/>
                <w:color w:val="auto"/>
                <w:sz w:val="18"/>
                <w:szCs w:val="18"/>
                <w:highlight w:val="none"/>
              </w:rPr>
              <w:t>排放标准</w:t>
            </w:r>
          </w:p>
        </w:tc>
      </w:tr>
      <w:tr w14:paraId="59A33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28" w:type="dxa"/>
            <w:left w:w="113" w:type="dxa"/>
            <w:bottom w:w="28" w:type="dxa"/>
            <w:right w:w="113" w:type="dxa"/>
          </w:tblCellMar>
        </w:tblPrEx>
        <w:trPr>
          <w:trHeight w:val="334" w:hRule="atLeast"/>
          <w:jc w:val="center"/>
        </w:trPr>
        <w:tc>
          <w:tcPr>
            <w:tcW w:w="394" w:type="pct"/>
            <w:vMerge w:val="continue"/>
            <w:tcBorders>
              <w:left w:val="single" w:color="000000" w:sz="12" w:space="0"/>
              <w:right w:val="single" w:color="000000" w:sz="4" w:space="0"/>
            </w:tcBorders>
            <w:shd w:val="clear" w:color="auto" w:fill="FFFFFF"/>
            <w:tcMar>
              <w:top w:w="8" w:type="dxa"/>
              <w:left w:w="8" w:type="dxa"/>
              <w:right w:w="8" w:type="dxa"/>
            </w:tcMar>
            <w:vAlign w:val="center"/>
          </w:tcPr>
          <w:p w14:paraId="76CB22ED">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lang w:val="en-US" w:eastAsia="zh-CN"/>
              </w:rPr>
            </w:pPr>
          </w:p>
        </w:tc>
        <w:tc>
          <w:tcPr>
            <w:tcW w:w="512" w:type="pct"/>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47D5D0FA">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cs="Times New Roman"/>
                <w:b w:val="0"/>
                <w:bCs/>
                <w:color w:val="auto"/>
                <w:sz w:val="18"/>
                <w:szCs w:val="18"/>
                <w:highlight w:val="none"/>
              </w:rPr>
              <w:t>C38</w:t>
            </w:r>
            <w:r>
              <w:rPr>
                <w:rFonts w:hint="eastAsia" w:ascii="Times New Roman" w:hAnsi="Times New Roman" w:cs="Times New Roman"/>
                <w:b w:val="0"/>
                <w:bCs/>
                <w:color w:val="auto"/>
                <w:sz w:val="18"/>
                <w:szCs w:val="18"/>
                <w:highlight w:val="none"/>
                <w:lang w:val="en-US" w:eastAsia="zh-CN"/>
              </w:rPr>
              <w:t>4</w:t>
            </w:r>
          </w:p>
        </w:tc>
        <w:tc>
          <w:tcPr>
            <w:tcW w:w="1473" w:type="pct"/>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17F375F0">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cs="Times New Roman"/>
                <w:b w:val="0"/>
                <w:bCs/>
                <w:color w:val="auto"/>
                <w:sz w:val="18"/>
                <w:szCs w:val="18"/>
                <w:highlight w:val="none"/>
                <w:lang w:val="en-US" w:eastAsia="zh-CN"/>
              </w:rPr>
              <w:t>电池制造</w:t>
            </w:r>
          </w:p>
        </w:tc>
        <w:tc>
          <w:tcPr>
            <w:tcW w:w="552" w:type="pct"/>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3FB85BD5">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cs="Times New Roman"/>
                <w:b w:val="0"/>
                <w:bCs/>
                <w:color w:val="auto"/>
                <w:sz w:val="18"/>
                <w:szCs w:val="18"/>
                <w:highlight w:val="none"/>
                <w:lang w:val="en-US" w:eastAsia="zh-CN"/>
              </w:rPr>
              <w:t>国家行业</w:t>
            </w:r>
          </w:p>
        </w:tc>
        <w:tc>
          <w:tcPr>
            <w:tcW w:w="2067" w:type="pct"/>
            <w:tcBorders>
              <w:top w:val="single" w:color="000000" w:sz="4" w:space="0"/>
              <w:left w:val="single" w:color="000000" w:sz="4" w:space="0"/>
              <w:bottom w:val="single" w:color="000000" w:sz="4" w:space="0"/>
              <w:right w:val="single" w:color="000000" w:sz="12" w:space="0"/>
            </w:tcBorders>
            <w:shd w:val="clear" w:color="auto" w:fill="FFFFFF"/>
            <w:tcMar>
              <w:top w:w="8" w:type="dxa"/>
              <w:left w:w="8" w:type="dxa"/>
              <w:right w:w="8" w:type="dxa"/>
            </w:tcMar>
            <w:vAlign w:val="center"/>
          </w:tcPr>
          <w:p w14:paraId="241111B0">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b w:val="0"/>
                <w:bCs/>
                <w:color w:val="auto"/>
                <w:kern w:val="0"/>
                <w:sz w:val="18"/>
                <w:szCs w:val="18"/>
                <w:highlight w:val="none"/>
                <w:lang w:val="en-US" w:eastAsia="zh-CN" w:bidi="ar-SA"/>
              </w:rPr>
            </w:pPr>
            <w:r>
              <w:rPr>
                <w:rFonts w:hint="eastAsia" w:ascii="Times New Roman" w:hAnsi="Times New Roman" w:cs="Times New Roman"/>
                <w:b w:val="0"/>
                <w:bCs/>
                <w:color w:val="auto"/>
                <w:sz w:val="18"/>
                <w:szCs w:val="18"/>
                <w:highlight w:val="none"/>
                <w:lang w:val="en-US" w:eastAsia="zh-CN"/>
              </w:rPr>
              <w:t>电池工业污染物排放标准(GB 30484—2013)</w:t>
            </w:r>
          </w:p>
        </w:tc>
      </w:tr>
      <w:tr w14:paraId="55863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28" w:type="dxa"/>
            <w:left w:w="113" w:type="dxa"/>
            <w:bottom w:w="28" w:type="dxa"/>
            <w:right w:w="113" w:type="dxa"/>
          </w:tblCellMar>
        </w:tblPrEx>
        <w:trPr>
          <w:trHeight w:val="320" w:hRule="atLeast"/>
          <w:jc w:val="center"/>
        </w:trPr>
        <w:tc>
          <w:tcPr>
            <w:tcW w:w="394" w:type="pct"/>
            <w:vMerge w:val="restart"/>
            <w:tcBorders>
              <w:top w:val="single" w:color="000000" w:sz="4" w:space="0"/>
              <w:left w:val="single" w:color="000000" w:sz="12" w:space="0"/>
              <w:bottom w:val="single" w:color="000000" w:sz="4" w:space="0"/>
              <w:right w:val="single" w:color="000000" w:sz="4" w:space="0"/>
            </w:tcBorders>
            <w:shd w:val="clear" w:color="auto" w:fill="FFFFFF"/>
            <w:tcMar>
              <w:top w:w="8" w:type="dxa"/>
              <w:left w:w="8" w:type="dxa"/>
              <w:right w:w="8" w:type="dxa"/>
            </w:tcMar>
            <w:vAlign w:val="center"/>
          </w:tcPr>
          <w:p w14:paraId="7AA1F4F3">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化工</w:t>
            </w:r>
          </w:p>
        </w:tc>
        <w:tc>
          <w:tcPr>
            <w:tcW w:w="512" w:type="pct"/>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6EE2F9EE">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C26</w:t>
            </w:r>
          </w:p>
        </w:tc>
        <w:tc>
          <w:tcPr>
            <w:tcW w:w="1473" w:type="pct"/>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3BFD5C6A">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化学原料和化学制品制造业</w:t>
            </w:r>
          </w:p>
        </w:tc>
        <w:tc>
          <w:tcPr>
            <w:tcW w:w="552" w:type="pct"/>
            <w:vMerge w:val="restart"/>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1217ECF8">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国家行业</w:t>
            </w:r>
          </w:p>
        </w:tc>
        <w:tc>
          <w:tcPr>
            <w:tcW w:w="2067" w:type="pct"/>
            <w:tcBorders>
              <w:top w:val="single" w:color="000000" w:sz="4" w:space="0"/>
              <w:left w:val="single" w:color="000000" w:sz="4" w:space="0"/>
              <w:bottom w:val="single" w:color="000000" w:sz="4" w:space="0"/>
              <w:right w:val="single" w:color="000000" w:sz="12" w:space="0"/>
            </w:tcBorders>
            <w:shd w:val="clear" w:color="auto" w:fill="FFFFFF"/>
            <w:tcMar>
              <w:top w:w="8" w:type="dxa"/>
              <w:left w:w="8" w:type="dxa"/>
              <w:right w:w="8" w:type="dxa"/>
            </w:tcMar>
            <w:vAlign w:val="center"/>
          </w:tcPr>
          <w:p w14:paraId="12337D76">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石油化学工业污染物排放标准（GB 31571—2015 ）</w:t>
            </w:r>
          </w:p>
        </w:tc>
      </w:tr>
      <w:tr w14:paraId="14B98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28" w:type="dxa"/>
            <w:left w:w="113" w:type="dxa"/>
            <w:bottom w:w="28" w:type="dxa"/>
            <w:right w:w="113" w:type="dxa"/>
          </w:tblCellMar>
        </w:tblPrEx>
        <w:trPr>
          <w:trHeight w:val="23" w:hRule="atLeast"/>
          <w:jc w:val="center"/>
        </w:trPr>
        <w:tc>
          <w:tcPr>
            <w:tcW w:w="394" w:type="pct"/>
            <w:vMerge w:val="continue"/>
            <w:tcBorders>
              <w:top w:val="single" w:color="000000" w:sz="4" w:space="0"/>
              <w:left w:val="single" w:color="000000" w:sz="12" w:space="0"/>
              <w:bottom w:val="single" w:color="000000" w:sz="4" w:space="0"/>
              <w:right w:val="single" w:color="000000" w:sz="4" w:space="0"/>
            </w:tcBorders>
            <w:shd w:val="clear" w:color="auto" w:fill="FFFFFF"/>
            <w:tcMar>
              <w:top w:w="8" w:type="dxa"/>
              <w:left w:w="8" w:type="dxa"/>
              <w:right w:w="8" w:type="dxa"/>
            </w:tcMar>
            <w:vAlign w:val="center"/>
          </w:tcPr>
          <w:p w14:paraId="79EF062E">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p>
        </w:tc>
        <w:tc>
          <w:tcPr>
            <w:tcW w:w="512" w:type="pct"/>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1C13A735">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C27</w:t>
            </w:r>
          </w:p>
        </w:tc>
        <w:tc>
          <w:tcPr>
            <w:tcW w:w="1473" w:type="pct"/>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5508B018">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医药制造业</w:t>
            </w:r>
          </w:p>
        </w:tc>
        <w:tc>
          <w:tcPr>
            <w:tcW w:w="552" w:type="pct"/>
            <w:vMerge w:val="continue"/>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724B8D33">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p>
        </w:tc>
        <w:tc>
          <w:tcPr>
            <w:tcW w:w="2067" w:type="pct"/>
            <w:tcBorders>
              <w:top w:val="single" w:color="000000" w:sz="4" w:space="0"/>
              <w:left w:val="single" w:color="000000" w:sz="4" w:space="0"/>
              <w:bottom w:val="single" w:color="000000" w:sz="4" w:space="0"/>
              <w:right w:val="single" w:color="000000" w:sz="12" w:space="0"/>
            </w:tcBorders>
            <w:shd w:val="clear" w:color="auto" w:fill="FFFFFF"/>
            <w:tcMar>
              <w:top w:w="8" w:type="dxa"/>
              <w:left w:w="8" w:type="dxa"/>
              <w:right w:w="8" w:type="dxa"/>
            </w:tcMar>
            <w:vAlign w:val="center"/>
          </w:tcPr>
          <w:p w14:paraId="4DA8C014">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制药工业大气污染物排放标准（GB 37823—2019）</w:t>
            </w:r>
          </w:p>
        </w:tc>
      </w:tr>
      <w:tr w14:paraId="6C07D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28" w:type="dxa"/>
            <w:left w:w="113" w:type="dxa"/>
            <w:bottom w:w="28" w:type="dxa"/>
            <w:right w:w="113" w:type="dxa"/>
          </w:tblCellMar>
        </w:tblPrEx>
        <w:trPr>
          <w:trHeight w:val="480" w:hRule="atLeast"/>
          <w:jc w:val="center"/>
        </w:trPr>
        <w:tc>
          <w:tcPr>
            <w:tcW w:w="394" w:type="pct"/>
            <w:vMerge w:val="continue"/>
            <w:tcBorders>
              <w:top w:val="single" w:color="000000" w:sz="4" w:space="0"/>
              <w:left w:val="single" w:color="000000" w:sz="12" w:space="0"/>
              <w:bottom w:val="single" w:color="000000" w:sz="4" w:space="0"/>
              <w:right w:val="single" w:color="000000" w:sz="4" w:space="0"/>
            </w:tcBorders>
            <w:shd w:val="clear" w:color="auto" w:fill="FFFFFF"/>
            <w:tcMar>
              <w:top w:w="8" w:type="dxa"/>
              <w:left w:w="8" w:type="dxa"/>
              <w:right w:w="8" w:type="dxa"/>
            </w:tcMar>
            <w:vAlign w:val="center"/>
          </w:tcPr>
          <w:p w14:paraId="22F11469">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p>
        </w:tc>
        <w:tc>
          <w:tcPr>
            <w:tcW w:w="512" w:type="pct"/>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66AA614D">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C29</w:t>
            </w:r>
          </w:p>
        </w:tc>
        <w:tc>
          <w:tcPr>
            <w:tcW w:w="1473" w:type="pct"/>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290D8A20">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橡胶和塑料制品业</w:t>
            </w:r>
          </w:p>
        </w:tc>
        <w:tc>
          <w:tcPr>
            <w:tcW w:w="552" w:type="pct"/>
            <w:vMerge w:val="continue"/>
            <w:tcBorders>
              <w:top w:val="single" w:color="000000" w:sz="4" w:space="0"/>
              <w:left w:val="single" w:color="000000" w:sz="4" w:space="0"/>
              <w:bottom w:val="single" w:color="000000" w:sz="4" w:space="0"/>
              <w:right w:val="single" w:color="000000" w:sz="4" w:space="0"/>
            </w:tcBorders>
            <w:shd w:val="clear" w:color="auto" w:fill="FFFFFF"/>
            <w:tcMar>
              <w:top w:w="8" w:type="dxa"/>
              <w:left w:w="8" w:type="dxa"/>
              <w:right w:w="8" w:type="dxa"/>
            </w:tcMar>
            <w:vAlign w:val="center"/>
          </w:tcPr>
          <w:p w14:paraId="505DCE98">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p>
        </w:tc>
        <w:tc>
          <w:tcPr>
            <w:tcW w:w="2067" w:type="pct"/>
            <w:tcBorders>
              <w:top w:val="single" w:color="000000" w:sz="4" w:space="0"/>
              <w:left w:val="single" w:color="000000" w:sz="4" w:space="0"/>
              <w:bottom w:val="single" w:color="000000" w:sz="4" w:space="0"/>
              <w:right w:val="single" w:color="000000" w:sz="12" w:space="0"/>
            </w:tcBorders>
            <w:shd w:val="clear" w:color="auto" w:fill="FFFFFF"/>
            <w:tcMar>
              <w:top w:w="8" w:type="dxa"/>
              <w:left w:w="8" w:type="dxa"/>
              <w:right w:w="8" w:type="dxa"/>
            </w:tcMar>
            <w:vAlign w:val="center"/>
          </w:tcPr>
          <w:p w14:paraId="325C5055">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橡胶制品工业污染物排放标准（GB 27632－2011）； 合成树脂工业污染物排放标准（GB 31572</w:t>
            </w:r>
            <w:r>
              <w:rPr>
                <w:rFonts w:hint="eastAsia" w:ascii="Times New Roman" w:hAnsi="Times New Roman" w:cs="Times New Roman"/>
                <w:b w:val="0"/>
                <w:bCs/>
                <w:color w:val="auto"/>
                <w:sz w:val="18"/>
                <w:szCs w:val="18"/>
                <w:highlight w:val="none"/>
                <w:lang w:val="en-US" w:eastAsia="zh-CN"/>
              </w:rPr>
              <w:t xml:space="preserve"> </w:t>
            </w:r>
            <w:r>
              <w:rPr>
                <w:rFonts w:hint="eastAsia" w:ascii="Times New Roman" w:hAnsi="Times New Roman" w:cs="Times New Roman"/>
                <w:b w:val="0"/>
                <w:bCs/>
                <w:color w:val="auto"/>
                <w:sz w:val="18"/>
                <w:szCs w:val="18"/>
                <w:highlight w:val="none"/>
              </w:rPr>
              <w:t>—2015)</w:t>
            </w:r>
          </w:p>
        </w:tc>
      </w:tr>
      <w:tr w14:paraId="31825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28" w:type="dxa"/>
            <w:left w:w="113" w:type="dxa"/>
            <w:bottom w:w="28" w:type="dxa"/>
            <w:right w:w="113" w:type="dxa"/>
          </w:tblCellMar>
        </w:tblPrEx>
        <w:trPr>
          <w:trHeight w:val="320" w:hRule="atLeast"/>
          <w:jc w:val="center"/>
        </w:trPr>
        <w:tc>
          <w:tcPr>
            <w:tcW w:w="394" w:type="pct"/>
            <w:tcBorders>
              <w:top w:val="single" w:color="000000" w:sz="4" w:space="0"/>
              <w:left w:val="single" w:color="000000" w:sz="12" w:space="0"/>
              <w:bottom w:val="single" w:color="000000" w:sz="12" w:space="0"/>
              <w:right w:val="single" w:color="000000" w:sz="4" w:space="0"/>
            </w:tcBorders>
            <w:shd w:val="clear" w:color="auto" w:fill="FFFFFF"/>
            <w:tcMar>
              <w:top w:w="8" w:type="dxa"/>
              <w:left w:w="8" w:type="dxa"/>
              <w:right w:w="8" w:type="dxa"/>
            </w:tcMar>
            <w:vAlign w:val="center"/>
          </w:tcPr>
          <w:p w14:paraId="3D1DF1D0">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石化</w:t>
            </w:r>
          </w:p>
        </w:tc>
        <w:tc>
          <w:tcPr>
            <w:tcW w:w="512" w:type="pct"/>
            <w:tcBorders>
              <w:top w:val="single" w:color="000000" w:sz="4" w:space="0"/>
              <w:left w:val="single" w:color="000000" w:sz="4" w:space="0"/>
              <w:bottom w:val="single" w:color="000000" w:sz="12" w:space="0"/>
              <w:right w:val="single" w:color="000000" w:sz="4" w:space="0"/>
            </w:tcBorders>
            <w:shd w:val="clear" w:color="auto" w:fill="FFFFFF"/>
            <w:tcMar>
              <w:top w:w="8" w:type="dxa"/>
              <w:left w:w="8" w:type="dxa"/>
              <w:right w:w="8" w:type="dxa"/>
            </w:tcMar>
            <w:vAlign w:val="center"/>
          </w:tcPr>
          <w:p w14:paraId="0FC3EB51">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C25</w:t>
            </w:r>
          </w:p>
        </w:tc>
        <w:tc>
          <w:tcPr>
            <w:tcW w:w="1473" w:type="pct"/>
            <w:tcBorders>
              <w:top w:val="single" w:color="000000" w:sz="4" w:space="0"/>
              <w:left w:val="single" w:color="000000" w:sz="4" w:space="0"/>
              <w:bottom w:val="single" w:color="000000" w:sz="12" w:space="0"/>
              <w:right w:val="single" w:color="000000" w:sz="4" w:space="0"/>
            </w:tcBorders>
            <w:shd w:val="clear" w:color="auto" w:fill="FFFFFF"/>
            <w:tcMar>
              <w:top w:w="8" w:type="dxa"/>
              <w:left w:w="8" w:type="dxa"/>
              <w:right w:w="8" w:type="dxa"/>
            </w:tcMar>
            <w:vAlign w:val="center"/>
          </w:tcPr>
          <w:p w14:paraId="225E0E86">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石油、煤炭及其他燃料加工业</w:t>
            </w:r>
          </w:p>
        </w:tc>
        <w:tc>
          <w:tcPr>
            <w:tcW w:w="552" w:type="pct"/>
            <w:tcBorders>
              <w:top w:val="single" w:color="000000" w:sz="4" w:space="0"/>
              <w:left w:val="single" w:color="000000" w:sz="4" w:space="0"/>
              <w:bottom w:val="single" w:color="000000" w:sz="12" w:space="0"/>
              <w:right w:val="single" w:color="000000" w:sz="4" w:space="0"/>
            </w:tcBorders>
            <w:shd w:val="clear" w:color="auto" w:fill="FFFFFF"/>
            <w:tcMar>
              <w:top w:w="8" w:type="dxa"/>
              <w:left w:w="8" w:type="dxa"/>
              <w:right w:w="8" w:type="dxa"/>
            </w:tcMar>
            <w:vAlign w:val="center"/>
          </w:tcPr>
          <w:p w14:paraId="1BB6B040">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国家行业</w:t>
            </w:r>
          </w:p>
        </w:tc>
        <w:tc>
          <w:tcPr>
            <w:tcW w:w="2067" w:type="pct"/>
            <w:tcBorders>
              <w:top w:val="single" w:color="000000" w:sz="4" w:space="0"/>
              <w:left w:val="single" w:color="000000" w:sz="4" w:space="0"/>
              <w:bottom w:val="single" w:color="000000" w:sz="12" w:space="0"/>
              <w:right w:val="single" w:color="000000" w:sz="12" w:space="0"/>
            </w:tcBorders>
            <w:shd w:val="clear" w:color="auto" w:fill="FFFFFF"/>
            <w:tcMar>
              <w:top w:w="8" w:type="dxa"/>
              <w:left w:w="8" w:type="dxa"/>
              <w:right w:w="8" w:type="dxa"/>
            </w:tcMar>
            <w:vAlign w:val="center"/>
          </w:tcPr>
          <w:p w14:paraId="59E74B6A">
            <w:pPr>
              <w:pStyle w:val="31"/>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b w:val="0"/>
                <w:bCs/>
                <w:color w:val="auto"/>
                <w:sz w:val="18"/>
                <w:szCs w:val="18"/>
                <w:highlight w:val="none"/>
              </w:rPr>
            </w:pPr>
            <w:r>
              <w:rPr>
                <w:rFonts w:hint="eastAsia" w:ascii="Times New Roman" w:hAnsi="Times New Roman" w:cs="Times New Roman"/>
                <w:b w:val="0"/>
                <w:bCs/>
                <w:color w:val="auto"/>
                <w:sz w:val="18"/>
                <w:szCs w:val="18"/>
                <w:highlight w:val="none"/>
              </w:rPr>
              <w:t>石油炼制工业污染物排放标准（GB 31570—2015）炼焦化学工业大气污染物排放标准（GB 16171.1</w:t>
            </w:r>
            <w:r>
              <w:rPr>
                <w:rFonts w:hint="eastAsia" w:ascii="Times New Roman" w:hAnsi="Times New Roman" w:cs="Times New Roman"/>
                <w:b w:val="0"/>
                <w:bCs/>
                <w:color w:val="auto"/>
                <w:sz w:val="18"/>
                <w:szCs w:val="18"/>
                <w:highlight w:val="none"/>
                <w:lang w:eastAsia="zh-CN"/>
              </w:rPr>
              <w:t>—</w:t>
            </w:r>
            <w:r>
              <w:rPr>
                <w:rFonts w:hint="eastAsia" w:ascii="Times New Roman" w:hAnsi="Times New Roman" w:cs="Times New Roman"/>
                <w:b w:val="0"/>
                <w:bCs/>
                <w:color w:val="auto"/>
                <w:sz w:val="18"/>
                <w:szCs w:val="18"/>
                <w:highlight w:val="none"/>
              </w:rPr>
              <w:t>2024）</w:t>
            </w:r>
          </w:p>
        </w:tc>
      </w:tr>
    </w:tbl>
    <w:p w14:paraId="2BDBADF0">
      <w:pPr>
        <w:shd w:val="clear"/>
        <w:bidi w:val="0"/>
        <w:rPr>
          <w:rFonts w:hint="eastAsia"/>
          <w:color w:val="auto"/>
          <w:highlight w:val="none"/>
        </w:rPr>
      </w:pPr>
    </w:p>
    <w:p w14:paraId="3BCEA9B2">
      <w:pPr>
        <w:pStyle w:val="3"/>
        <w:shd w:val="clear"/>
        <w:bidi w:val="0"/>
        <w:ind w:left="575" w:leftChars="0" w:hanging="575" w:firstLineChars="0"/>
        <w:rPr>
          <w:rFonts w:hint="eastAsia"/>
          <w:color w:val="auto"/>
          <w:highlight w:val="none"/>
          <w:lang w:val="en-US" w:eastAsia="zh-CN"/>
        </w:rPr>
      </w:pPr>
      <w:bookmarkStart w:id="172" w:name="_Toc28717"/>
      <w:bookmarkStart w:id="173" w:name="_Toc6504"/>
      <w:bookmarkStart w:id="174" w:name="_Toc4493"/>
      <w:bookmarkStart w:id="175" w:name="_Toc4624"/>
      <w:bookmarkStart w:id="176" w:name="_Toc21217"/>
      <w:bookmarkStart w:id="177" w:name="_Toc16729"/>
      <w:r>
        <w:rPr>
          <w:rFonts w:hint="eastAsia"/>
          <w:color w:val="auto"/>
          <w:highlight w:val="none"/>
          <w:lang w:val="en-US" w:eastAsia="zh-CN"/>
        </w:rPr>
        <w:t>标准结构框架</w:t>
      </w:r>
      <w:bookmarkEnd w:id="172"/>
      <w:bookmarkEnd w:id="173"/>
      <w:bookmarkEnd w:id="174"/>
      <w:bookmarkEnd w:id="175"/>
      <w:bookmarkEnd w:id="176"/>
      <w:bookmarkEnd w:id="177"/>
    </w:p>
    <w:p w14:paraId="3989B087">
      <w:pPr>
        <w:rPr>
          <w:rFonts w:hint="default"/>
          <w:color w:val="auto"/>
          <w:highlight w:val="none"/>
          <w:lang w:val="en-US" w:eastAsia="zh-CN"/>
        </w:rPr>
      </w:pPr>
      <w:r>
        <w:rPr>
          <w:rFonts w:hint="eastAsia"/>
          <w:color w:val="auto"/>
          <w:highlight w:val="none"/>
          <w:lang w:val="en-US" w:eastAsia="zh-CN"/>
        </w:rPr>
        <w:t>基于工业涂装和有机溶剂使用等挥发性有机物排放行业，构建了基于原辅材料替代、工艺过程管控、有组织排放+企业边界监控的标准指标体系，提出了分行业的污染物控制要求。标准技术内容的结构框架见</w:t>
      </w:r>
      <w:r>
        <w:rPr>
          <w:rFonts w:hint="eastAsia"/>
          <w:color w:val="auto"/>
          <w:highlight w:val="none"/>
          <w:lang w:val="en-US" w:eastAsia="zh-CN"/>
        </w:rPr>
        <w:fldChar w:fldCharType="begin"/>
      </w:r>
      <w:r>
        <w:rPr>
          <w:rFonts w:hint="eastAsia"/>
          <w:color w:val="auto"/>
          <w:highlight w:val="none"/>
          <w:lang w:val="en-US" w:eastAsia="zh-CN"/>
        </w:rPr>
        <w:instrText xml:space="preserve"> REF _Ref7067 \h </w:instrText>
      </w:r>
      <w:r>
        <w:rPr>
          <w:rFonts w:hint="eastAsia"/>
          <w:color w:val="auto"/>
          <w:highlight w:val="none"/>
          <w:lang w:val="en-US" w:eastAsia="zh-CN"/>
        </w:rPr>
        <w:fldChar w:fldCharType="separate"/>
      </w:r>
      <w:r>
        <w:rPr>
          <w:rFonts w:hint="default" w:ascii="Times New Roman" w:hAnsi="Times New Roman" w:cs="Times New Roman"/>
          <w:color w:val="000000" w:themeColor="text1"/>
          <w:lang w:val="en-US" w:eastAsia="zh-CN"/>
          <w14:textFill>
            <w14:solidFill>
              <w14:schemeClr w14:val="tx1"/>
            </w14:solidFill>
          </w14:textFill>
        </w:rPr>
        <w:t>图</w:t>
      </w:r>
      <w:r>
        <w:rPr>
          <w:rFonts w:hint="default" w:ascii="Times New Roman" w:hAnsi="Times New Roman" w:cs="Times New Roman"/>
          <w:color w:val="000000" w:themeColor="text1"/>
          <w14:textFill>
            <w14:solidFill>
              <w14:schemeClr w14:val="tx1"/>
            </w14:solidFill>
          </w14:textFill>
        </w:rPr>
        <w:t>14</w:t>
      </w:r>
      <w:r>
        <w:rPr>
          <w:rFonts w:hint="eastAsia"/>
          <w:color w:val="auto"/>
          <w:highlight w:val="none"/>
          <w:lang w:val="en-US" w:eastAsia="zh-CN"/>
        </w:rPr>
        <w:fldChar w:fldCharType="end"/>
      </w:r>
      <w:r>
        <w:rPr>
          <w:rFonts w:hint="eastAsia"/>
          <w:color w:val="auto"/>
          <w:highlight w:val="none"/>
          <w:lang w:val="en-US" w:eastAsia="zh-CN"/>
        </w:rPr>
        <w:t>。</w:t>
      </w:r>
    </w:p>
    <w:p w14:paraId="3906B50B">
      <w:pPr>
        <w:rPr>
          <w:rFonts w:hint="eastAsia"/>
          <w:color w:val="auto"/>
          <w:highlight w:val="none"/>
          <w:lang w:val="en-US" w:eastAsia="zh-CN"/>
        </w:rPr>
      </w:pPr>
    </w:p>
    <w:p w14:paraId="61BCFE3D">
      <w:pPr>
        <w:keepNext/>
        <w:keepLines w:val="0"/>
        <w:pageBreakBefore w:val="0"/>
        <w:widowControl w:val="0"/>
        <w:kinsoku/>
        <w:wordWrap/>
        <w:overflowPunct/>
        <w:topLinePunct w:val="0"/>
        <w:autoSpaceDE/>
        <w:autoSpaceDN/>
        <w:bidi w:val="0"/>
        <w:adjustRightInd/>
        <w:snapToGrid/>
        <w:spacing w:line="240" w:lineRule="auto"/>
        <w:ind w:firstLine="0" w:firstLineChars="0"/>
        <w:textAlignment w:val="auto"/>
      </w:pPr>
      <w:r>
        <w:drawing>
          <wp:inline distT="0" distB="0" distL="114300" distR="114300">
            <wp:extent cx="5336540" cy="19691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srcRect t="16930"/>
                    <a:stretch>
                      <a:fillRect/>
                    </a:stretch>
                  </pic:blipFill>
                  <pic:spPr>
                    <a:xfrm>
                      <a:off x="0" y="0"/>
                      <a:ext cx="5336540" cy="1969135"/>
                    </a:xfrm>
                    <a:prstGeom prst="rect">
                      <a:avLst/>
                    </a:prstGeom>
                    <a:noFill/>
                    <a:ln>
                      <a:noFill/>
                    </a:ln>
                  </pic:spPr>
                </pic:pic>
              </a:graphicData>
            </a:graphic>
          </wp:inline>
        </w:drawing>
      </w:r>
    </w:p>
    <w:p w14:paraId="19AFC39F">
      <w:pPr>
        <w:pStyle w:val="130"/>
        <w:shd w:val="clear"/>
        <w:bidi w:val="0"/>
        <w:ind w:leftChars="0"/>
        <w:jc w:val="center"/>
        <w:outlineLvl w:val="4"/>
        <w:rPr>
          <w:rFonts w:hint="default" w:ascii="Times New Roman" w:hAnsi="Times New Roman" w:cs="Times New Roman"/>
          <w:color w:val="000000" w:themeColor="text1"/>
          <w:highlight w:val="none"/>
          <w:lang w:val="en-US" w:eastAsia="zh-CN"/>
          <w14:textFill>
            <w14:solidFill>
              <w14:schemeClr w14:val="tx1"/>
            </w14:solidFill>
          </w14:textFill>
        </w:rPr>
      </w:pPr>
      <w:bookmarkStart w:id="178" w:name="_Ref7067"/>
      <w:r>
        <w:rPr>
          <w:rFonts w:hint="default" w:ascii="Times New Roman" w:hAnsi="Times New Roman" w:cs="Times New Roman"/>
          <w:color w:val="000000" w:themeColor="text1"/>
          <w:highlight w:val="none"/>
          <w:lang w:val="en-US" w:eastAsia="zh-CN"/>
          <w14:textFill>
            <w14:solidFill>
              <w14:schemeClr w14:val="tx1"/>
            </w14:solidFill>
          </w14:textFill>
        </w:rPr>
        <w:t>图</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SEQ 图 \* ARABIC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14</w:t>
      </w:r>
      <w:r>
        <w:rPr>
          <w:rFonts w:hint="default" w:ascii="Times New Roman" w:hAnsi="Times New Roman" w:cs="Times New Roman"/>
          <w:color w:val="000000" w:themeColor="text1"/>
          <w:highlight w:val="none"/>
          <w14:textFill>
            <w14:solidFill>
              <w14:schemeClr w14:val="tx1"/>
            </w14:solidFill>
          </w14:textFill>
        </w:rPr>
        <w:fldChar w:fldCharType="end"/>
      </w:r>
      <w:bookmarkEnd w:id="178"/>
      <w:r>
        <w:rPr>
          <w:rFonts w:hint="default" w:ascii="Times New Roman" w:hAnsi="Times New Roman" w:cs="Times New Roman"/>
          <w:color w:val="000000" w:themeColor="text1"/>
          <w:highlight w:val="none"/>
          <w:lang w:val="en-US" w:eastAsia="zh-CN"/>
          <w14:textFill>
            <w14:solidFill>
              <w14:schemeClr w14:val="tx1"/>
            </w14:solidFill>
          </w14:textFill>
        </w:rPr>
        <w:t xml:space="preserve"> 标准结构框架图</w:t>
      </w:r>
    </w:p>
    <w:p w14:paraId="6E9EEAE4">
      <w:pPr>
        <w:pStyle w:val="4"/>
        <w:shd w:val="clear"/>
        <w:bidi w:val="0"/>
        <w:ind w:left="0" w:leftChars="0" w:firstLine="0" w:firstLineChars="0"/>
        <w:rPr>
          <w:rFonts w:hint="eastAsia"/>
          <w:color w:val="auto"/>
          <w:highlight w:val="none"/>
          <w:lang w:val="en-US" w:eastAsia="zh-CN"/>
        </w:rPr>
      </w:pPr>
      <w:r>
        <w:rPr>
          <w:rFonts w:hint="eastAsia"/>
          <w:color w:val="auto"/>
          <w:highlight w:val="none"/>
          <w:lang w:val="en-US" w:eastAsia="zh-CN"/>
        </w:rPr>
        <w:t>标准主要章节内容</w:t>
      </w:r>
    </w:p>
    <w:p w14:paraId="5C389F55">
      <w:pPr>
        <w:shd w:val="clear"/>
        <w:bidi w:val="0"/>
        <w:rPr>
          <w:rFonts w:hint="eastAsia"/>
          <w:color w:val="auto"/>
          <w:highlight w:val="none"/>
        </w:rPr>
      </w:pPr>
      <w:r>
        <w:rPr>
          <w:rFonts w:hint="eastAsia"/>
          <w:color w:val="auto"/>
          <w:highlight w:val="none"/>
        </w:rPr>
        <w:t>本文件包括：前言、引言、适用范围、规范性引用文件、术语和定义、有组织排放控制要求、</w:t>
      </w:r>
      <w:r>
        <w:rPr>
          <w:rFonts w:hint="eastAsia"/>
          <w:color w:val="auto"/>
          <w:highlight w:val="none"/>
          <w:lang w:val="en-US" w:eastAsia="zh-CN"/>
        </w:rPr>
        <w:t>无组织排放控制要求、台账要求、</w:t>
      </w:r>
      <w:r>
        <w:rPr>
          <w:rFonts w:hint="eastAsia"/>
          <w:color w:val="auto"/>
          <w:highlight w:val="none"/>
        </w:rPr>
        <w:t>监测要求、</w:t>
      </w:r>
      <w:r>
        <w:rPr>
          <w:rFonts w:hint="eastAsia"/>
          <w:color w:val="auto"/>
          <w:highlight w:val="none"/>
          <w:lang w:val="en-US" w:eastAsia="zh-CN"/>
        </w:rPr>
        <w:t>达标判定、</w:t>
      </w:r>
      <w:r>
        <w:rPr>
          <w:rFonts w:hint="eastAsia"/>
          <w:color w:val="auto"/>
          <w:highlight w:val="none"/>
        </w:rPr>
        <w:t>实施与监督</w:t>
      </w:r>
      <w:r>
        <w:rPr>
          <w:rFonts w:hint="eastAsia"/>
          <w:color w:val="auto"/>
          <w:highlight w:val="none"/>
          <w:lang w:val="en-US" w:eastAsia="zh-CN"/>
        </w:rPr>
        <w:t>及资料性附录和规范性附录等13个</w:t>
      </w:r>
      <w:r>
        <w:rPr>
          <w:rFonts w:hint="eastAsia"/>
          <w:color w:val="auto"/>
          <w:highlight w:val="none"/>
        </w:rPr>
        <w:t>部分</w:t>
      </w:r>
      <w:r>
        <w:rPr>
          <w:rFonts w:hint="eastAsia"/>
          <w:color w:val="auto"/>
          <w:highlight w:val="none"/>
          <w:lang w:val="en-US" w:eastAsia="zh-CN"/>
        </w:rPr>
        <w:t>组成</w:t>
      </w:r>
      <w:r>
        <w:rPr>
          <w:rFonts w:hint="eastAsia"/>
          <w:color w:val="auto"/>
          <w:highlight w:val="none"/>
        </w:rPr>
        <w:t>。</w:t>
      </w:r>
    </w:p>
    <w:p w14:paraId="494F8A65">
      <w:pPr>
        <w:pStyle w:val="4"/>
        <w:shd w:val="clear"/>
        <w:bidi w:val="0"/>
        <w:ind w:left="0" w:leftChars="0" w:firstLine="0" w:firstLineChars="0"/>
        <w:rPr>
          <w:rFonts w:hint="eastAsia"/>
          <w:color w:val="auto"/>
          <w:highlight w:val="none"/>
          <w:lang w:val="en-US" w:eastAsia="zh-CN"/>
        </w:rPr>
      </w:pPr>
      <w:r>
        <w:rPr>
          <w:rFonts w:hint="eastAsia"/>
          <w:color w:val="auto"/>
          <w:highlight w:val="none"/>
          <w:lang w:val="en-US" w:eastAsia="zh-CN"/>
        </w:rPr>
        <w:t>时段划分</w:t>
      </w:r>
    </w:p>
    <w:p w14:paraId="42F4F205">
      <w:pPr>
        <w:shd w:val="clear"/>
        <w:bidi w:val="0"/>
        <w:rPr>
          <w:rFonts w:hint="eastAsia"/>
          <w:color w:val="auto"/>
          <w:highlight w:val="none"/>
          <w:lang w:val="en-US" w:eastAsia="zh-CN"/>
        </w:rPr>
      </w:pPr>
      <w:r>
        <w:rPr>
          <w:rFonts w:hint="eastAsia"/>
          <w:color w:val="auto"/>
          <w:highlight w:val="none"/>
        </w:rPr>
        <w:t>为实现环境标准动态运行机制，在体现标准先进性和严格性的同时，又需要考虑与相关行业标准和管理部门治理要求相衔接，使不同企业在执行新标准时有一个延续性的过渡过程。根据调研，</w:t>
      </w:r>
      <w:r>
        <w:rPr>
          <w:rFonts w:hint="eastAsia"/>
          <w:color w:val="auto"/>
          <w:highlight w:val="none"/>
          <w:lang w:val="en-US" w:eastAsia="zh-CN"/>
        </w:rPr>
        <w:t>一般</w:t>
      </w:r>
      <w:r>
        <w:rPr>
          <w:rFonts w:hint="eastAsia"/>
          <w:color w:val="auto"/>
          <w:highlight w:val="none"/>
        </w:rPr>
        <w:t>污染治理设施的改造一般约需6-8个月，考虑设施改造和试运行时间，本文件规定自本文件实施之日起环境影响评价文件通过审批的新建、改建、扩建项目，执行本文件规定的排放限值，本文件实施之日前已建成投产或环境影响评价文件已通过审批的项目，原则上自本文件发布1</w:t>
      </w:r>
      <w:r>
        <w:rPr>
          <w:rFonts w:hint="eastAsia"/>
          <w:color w:val="auto"/>
          <w:highlight w:val="none"/>
          <w:lang w:val="en-US" w:eastAsia="zh-CN"/>
        </w:rPr>
        <w:t>8</w:t>
      </w:r>
      <w:r>
        <w:rPr>
          <w:rFonts w:hint="eastAsia"/>
          <w:color w:val="auto"/>
          <w:highlight w:val="none"/>
        </w:rPr>
        <w:t>个月后实施，预留1</w:t>
      </w:r>
      <w:r>
        <w:rPr>
          <w:rFonts w:hint="eastAsia"/>
          <w:color w:val="auto"/>
          <w:highlight w:val="none"/>
          <w:lang w:val="en-US" w:eastAsia="zh-CN"/>
        </w:rPr>
        <w:t>8</w:t>
      </w:r>
      <w:r>
        <w:rPr>
          <w:rFonts w:hint="eastAsia"/>
          <w:color w:val="auto"/>
          <w:highlight w:val="none"/>
        </w:rPr>
        <w:t>个月的技术改造时间。</w:t>
      </w:r>
    </w:p>
    <w:p w14:paraId="689F247E">
      <w:pPr>
        <w:pStyle w:val="3"/>
        <w:shd w:val="clear"/>
        <w:bidi w:val="0"/>
        <w:ind w:left="575" w:leftChars="0" w:hanging="575" w:firstLineChars="0"/>
        <w:rPr>
          <w:color w:val="auto"/>
          <w:highlight w:val="none"/>
        </w:rPr>
      </w:pPr>
      <w:bookmarkStart w:id="179" w:name="_Toc21043"/>
      <w:bookmarkStart w:id="180" w:name="_Toc11123"/>
      <w:bookmarkStart w:id="181" w:name="_Toc18339"/>
      <w:bookmarkStart w:id="182" w:name="_Toc12160"/>
      <w:bookmarkStart w:id="183" w:name="_Toc26757"/>
      <w:bookmarkStart w:id="184" w:name="_Toc22031"/>
      <w:r>
        <w:rPr>
          <w:rFonts w:hint="eastAsia"/>
          <w:color w:val="auto"/>
          <w:highlight w:val="none"/>
          <w:lang w:val="en-US" w:eastAsia="zh-CN"/>
        </w:rPr>
        <w:t>规范性引用文件</w:t>
      </w:r>
      <w:bookmarkEnd w:id="179"/>
      <w:bookmarkEnd w:id="180"/>
      <w:bookmarkEnd w:id="181"/>
      <w:bookmarkEnd w:id="182"/>
      <w:bookmarkEnd w:id="183"/>
      <w:bookmarkEnd w:id="184"/>
    </w:p>
    <w:p w14:paraId="4DB2F514">
      <w:pPr>
        <w:shd w:val="clear"/>
        <w:rPr>
          <w:color w:val="auto"/>
          <w:highlight w:val="none"/>
        </w:rPr>
      </w:pPr>
      <w:r>
        <w:rPr>
          <w:rFonts w:hint="eastAsia"/>
          <w:color w:val="auto"/>
          <w:highlight w:val="none"/>
        </w:rPr>
        <w:t>本文件引用的规范性文件主要包括《国民经济行业分类》、污染物监测及采样方法、相关管理要求等，规定“下列文件中的内容通过文中的规范性引用而构成本文件必不可少的条款。其中，注日期的引用文件，仅该日期对应的版本适用于本文件；不注日期的引用文件，其最新版本（包括所有的修改单）适用于本文件”。</w:t>
      </w:r>
    </w:p>
    <w:p w14:paraId="199BF0BB">
      <w:pPr>
        <w:pStyle w:val="3"/>
        <w:shd w:val="clear"/>
        <w:bidi w:val="0"/>
        <w:ind w:left="575" w:leftChars="0" w:hanging="575" w:firstLineChars="0"/>
        <w:rPr>
          <w:color w:val="auto"/>
          <w:highlight w:val="none"/>
        </w:rPr>
      </w:pPr>
      <w:bookmarkStart w:id="185" w:name="_Toc11176"/>
      <w:bookmarkStart w:id="186" w:name="_Toc15064"/>
      <w:bookmarkStart w:id="187" w:name="_Toc21563"/>
      <w:bookmarkStart w:id="188" w:name="_Toc29340"/>
      <w:bookmarkStart w:id="189" w:name="_Toc5732"/>
      <w:bookmarkStart w:id="190" w:name="_Toc30826"/>
      <w:r>
        <w:rPr>
          <w:rFonts w:hint="eastAsia"/>
          <w:color w:val="auto"/>
          <w:highlight w:val="none"/>
          <w:lang w:val="en-US" w:eastAsia="zh-CN"/>
        </w:rPr>
        <w:t>术语和定义</w:t>
      </w:r>
      <w:bookmarkEnd w:id="185"/>
      <w:bookmarkEnd w:id="186"/>
      <w:bookmarkEnd w:id="187"/>
      <w:bookmarkEnd w:id="188"/>
      <w:bookmarkEnd w:id="189"/>
      <w:bookmarkEnd w:id="190"/>
    </w:p>
    <w:p w14:paraId="0EEF6F4F">
      <w:pPr>
        <w:shd w:val="clea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本标准根据《</w:t>
      </w:r>
      <w:r>
        <w:rPr>
          <w:rFonts w:hint="default" w:ascii="Times New Roman" w:hAnsi="Times New Roman" w:eastAsia="宋体" w:cs="Times New Roman"/>
          <w:color w:val="auto"/>
          <w:highlight w:val="none"/>
          <w:lang w:val="en-US" w:eastAsia="zh-CN"/>
        </w:rPr>
        <w:t>挥发性有机物无组织排放控制标准</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GB</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37822</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2019</w:t>
      </w:r>
      <w:r>
        <w:rPr>
          <w:rFonts w:hint="default" w:ascii="Times New Roman" w:hAnsi="Times New Roman" w:cs="Times New Roman"/>
          <w:color w:val="auto"/>
          <w:highlight w:val="none"/>
          <w:lang w:val="en-US" w:eastAsia="zh-CN"/>
        </w:rPr>
        <w:t>）和《印刷工业大气污染物排放标准》（GB</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val="en-US" w:eastAsia="zh-CN"/>
        </w:rPr>
        <w:t>41616—2022）相关规定，本标准</w:t>
      </w:r>
      <w:r>
        <w:rPr>
          <w:rFonts w:hint="eastAsia" w:cs="Times New Roman"/>
          <w:color w:val="auto"/>
          <w:highlight w:val="none"/>
          <w:lang w:val="en-US" w:eastAsia="zh-CN"/>
        </w:rPr>
        <w:t>规定</w:t>
      </w:r>
      <w:r>
        <w:rPr>
          <w:rFonts w:hint="default" w:ascii="Times New Roman" w:hAnsi="Times New Roman" w:cs="Times New Roman"/>
          <w:color w:val="auto"/>
          <w:highlight w:val="none"/>
          <w:lang w:val="en-US" w:eastAsia="zh-CN"/>
        </w:rPr>
        <w:t>了挥发性有机溶剂使用行业</w:t>
      </w:r>
      <w:r>
        <w:rPr>
          <w:rFonts w:hint="eastAsia" w:cs="Times New Roman"/>
          <w:color w:val="auto"/>
          <w:highlight w:val="none"/>
          <w:lang w:val="en-US" w:eastAsia="zh-CN"/>
        </w:rPr>
        <w:t>、低VOCs含量原辅材料、</w:t>
      </w:r>
      <w:r>
        <w:rPr>
          <w:rFonts w:hint="default" w:ascii="Times New Roman" w:hAnsi="Times New Roman" w:cs="Times New Roman"/>
          <w:color w:val="auto"/>
          <w:highlight w:val="none"/>
          <w:lang w:val="en-US" w:eastAsia="zh-CN"/>
        </w:rPr>
        <w:t>标准状态、挥发性有机物、总挥发性有机物、非甲烷总烃、苯系物、现有企业、新建企业、企业边界等</w:t>
      </w:r>
      <w:r>
        <w:rPr>
          <w:rFonts w:hint="eastAsia" w:cs="Times New Roman"/>
          <w:color w:val="auto"/>
          <w:highlight w:val="none"/>
          <w:lang w:val="en-US" w:eastAsia="zh-CN"/>
        </w:rPr>
        <w:t>10</w:t>
      </w:r>
      <w:r>
        <w:rPr>
          <w:rFonts w:hint="default" w:ascii="Times New Roman" w:hAnsi="Times New Roman" w:cs="Times New Roman"/>
          <w:color w:val="auto"/>
          <w:highlight w:val="none"/>
          <w:lang w:val="en-US" w:eastAsia="zh-CN"/>
        </w:rPr>
        <w:t>个术语和定义。根据江苏、北京、辽宁等地工业涂装工序地方污染物排放标准，确定了涂装术语和定义。</w:t>
      </w:r>
    </w:p>
    <w:p w14:paraId="4E185C2E">
      <w:pPr>
        <w:pStyle w:val="3"/>
        <w:shd w:val="clear"/>
        <w:bidi w:val="0"/>
        <w:ind w:left="575" w:leftChars="0" w:hanging="575" w:firstLineChars="0"/>
        <w:rPr>
          <w:color w:val="auto"/>
          <w:highlight w:val="none"/>
        </w:rPr>
      </w:pPr>
      <w:bookmarkStart w:id="191" w:name="_Toc9201"/>
      <w:bookmarkStart w:id="192" w:name="_Toc2029"/>
      <w:bookmarkStart w:id="193" w:name="_Toc11855"/>
      <w:bookmarkStart w:id="194" w:name="_Toc16751"/>
      <w:bookmarkStart w:id="195" w:name="_Toc7899"/>
      <w:bookmarkStart w:id="196" w:name="_Toc31968"/>
      <w:r>
        <w:rPr>
          <w:rFonts w:hint="eastAsia"/>
          <w:color w:val="auto"/>
          <w:highlight w:val="none"/>
          <w:lang w:val="en-US" w:eastAsia="zh-CN"/>
        </w:rPr>
        <w:t>污染物项目的选择</w:t>
      </w:r>
      <w:bookmarkEnd w:id="191"/>
      <w:bookmarkEnd w:id="192"/>
      <w:bookmarkEnd w:id="193"/>
      <w:bookmarkEnd w:id="194"/>
      <w:bookmarkEnd w:id="195"/>
      <w:bookmarkEnd w:id="196"/>
    </w:p>
    <w:p w14:paraId="072EA4F4">
      <w:pPr>
        <w:shd w:val="clea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本文件污染物控制项目筛选主要依据为：针对当前我省环境空气质量改善的迫切需要，重点考虑</w:t>
      </w:r>
      <w:r>
        <w:rPr>
          <w:rFonts w:hint="eastAsia" w:cs="Times New Roman"/>
          <w:color w:val="auto"/>
          <w:highlight w:val="none"/>
          <w:lang w:val="en-US" w:eastAsia="zh-CN"/>
        </w:rPr>
        <w:t>臭氧</w:t>
      </w:r>
      <w:r>
        <w:rPr>
          <w:rFonts w:hint="default" w:ascii="Times New Roman" w:hAnsi="Times New Roman" w:cs="Times New Roman"/>
          <w:color w:val="auto"/>
          <w:highlight w:val="none"/>
          <w:lang w:val="en-US" w:eastAsia="zh-CN"/>
        </w:rPr>
        <w:t>的主要前体物，</w:t>
      </w:r>
      <w:r>
        <w:rPr>
          <w:rFonts w:hint="eastAsia" w:ascii="Times New Roman" w:hAnsi="Times New Roman" w:cs="Times New Roman"/>
          <w:color w:val="auto"/>
          <w:highlight w:val="none"/>
          <w:lang w:val="en-US" w:eastAsia="zh-CN"/>
        </w:rPr>
        <w:t>结合国内外相关标准技术内容、湖南省工业企业挥发性有机物排放和控制现状，</w:t>
      </w:r>
      <w:r>
        <w:rPr>
          <w:rFonts w:hint="default" w:ascii="Times New Roman" w:hAnsi="Times New Roman" w:cs="Times New Roman"/>
          <w:color w:val="auto"/>
          <w:highlight w:val="none"/>
          <w:lang w:val="en-US" w:eastAsia="zh-CN"/>
        </w:rPr>
        <w:t>选取行业污染物排放总量大、对环境空气质量影响显著、</w:t>
      </w:r>
      <w:r>
        <w:rPr>
          <w:rFonts w:hint="eastAsia" w:ascii="Times New Roman" w:hAnsi="Times New Roman" w:cs="Times New Roman"/>
          <w:color w:val="auto"/>
          <w:highlight w:val="none"/>
          <w:lang w:val="en-US" w:eastAsia="zh-CN"/>
        </w:rPr>
        <w:t>数据基础较好、</w:t>
      </w:r>
      <w:r>
        <w:rPr>
          <w:rFonts w:hint="default" w:ascii="Times New Roman" w:hAnsi="Times New Roman" w:cs="Times New Roman"/>
          <w:color w:val="auto"/>
          <w:highlight w:val="none"/>
          <w:lang w:val="en-US" w:eastAsia="zh-CN"/>
        </w:rPr>
        <w:t>污染防治技术发展较为成熟的污染物控制指标</w:t>
      </w:r>
      <w:r>
        <w:rPr>
          <w:rFonts w:hint="eastAsia" w:cs="Times New Roman"/>
          <w:color w:val="auto"/>
          <w:highlight w:val="none"/>
          <w:lang w:val="en-US" w:eastAsia="zh-CN"/>
        </w:rPr>
        <w:t>。</w:t>
      </w:r>
    </w:p>
    <w:p w14:paraId="5FFCCE6A">
      <w:pPr>
        <w:shd w:val="clear"/>
        <w:rPr>
          <w:rFonts w:hint="eastAsia"/>
          <w:color w:val="auto"/>
          <w:highlight w:val="none"/>
          <w:lang w:val="en-US" w:eastAsia="zh-CN"/>
        </w:rPr>
      </w:pPr>
      <w:r>
        <w:rPr>
          <w:rFonts w:hint="default" w:ascii="Times New Roman" w:hAnsi="Times New Roman" w:cs="Times New Roman"/>
          <w:color w:val="auto"/>
          <w:highlight w:val="none"/>
          <w:lang w:val="en-US" w:eastAsia="zh-CN"/>
        </w:rPr>
        <w:t>挥发性有机物涉及行业多，不同行业的特征污染物差异较大，本文件主要针对苯、苯系物、非甲烷总烃、挥发性有机物和甲醛等主要污染物，并未对特征污染物作出限值，因此，本文件在实施与监督中明确，未管控的项目（含源项、污染物项目、控制指标等），执行国家相关排放标准的规定。</w:t>
      </w:r>
    </w:p>
    <w:p w14:paraId="458897FA">
      <w:pPr>
        <w:pStyle w:val="3"/>
        <w:shd w:val="clear"/>
        <w:bidi w:val="0"/>
        <w:ind w:left="575" w:leftChars="0" w:hanging="575" w:firstLineChars="0"/>
        <w:rPr>
          <w:color w:val="auto"/>
          <w:highlight w:val="none"/>
        </w:rPr>
      </w:pPr>
      <w:bookmarkStart w:id="197" w:name="_Toc26920"/>
      <w:bookmarkStart w:id="198" w:name="_Toc31439"/>
      <w:bookmarkStart w:id="199" w:name="_Toc8144"/>
      <w:bookmarkStart w:id="200" w:name="_Toc29452"/>
      <w:bookmarkStart w:id="201" w:name="_Toc3487"/>
      <w:bookmarkStart w:id="202" w:name="_Toc27797"/>
      <w:r>
        <w:rPr>
          <w:rFonts w:hint="eastAsia"/>
          <w:color w:val="auto"/>
          <w:highlight w:val="none"/>
          <w:lang w:eastAsia="zh-CN"/>
        </w:rPr>
        <w:t>标准</w:t>
      </w:r>
      <w:r>
        <w:rPr>
          <w:rFonts w:hint="eastAsia"/>
          <w:color w:val="auto"/>
          <w:highlight w:val="none"/>
          <w:lang w:val="en-US" w:eastAsia="zh-CN"/>
        </w:rPr>
        <w:t>有组织排放限值确定原则和依据</w:t>
      </w:r>
      <w:bookmarkEnd w:id="197"/>
      <w:bookmarkEnd w:id="198"/>
      <w:bookmarkEnd w:id="199"/>
      <w:bookmarkEnd w:id="200"/>
      <w:bookmarkEnd w:id="201"/>
      <w:bookmarkEnd w:id="202"/>
    </w:p>
    <w:p w14:paraId="73F037E6">
      <w:pPr>
        <w:pStyle w:val="4"/>
        <w:shd w:val="clear"/>
        <w:bidi w:val="0"/>
        <w:ind w:left="0" w:leftChars="0" w:firstLine="0" w:firstLineChars="0"/>
        <w:rPr>
          <w:rFonts w:hint="eastAsia"/>
          <w:color w:val="auto"/>
          <w:highlight w:val="none"/>
          <w:lang w:val="en-US" w:eastAsia="zh-CN"/>
        </w:rPr>
      </w:pPr>
      <w:r>
        <w:rPr>
          <w:rFonts w:hint="eastAsia"/>
          <w:color w:val="auto"/>
          <w:highlight w:val="none"/>
          <w:lang w:val="en-US" w:eastAsia="zh-CN"/>
        </w:rPr>
        <w:t>排放限值确定的依据</w:t>
      </w:r>
    </w:p>
    <w:p w14:paraId="1C810FE2">
      <w:pPr>
        <w:shd w:val="clea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编制组</w:t>
      </w:r>
      <w:r>
        <w:rPr>
          <w:rFonts w:hint="eastAsia" w:cs="Times New Roman"/>
          <w:color w:val="auto"/>
          <w:highlight w:val="none"/>
          <w:lang w:val="en-US" w:eastAsia="zh-CN"/>
        </w:rPr>
        <w:t>主要依据湖南省排污许可管理工业企业在排污许可平台上传的自行监测报告，依据已有监测数据初步确定排放限值，并开展</w:t>
      </w:r>
      <w:r>
        <w:rPr>
          <w:rFonts w:hint="default" w:ascii="Times New Roman" w:hAnsi="Times New Roman" w:cs="Times New Roman"/>
          <w:color w:val="auto"/>
          <w:highlight w:val="none"/>
          <w:lang w:val="en-US" w:eastAsia="zh-CN"/>
        </w:rPr>
        <w:t>可达性分析。与行业标准不同，</w:t>
      </w:r>
      <w:r>
        <w:rPr>
          <w:rFonts w:hint="eastAsia" w:cs="Times New Roman"/>
          <w:color w:val="auto"/>
          <w:highlight w:val="none"/>
          <w:lang w:val="en-US" w:eastAsia="zh-CN"/>
        </w:rPr>
        <w:t>工业企业挥发性有机物</w:t>
      </w:r>
      <w:r>
        <w:rPr>
          <w:rFonts w:hint="default" w:ascii="Times New Roman" w:hAnsi="Times New Roman" w:cs="Times New Roman"/>
          <w:color w:val="auto"/>
          <w:highlight w:val="none"/>
          <w:lang w:val="en-US" w:eastAsia="zh-CN"/>
        </w:rPr>
        <w:t>排放标准是通用型标准，涉及行业多，工艺复杂，且相当部分的生产工艺改进，并不一定能改变污染物的排放现状，因此本文件</w:t>
      </w:r>
      <w:r>
        <w:rPr>
          <w:rFonts w:hint="eastAsia" w:cs="Times New Roman"/>
          <w:color w:val="auto"/>
          <w:highlight w:val="none"/>
          <w:lang w:val="en-US" w:eastAsia="zh-CN"/>
        </w:rPr>
        <w:t>从原料替代、过程管控、挥发性有机物台账管理等方面提出了挥发性有机物的控制</w:t>
      </w:r>
      <w:r>
        <w:rPr>
          <w:rFonts w:hint="default" w:ascii="Times New Roman" w:hAnsi="Times New Roman" w:cs="Times New Roman"/>
          <w:color w:val="auto"/>
          <w:highlight w:val="none"/>
          <w:lang w:val="en-US" w:eastAsia="zh-CN"/>
        </w:rPr>
        <w:t>要求。</w:t>
      </w:r>
    </w:p>
    <w:p w14:paraId="0ADCB04C">
      <w:pPr>
        <w:shd w:val="clea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本标准取消了挥发性有机物的</w:t>
      </w:r>
      <w:r>
        <w:rPr>
          <w:rFonts w:hint="default" w:ascii="Times New Roman" w:hAnsi="Times New Roman" w:cs="Times New Roman"/>
          <w:color w:val="auto"/>
          <w:highlight w:val="none"/>
          <w:lang w:val="en-US" w:eastAsia="zh-CN"/>
        </w:rPr>
        <w:t>有组织排放速率限值。控制排放速率有利于通过提高排气筒高度降低地面大气污染物排放浓度，但不能降低大气污染物排放量。针对VOCs气量规模大、浓度低的特点，对大源实施</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排放浓度+处理效率</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双指标控制，有效减少VOCs排放量；对小源简化了要求，仅要求排放浓度达标。</w:t>
      </w:r>
      <w:r>
        <w:rPr>
          <w:rFonts w:hint="eastAsia" w:cs="Times New Roman"/>
          <w:color w:val="auto"/>
          <w:highlight w:val="none"/>
          <w:lang w:val="en-US" w:eastAsia="zh-CN"/>
        </w:rPr>
        <w:t>对</w:t>
      </w:r>
      <w:r>
        <w:rPr>
          <w:rFonts w:hint="default" w:ascii="Times New Roman" w:hAnsi="Times New Roman" w:cs="Times New Roman"/>
          <w:color w:val="auto"/>
          <w:highlight w:val="none"/>
          <w:lang w:val="en-US" w:eastAsia="zh-CN"/>
        </w:rPr>
        <w:t>收集的废气中NMHC初始排放速率</w:t>
      </w:r>
      <w:r>
        <w:rPr>
          <w:rFonts w:hint="eastAsia" w:ascii="宋体" w:hAnsi="宋体" w:cs="宋体"/>
          <w:color w:val="auto"/>
          <w:highlight w:val="none"/>
          <w:lang w:val="en-US" w:eastAsia="zh-CN"/>
        </w:rPr>
        <w:t>≥</w:t>
      </w:r>
      <w:r>
        <w:rPr>
          <w:rFonts w:hint="default" w:ascii="Times New Roman" w:hAnsi="Times New Roman" w:cs="Times New Roman"/>
          <w:color w:val="auto"/>
          <w:highlight w:val="none"/>
          <w:lang w:val="en-US" w:eastAsia="zh-CN"/>
        </w:rPr>
        <w:t>2 kg/h时，应当配置VOCs处理设施，处理效率应不低于80%。</w:t>
      </w:r>
    </w:p>
    <w:p w14:paraId="5BF79B92">
      <w:pPr>
        <w:pStyle w:val="4"/>
        <w:shd w:val="clear"/>
        <w:bidi w:val="0"/>
        <w:ind w:left="0" w:leftChars="0" w:firstLine="0" w:firstLineChars="0"/>
        <w:rPr>
          <w:rFonts w:hint="eastAsia"/>
          <w:color w:val="auto"/>
          <w:highlight w:val="none"/>
          <w:lang w:val="en-US" w:eastAsia="zh-CN"/>
        </w:rPr>
      </w:pPr>
      <w:r>
        <w:rPr>
          <w:rFonts w:hint="eastAsia"/>
          <w:color w:val="auto"/>
          <w:highlight w:val="none"/>
          <w:lang w:val="en-US" w:eastAsia="zh-CN"/>
        </w:rPr>
        <w:t xml:space="preserve"> 排放限值确定的原则</w:t>
      </w:r>
    </w:p>
    <w:p w14:paraId="3EA63202">
      <w:pPr>
        <w:numPr>
          <w:ilvl w:val="0"/>
          <w:numId w:val="10"/>
        </w:numPr>
        <w:shd w:val="clear"/>
        <w:rPr>
          <w:rFonts w:hint="eastAsia" w:cs="Times New Roman"/>
          <w:color w:val="auto"/>
          <w:highlight w:val="none"/>
          <w:lang w:val="en-US" w:eastAsia="zh-CN"/>
        </w:rPr>
      </w:pPr>
      <w:r>
        <w:rPr>
          <w:rFonts w:hint="eastAsia" w:cs="Times New Roman"/>
          <w:color w:val="auto"/>
          <w:highlight w:val="none"/>
          <w:lang w:val="en-US" w:eastAsia="zh-CN"/>
        </w:rPr>
        <w:t>依据现有企业实测数据；</w:t>
      </w:r>
    </w:p>
    <w:p w14:paraId="2B8F9AE5">
      <w:pPr>
        <w:numPr>
          <w:ilvl w:val="0"/>
          <w:numId w:val="10"/>
        </w:numPr>
        <w:shd w:val="clear"/>
        <w:rPr>
          <w:rFonts w:hint="eastAsia" w:cs="Times New Roman"/>
          <w:color w:val="auto"/>
          <w:highlight w:val="none"/>
          <w:lang w:val="en-US" w:eastAsia="zh-CN"/>
        </w:rPr>
      </w:pPr>
      <w:r>
        <w:rPr>
          <w:rFonts w:hint="eastAsia" w:cs="Times New Roman"/>
          <w:color w:val="auto"/>
          <w:highlight w:val="none"/>
          <w:lang w:val="en-US" w:eastAsia="zh-CN"/>
        </w:rPr>
        <w:t>考虑原料替代和挥发性有机物污染防治技术的进步；</w:t>
      </w:r>
    </w:p>
    <w:p w14:paraId="6AD55266">
      <w:pPr>
        <w:numPr>
          <w:ilvl w:val="0"/>
          <w:numId w:val="10"/>
        </w:numPr>
        <w:shd w:val="clear"/>
        <w:rPr>
          <w:rFonts w:hint="eastAsia" w:cs="Times New Roman"/>
          <w:color w:val="auto"/>
          <w:highlight w:val="none"/>
          <w:lang w:val="en-US" w:eastAsia="zh-CN"/>
        </w:rPr>
      </w:pPr>
      <w:r>
        <w:rPr>
          <w:rFonts w:hint="eastAsia" w:cs="Times New Roman"/>
          <w:color w:val="auto"/>
          <w:highlight w:val="none"/>
          <w:lang w:val="en-US" w:eastAsia="zh-CN"/>
        </w:rPr>
        <w:t>结合监测方法标准的可行性；</w:t>
      </w:r>
    </w:p>
    <w:p w14:paraId="4A3640AB">
      <w:pPr>
        <w:shd w:val="clear"/>
        <w:rPr>
          <w:rFonts w:hint="eastAsia" w:cs="Times New Roman"/>
          <w:color w:val="auto"/>
          <w:highlight w:val="none"/>
          <w:lang w:val="en-US" w:eastAsia="zh-CN"/>
        </w:rPr>
      </w:pPr>
      <w:r>
        <w:rPr>
          <w:rFonts w:hint="eastAsia" w:cs="Times New Roman"/>
          <w:color w:val="auto"/>
          <w:highlight w:val="none"/>
          <w:lang w:val="en-US" w:eastAsia="zh-CN"/>
        </w:rPr>
        <w:t>（3）参考现行国标和国家已发布相关行业排放标准；</w:t>
      </w:r>
    </w:p>
    <w:p w14:paraId="0D03D08B">
      <w:pPr>
        <w:shd w:val="clear"/>
        <w:rPr>
          <w:rFonts w:hint="eastAsia" w:cs="Times New Roman"/>
          <w:color w:val="auto"/>
          <w:highlight w:val="none"/>
          <w:lang w:val="en-US" w:eastAsia="zh-CN"/>
        </w:rPr>
      </w:pPr>
      <w:r>
        <w:rPr>
          <w:rFonts w:hint="eastAsia" w:cs="Times New Roman"/>
          <w:color w:val="auto"/>
          <w:highlight w:val="none"/>
          <w:lang w:val="en-US" w:eastAsia="zh-CN"/>
        </w:rPr>
        <w:t>（5）参考国内其他省市挥发性有机物排放标准；</w:t>
      </w:r>
    </w:p>
    <w:p w14:paraId="156B5011">
      <w:pPr>
        <w:shd w:val="clear"/>
        <w:rPr>
          <w:rFonts w:ascii="FangSong_GB2312" w:hAnsi="FangSong_GB2312" w:eastAsia="FangSong_GB2312" w:cs="FangSong_GB2312"/>
          <w:color w:val="auto"/>
          <w:spacing w:val="-1"/>
          <w:sz w:val="28"/>
          <w:szCs w:val="28"/>
          <w:highlight w:val="none"/>
        </w:rPr>
      </w:pPr>
      <w:r>
        <w:rPr>
          <w:rFonts w:hint="eastAsia" w:cs="Times New Roman"/>
          <w:color w:val="auto"/>
          <w:highlight w:val="none"/>
          <w:lang w:val="en-US" w:eastAsia="zh-CN"/>
        </w:rPr>
        <w:t>（6）参考国外工业行业相关排放标准。</w:t>
      </w:r>
    </w:p>
    <w:p w14:paraId="1ECC2A50">
      <w:pPr>
        <w:pStyle w:val="3"/>
        <w:shd w:val="clear"/>
        <w:bidi w:val="0"/>
        <w:ind w:left="575" w:leftChars="0" w:hanging="575" w:firstLineChars="0"/>
        <w:rPr>
          <w:rFonts w:hint="eastAsia"/>
          <w:color w:val="auto"/>
          <w:highlight w:val="none"/>
          <w:lang w:eastAsia="zh-CN"/>
        </w:rPr>
      </w:pPr>
      <w:bookmarkStart w:id="203" w:name="_Toc32713"/>
      <w:bookmarkStart w:id="204" w:name="_Toc31667"/>
      <w:bookmarkStart w:id="205" w:name="_Toc7250"/>
      <w:bookmarkStart w:id="206" w:name="_Toc13770"/>
      <w:bookmarkStart w:id="207" w:name="_Toc31508"/>
      <w:bookmarkStart w:id="208" w:name="_Toc13790"/>
      <w:r>
        <w:rPr>
          <w:rFonts w:hint="eastAsia"/>
          <w:color w:val="auto"/>
          <w:highlight w:val="none"/>
          <w:lang w:val="en-US" w:eastAsia="zh-CN"/>
        </w:rPr>
        <w:t>家具及木制品行业</w:t>
      </w:r>
      <w:bookmarkEnd w:id="203"/>
      <w:bookmarkEnd w:id="204"/>
      <w:bookmarkEnd w:id="205"/>
      <w:bookmarkEnd w:id="206"/>
      <w:bookmarkEnd w:id="207"/>
      <w:bookmarkEnd w:id="208"/>
    </w:p>
    <w:p w14:paraId="0F7996C5">
      <w:pPr>
        <w:shd w:val="clear"/>
        <w:rPr>
          <w:rFonts w:hint="eastAsia"/>
          <w:color w:val="auto"/>
          <w:sz w:val="24"/>
          <w:szCs w:val="24"/>
          <w:highlight w:val="none"/>
          <w:lang w:val="en-US" w:eastAsia="zh-CN"/>
        </w:rPr>
      </w:pPr>
      <w:r>
        <w:rPr>
          <w:rFonts w:hint="eastAsia"/>
          <w:color w:val="auto"/>
          <w:sz w:val="24"/>
          <w:szCs w:val="24"/>
          <w:highlight w:val="none"/>
          <w:lang w:val="en-US" w:eastAsia="zh-CN"/>
        </w:rPr>
        <w:t>截止目前，全国共有23个适用于家具制造和木材制造行业的地方标准涉及挥发性有机物的排放控制。从与各地方标准比较情况来看，现行标准苯系物、非甲烷总烃、挥发性有机物有组织控制限值相对较为宽松。各污染控制项目有组织排放浓度比对情况如下：</w:t>
      </w:r>
    </w:p>
    <w:p w14:paraId="6DF62A6B">
      <w:pPr>
        <w:shd w:val="clear"/>
        <w:rPr>
          <w:rFonts w:hint="default"/>
          <w:color w:val="auto"/>
          <w:sz w:val="24"/>
          <w:szCs w:val="24"/>
          <w:highlight w:val="none"/>
          <w:lang w:val="en-US" w:eastAsia="zh-CN"/>
        </w:rPr>
      </w:pPr>
      <w:r>
        <w:rPr>
          <w:rFonts w:hint="eastAsia"/>
          <w:color w:val="auto"/>
          <w:sz w:val="24"/>
          <w:szCs w:val="24"/>
          <w:highlight w:val="none"/>
          <w:lang w:val="en-US" w:eastAsia="zh-CN"/>
        </w:rPr>
        <w:t>苯：控制限值为1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，与现行标准及全国大部分地区持平。</w:t>
      </w:r>
      <w:r>
        <w:rPr>
          <w:rFonts w:hint="eastAsia"/>
          <w:color w:val="auto"/>
          <w:sz w:val="24"/>
          <w:szCs w:val="24"/>
          <w:highlight w:val="none"/>
          <w:lang w:val="en-US" w:eastAsia="zh-CN"/>
        </w:rPr>
        <w:t>全国各地苯的控制限值主要分为2档，其中，北京、上海、江苏、杭州、山东等5省市取值为0.5 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；湖南与天津、河北、山西、辽宁、江苏、浙江、安徽、福建、山西、河南、广东、重庆、四川、陕西等14省均为1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p>
    <w:p w14:paraId="44605E0E">
      <w:pPr>
        <w:shd w:val="clear"/>
        <w:rPr>
          <w:rFonts w:hint="default"/>
          <w:color w:val="auto"/>
          <w:sz w:val="24"/>
          <w:szCs w:val="24"/>
          <w:highlight w:val="none"/>
          <w:lang w:val="en-US" w:eastAsia="zh-CN"/>
        </w:rPr>
      </w:pPr>
      <w:r>
        <w:rPr>
          <w:rFonts w:hint="eastAsia"/>
          <w:color w:val="auto"/>
          <w:sz w:val="24"/>
          <w:szCs w:val="24"/>
          <w:highlight w:val="none"/>
          <w:lang w:val="en-US" w:eastAsia="zh-CN"/>
        </w:rPr>
        <w:t>苯系物：控制限值为20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，比现行标准加严20%，处于全国中等水平。</w:t>
      </w:r>
      <w:r>
        <w:rPr>
          <w:rFonts w:hint="eastAsia"/>
          <w:color w:val="auto"/>
          <w:sz w:val="24"/>
          <w:szCs w:val="24"/>
          <w:highlight w:val="none"/>
          <w:lang w:val="en-US" w:eastAsia="zh-CN"/>
        </w:rPr>
        <w:t>其中，北京和上海最为严格，分别为2 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和8 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；辽宁、江苏、浙江（特别排放限值）控制为20 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；仅福建和重庆主城区控制限值为25 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w:t>
      </w:r>
    </w:p>
    <w:p w14:paraId="5ABFA258">
      <w:pPr>
        <w:shd w:val="clear"/>
        <w:rPr>
          <w:rFonts w:hint="eastAsia"/>
          <w:color w:val="auto"/>
          <w:sz w:val="24"/>
          <w:szCs w:val="24"/>
          <w:highlight w:val="none"/>
          <w:lang w:val="en-US" w:eastAsia="zh-CN"/>
        </w:rPr>
      </w:pPr>
      <w:r>
        <w:rPr>
          <w:rFonts w:hint="eastAsia"/>
          <w:color w:val="auto"/>
          <w:sz w:val="24"/>
          <w:szCs w:val="24"/>
          <w:highlight w:val="none"/>
          <w:lang w:val="en-US" w:eastAsia="zh-CN"/>
        </w:rPr>
        <w:t>非甲烷总烃：控制限值为30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，比现行标准加严25%，处于中等水平。北京、上海最为严格，分别为10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和15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r>
        <w:rPr>
          <w:rFonts w:hint="eastAsia"/>
          <w:color w:val="auto"/>
          <w:sz w:val="24"/>
          <w:szCs w:val="24"/>
          <w:highlight w:val="none"/>
          <w:lang w:val="en-US" w:eastAsia="zh-CN"/>
        </w:rPr>
        <w:t>天津、辽宁、安徽、重庆主城区控制为30</w:t>
      </w:r>
      <w:r>
        <w:rPr>
          <w:rFonts w:hint="eastAsia"/>
          <w:color w:val="auto"/>
          <w:sz w:val="24"/>
          <w:szCs w:val="24"/>
          <w:highlight w:val="none"/>
          <w:vertAlign w:val="baseli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 xml:space="preserve">；山西、江苏、厦门、陕西持平，均为40 </w:t>
      </w:r>
      <w:r>
        <w:rPr>
          <w:rFonts w:hint="eastAsia"/>
          <w:color w:val="auto"/>
          <w:sz w:val="24"/>
          <w:szCs w:val="24"/>
          <w:highlight w:val="none"/>
          <w:vertAlign w:val="baseli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w:t>
      </w:r>
    </w:p>
    <w:p w14:paraId="163F9F82">
      <w:pPr>
        <w:shd w:val="clear"/>
        <w:rPr>
          <w:rFonts w:hint="eastAsia"/>
          <w:color w:val="auto"/>
          <w:sz w:val="24"/>
          <w:szCs w:val="24"/>
          <w:highlight w:val="none"/>
          <w:vertAlign w:val="baseline"/>
          <w:lang w:val="en-US" w:eastAsia="zh-CN"/>
        </w:rPr>
      </w:pPr>
      <w:r>
        <w:rPr>
          <w:rFonts w:hint="eastAsia"/>
          <w:color w:val="auto"/>
          <w:sz w:val="24"/>
          <w:szCs w:val="24"/>
          <w:highlight w:val="none"/>
          <w:lang w:val="en-US" w:eastAsia="zh-CN"/>
        </w:rPr>
        <w:t>挥发性有机物：控制限值为40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 xml:space="preserve">，比现行标准加严25%，处于中等水平。目前，广东最严，为30 </w:t>
      </w:r>
      <w:r>
        <w:rPr>
          <w:rFonts w:hint="eastAsia"/>
          <w:color w:val="auto"/>
          <w:sz w:val="24"/>
          <w:szCs w:val="24"/>
          <w:highlight w:val="no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r>
        <w:rPr>
          <w:rFonts w:hint="eastAsia"/>
          <w:color w:val="auto"/>
          <w:sz w:val="24"/>
          <w:szCs w:val="24"/>
          <w:highlight w:val="none"/>
          <w:lang w:val="en-US" w:eastAsia="zh-CN"/>
        </w:rPr>
        <w:t xml:space="preserve">天津、辽宁、江苏、山东、江西均为40 </w:t>
      </w:r>
      <w:r>
        <w:rPr>
          <w:rFonts w:hint="eastAsia"/>
          <w:color w:val="auto"/>
          <w:sz w:val="24"/>
          <w:szCs w:val="24"/>
          <w:highlight w:val="none"/>
          <w:vertAlign w:val="baseli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；重庆（主城区）四川、浙江分别为50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r>
        <w:rPr>
          <w:rFonts w:hint="eastAsia"/>
          <w:color w:val="auto"/>
          <w:sz w:val="24"/>
          <w:szCs w:val="24"/>
          <w:highlight w:val="none"/>
          <w:lang w:val="en-US" w:eastAsia="zh-CN"/>
        </w:rPr>
        <w:t>60 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和120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，最为宽松。</w:t>
      </w:r>
    </w:p>
    <w:p w14:paraId="40AEBBB8">
      <w:pPr>
        <w:shd w:val="clear"/>
        <w:rPr>
          <w:rFonts w:hint="default"/>
          <w:color w:val="auto"/>
          <w:sz w:val="24"/>
          <w:szCs w:val="24"/>
          <w:highlight w:val="none"/>
          <w:lang w:val="en-US" w:eastAsia="zh-CN"/>
        </w:rPr>
      </w:pPr>
      <w:r>
        <w:rPr>
          <w:rFonts w:hint="eastAsia"/>
          <w:color w:val="auto"/>
          <w:sz w:val="24"/>
          <w:szCs w:val="24"/>
          <w:highlight w:val="none"/>
          <w:lang w:val="en-US" w:eastAsia="zh-CN"/>
        </w:rPr>
        <w:t>家具制造及木制品行业挥发性有机物有组织排放现状见</w:t>
      </w:r>
      <w:r>
        <w:rPr>
          <w:rFonts w:hint="eastAsia"/>
          <w:color w:val="auto"/>
          <w:sz w:val="24"/>
          <w:szCs w:val="24"/>
          <w:highlight w:val="none"/>
          <w:lang w:val="en-US" w:eastAsia="zh-CN"/>
        </w:rPr>
        <w:fldChar w:fldCharType="begin"/>
      </w:r>
      <w:r>
        <w:rPr>
          <w:rFonts w:hint="eastAsia"/>
          <w:color w:val="auto"/>
          <w:sz w:val="24"/>
          <w:szCs w:val="24"/>
          <w:highlight w:val="none"/>
          <w:lang w:val="en-US" w:eastAsia="zh-CN"/>
        </w:rPr>
        <w:instrText xml:space="preserve"> REF _Ref7221 \h </w:instrText>
      </w:r>
      <w:r>
        <w:rPr>
          <w:rFonts w:hint="eastAsia"/>
          <w:color w:val="auto"/>
          <w:sz w:val="24"/>
          <w:szCs w:val="24"/>
          <w:highlight w:val="none"/>
          <w:lang w:val="en-US" w:eastAsia="zh-CN"/>
        </w:rPr>
        <w:fldChar w:fldCharType="separate"/>
      </w:r>
      <w:r>
        <w:t>表22</w:t>
      </w:r>
      <w:r>
        <w:rPr>
          <w:rFonts w:hint="eastAsia"/>
          <w:color w:val="auto"/>
          <w:sz w:val="24"/>
          <w:szCs w:val="24"/>
          <w:highlight w:val="none"/>
          <w:lang w:val="en-US" w:eastAsia="zh-CN"/>
        </w:rPr>
        <w:fldChar w:fldCharType="end"/>
      </w:r>
      <w:r>
        <w:rPr>
          <w:rFonts w:hint="eastAsia"/>
          <w:color w:val="auto"/>
          <w:sz w:val="24"/>
          <w:szCs w:val="24"/>
          <w:highlight w:val="none"/>
          <w:lang w:val="en-US" w:eastAsia="zh-CN"/>
        </w:rPr>
        <w:t>、</w:t>
      </w:r>
      <w:r>
        <w:rPr>
          <w:rFonts w:hint="eastAsia"/>
          <w:color w:val="auto"/>
          <w:sz w:val="24"/>
          <w:szCs w:val="24"/>
          <w:highlight w:val="none"/>
          <w:lang w:val="en-US" w:eastAsia="zh-CN"/>
        </w:rPr>
        <w:fldChar w:fldCharType="begin"/>
      </w:r>
      <w:r>
        <w:rPr>
          <w:rFonts w:hint="eastAsia"/>
          <w:color w:val="auto"/>
          <w:sz w:val="24"/>
          <w:szCs w:val="24"/>
          <w:highlight w:val="none"/>
          <w:lang w:val="en-US" w:eastAsia="zh-CN"/>
        </w:rPr>
        <w:instrText xml:space="preserve"> REF _Ref7253 \h </w:instrText>
      </w:r>
      <w:r>
        <w:rPr>
          <w:rFonts w:hint="eastAsia"/>
          <w:color w:val="auto"/>
          <w:sz w:val="24"/>
          <w:szCs w:val="24"/>
          <w:highlight w:val="none"/>
          <w:lang w:val="en-US" w:eastAsia="zh-CN"/>
        </w:rPr>
        <w:fldChar w:fldCharType="separate"/>
      </w:r>
      <w:r>
        <w:t>表23</w:t>
      </w:r>
      <w:r>
        <w:rPr>
          <w:rFonts w:hint="eastAsia"/>
          <w:color w:val="auto"/>
          <w:sz w:val="24"/>
          <w:szCs w:val="24"/>
          <w:highlight w:val="none"/>
          <w:lang w:val="en-US" w:eastAsia="zh-CN"/>
        </w:rPr>
        <w:fldChar w:fldCharType="end"/>
      </w:r>
      <w:r>
        <w:rPr>
          <w:rFonts w:hint="eastAsia"/>
          <w:color w:val="auto"/>
          <w:sz w:val="24"/>
          <w:szCs w:val="24"/>
          <w:highlight w:val="none"/>
          <w:lang w:val="en-US" w:eastAsia="zh-CN"/>
        </w:rPr>
        <w:t>。根据现有监测数据判断，家具制造及木制品行业挥发性有机物的达标率在90%左右，大约10%的现有企业需要进一步加强对挥发性有机物的控制。此外，考虑到现有数据主要来源于企业自行公开的监测数据，预计部分未上传数据的企业存在更高的超标风险，保守估计实际达标率约为70%～80%。</w:t>
      </w:r>
    </w:p>
    <w:p w14:paraId="6DF64ABB">
      <w:pPr>
        <w:pStyle w:val="129"/>
        <w:shd w:val="clear"/>
        <w:bidi w:val="0"/>
        <w:ind w:left="1050" w:leftChars="0"/>
        <w:jc w:val="center"/>
        <w:outlineLvl w:val="4"/>
        <w:rPr>
          <w:rFonts w:hint="default"/>
          <w:lang w:val="en-US" w:eastAsia="zh-CN"/>
        </w:rPr>
      </w:pPr>
      <w:bookmarkStart w:id="209" w:name="_Ref7221"/>
      <w:bookmarkStart w:id="210" w:name="_Ref7208"/>
      <w:r>
        <w:t>表</w:t>
      </w:r>
      <w:r>
        <w:fldChar w:fldCharType="begin"/>
      </w:r>
      <w:r>
        <w:instrText xml:space="preserve"> SEQ 表 \* ARABIC </w:instrText>
      </w:r>
      <w:r>
        <w:fldChar w:fldCharType="separate"/>
      </w:r>
      <w:r>
        <w:t>22</w:t>
      </w:r>
      <w:r>
        <w:fldChar w:fldCharType="end"/>
      </w:r>
      <w:bookmarkEnd w:id="209"/>
      <w:r>
        <w:rPr>
          <w:rFonts w:hint="eastAsia"/>
          <w:lang w:val="en-US" w:eastAsia="zh-CN"/>
        </w:rPr>
        <w:t xml:space="preserve"> </w:t>
      </w:r>
      <w:r>
        <w:rPr>
          <w:rFonts w:hint="default"/>
          <w:lang w:val="en-US" w:eastAsia="zh-CN"/>
        </w:rPr>
        <w:t>家具制造业挥发性有机物有组织排放现状</w:t>
      </w:r>
      <w:bookmarkEnd w:id="210"/>
    </w:p>
    <w:p w14:paraId="5103412F">
      <w:pPr>
        <w:bidi w:val="0"/>
        <w:jc w:val="right"/>
        <w:rPr>
          <w:rFonts w:hint="eastAsia"/>
          <w:lang w:val="en-US" w:eastAsia="zh-CN"/>
        </w:rPr>
      </w:pPr>
      <w:r>
        <w:rPr>
          <w:rFonts w:hint="eastAsia"/>
          <w:color w:val="auto"/>
          <w:sz w:val="20"/>
          <w:szCs w:val="20"/>
          <w:highlight w:val="none"/>
          <w:lang w:val="en-US" w:eastAsia="zh-CN"/>
        </w:rPr>
        <w:t>单位：</w:t>
      </w:r>
      <w:r>
        <w:rPr>
          <w:rFonts w:hint="eastAsia"/>
          <w:b w:val="0"/>
          <w:bCs w:val="0"/>
          <w:color w:val="auto"/>
          <w:sz w:val="20"/>
          <w:szCs w:val="20"/>
          <w:highlight w:val="none"/>
          <w:lang w:val="en-US" w:eastAsia="zh-CN"/>
        </w:rPr>
        <w:t>mg/m</w:t>
      </w:r>
      <w:r>
        <w:rPr>
          <w:rFonts w:hint="eastAsia"/>
          <w:b w:val="0"/>
          <w:bCs w:val="0"/>
          <w:color w:val="auto"/>
          <w:sz w:val="20"/>
          <w:szCs w:val="20"/>
          <w:highlight w:val="none"/>
          <w:vertAlign w:val="superscript"/>
          <w:lang w:val="en-US" w:eastAsia="zh-CN"/>
        </w:rPr>
        <w:t>3</w:t>
      </w:r>
    </w:p>
    <w:tbl>
      <w:tblPr>
        <w:tblStyle w:val="34"/>
        <w:tblW w:w="4998"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Layout w:type="autofit"/>
        <w:tblCellMar>
          <w:top w:w="0" w:type="dxa"/>
          <w:left w:w="108" w:type="dxa"/>
          <w:bottom w:w="0" w:type="dxa"/>
          <w:right w:w="108" w:type="dxa"/>
        </w:tblCellMar>
      </w:tblPr>
      <w:tblGrid>
        <w:gridCol w:w="2140"/>
        <w:gridCol w:w="1161"/>
        <w:gridCol w:w="972"/>
        <w:gridCol w:w="1161"/>
        <w:gridCol w:w="1207"/>
        <w:gridCol w:w="1316"/>
        <w:gridCol w:w="1281"/>
      </w:tblGrid>
      <w:tr w14:paraId="1717E94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272" w:hRule="atLeast"/>
          <w:tblHeader/>
        </w:trPr>
        <w:tc>
          <w:tcPr>
            <w:tcW w:w="1158" w:type="pct"/>
            <w:tcBorders>
              <w:left w:val="single" w:color="000000" w:sz="12" w:space="0"/>
              <w:bottom w:val="single" w:color="000000" w:sz="4" w:space="0"/>
              <w:right w:val="single" w:color="000000" w:sz="4" w:space="0"/>
              <w:tl2br w:val="nil"/>
            </w:tcBorders>
            <w:shd w:val="clear" w:color="auto" w:fill="FFFFFF"/>
            <w:noWrap/>
            <w:vAlign w:val="center"/>
          </w:tcPr>
          <w:p w14:paraId="25429DB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监测项目</w:t>
            </w:r>
          </w:p>
        </w:tc>
        <w:tc>
          <w:tcPr>
            <w:tcW w:w="628" w:type="pct"/>
            <w:tcBorders>
              <w:left w:val="single" w:color="000000" w:sz="4" w:space="0"/>
              <w:bottom w:val="single" w:color="000000" w:sz="4" w:space="0"/>
              <w:right w:val="single" w:color="000000" w:sz="4" w:space="0"/>
            </w:tcBorders>
            <w:shd w:val="clear" w:color="auto" w:fill="FFFFFF"/>
            <w:noWrap/>
            <w:vAlign w:val="center"/>
          </w:tcPr>
          <w:p w14:paraId="06628FE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企业数量</w:t>
            </w:r>
          </w:p>
        </w:tc>
        <w:tc>
          <w:tcPr>
            <w:tcW w:w="526" w:type="pct"/>
            <w:tcBorders>
              <w:left w:val="single" w:color="000000" w:sz="4" w:space="0"/>
              <w:bottom w:val="single" w:color="000000" w:sz="4" w:space="0"/>
              <w:right w:val="single" w:color="000000" w:sz="4" w:space="0"/>
            </w:tcBorders>
            <w:shd w:val="clear" w:color="auto" w:fill="FFFFFF"/>
            <w:noWrap/>
            <w:vAlign w:val="center"/>
          </w:tcPr>
          <w:p w14:paraId="246B9F3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数据量</w:t>
            </w:r>
          </w:p>
        </w:tc>
        <w:tc>
          <w:tcPr>
            <w:tcW w:w="628" w:type="pct"/>
            <w:tcBorders>
              <w:left w:val="single" w:color="000000" w:sz="4" w:space="0"/>
              <w:bottom w:val="single" w:color="000000" w:sz="4" w:space="0"/>
              <w:right w:val="single" w:color="000000" w:sz="4" w:space="0"/>
            </w:tcBorders>
            <w:shd w:val="clear" w:color="auto" w:fill="FFFFFF"/>
            <w:noWrap/>
            <w:vAlign w:val="center"/>
          </w:tcPr>
          <w:p w14:paraId="5D13CE7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浓度范围</w:t>
            </w:r>
          </w:p>
        </w:tc>
        <w:tc>
          <w:tcPr>
            <w:tcW w:w="653" w:type="pct"/>
            <w:tcBorders>
              <w:left w:val="single" w:color="000000" w:sz="4" w:space="0"/>
              <w:bottom w:val="single" w:color="000000" w:sz="4" w:space="0"/>
              <w:right w:val="single" w:color="000000" w:sz="4" w:space="0"/>
            </w:tcBorders>
            <w:shd w:val="clear" w:color="auto" w:fill="FFFFFF"/>
            <w:noWrap/>
            <w:vAlign w:val="center"/>
          </w:tcPr>
          <w:p w14:paraId="59DB9FA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中位数</w:t>
            </w:r>
          </w:p>
        </w:tc>
        <w:tc>
          <w:tcPr>
            <w:tcW w:w="712" w:type="pct"/>
            <w:tcBorders>
              <w:left w:val="single" w:color="000000" w:sz="4" w:space="0"/>
              <w:bottom w:val="single" w:color="000000" w:sz="4" w:space="0"/>
              <w:right w:val="single" w:color="000000" w:sz="4" w:space="0"/>
            </w:tcBorders>
            <w:shd w:val="clear" w:color="auto" w:fill="FFFFFF"/>
            <w:noWrap/>
            <w:vAlign w:val="center"/>
          </w:tcPr>
          <w:p w14:paraId="2B1EB55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70%分位数</w:t>
            </w:r>
          </w:p>
        </w:tc>
        <w:tc>
          <w:tcPr>
            <w:tcW w:w="693" w:type="pct"/>
            <w:tcBorders>
              <w:left w:val="single" w:color="000000" w:sz="4" w:space="0"/>
              <w:bottom w:val="single" w:color="000000" w:sz="4" w:space="0"/>
            </w:tcBorders>
            <w:shd w:val="clear" w:color="auto" w:fill="FFFFFF"/>
            <w:noWrap/>
            <w:vAlign w:val="center"/>
          </w:tcPr>
          <w:p w14:paraId="558D162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90%分位数</w:t>
            </w:r>
          </w:p>
        </w:tc>
      </w:tr>
      <w:tr w14:paraId="0F30200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272" w:hRule="atLeast"/>
        </w:trPr>
        <w:tc>
          <w:tcPr>
            <w:tcW w:w="1158"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C04642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苯</w:t>
            </w:r>
          </w:p>
        </w:tc>
        <w:tc>
          <w:tcPr>
            <w:tcW w:w="6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A0FA4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56</w:t>
            </w:r>
          </w:p>
        </w:tc>
        <w:tc>
          <w:tcPr>
            <w:tcW w:w="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474CF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115</w:t>
            </w:r>
          </w:p>
        </w:tc>
        <w:tc>
          <w:tcPr>
            <w:tcW w:w="6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73EDB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≤0.25</w:t>
            </w:r>
          </w:p>
        </w:tc>
        <w:tc>
          <w:tcPr>
            <w:tcW w:w="6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57C6A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0.05</w:t>
            </w:r>
          </w:p>
        </w:tc>
        <w:tc>
          <w:tcPr>
            <w:tcW w:w="71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E4DF3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0.12</w:t>
            </w:r>
          </w:p>
        </w:tc>
        <w:tc>
          <w:tcPr>
            <w:tcW w:w="693" w:type="pct"/>
            <w:tcBorders>
              <w:top w:val="single" w:color="000000" w:sz="4" w:space="0"/>
              <w:left w:val="single" w:color="000000" w:sz="4" w:space="0"/>
              <w:bottom w:val="single" w:color="000000" w:sz="4" w:space="0"/>
            </w:tcBorders>
            <w:shd w:val="clear" w:color="auto" w:fill="FFFFFF"/>
            <w:noWrap/>
            <w:vAlign w:val="center"/>
          </w:tcPr>
          <w:p w14:paraId="6F52DE3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0.19</w:t>
            </w:r>
          </w:p>
        </w:tc>
      </w:tr>
      <w:tr w14:paraId="31EA368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272" w:hRule="atLeast"/>
        </w:trPr>
        <w:tc>
          <w:tcPr>
            <w:tcW w:w="1158"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10916AF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苯系物</w:t>
            </w:r>
          </w:p>
        </w:tc>
        <w:tc>
          <w:tcPr>
            <w:tcW w:w="6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73A0A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44</w:t>
            </w:r>
          </w:p>
        </w:tc>
        <w:tc>
          <w:tcPr>
            <w:tcW w:w="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3AF26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94</w:t>
            </w:r>
          </w:p>
        </w:tc>
        <w:tc>
          <w:tcPr>
            <w:tcW w:w="6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1DEF8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≤20.00</w:t>
            </w:r>
          </w:p>
        </w:tc>
        <w:tc>
          <w:tcPr>
            <w:tcW w:w="6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5CB46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3.22</w:t>
            </w:r>
          </w:p>
        </w:tc>
        <w:tc>
          <w:tcPr>
            <w:tcW w:w="71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B9496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5.65</w:t>
            </w:r>
          </w:p>
        </w:tc>
        <w:tc>
          <w:tcPr>
            <w:tcW w:w="693" w:type="pct"/>
            <w:tcBorders>
              <w:top w:val="single" w:color="000000" w:sz="4" w:space="0"/>
              <w:left w:val="single" w:color="000000" w:sz="4" w:space="0"/>
              <w:bottom w:val="single" w:color="000000" w:sz="4" w:space="0"/>
            </w:tcBorders>
            <w:shd w:val="clear" w:color="auto" w:fill="FFFFFF"/>
            <w:noWrap/>
            <w:vAlign w:val="center"/>
          </w:tcPr>
          <w:p w14:paraId="5B49A9F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8.01</w:t>
            </w:r>
          </w:p>
        </w:tc>
      </w:tr>
      <w:tr w14:paraId="1E6A389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272" w:hRule="atLeast"/>
        </w:trPr>
        <w:tc>
          <w:tcPr>
            <w:tcW w:w="1158"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2BCF43B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非甲烷总烃</w:t>
            </w:r>
          </w:p>
        </w:tc>
        <w:tc>
          <w:tcPr>
            <w:tcW w:w="6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D2E85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42</w:t>
            </w:r>
          </w:p>
        </w:tc>
        <w:tc>
          <w:tcPr>
            <w:tcW w:w="5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FBB61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90</w:t>
            </w:r>
          </w:p>
        </w:tc>
        <w:tc>
          <w:tcPr>
            <w:tcW w:w="6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7B604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≤21.90</w:t>
            </w:r>
          </w:p>
        </w:tc>
        <w:tc>
          <w:tcPr>
            <w:tcW w:w="65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8C9B2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1.93</w:t>
            </w:r>
          </w:p>
        </w:tc>
        <w:tc>
          <w:tcPr>
            <w:tcW w:w="71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1DCCC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2.98</w:t>
            </w:r>
          </w:p>
        </w:tc>
        <w:tc>
          <w:tcPr>
            <w:tcW w:w="693" w:type="pct"/>
            <w:tcBorders>
              <w:top w:val="single" w:color="000000" w:sz="4" w:space="0"/>
              <w:left w:val="single" w:color="000000" w:sz="4" w:space="0"/>
              <w:bottom w:val="single" w:color="000000" w:sz="4" w:space="0"/>
            </w:tcBorders>
            <w:shd w:val="clear" w:color="auto" w:fill="FFFFFF"/>
            <w:noWrap/>
            <w:vAlign w:val="center"/>
          </w:tcPr>
          <w:p w14:paraId="47FFF2C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5.70</w:t>
            </w:r>
          </w:p>
        </w:tc>
      </w:tr>
      <w:tr w14:paraId="56A027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272" w:hRule="atLeast"/>
        </w:trPr>
        <w:tc>
          <w:tcPr>
            <w:tcW w:w="1158" w:type="pct"/>
            <w:tcBorders>
              <w:top w:val="single" w:color="000000" w:sz="4" w:space="0"/>
              <w:left w:val="single" w:color="000000" w:sz="12" w:space="0"/>
              <w:bottom w:val="single" w:color="000000" w:sz="12" w:space="0"/>
              <w:right w:val="single" w:color="000000" w:sz="4" w:space="0"/>
            </w:tcBorders>
            <w:shd w:val="clear" w:color="auto" w:fill="FFFFFF"/>
            <w:noWrap/>
            <w:vAlign w:val="center"/>
          </w:tcPr>
          <w:p w14:paraId="52462A6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挥发性有机物</w:t>
            </w:r>
          </w:p>
        </w:tc>
        <w:tc>
          <w:tcPr>
            <w:tcW w:w="628"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7B50186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56</w:t>
            </w:r>
          </w:p>
        </w:tc>
        <w:tc>
          <w:tcPr>
            <w:tcW w:w="526"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150B3D0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120</w:t>
            </w:r>
          </w:p>
        </w:tc>
        <w:tc>
          <w:tcPr>
            <w:tcW w:w="628"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773AD03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≤48.90</w:t>
            </w:r>
          </w:p>
        </w:tc>
        <w:tc>
          <w:tcPr>
            <w:tcW w:w="653"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0D80CEC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9.33</w:t>
            </w:r>
          </w:p>
        </w:tc>
        <w:tc>
          <w:tcPr>
            <w:tcW w:w="712"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20A87AC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18.43</w:t>
            </w:r>
          </w:p>
        </w:tc>
        <w:tc>
          <w:tcPr>
            <w:tcW w:w="693" w:type="pct"/>
            <w:tcBorders>
              <w:top w:val="single" w:color="000000" w:sz="4" w:space="0"/>
              <w:left w:val="single" w:color="000000" w:sz="4" w:space="0"/>
              <w:bottom w:val="single" w:color="000000" w:sz="12" w:space="0"/>
            </w:tcBorders>
            <w:shd w:val="clear" w:color="auto" w:fill="FFFFFF"/>
            <w:noWrap/>
            <w:vAlign w:val="center"/>
          </w:tcPr>
          <w:p w14:paraId="767446E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29.96</w:t>
            </w:r>
          </w:p>
        </w:tc>
      </w:tr>
    </w:tbl>
    <w:p w14:paraId="7689CCDD">
      <w:pPr>
        <w:shd w:val="clear"/>
        <w:bidi w:val="0"/>
        <w:ind w:left="0" w:leftChars="0"/>
        <w:jc w:val="left"/>
        <w:outlineLvl w:val="9"/>
        <w:rPr>
          <w:rFonts w:hint="default"/>
          <w:b w:val="0"/>
          <w:color w:val="000000" w:themeColor="text1"/>
          <w:sz w:val="24"/>
          <w:szCs w:val="22"/>
          <w:highlight w:val="none"/>
          <w:lang w:val="en-US" w:eastAsia="zh-CN"/>
          <w14:textFill>
            <w14:solidFill>
              <w14:schemeClr w14:val="tx1"/>
            </w14:solidFill>
          </w14:textFill>
        </w:rPr>
      </w:pPr>
    </w:p>
    <w:p w14:paraId="25268A45">
      <w:pPr>
        <w:pStyle w:val="129"/>
        <w:shd w:val="clear"/>
        <w:bidi w:val="0"/>
        <w:ind w:left="0" w:leftChars="0"/>
        <w:jc w:val="center"/>
        <w:outlineLvl w:val="4"/>
        <w:rPr>
          <w:rFonts w:hint="default"/>
          <w:lang w:val="en-US" w:eastAsia="zh-CN"/>
        </w:rPr>
      </w:pPr>
      <w:bookmarkStart w:id="211" w:name="_Ref7253"/>
      <w:r>
        <w:t>表</w:t>
      </w:r>
      <w:r>
        <w:fldChar w:fldCharType="begin"/>
      </w:r>
      <w:r>
        <w:instrText xml:space="preserve"> SEQ 表 \* ARABIC </w:instrText>
      </w:r>
      <w:r>
        <w:fldChar w:fldCharType="separate"/>
      </w:r>
      <w:r>
        <w:t>23</w:t>
      </w:r>
      <w:r>
        <w:fldChar w:fldCharType="end"/>
      </w:r>
      <w:bookmarkEnd w:id="211"/>
      <w:r>
        <w:rPr>
          <w:rFonts w:hint="eastAsia"/>
          <w:lang w:val="en-US" w:eastAsia="zh-CN"/>
        </w:rPr>
        <w:t xml:space="preserve"> </w:t>
      </w:r>
      <w:r>
        <w:rPr>
          <w:rFonts w:hint="default"/>
          <w:lang w:val="en-US" w:eastAsia="zh-CN"/>
        </w:rPr>
        <w:t>木制品行业挥发性有机物有组织排放现状</w:t>
      </w:r>
    </w:p>
    <w:p w14:paraId="1FB896CC">
      <w:pPr>
        <w:keepNext/>
        <w:bidi w:val="0"/>
        <w:jc w:val="right"/>
        <w:rPr>
          <w:rFonts w:hint="eastAsia"/>
          <w:lang w:val="en-US" w:eastAsia="zh-CN"/>
        </w:rPr>
      </w:pPr>
      <w:r>
        <w:rPr>
          <w:rFonts w:hint="eastAsia"/>
          <w:color w:val="auto"/>
          <w:sz w:val="20"/>
          <w:szCs w:val="20"/>
          <w:highlight w:val="none"/>
          <w:lang w:val="en-US" w:eastAsia="zh-CN"/>
        </w:rPr>
        <w:t>单位：</w:t>
      </w:r>
      <w:r>
        <w:rPr>
          <w:rFonts w:hint="eastAsia"/>
          <w:b w:val="0"/>
          <w:bCs w:val="0"/>
          <w:color w:val="auto"/>
          <w:sz w:val="20"/>
          <w:szCs w:val="20"/>
          <w:highlight w:val="none"/>
          <w:lang w:val="en-US" w:eastAsia="zh-CN"/>
        </w:rPr>
        <w:t>mg/m</w:t>
      </w:r>
      <w:r>
        <w:rPr>
          <w:rFonts w:hint="eastAsia"/>
          <w:b w:val="0"/>
          <w:bCs w:val="0"/>
          <w:color w:val="auto"/>
          <w:sz w:val="20"/>
          <w:szCs w:val="20"/>
          <w:highlight w:val="none"/>
          <w:vertAlign w:val="superscript"/>
          <w:lang w:val="en-US" w:eastAsia="zh-CN"/>
        </w:rPr>
        <w:t>3</w:t>
      </w:r>
    </w:p>
    <w:tbl>
      <w:tblPr>
        <w:tblStyle w:val="3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90"/>
        <w:gridCol w:w="1306"/>
        <w:gridCol w:w="1306"/>
        <w:gridCol w:w="1308"/>
        <w:gridCol w:w="1308"/>
        <w:gridCol w:w="1308"/>
        <w:gridCol w:w="1309"/>
      </w:tblGrid>
      <w:tr w14:paraId="27853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2" w:type="pct"/>
            <w:tcBorders>
              <w:top w:val="single" w:color="000000" w:sz="12" w:space="0"/>
              <w:left w:val="single" w:color="000000" w:sz="12" w:space="0"/>
              <w:bottom w:val="single" w:color="000000" w:sz="4" w:space="0"/>
              <w:right w:val="single" w:color="000000" w:sz="4" w:space="0"/>
              <w:tl2br w:val="nil"/>
            </w:tcBorders>
            <w:shd w:val="clear" w:color="auto" w:fill="FFFFFF"/>
            <w:noWrap/>
            <w:vAlign w:val="center"/>
          </w:tcPr>
          <w:p w14:paraId="0730BBA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sz w:val="18"/>
                <w:szCs w:val="18"/>
                <w:highlight w:val="none"/>
                <w:u w:val="none"/>
              </w:rPr>
            </w:pPr>
            <w:r>
              <w:rPr>
                <w:rFonts w:hint="eastAsia" w:ascii="Times New Roman" w:hAnsi="Times New Roman" w:eastAsia="宋体" w:cs="Times New Roman"/>
                <w:b w:val="0"/>
                <w:bCs/>
                <w:i w:val="0"/>
                <w:iCs w:val="0"/>
                <w:color w:val="auto"/>
                <w:sz w:val="18"/>
                <w:szCs w:val="18"/>
                <w:highlight w:val="none"/>
                <w:u w:val="none"/>
                <w:lang w:val="en-US" w:eastAsia="zh-CN"/>
              </w:rPr>
              <w:t>监测项目</w:t>
            </w:r>
          </w:p>
        </w:tc>
        <w:tc>
          <w:tcPr>
            <w:tcW w:w="707"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576A368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sz w:val="18"/>
                <w:szCs w:val="18"/>
                <w:highlight w:val="none"/>
                <w:u w:val="none"/>
              </w:rPr>
            </w:pPr>
            <w:r>
              <w:rPr>
                <w:rFonts w:hint="eastAsia" w:ascii="Times New Roman" w:hAnsi="Times New Roman" w:eastAsia="宋体" w:cs="Times New Roman"/>
                <w:b w:val="0"/>
                <w:bCs/>
                <w:i w:val="0"/>
                <w:iCs w:val="0"/>
                <w:color w:val="auto"/>
                <w:sz w:val="18"/>
                <w:szCs w:val="18"/>
                <w:highlight w:val="none"/>
                <w:u w:val="none"/>
                <w:lang w:val="en-US" w:eastAsia="zh-CN"/>
              </w:rPr>
              <w:t>企业数量</w:t>
            </w:r>
          </w:p>
        </w:tc>
        <w:tc>
          <w:tcPr>
            <w:tcW w:w="707"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262337F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sz w:val="18"/>
                <w:szCs w:val="18"/>
                <w:highlight w:val="none"/>
                <w:u w:val="none"/>
              </w:rPr>
            </w:pPr>
            <w:r>
              <w:rPr>
                <w:rFonts w:hint="eastAsia" w:ascii="Times New Roman" w:hAnsi="Times New Roman" w:eastAsia="宋体" w:cs="Times New Roman"/>
                <w:b w:val="0"/>
                <w:bCs/>
                <w:i w:val="0"/>
                <w:iCs w:val="0"/>
                <w:color w:val="auto"/>
                <w:sz w:val="18"/>
                <w:szCs w:val="18"/>
                <w:highlight w:val="none"/>
                <w:u w:val="none"/>
                <w:lang w:val="en-US" w:eastAsia="zh-CN"/>
              </w:rPr>
              <w:t>数据量</w:t>
            </w:r>
          </w:p>
        </w:tc>
        <w:tc>
          <w:tcPr>
            <w:tcW w:w="708"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01AAB3F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iCs w:val="0"/>
                <w:color w:val="auto"/>
                <w:sz w:val="18"/>
                <w:szCs w:val="18"/>
                <w:highlight w:val="none"/>
                <w:u w:val="none"/>
                <w:lang w:val="en-US" w:eastAsia="zh-CN"/>
              </w:rPr>
            </w:pPr>
            <w:r>
              <w:rPr>
                <w:rFonts w:hint="eastAsia" w:cs="Times New Roman"/>
                <w:b w:val="0"/>
                <w:bCs/>
                <w:i w:val="0"/>
                <w:iCs w:val="0"/>
                <w:color w:val="auto"/>
                <w:sz w:val="18"/>
                <w:szCs w:val="18"/>
                <w:highlight w:val="none"/>
                <w:u w:val="none"/>
                <w:lang w:val="en-US" w:eastAsia="zh-CN"/>
              </w:rPr>
              <w:t>浓度范围</w:t>
            </w:r>
          </w:p>
        </w:tc>
        <w:tc>
          <w:tcPr>
            <w:tcW w:w="708"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4B2653F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sz w:val="18"/>
                <w:szCs w:val="18"/>
                <w:highlight w:val="none"/>
                <w:u w:val="none"/>
              </w:rPr>
            </w:pPr>
            <w:r>
              <w:rPr>
                <w:rFonts w:hint="eastAsia" w:ascii="Times New Roman" w:hAnsi="Times New Roman" w:eastAsia="宋体" w:cs="Times New Roman"/>
                <w:b w:val="0"/>
                <w:bCs/>
                <w:i w:val="0"/>
                <w:iCs w:val="0"/>
                <w:color w:val="auto"/>
                <w:sz w:val="18"/>
                <w:szCs w:val="18"/>
                <w:highlight w:val="none"/>
                <w:u w:val="none"/>
                <w:lang w:val="en-US" w:eastAsia="zh-CN"/>
              </w:rPr>
              <w:t>中位数</w:t>
            </w:r>
          </w:p>
        </w:tc>
        <w:tc>
          <w:tcPr>
            <w:tcW w:w="708"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488264E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sz w:val="18"/>
                <w:szCs w:val="18"/>
                <w:highlight w:val="none"/>
                <w:u w:val="none"/>
              </w:rPr>
            </w:pPr>
            <w:r>
              <w:rPr>
                <w:rFonts w:hint="eastAsia" w:ascii="Times New Roman" w:hAnsi="Times New Roman" w:eastAsia="宋体" w:cs="Times New Roman"/>
                <w:b w:val="0"/>
                <w:bCs/>
                <w:i w:val="0"/>
                <w:iCs w:val="0"/>
                <w:color w:val="auto"/>
                <w:sz w:val="18"/>
                <w:szCs w:val="18"/>
                <w:highlight w:val="none"/>
                <w:u w:val="none"/>
                <w:lang w:val="en-US" w:eastAsia="zh-CN"/>
              </w:rPr>
              <w:t>70%分位数</w:t>
            </w:r>
          </w:p>
        </w:tc>
        <w:tc>
          <w:tcPr>
            <w:tcW w:w="708" w:type="pct"/>
            <w:tcBorders>
              <w:top w:val="single" w:color="000000" w:sz="12" w:space="0"/>
              <w:left w:val="single" w:color="000000" w:sz="4" w:space="0"/>
              <w:bottom w:val="single" w:color="000000" w:sz="4" w:space="0"/>
              <w:right w:val="single" w:color="000000" w:sz="12" w:space="0"/>
            </w:tcBorders>
            <w:shd w:val="clear" w:color="auto" w:fill="FFFFFF"/>
            <w:noWrap/>
            <w:vAlign w:val="center"/>
          </w:tcPr>
          <w:p w14:paraId="748FE9A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sz w:val="18"/>
                <w:szCs w:val="18"/>
                <w:highlight w:val="none"/>
                <w:u w:val="none"/>
              </w:rPr>
            </w:pPr>
            <w:r>
              <w:rPr>
                <w:rFonts w:hint="eastAsia" w:ascii="Times New Roman" w:hAnsi="Times New Roman" w:eastAsia="宋体" w:cs="Times New Roman"/>
                <w:b w:val="0"/>
                <w:bCs/>
                <w:i w:val="0"/>
                <w:iCs w:val="0"/>
                <w:color w:val="auto"/>
                <w:sz w:val="18"/>
                <w:szCs w:val="18"/>
                <w:highlight w:val="none"/>
                <w:u w:val="none"/>
                <w:lang w:val="en-US" w:eastAsia="zh-CN"/>
              </w:rPr>
              <w:t>90%分位数</w:t>
            </w:r>
          </w:p>
        </w:tc>
      </w:tr>
      <w:tr w14:paraId="609BC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52" w:type="pct"/>
            <w:tcBorders>
              <w:top w:val="single" w:color="000000" w:sz="4" w:space="0"/>
              <w:left w:val="single" w:color="000000" w:sz="12" w:space="0"/>
              <w:bottom w:val="single" w:color="000000" w:sz="12" w:space="0"/>
              <w:right w:val="single" w:color="000000" w:sz="4" w:space="0"/>
            </w:tcBorders>
            <w:shd w:val="clear" w:color="auto" w:fill="FFFFFF"/>
            <w:noWrap/>
            <w:vAlign w:val="center"/>
          </w:tcPr>
          <w:p w14:paraId="279AFE1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sz w:val="18"/>
                <w:szCs w:val="18"/>
                <w:highlight w:val="none"/>
                <w:u w:val="none"/>
              </w:rPr>
            </w:pPr>
            <w:r>
              <w:rPr>
                <w:rFonts w:hint="eastAsia" w:ascii="Times New Roman" w:hAnsi="Times New Roman" w:eastAsia="宋体" w:cs="Times New Roman"/>
                <w:b w:val="0"/>
                <w:bCs/>
                <w:i w:val="0"/>
                <w:iCs w:val="0"/>
                <w:color w:val="auto"/>
                <w:sz w:val="18"/>
                <w:szCs w:val="18"/>
                <w:highlight w:val="none"/>
                <w:u w:val="none"/>
                <w:lang w:val="en-US" w:eastAsia="zh-CN"/>
              </w:rPr>
              <w:t>挥发性有机物</w:t>
            </w:r>
          </w:p>
        </w:tc>
        <w:tc>
          <w:tcPr>
            <w:tcW w:w="707"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48BA8C0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sz w:val="18"/>
                <w:szCs w:val="18"/>
                <w:highlight w:val="none"/>
                <w:u w:val="none"/>
              </w:rPr>
            </w:pPr>
            <w:r>
              <w:rPr>
                <w:rFonts w:hint="eastAsia" w:ascii="Times New Roman" w:hAnsi="Times New Roman" w:eastAsia="宋体" w:cs="Times New Roman"/>
                <w:b w:val="0"/>
                <w:bCs/>
                <w:i w:val="0"/>
                <w:iCs w:val="0"/>
                <w:color w:val="auto"/>
                <w:sz w:val="18"/>
                <w:szCs w:val="18"/>
                <w:highlight w:val="none"/>
                <w:u w:val="none"/>
                <w:lang w:val="en-US" w:eastAsia="zh-CN"/>
              </w:rPr>
              <w:t>12</w:t>
            </w:r>
          </w:p>
        </w:tc>
        <w:tc>
          <w:tcPr>
            <w:tcW w:w="707"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75CA4F6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sz w:val="18"/>
                <w:szCs w:val="18"/>
                <w:highlight w:val="none"/>
                <w:u w:val="none"/>
              </w:rPr>
            </w:pPr>
            <w:r>
              <w:rPr>
                <w:rFonts w:hint="eastAsia" w:ascii="Times New Roman" w:hAnsi="Times New Roman" w:eastAsia="宋体" w:cs="Times New Roman"/>
                <w:b w:val="0"/>
                <w:bCs/>
                <w:i w:val="0"/>
                <w:iCs w:val="0"/>
                <w:color w:val="auto"/>
                <w:sz w:val="18"/>
                <w:szCs w:val="18"/>
                <w:highlight w:val="none"/>
                <w:u w:val="none"/>
                <w:lang w:val="en-US" w:eastAsia="zh-CN"/>
              </w:rPr>
              <w:t>24</w:t>
            </w:r>
          </w:p>
        </w:tc>
        <w:tc>
          <w:tcPr>
            <w:tcW w:w="708"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1B78106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iCs w:val="0"/>
                <w:color w:val="auto"/>
                <w:sz w:val="18"/>
                <w:szCs w:val="18"/>
                <w:highlight w:val="none"/>
                <w:u w:val="none"/>
                <w:lang w:val="en-US" w:eastAsia="zh-CN"/>
              </w:rPr>
            </w:pPr>
            <w:r>
              <w:rPr>
                <w:rFonts w:hint="eastAsia" w:cs="Times New Roman"/>
                <w:b w:val="0"/>
                <w:bCs/>
                <w:i w:val="0"/>
                <w:iCs w:val="0"/>
                <w:color w:val="auto"/>
                <w:sz w:val="18"/>
                <w:szCs w:val="18"/>
                <w:highlight w:val="none"/>
                <w:u w:val="none"/>
                <w:lang w:val="en-US" w:eastAsia="zh-CN"/>
              </w:rPr>
              <w:t>≤10.80</w:t>
            </w:r>
          </w:p>
        </w:tc>
        <w:tc>
          <w:tcPr>
            <w:tcW w:w="708"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4D0CD1C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sz w:val="18"/>
                <w:szCs w:val="18"/>
                <w:highlight w:val="none"/>
                <w:u w:val="none"/>
              </w:rPr>
            </w:pPr>
            <w:r>
              <w:rPr>
                <w:rFonts w:hint="eastAsia" w:ascii="Times New Roman" w:hAnsi="Times New Roman" w:eastAsia="宋体" w:cs="Times New Roman"/>
                <w:b w:val="0"/>
                <w:bCs/>
                <w:i w:val="0"/>
                <w:iCs w:val="0"/>
                <w:color w:val="auto"/>
                <w:sz w:val="18"/>
                <w:szCs w:val="18"/>
                <w:highlight w:val="none"/>
                <w:u w:val="none"/>
                <w:lang w:val="en-US" w:eastAsia="zh-CN"/>
              </w:rPr>
              <w:t>2.25</w:t>
            </w:r>
          </w:p>
        </w:tc>
        <w:tc>
          <w:tcPr>
            <w:tcW w:w="708"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1B02EB1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sz w:val="18"/>
                <w:szCs w:val="18"/>
                <w:highlight w:val="none"/>
                <w:u w:val="none"/>
              </w:rPr>
            </w:pPr>
            <w:r>
              <w:rPr>
                <w:rFonts w:hint="eastAsia" w:ascii="Times New Roman" w:hAnsi="Times New Roman" w:eastAsia="宋体" w:cs="Times New Roman"/>
                <w:b w:val="0"/>
                <w:bCs/>
                <w:i w:val="0"/>
                <w:iCs w:val="0"/>
                <w:color w:val="auto"/>
                <w:sz w:val="18"/>
                <w:szCs w:val="18"/>
                <w:highlight w:val="none"/>
                <w:u w:val="none"/>
                <w:lang w:val="en-US" w:eastAsia="zh-CN"/>
              </w:rPr>
              <w:t>5.37</w:t>
            </w:r>
          </w:p>
        </w:tc>
        <w:tc>
          <w:tcPr>
            <w:tcW w:w="708" w:type="pct"/>
            <w:tcBorders>
              <w:top w:val="single" w:color="000000" w:sz="4" w:space="0"/>
              <w:left w:val="single" w:color="000000" w:sz="4" w:space="0"/>
              <w:bottom w:val="single" w:color="000000" w:sz="12" w:space="0"/>
              <w:right w:val="single" w:color="000000" w:sz="12" w:space="0"/>
            </w:tcBorders>
            <w:shd w:val="clear" w:color="auto" w:fill="FFFFFF"/>
            <w:noWrap/>
            <w:vAlign w:val="center"/>
          </w:tcPr>
          <w:p w14:paraId="3374A4C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sz w:val="18"/>
                <w:szCs w:val="18"/>
                <w:highlight w:val="none"/>
                <w:u w:val="none"/>
              </w:rPr>
            </w:pPr>
            <w:r>
              <w:rPr>
                <w:rFonts w:hint="eastAsia" w:ascii="Times New Roman" w:hAnsi="Times New Roman" w:eastAsia="宋体" w:cs="Times New Roman"/>
                <w:b w:val="0"/>
                <w:bCs/>
                <w:i w:val="0"/>
                <w:iCs w:val="0"/>
                <w:color w:val="auto"/>
                <w:sz w:val="18"/>
                <w:szCs w:val="18"/>
                <w:highlight w:val="none"/>
                <w:u w:val="none"/>
                <w:lang w:val="en-US" w:eastAsia="zh-CN"/>
              </w:rPr>
              <w:t>6.43</w:t>
            </w:r>
          </w:p>
        </w:tc>
      </w:tr>
    </w:tbl>
    <w:p w14:paraId="240601A4">
      <w:pPr>
        <w:shd w:val="clear"/>
        <w:rPr>
          <w:rFonts w:hint="eastAsia"/>
          <w:color w:val="auto"/>
          <w:highlight w:val="none"/>
          <w:lang w:val="en-US" w:eastAsia="zh-CN"/>
        </w:rPr>
      </w:pPr>
    </w:p>
    <w:p w14:paraId="711CFD1D">
      <w:pPr>
        <w:pStyle w:val="3"/>
        <w:shd w:val="clear"/>
        <w:bidi w:val="0"/>
        <w:ind w:left="575" w:leftChars="0" w:hanging="575" w:firstLineChars="0"/>
        <w:rPr>
          <w:rFonts w:hint="eastAsia"/>
          <w:color w:val="auto"/>
          <w:highlight w:val="none"/>
          <w:lang w:eastAsia="zh-CN"/>
        </w:rPr>
      </w:pPr>
      <w:bookmarkStart w:id="212" w:name="_Toc20656"/>
      <w:bookmarkStart w:id="213" w:name="_Toc20828"/>
      <w:bookmarkStart w:id="214" w:name="_Toc25010"/>
      <w:bookmarkStart w:id="215" w:name="_Toc30728"/>
      <w:bookmarkStart w:id="216" w:name="_Toc5518"/>
      <w:bookmarkStart w:id="217" w:name="_Toc24524"/>
      <w:r>
        <w:rPr>
          <w:rFonts w:hint="eastAsia"/>
          <w:color w:val="auto"/>
          <w:highlight w:val="none"/>
          <w:lang w:val="en-US" w:eastAsia="zh-CN"/>
        </w:rPr>
        <w:t>汽车制造与汽车维修行业</w:t>
      </w:r>
      <w:bookmarkEnd w:id="212"/>
      <w:bookmarkEnd w:id="213"/>
      <w:bookmarkEnd w:id="214"/>
      <w:bookmarkEnd w:id="215"/>
      <w:bookmarkEnd w:id="216"/>
      <w:bookmarkEnd w:id="217"/>
    </w:p>
    <w:p w14:paraId="0E586655">
      <w:pPr>
        <w:pStyle w:val="4"/>
        <w:shd w:val="clear"/>
        <w:bidi w:val="0"/>
        <w:rPr>
          <w:rFonts w:hint="eastAsia"/>
          <w:color w:val="auto"/>
          <w:highlight w:val="none"/>
          <w:lang w:eastAsia="zh-CN"/>
        </w:rPr>
      </w:pPr>
      <w:r>
        <w:rPr>
          <w:rFonts w:hint="eastAsia"/>
          <w:color w:val="auto"/>
          <w:highlight w:val="none"/>
          <w:lang w:val="en-US" w:eastAsia="zh-CN"/>
        </w:rPr>
        <w:t>与相关省份标准比较情况</w:t>
      </w:r>
    </w:p>
    <w:p w14:paraId="53466669">
      <w:pPr>
        <w:shd w:val="clear"/>
        <w:rPr>
          <w:rFonts w:hint="eastAsia"/>
          <w:color w:val="auto"/>
          <w:highlight w:val="none"/>
          <w:lang w:val="en-US" w:eastAsia="zh-CN"/>
        </w:rPr>
      </w:pPr>
      <w:r>
        <w:rPr>
          <w:rFonts w:hint="eastAsia"/>
          <w:color w:val="auto"/>
          <w:sz w:val="24"/>
          <w:szCs w:val="24"/>
          <w:highlight w:val="none"/>
          <w:lang w:val="en-US" w:eastAsia="zh-CN"/>
        </w:rPr>
        <w:t>截止目前，全国共有31个适用于汽车制造与汽车维修行业的地方标准涉及挥发性有机物的排放控制。</w:t>
      </w:r>
      <w:r>
        <w:rPr>
          <w:rFonts w:hint="eastAsia"/>
          <w:color w:val="auto"/>
          <w:highlight w:val="none"/>
          <w:lang w:val="en-US" w:eastAsia="zh-CN"/>
        </w:rPr>
        <w:t>汽车制造业各污染控制浓度比对情况如下：</w:t>
      </w:r>
    </w:p>
    <w:p w14:paraId="2E60EF10">
      <w:pPr>
        <w:shd w:val="clear"/>
        <w:rPr>
          <w:rFonts w:hint="eastAsia"/>
          <w:color w:val="auto"/>
          <w:highlight w:val="none"/>
          <w:lang w:val="en-US" w:eastAsia="zh-CN"/>
        </w:rPr>
      </w:pPr>
      <w:r>
        <w:rPr>
          <w:rFonts w:hint="eastAsia"/>
          <w:color w:val="auto"/>
          <w:highlight w:val="none"/>
          <w:lang w:val="en-US" w:eastAsia="zh-CN"/>
        </w:rPr>
        <w:t>（1）苯，控制限值为1 mg/m</w:t>
      </w:r>
      <w:r>
        <w:rPr>
          <w:rFonts w:hint="eastAsia"/>
          <w:color w:val="auto"/>
          <w:highlight w:val="none"/>
          <w:vertAlign w:val="superscript"/>
          <w:lang w:val="en-US" w:eastAsia="zh-CN"/>
        </w:rPr>
        <w:t>3</w:t>
      </w:r>
      <w:r>
        <w:rPr>
          <w:rFonts w:hint="eastAsia"/>
          <w:color w:val="auto"/>
          <w:highlight w:val="none"/>
          <w:lang w:val="en-US" w:eastAsia="zh-CN"/>
        </w:rPr>
        <w:t>，与现行地方标准、与全国大部分区域持平。全国各地苯的控制限值主要分为2档，其中，北京、湖北、山东等地取值为0.5 mg/m</w:t>
      </w:r>
      <w:r>
        <w:rPr>
          <w:rFonts w:hint="eastAsia"/>
          <w:color w:val="auto"/>
          <w:highlight w:val="none"/>
          <w:vertAlign w:val="superscript"/>
          <w:lang w:val="en-US" w:eastAsia="zh-CN"/>
        </w:rPr>
        <w:t>3</w:t>
      </w:r>
      <w:r>
        <w:rPr>
          <w:rFonts w:hint="eastAsia"/>
          <w:color w:val="auto"/>
          <w:highlight w:val="none"/>
          <w:lang w:val="en-US" w:eastAsia="zh-CN"/>
        </w:rPr>
        <w:t>；湖南与天津、河北、山西、辽宁、上海、江苏、浙江、福建、江西、河南、广东、重庆、四川、陕西等14省均为1 mg/m</w:t>
      </w:r>
      <w:r>
        <w:rPr>
          <w:rFonts w:hint="eastAsia"/>
          <w:color w:val="auto"/>
          <w:highlight w:val="none"/>
          <w:vertAlign w:val="superscript"/>
          <w:lang w:val="en-US" w:eastAsia="zh-CN"/>
        </w:rPr>
        <w:t>3</w:t>
      </w:r>
      <w:r>
        <w:rPr>
          <w:rFonts w:hint="eastAsia"/>
          <w:color w:val="auto"/>
          <w:highlight w:val="none"/>
          <w:vertAlign w:val="baseline"/>
          <w:lang w:val="en-US" w:eastAsia="zh-CN"/>
        </w:rPr>
        <w:t>。</w:t>
      </w:r>
    </w:p>
    <w:p w14:paraId="52E311CB">
      <w:pPr>
        <w:shd w:val="clear"/>
        <w:rPr>
          <w:rFonts w:hint="default"/>
          <w:color w:val="auto"/>
          <w:sz w:val="24"/>
          <w:szCs w:val="24"/>
          <w:highlight w:val="yellow"/>
          <w:lang w:val="en-US" w:eastAsia="zh-CN"/>
        </w:rPr>
      </w:pPr>
      <w:r>
        <w:rPr>
          <w:rFonts w:hint="eastAsia"/>
          <w:color w:val="auto"/>
          <w:highlight w:val="none"/>
          <w:lang w:val="en-US" w:eastAsia="zh-CN"/>
        </w:rPr>
        <w:t>（2）苯系物（控制项目包括苯、甲苯、二甲苯、乙苯、异丙苯、苯乙烯和三甲苯），控制限值为20 mg/m</w:t>
      </w:r>
      <w:r>
        <w:rPr>
          <w:rFonts w:hint="eastAsia"/>
          <w:color w:val="auto"/>
          <w:highlight w:val="none"/>
          <w:vertAlign w:val="superscript"/>
          <w:lang w:val="en-US" w:eastAsia="zh-CN"/>
        </w:rPr>
        <w:t>3</w:t>
      </w:r>
      <w:r>
        <w:rPr>
          <w:rFonts w:hint="eastAsia"/>
          <w:color w:val="auto"/>
          <w:highlight w:val="none"/>
          <w:vertAlign w:val="baseline"/>
          <w:lang w:val="en-US" w:eastAsia="zh-CN"/>
        </w:rPr>
        <w:t>，与现行地方标准加严20%，与全国大部分区域一致</w:t>
      </w:r>
      <w:r>
        <w:rPr>
          <w:rFonts w:hint="eastAsia"/>
          <w:color w:val="auto"/>
          <w:highlight w:val="none"/>
          <w:lang w:val="en-US" w:eastAsia="zh-CN"/>
        </w:rPr>
        <w:t>。目前，</w:t>
      </w:r>
      <w:r>
        <w:rPr>
          <w:rFonts w:hint="eastAsia"/>
          <w:color w:val="auto"/>
          <w:highlight w:val="none"/>
          <w:vertAlign w:val="baseline"/>
          <w:lang w:val="en-US" w:eastAsia="zh-CN"/>
        </w:rPr>
        <w:t xml:space="preserve">北京和山西苯系物控制限值最为严格，分别10 </w:t>
      </w:r>
      <w:r>
        <w:rPr>
          <w:rFonts w:hint="eastAsia"/>
          <w:color w:val="auto"/>
          <w:highlight w:val="none"/>
          <w:lang w:val="en-US" w:eastAsia="zh-CN"/>
        </w:rPr>
        <w:t>mg/m</w:t>
      </w:r>
      <w:r>
        <w:rPr>
          <w:rFonts w:hint="eastAsia"/>
          <w:color w:val="auto"/>
          <w:highlight w:val="none"/>
          <w:vertAlign w:val="superscript"/>
          <w:lang w:val="en-US" w:eastAsia="zh-CN"/>
        </w:rPr>
        <w:t>3</w:t>
      </w:r>
      <w:r>
        <w:rPr>
          <w:rFonts w:hint="eastAsia"/>
          <w:color w:val="auto"/>
          <w:highlight w:val="none"/>
          <w:vertAlign w:val="baseline"/>
          <w:lang w:val="en-US" w:eastAsia="zh-CN"/>
        </w:rPr>
        <w:t>和</w:t>
      </w:r>
      <w:r>
        <w:rPr>
          <w:rFonts w:hint="eastAsia"/>
          <w:color w:val="auto"/>
          <w:highlight w:val="none"/>
          <w:lang w:val="en-US" w:eastAsia="zh-CN"/>
        </w:rPr>
        <w:t>15 mg/m</w:t>
      </w:r>
      <w:r>
        <w:rPr>
          <w:rFonts w:hint="eastAsia"/>
          <w:color w:val="auto"/>
          <w:highlight w:val="none"/>
          <w:vertAlign w:val="superscript"/>
          <w:lang w:val="en-US" w:eastAsia="zh-CN"/>
        </w:rPr>
        <w:t>3</w:t>
      </w:r>
      <w:r>
        <w:rPr>
          <w:rFonts w:hint="eastAsia"/>
          <w:color w:val="auto"/>
          <w:highlight w:val="none"/>
          <w:vertAlign w:val="baseline"/>
          <w:lang w:val="en-US" w:eastAsia="zh-CN"/>
        </w:rPr>
        <w:t>；全国12省市</w:t>
      </w:r>
      <w:r>
        <w:rPr>
          <w:rFonts w:hint="eastAsia"/>
          <w:color w:val="auto"/>
          <w:highlight w:val="none"/>
          <w:lang w:val="en-US" w:eastAsia="zh-CN"/>
        </w:rPr>
        <w:t>苯系物控制限值为20 mg/m</w:t>
      </w:r>
      <w:r>
        <w:rPr>
          <w:rFonts w:hint="eastAsia"/>
          <w:color w:val="auto"/>
          <w:highlight w:val="none"/>
          <w:vertAlign w:val="superscript"/>
          <w:lang w:val="en-US" w:eastAsia="zh-CN"/>
        </w:rPr>
        <w:t>3</w:t>
      </w:r>
      <w:r>
        <w:rPr>
          <w:rFonts w:hint="eastAsia"/>
          <w:color w:val="auto"/>
          <w:highlight w:val="none"/>
          <w:vertAlign w:val="baseline"/>
          <w:lang w:val="en-US" w:eastAsia="zh-CN"/>
        </w:rPr>
        <w:t>（</w:t>
      </w:r>
      <w:r>
        <w:rPr>
          <w:rFonts w:hint="eastAsia"/>
          <w:color w:val="auto"/>
          <w:highlight w:val="none"/>
          <w:lang w:val="en-US" w:eastAsia="zh-CN"/>
        </w:rPr>
        <w:t>天津、河北、辽宁、上海、江苏、福建、江西、河南、重庆、湖北、陕西等11省市和浙江特别排放限值</w:t>
      </w:r>
      <w:r>
        <w:rPr>
          <w:rFonts w:hint="eastAsia"/>
          <w:color w:val="auto"/>
          <w:highlight w:val="none"/>
          <w:vertAlign w:val="baseline"/>
          <w:lang w:val="en-US" w:eastAsia="zh-CN"/>
        </w:rPr>
        <w:t>），</w:t>
      </w:r>
      <w:r>
        <w:rPr>
          <w:rFonts w:hint="eastAsia"/>
          <w:color w:val="auto"/>
          <w:highlight w:val="none"/>
          <w:lang w:val="en-US" w:eastAsia="zh-CN"/>
        </w:rPr>
        <w:t>同时，广东省汽车制造业排放标准修订稿已将控制限值由60 mg/m</w:t>
      </w:r>
      <w:r>
        <w:rPr>
          <w:rFonts w:hint="eastAsia"/>
          <w:color w:val="auto"/>
          <w:highlight w:val="none"/>
          <w:vertAlign w:val="superscript"/>
          <w:lang w:val="en-US" w:eastAsia="zh-CN"/>
        </w:rPr>
        <w:t>3</w:t>
      </w:r>
      <w:r>
        <w:rPr>
          <w:rFonts w:hint="eastAsia"/>
          <w:color w:val="auto"/>
          <w:highlight w:val="none"/>
          <w:lang w:val="en-US" w:eastAsia="zh-CN"/>
        </w:rPr>
        <w:t>加严到20 mg/m</w:t>
      </w:r>
      <w:r>
        <w:rPr>
          <w:rFonts w:hint="eastAsia"/>
          <w:color w:val="auto"/>
          <w:highlight w:val="none"/>
          <w:vertAlign w:val="superscript"/>
          <w:lang w:val="en-US" w:eastAsia="zh-CN"/>
        </w:rPr>
        <w:t>3</w:t>
      </w:r>
      <w:r>
        <w:rPr>
          <w:rFonts w:hint="eastAsia"/>
          <w:color w:val="auto"/>
          <w:highlight w:val="none"/>
          <w:vertAlign w:val="baseline"/>
          <w:lang w:val="en-US" w:eastAsia="zh-CN"/>
        </w:rPr>
        <w:t>。</w:t>
      </w:r>
    </w:p>
    <w:p w14:paraId="6FD38195">
      <w:pPr>
        <w:shd w:val="clear"/>
        <w:rPr>
          <w:rFonts w:hint="default"/>
          <w:color w:val="auto"/>
          <w:highlight w:val="none"/>
          <w:lang w:val="en-US" w:eastAsia="zh-CN"/>
        </w:rPr>
      </w:pPr>
      <w:r>
        <w:rPr>
          <w:rFonts w:hint="eastAsia"/>
          <w:color w:val="auto"/>
          <w:highlight w:val="none"/>
          <w:lang w:val="en-US" w:eastAsia="zh-CN"/>
        </w:rPr>
        <w:t>（3）非甲烷总烃：控制限值为30 mg/m</w:t>
      </w:r>
      <w:r>
        <w:rPr>
          <w:rFonts w:hint="eastAsia"/>
          <w:color w:val="auto"/>
          <w:highlight w:val="none"/>
          <w:vertAlign w:val="superscript"/>
          <w:lang w:val="en-US" w:eastAsia="zh-CN"/>
        </w:rPr>
        <w:t>3</w:t>
      </w:r>
      <w:r>
        <w:rPr>
          <w:rFonts w:hint="eastAsia"/>
          <w:color w:val="auto"/>
          <w:highlight w:val="none"/>
          <w:vertAlign w:val="baseline"/>
          <w:lang w:val="en-US" w:eastAsia="zh-CN"/>
        </w:rPr>
        <w:t>，与现行地方标准加严25%，处于中等水平</w:t>
      </w:r>
      <w:r>
        <w:rPr>
          <w:rFonts w:hint="eastAsia"/>
          <w:color w:val="auto"/>
          <w:highlight w:val="none"/>
          <w:lang w:val="en-US" w:eastAsia="zh-CN"/>
        </w:rPr>
        <w:t>。其中，</w:t>
      </w:r>
      <w:r>
        <w:rPr>
          <w:rFonts w:hint="eastAsia"/>
          <w:color w:val="auto"/>
          <w:highlight w:val="none"/>
          <w:vertAlign w:val="baseline"/>
          <w:lang w:val="en-US" w:eastAsia="zh-CN"/>
        </w:rPr>
        <w:t xml:space="preserve">北京最严，为25 </w:t>
      </w:r>
      <w:r>
        <w:rPr>
          <w:rFonts w:hint="eastAsia"/>
          <w:color w:val="auto"/>
          <w:highlight w:val="none"/>
          <w:lang w:val="en-US" w:eastAsia="zh-CN"/>
        </w:rPr>
        <w:t>mg/m</w:t>
      </w:r>
      <w:r>
        <w:rPr>
          <w:rFonts w:hint="eastAsia"/>
          <w:color w:val="auto"/>
          <w:highlight w:val="none"/>
          <w:vertAlign w:val="superscript"/>
          <w:lang w:val="en-US" w:eastAsia="zh-CN"/>
        </w:rPr>
        <w:t>3</w:t>
      </w:r>
      <w:r>
        <w:rPr>
          <w:rFonts w:hint="eastAsia"/>
          <w:color w:val="auto"/>
          <w:highlight w:val="none"/>
          <w:vertAlign w:val="baseline"/>
          <w:lang w:val="en-US" w:eastAsia="zh-CN"/>
        </w:rPr>
        <w:t>，本文件控制限值与</w:t>
      </w:r>
      <w:r>
        <w:rPr>
          <w:rFonts w:hint="eastAsia"/>
          <w:color w:val="auto"/>
          <w:highlight w:val="none"/>
          <w:lang w:val="en-US" w:eastAsia="zh-CN"/>
        </w:rPr>
        <w:t>天津、山西、上海、江西以及重庆（主城区）等5省市一致，为30 mg/m</w:t>
      </w:r>
      <w:r>
        <w:rPr>
          <w:rFonts w:hint="eastAsia"/>
          <w:color w:val="auto"/>
          <w:highlight w:val="none"/>
          <w:vertAlign w:val="superscript"/>
          <w:lang w:val="en-US" w:eastAsia="zh-CN"/>
        </w:rPr>
        <w:t>3</w:t>
      </w:r>
      <w:r>
        <w:rPr>
          <w:rFonts w:hint="eastAsia"/>
          <w:color w:val="auto"/>
          <w:highlight w:val="none"/>
          <w:vertAlign w:val="baseline"/>
          <w:lang w:val="en-US" w:eastAsia="zh-CN"/>
        </w:rPr>
        <w:t>；</w:t>
      </w:r>
      <w:r>
        <w:rPr>
          <w:rFonts w:hint="eastAsia"/>
          <w:color w:val="auto"/>
          <w:highlight w:val="none"/>
          <w:lang w:val="en-US" w:eastAsia="zh-CN"/>
        </w:rPr>
        <w:t>河南、湖北、陕西等为40 mg/m</w:t>
      </w:r>
      <w:r>
        <w:rPr>
          <w:rFonts w:hint="eastAsia"/>
          <w:color w:val="auto"/>
          <w:highlight w:val="none"/>
          <w:vertAlign w:val="superscript"/>
          <w:lang w:val="en-US" w:eastAsia="zh-CN"/>
        </w:rPr>
        <w:t>3</w:t>
      </w:r>
      <w:r>
        <w:rPr>
          <w:rFonts w:hint="eastAsia"/>
          <w:color w:val="auto"/>
          <w:highlight w:val="none"/>
          <w:vertAlign w:val="baseline"/>
          <w:lang w:val="en-US" w:eastAsia="zh-CN"/>
        </w:rPr>
        <w:t>，河北、福建控制限值5</w:t>
      </w:r>
      <w:r>
        <w:rPr>
          <w:rFonts w:hint="eastAsia"/>
          <w:color w:val="auto"/>
          <w:highlight w:val="none"/>
          <w:lang w:val="en-US" w:eastAsia="zh-CN"/>
        </w:rPr>
        <w:t>0 mg/m</w:t>
      </w:r>
      <w:r>
        <w:rPr>
          <w:rFonts w:hint="eastAsia"/>
          <w:color w:val="auto"/>
          <w:highlight w:val="none"/>
          <w:vertAlign w:val="superscript"/>
          <w:lang w:val="en-US" w:eastAsia="zh-CN"/>
        </w:rPr>
        <w:t>3</w:t>
      </w:r>
      <w:r>
        <w:rPr>
          <w:rFonts w:hint="eastAsia"/>
          <w:color w:val="auto"/>
          <w:highlight w:val="none"/>
          <w:vertAlign w:val="baseline"/>
          <w:lang w:val="en-US" w:eastAsia="zh-CN"/>
        </w:rPr>
        <w:t>，浙江为6</w:t>
      </w:r>
      <w:r>
        <w:rPr>
          <w:rFonts w:hint="eastAsia"/>
          <w:color w:val="auto"/>
          <w:highlight w:val="none"/>
          <w:lang w:val="en-US" w:eastAsia="zh-CN"/>
        </w:rPr>
        <w:t>0 mg/m</w:t>
      </w:r>
      <w:r>
        <w:rPr>
          <w:rFonts w:hint="eastAsia"/>
          <w:color w:val="auto"/>
          <w:highlight w:val="none"/>
          <w:vertAlign w:val="superscript"/>
          <w:lang w:val="en-US" w:eastAsia="zh-CN"/>
        </w:rPr>
        <w:t>3</w:t>
      </w:r>
      <w:r>
        <w:rPr>
          <w:rFonts w:hint="eastAsia"/>
          <w:color w:val="auto"/>
          <w:highlight w:val="none"/>
          <w:vertAlign w:val="baseline"/>
          <w:lang w:val="en-US" w:eastAsia="zh-CN"/>
        </w:rPr>
        <w:t>。</w:t>
      </w:r>
    </w:p>
    <w:p w14:paraId="133623D1">
      <w:pPr>
        <w:shd w:val="clear"/>
        <w:rPr>
          <w:rFonts w:hint="eastAsia"/>
          <w:color w:val="auto"/>
          <w:highlight w:val="none"/>
          <w:lang w:val="en-US" w:eastAsia="zh-CN"/>
        </w:rPr>
      </w:pPr>
      <w:r>
        <w:rPr>
          <w:rFonts w:hint="eastAsia"/>
          <w:color w:val="auto"/>
          <w:highlight w:val="none"/>
          <w:lang w:val="en-US" w:eastAsia="zh-CN"/>
        </w:rPr>
        <w:t>（4）挥发性有机物：控制限值按照乘用车和其他车型分别为40 mg/m</w:t>
      </w:r>
      <w:r>
        <w:rPr>
          <w:rFonts w:hint="eastAsia"/>
          <w:color w:val="auto"/>
          <w:highlight w:val="none"/>
          <w:vertAlign w:val="superscript"/>
          <w:lang w:val="en-US" w:eastAsia="zh-CN"/>
        </w:rPr>
        <w:t>3</w:t>
      </w:r>
      <w:r>
        <w:rPr>
          <w:rFonts w:hint="eastAsia"/>
          <w:color w:val="auto"/>
          <w:highlight w:val="none"/>
          <w:lang w:val="en-US" w:eastAsia="zh-CN"/>
        </w:rPr>
        <w:t>和60 mg/m</w:t>
      </w:r>
      <w:r>
        <w:rPr>
          <w:rFonts w:hint="eastAsia"/>
          <w:color w:val="auto"/>
          <w:highlight w:val="none"/>
          <w:vertAlign w:val="superscript"/>
          <w:lang w:val="en-US" w:eastAsia="zh-CN"/>
        </w:rPr>
        <w:t>3</w:t>
      </w:r>
      <w:r>
        <w:rPr>
          <w:rFonts w:hint="eastAsia"/>
          <w:color w:val="auto"/>
          <w:highlight w:val="none"/>
          <w:lang w:val="en-US" w:eastAsia="zh-CN"/>
        </w:rPr>
        <w:t>，控制限值比现行标准分别加严20%和25%，在全国处于中等水平。目前，天津和山西将所有车型统一控制为40 mg/m</w:t>
      </w:r>
      <w:r>
        <w:rPr>
          <w:rFonts w:hint="eastAsia"/>
          <w:color w:val="auto"/>
          <w:highlight w:val="none"/>
          <w:vertAlign w:val="superscript"/>
          <w:lang w:val="en-US" w:eastAsia="zh-CN"/>
        </w:rPr>
        <w:t>3</w:t>
      </w:r>
      <w:r>
        <w:rPr>
          <w:rFonts w:hint="eastAsia"/>
          <w:color w:val="auto"/>
          <w:highlight w:val="none"/>
          <w:lang w:val="en-US" w:eastAsia="zh-CN"/>
        </w:rPr>
        <w:t>；江西和重庆按照乘用车和其他车型分别控制在30 mg/m</w:t>
      </w:r>
      <w:r>
        <w:rPr>
          <w:rFonts w:hint="eastAsia"/>
          <w:color w:val="auto"/>
          <w:highlight w:val="none"/>
          <w:vertAlign w:val="superscript"/>
          <w:lang w:val="en-US" w:eastAsia="zh-CN"/>
        </w:rPr>
        <w:t>3</w:t>
      </w:r>
      <w:r>
        <w:rPr>
          <w:rFonts w:hint="eastAsia"/>
          <w:color w:val="auto"/>
          <w:highlight w:val="none"/>
          <w:lang w:val="en-US" w:eastAsia="zh-CN"/>
        </w:rPr>
        <w:t>和75 mg/m</w:t>
      </w:r>
      <w:r>
        <w:rPr>
          <w:rFonts w:hint="eastAsia"/>
          <w:color w:val="auto"/>
          <w:highlight w:val="none"/>
          <w:vertAlign w:val="superscript"/>
          <w:lang w:val="en-US" w:eastAsia="zh-CN"/>
        </w:rPr>
        <w:t>3</w:t>
      </w:r>
      <w:r>
        <w:rPr>
          <w:rFonts w:hint="eastAsia"/>
          <w:color w:val="auto"/>
          <w:highlight w:val="none"/>
          <w:lang w:val="en-US" w:eastAsia="zh-CN"/>
        </w:rPr>
        <w:t>；江苏和安徽分别控制在30 mg/m</w:t>
      </w:r>
      <w:r>
        <w:rPr>
          <w:rFonts w:hint="eastAsia"/>
          <w:color w:val="auto"/>
          <w:highlight w:val="none"/>
          <w:vertAlign w:val="superscript"/>
          <w:lang w:val="en-US" w:eastAsia="zh-CN"/>
        </w:rPr>
        <w:t>3</w:t>
      </w:r>
      <w:r>
        <w:rPr>
          <w:rFonts w:hint="eastAsia"/>
          <w:color w:val="auto"/>
          <w:highlight w:val="none"/>
          <w:lang w:val="en-US" w:eastAsia="zh-CN"/>
        </w:rPr>
        <w:t>和60 mg/m</w:t>
      </w:r>
      <w:r>
        <w:rPr>
          <w:rFonts w:hint="eastAsia"/>
          <w:color w:val="auto"/>
          <w:highlight w:val="none"/>
          <w:vertAlign w:val="superscript"/>
          <w:lang w:val="en-US" w:eastAsia="zh-CN"/>
        </w:rPr>
        <w:t>3</w:t>
      </w:r>
      <w:r>
        <w:rPr>
          <w:rFonts w:hint="eastAsia"/>
          <w:color w:val="auto"/>
          <w:highlight w:val="none"/>
          <w:lang w:val="en-US" w:eastAsia="zh-CN"/>
        </w:rPr>
        <w:t>；辽宁控制为40 mg/m</w:t>
      </w:r>
      <w:r>
        <w:rPr>
          <w:rFonts w:hint="eastAsia"/>
          <w:color w:val="auto"/>
          <w:highlight w:val="none"/>
          <w:vertAlign w:val="superscript"/>
          <w:lang w:val="en-US" w:eastAsia="zh-CN"/>
        </w:rPr>
        <w:t>3</w:t>
      </w:r>
      <w:r>
        <w:rPr>
          <w:rFonts w:hint="eastAsia"/>
          <w:color w:val="auto"/>
          <w:highlight w:val="none"/>
          <w:lang w:val="en-US" w:eastAsia="zh-CN"/>
        </w:rPr>
        <w:t>和60 mg/m</w:t>
      </w:r>
      <w:r>
        <w:rPr>
          <w:rFonts w:hint="eastAsia"/>
          <w:color w:val="auto"/>
          <w:highlight w:val="none"/>
          <w:vertAlign w:val="superscript"/>
          <w:lang w:val="en-US" w:eastAsia="zh-CN"/>
        </w:rPr>
        <w:t>3</w:t>
      </w:r>
      <w:r>
        <w:rPr>
          <w:rFonts w:hint="eastAsia"/>
          <w:color w:val="auto"/>
          <w:highlight w:val="none"/>
          <w:lang w:val="en-US" w:eastAsia="zh-CN"/>
        </w:rPr>
        <w:t>；四川将所有车型控制为60 mg/m</w:t>
      </w:r>
      <w:r>
        <w:rPr>
          <w:rFonts w:hint="eastAsia"/>
          <w:color w:val="auto"/>
          <w:highlight w:val="none"/>
          <w:vertAlign w:val="superscript"/>
          <w:lang w:val="en-US" w:eastAsia="zh-CN"/>
        </w:rPr>
        <w:t>3</w:t>
      </w:r>
      <w:r>
        <w:rPr>
          <w:rFonts w:hint="eastAsia"/>
          <w:color w:val="auto"/>
          <w:highlight w:val="none"/>
          <w:lang w:val="en-US" w:eastAsia="zh-CN"/>
        </w:rPr>
        <w:t>。</w:t>
      </w:r>
    </w:p>
    <w:p w14:paraId="6DE55E3A">
      <w:pPr>
        <w:shd w:val="clear"/>
        <w:rPr>
          <w:rFonts w:hint="eastAsia"/>
          <w:color w:val="auto"/>
          <w:highlight w:val="none"/>
          <w:lang w:val="en-US" w:eastAsia="zh-CN"/>
        </w:rPr>
      </w:pPr>
      <w:r>
        <w:rPr>
          <w:rFonts w:hint="eastAsia"/>
          <w:color w:val="auto"/>
          <w:highlight w:val="none"/>
          <w:lang w:val="en-US" w:eastAsia="zh-CN"/>
        </w:rPr>
        <w:t>汽车维修业各污染控制控制浓度比对情况如下：</w:t>
      </w:r>
    </w:p>
    <w:p w14:paraId="002B2DF1">
      <w:pPr>
        <w:shd w:val="clear"/>
        <w:rPr>
          <w:rFonts w:hint="eastAsia"/>
          <w:color w:val="auto"/>
          <w:highlight w:val="none"/>
          <w:lang w:val="en-US" w:eastAsia="zh-CN"/>
        </w:rPr>
      </w:pPr>
      <w:r>
        <w:rPr>
          <w:rFonts w:hint="eastAsia"/>
          <w:color w:val="auto"/>
          <w:highlight w:val="none"/>
          <w:lang w:val="en-US" w:eastAsia="zh-CN"/>
        </w:rPr>
        <w:t>（1）苯，控制限值为1mg/m</w:t>
      </w:r>
      <w:r>
        <w:rPr>
          <w:rFonts w:hint="eastAsia"/>
          <w:color w:val="auto"/>
          <w:highlight w:val="none"/>
          <w:vertAlign w:val="superscript"/>
          <w:lang w:val="en-US" w:eastAsia="zh-CN"/>
        </w:rPr>
        <w:t>3</w:t>
      </w:r>
      <w:r>
        <w:rPr>
          <w:rFonts w:hint="eastAsia"/>
          <w:color w:val="auto"/>
          <w:highlight w:val="none"/>
          <w:lang w:val="en-US" w:eastAsia="zh-CN"/>
        </w:rPr>
        <w:t>，与全国大部分区域持平。全国各地苯的控制限值主要分为2档，其中，北京、上海、江苏、安徽、山东等5省市取值为0.5 mg/m</w:t>
      </w:r>
      <w:r>
        <w:rPr>
          <w:rFonts w:hint="eastAsia"/>
          <w:color w:val="auto"/>
          <w:highlight w:val="none"/>
          <w:vertAlign w:val="superscript"/>
          <w:lang w:val="en-US" w:eastAsia="zh-CN"/>
        </w:rPr>
        <w:t>3</w:t>
      </w:r>
      <w:r>
        <w:rPr>
          <w:rFonts w:hint="eastAsia"/>
          <w:color w:val="auto"/>
          <w:highlight w:val="none"/>
          <w:lang w:val="en-US" w:eastAsia="zh-CN"/>
        </w:rPr>
        <w:t>；湖南与山西、辽宁、河南、重庆等5省均为1 mg/m</w:t>
      </w:r>
      <w:r>
        <w:rPr>
          <w:rFonts w:hint="eastAsia"/>
          <w:color w:val="auto"/>
          <w:highlight w:val="none"/>
          <w:vertAlign w:val="superscript"/>
          <w:lang w:val="en-US" w:eastAsia="zh-CN"/>
        </w:rPr>
        <w:t>3</w:t>
      </w:r>
      <w:r>
        <w:rPr>
          <w:rFonts w:hint="eastAsia"/>
          <w:color w:val="auto"/>
          <w:highlight w:val="none"/>
          <w:vertAlign w:val="baseline"/>
          <w:lang w:val="en-US" w:eastAsia="zh-CN"/>
        </w:rPr>
        <w:t>。</w:t>
      </w:r>
    </w:p>
    <w:p w14:paraId="69152800">
      <w:pPr>
        <w:shd w:val="clear"/>
        <w:rPr>
          <w:rFonts w:hint="eastAsia"/>
          <w:color w:val="auto"/>
          <w:highlight w:val="none"/>
          <w:vertAlign w:val="baseline"/>
          <w:lang w:val="en-US" w:eastAsia="zh-CN"/>
        </w:rPr>
      </w:pPr>
      <w:r>
        <w:rPr>
          <w:rFonts w:hint="eastAsia"/>
          <w:color w:val="auto"/>
          <w:highlight w:val="none"/>
          <w:lang w:val="en-US" w:eastAsia="zh-CN"/>
        </w:rPr>
        <w:t>（2）苯系物，控制限值为25 mg/m</w:t>
      </w:r>
      <w:r>
        <w:rPr>
          <w:rFonts w:hint="eastAsia"/>
          <w:color w:val="auto"/>
          <w:highlight w:val="none"/>
          <w:vertAlign w:val="superscript"/>
          <w:lang w:val="en-US" w:eastAsia="zh-CN"/>
        </w:rPr>
        <w:t>3</w:t>
      </w:r>
      <w:r>
        <w:rPr>
          <w:rFonts w:hint="eastAsia"/>
          <w:color w:val="auto"/>
          <w:highlight w:val="none"/>
          <w:vertAlign w:val="baseline"/>
          <w:lang w:val="en-US" w:eastAsia="zh-CN"/>
        </w:rPr>
        <w:t>，比现行标准加严17%，在全国处于中等水平</w:t>
      </w:r>
      <w:r>
        <w:rPr>
          <w:rFonts w:hint="eastAsia"/>
          <w:color w:val="auto"/>
          <w:highlight w:val="none"/>
          <w:lang w:val="en-US" w:eastAsia="zh-CN"/>
        </w:rPr>
        <w:t>。目前苯系物控制限值主要分为3档：北京、上海、江苏、安徽控制为10 mg/m</w:t>
      </w:r>
      <w:r>
        <w:rPr>
          <w:rFonts w:hint="eastAsia"/>
          <w:color w:val="auto"/>
          <w:highlight w:val="none"/>
          <w:vertAlign w:val="superscript"/>
          <w:lang w:val="en-US" w:eastAsia="zh-CN"/>
        </w:rPr>
        <w:t>3</w:t>
      </w:r>
      <w:r>
        <w:rPr>
          <w:rFonts w:hint="eastAsia"/>
          <w:color w:val="auto"/>
          <w:highlight w:val="none"/>
          <w:vertAlign w:val="baseline"/>
          <w:lang w:val="en-US" w:eastAsia="zh-CN"/>
        </w:rPr>
        <w:t xml:space="preserve">，山西、辽宁、河南控制在20 </w:t>
      </w:r>
      <w:r>
        <w:rPr>
          <w:rFonts w:hint="eastAsia"/>
          <w:color w:val="auto"/>
          <w:highlight w:val="none"/>
          <w:lang w:val="en-US" w:eastAsia="zh-CN"/>
        </w:rPr>
        <w:t>mg/m</w:t>
      </w:r>
      <w:r>
        <w:rPr>
          <w:rFonts w:hint="eastAsia"/>
          <w:color w:val="auto"/>
          <w:highlight w:val="none"/>
          <w:vertAlign w:val="superscript"/>
          <w:lang w:val="en-US" w:eastAsia="zh-CN"/>
        </w:rPr>
        <w:t>3</w:t>
      </w:r>
      <w:r>
        <w:rPr>
          <w:rFonts w:hint="eastAsia"/>
          <w:color w:val="auto"/>
          <w:highlight w:val="none"/>
          <w:vertAlign w:val="baseline"/>
          <w:lang w:val="en-US" w:eastAsia="zh-CN"/>
        </w:rPr>
        <w:t>，</w:t>
      </w:r>
      <w:r>
        <w:rPr>
          <w:rFonts w:hint="eastAsia"/>
          <w:color w:val="auto"/>
          <w:highlight w:val="none"/>
          <w:lang w:val="en-US" w:eastAsia="zh-CN"/>
        </w:rPr>
        <w:t>重庆最为宽松，为30 mg/m</w:t>
      </w:r>
      <w:r>
        <w:rPr>
          <w:rFonts w:hint="eastAsia"/>
          <w:color w:val="auto"/>
          <w:highlight w:val="none"/>
          <w:vertAlign w:val="superscript"/>
          <w:lang w:val="en-US" w:eastAsia="zh-CN"/>
        </w:rPr>
        <w:t>3</w:t>
      </w:r>
      <w:r>
        <w:rPr>
          <w:rFonts w:hint="eastAsia"/>
          <w:color w:val="auto"/>
          <w:highlight w:val="none"/>
          <w:vertAlign w:val="baseline"/>
          <w:lang w:val="en-US" w:eastAsia="zh-CN"/>
        </w:rPr>
        <w:t>。</w:t>
      </w:r>
    </w:p>
    <w:p w14:paraId="1F88D33E">
      <w:pPr>
        <w:shd w:val="clear"/>
        <w:rPr>
          <w:rFonts w:hint="eastAsia"/>
          <w:color w:val="auto"/>
          <w:highlight w:val="none"/>
          <w:vertAlign w:val="baseline"/>
          <w:lang w:val="en-US" w:eastAsia="zh-CN"/>
        </w:rPr>
      </w:pPr>
      <w:r>
        <w:rPr>
          <w:rFonts w:hint="eastAsia"/>
          <w:color w:val="auto"/>
          <w:highlight w:val="none"/>
          <w:lang w:val="en-US" w:eastAsia="zh-CN"/>
        </w:rPr>
        <w:t>（3）非甲烷总烃，控制限值为40 mg/m</w:t>
      </w:r>
      <w:r>
        <w:rPr>
          <w:rFonts w:hint="eastAsia"/>
          <w:color w:val="auto"/>
          <w:highlight w:val="none"/>
          <w:vertAlign w:val="superscript"/>
          <w:lang w:val="en-US" w:eastAsia="zh-CN"/>
        </w:rPr>
        <w:t>3</w:t>
      </w:r>
      <w:r>
        <w:rPr>
          <w:rFonts w:hint="eastAsia"/>
          <w:color w:val="auto"/>
          <w:highlight w:val="none"/>
          <w:vertAlign w:val="baseline"/>
          <w:lang w:val="en-US" w:eastAsia="zh-CN"/>
        </w:rPr>
        <w:t>，比现行标准加严20%，在全国处于中等水平</w:t>
      </w:r>
      <w:r>
        <w:rPr>
          <w:rFonts w:hint="eastAsia"/>
          <w:color w:val="auto"/>
          <w:highlight w:val="none"/>
          <w:lang w:val="en-US" w:eastAsia="zh-CN"/>
        </w:rPr>
        <w:t>。上海、江苏、安徽等3省市为20 mg/m</w:t>
      </w:r>
      <w:r>
        <w:rPr>
          <w:rFonts w:hint="eastAsia"/>
          <w:color w:val="auto"/>
          <w:highlight w:val="none"/>
          <w:vertAlign w:val="superscript"/>
          <w:lang w:val="en-US" w:eastAsia="zh-CN"/>
        </w:rPr>
        <w:t>3</w:t>
      </w:r>
      <w:r>
        <w:rPr>
          <w:rFonts w:hint="eastAsia"/>
          <w:color w:val="auto"/>
          <w:highlight w:val="none"/>
          <w:lang w:val="en-US" w:eastAsia="zh-CN"/>
        </w:rPr>
        <w:t>；北京和辽宁为30 mg/m</w:t>
      </w:r>
      <w:r>
        <w:rPr>
          <w:rFonts w:hint="eastAsia"/>
          <w:color w:val="auto"/>
          <w:highlight w:val="none"/>
          <w:vertAlign w:val="superscript"/>
          <w:lang w:val="en-US" w:eastAsia="zh-CN"/>
        </w:rPr>
        <w:t>3</w:t>
      </w:r>
      <w:r>
        <w:rPr>
          <w:rFonts w:hint="eastAsia"/>
          <w:color w:val="auto"/>
          <w:highlight w:val="none"/>
          <w:vertAlign w:val="baseline"/>
          <w:lang w:val="en-US" w:eastAsia="zh-CN"/>
        </w:rPr>
        <w:t>，我省与</w:t>
      </w:r>
      <w:r>
        <w:rPr>
          <w:rFonts w:hint="eastAsia"/>
          <w:color w:val="auto"/>
          <w:highlight w:val="none"/>
          <w:lang w:val="en-US" w:eastAsia="zh-CN"/>
        </w:rPr>
        <w:t>山西为40 mg/m</w:t>
      </w:r>
      <w:r>
        <w:rPr>
          <w:rFonts w:hint="eastAsia"/>
          <w:color w:val="auto"/>
          <w:highlight w:val="none"/>
          <w:vertAlign w:val="superscript"/>
          <w:lang w:val="en-US" w:eastAsia="zh-CN"/>
        </w:rPr>
        <w:t>3</w:t>
      </w:r>
      <w:r>
        <w:rPr>
          <w:rFonts w:hint="eastAsia"/>
          <w:color w:val="auto"/>
          <w:highlight w:val="none"/>
          <w:vertAlign w:val="baseline"/>
          <w:lang w:val="en-US" w:eastAsia="zh-CN"/>
        </w:rPr>
        <w:t xml:space="preserve">；河南、重庆控制最宽松，为50 </w:t>
      </w:r>
      <w:r>
        <w:rPr>
          <w:rFonts w:hint="eastAsia"/>
          <w:color w:val="auto"/>
          <w:highlight w:val="none"/>
          <w:lang w:val="en-US" w:eastAsia="zh-CN"/>
        </w:rPr>
        <w:t>mg/m</w:t>
      </w:r>
      <w:r>
        <w:rPr>
          <w:rFonts w:hint="eastAsia"/>
          <w:color w:val="auto"/>
          <w:highlight w:val="none"/>
          <w:vertAlign w:val="superscript"/>
          <w:lang w:val="en-US" w:eastAsia="zh-CN"/>
        </w:rPr>
        <w:t>3</w:t>
      </w:r>
      <w:r>
        <w:rPr>
          <w:rFonts w:hint="eastAsia"/>
          <w:color w:val="auto"/>
          <w:highlight w:val="none"/>
          <w:vertAlign w:val="baseline"/>
          <w:lang w:val="en-US" w:eastAsia="zh-CN"/>
        </w:rPr>
        <w:t>。</w:t>
      </w:r>
    </w:p>
    <w:p w14:paraId="0BE92443">
      <w:pPr>
        <w:shd w:val="clear"/>
        <w:rPr>
          <w:rFonts w:hint="default"/>
          <w:color w:val="auto"/>
          <w:sz w:val="24"/>
          <w:szCs w:val="24"/>
          <w:highlight w:val="none"/>
          <w:lang w:val="en-US" w:eastAsia="zh-CN"/>
        </w:rPr>
      </w:pPr>
      <w:r>
        <w:rPr>
          <w:rFonts w:hint="default"/>
          <w:color w:val="auto"/>
          <w:highlight w:val="none"/>
          <w:lang w:val="en-US" w:eastAsia="zh-CN"/>
        </w:rPr>
        <w:t>汽车行业挥发性有机物排放浓度</w:t>
      </w:r>
      <w:r>
        <w:rPr>
          <w:rFonts w:hint="eastAsia"/>
          <w:color w:val="auto"/>
          <w:highlight w:val="none"/>
          <w:lang w:val="en-US" w:eastAsia="zh-CN"/>
        </w:rPr>
        <w:t>见</w:t>
      </w:r>
      <w:r>
        <w:rPr>
          <w:rFonts w:hint="eastAsia"/>
          <w:color w:val="auto"/>
          <w:highlight w:val="none"/>
          <w:lang w:val="en-US" w:eastAsia="zh-CN"/>
        </w:rPr>
        <w:fldChar w:fldCharType="begin"/>
      </w:r>
      <w:r>
        <w:rPr>
          <w:rFonts w:hint="eastAsia"/>
          <w:color w:val="auto"/>
          <w:highlight w:val="none"/>
          <w:lang w:val="en-US" w:eastAsia="zh-CN"/>
        </w:rPr>
        <w:instrText xml:space="preserve"> REF _Ref7302 \h </w:instrText>
      </w:r>
      <w:r>
        <w:rPr>
          <w:rFonts w:hint="eastAsia"/>
          <w:color w:val="auto"/>
          <w:highlight w:val="none"/>
          <w:lang w:val="en-US" w:eastAsia="zh-CN"/>
        </w:rPr>
        <w:fldChar w:fldCharType="separate"/>
      </w:r>
      <w:r>
        <w:t>表24</w:t>
      </w:r>
      <w:r>
        <w:rPr>
          <w:rFonts w:hint="eastAsia"/>
          <w:color w:val="auto"/>
          <w:highlight w:val="none"/>
          <w:lang w:val="en-US" w:eastAsia="zh-CN"/>
        </w:rPr>
        <w:fldChar w:fldCharType="end"/>
      </w:r>
      <w:r>
        <w:rPr>
          <w:rFonts w:hint="eastAsia"/>
          <w:color w:val="auto"/>
          <w:highlight w:val="none"/>
          <w:lang w:val="en-US" w:eastAsia="zh-CN"/>
        </w:rPr>
        <w:t>，</w:t>
      </w:r>
      <w:r>
        <w:rPr>
          <w:rFonts w:hint="eastAsia"/>
          <w:color w:val="auto"/>
          <w:sz w:val="24"/>
          <w:szCs w:val="24"/>
          <w:highlight w:val="none"/>
          <w:lang w:val="en-US" w:eastAsia="zh-CN"/>
        </w:rPr>
        <w:t>汽车维修行业挥发性有机物排放浓度见</w:t>
      </w:r>
      <w:r>
        <w:rPr>
          <w:rFonts w:hint="eastAsia"/>
          <w:color w:val="auto"/>
          <w:sz w:val="24"/>
          <w:szCs w:val="24"/>
          <w:highlight w:val="none"/>
          <w:lang w:val="en-US" w:eastAsia="zh-CN"/>
        </w:rPr>
        <w:fldChar w:fldCharType="begin"/>
      </w:r>
      <w:r>
        <w:rPr>
          <w:rFonts w:hint="eastAsia"/>
          <w:color w:val="auto"/>
          <w:sz w:val="24"/>
          <w:szCs w:val="24"/>
          <w:highlight w:val="none"/>
          <w:lang w:val="en-US" w:eastAsia="zh-CN"/>
        </w:rPr>
        <w:instrText xml:space="preserve"> REF _Ref7417 \h </w:instrText>
      </w:r>
      <w:r>
        <w:rPr>
          <w:rFonts w:hint="eastAsia"/>
          <w:color w:val="auto"/>
          <w:sz w:val="24"/>
          <w:szCs w:val="24"/>
          <w:highlight w:val="none"/>
          <w:lang w:val="en-US" w:eastAsia="zh-CN"/>
        </w:rPr>
        <w:fldChar w:fldCharType="separate"/>
      </w:r>
      <w:r>
        <w:t>表25</w:t>
      </w:r>
      <w:r>
        <w:rPr>
          <w:rFonts w:hint="eastAsia"/>
          <w:color w:val="auto"/>
          <w:sz w:val="24"/>
          <w:szCs w:val="24"/>
          <w:highlight w:val="none"/>
          <w:lang w:val="en-US" w:eastAsia="zh-CN"/>
        </w:rPr>
        <w:fldChar w:fldCharType="end"/>
      </w:r>
      <w:r>
        <w:rPr>
          <w:rFonts w:hint="eastAsia"/>
          <w:color w:val="auto"/>
          <w:sz w:val="24"/>
          <w:szCs w:val="24"/>
          <w:highlight w:val="none"/>
          <w:lang w:val="en-US" w:eastAsia="zh-CN"/>
        </w:rPr>
        <w:t>。根据现有监测数据判断，汽车制造企业苯系物存在一定的超标风险（主要污染物为二甲苯，此外，随着监测方法的更新，将增加三甲苯的监测浓度），大约10%的现有企业需要进一步加强对苯系物的控制。汽车维修企业非甲烷总烃存在一定的超标风险，大约10%的现有企业需要进一步加强对非甲烷总烃的控制。此外，考虑到现有数据主要来源于企业自行公开的监测数据，其余未上传数据的企业存在更高的超标风险，保守估计实际达标率约为70%～80%。</w:t>
      </w:r>
    </w:p>
    <w:p w14:paraId="4F3A5053">
      <w:pPr>
        <w:pStyle w:val="129"/>
        <w:shd w:val="clear"/>
        <w:bidi w:val="0"/>
        <w:ind w:left="0" w:leftChars="0"/>
        <w:jc w:val="center"/>
        <w:outlineLvl w:val="4"/>
        <w:rPr>
          <w:rFonts w:hint="default"/>
          <w:lang w:val="en-US" w:eastAsia="zh-CN"/>
        </w:rPr>
      </w:pPr>
      <w:bookmarkStart w:id="218" w:name="_Ref7302"/>
      <w:r>
        <w:t>表</w:t>
      </w:r>
      <w:r>
        <w:fldChar w:fldCharType="begin"/>
      </w:r>
      <w:r>
        <w:instrText xml:space="preserve"> SEQ 表 \* ARABIC </w:instrText>
      </w:r>
      <w:r>
        <w:fldChar w:fldCharType="separate"/>
      </w:r>
      <w:r>
        <w:t>24</w:t>
      </w:r>
      <w:r>
        <w:fldChar w:fldCharType="end"/>
      </w:r>
      <w:bookmarkEnd w:id="218"/>
      <w:r>
        <w:rPr>
          <w:rFonts w:hint="eastAsia"/>
          <w:lang w:val="en-US" w:eastAsia="zh-CN"/>
        </w:rPr>
        <w:t xml:space="preserve"> 汽车行业挥发性有机物排放浓度</w:t>
      </w:r>
    </w:p>
    <w:p w14:paraId="5FCD2DE1">
      <w:pPr>
        <w:shd w:val="clear"/>
        <w:jc w:val="right"/>
        <w:rPr>
          <w:rFonts w:hint="default"/>
          <w:color w:val="auto"/>
          <w:highlight w:val="none"/>
          <w:lang w:val="en-US" w:eastAsia="zh-CN"/>
        </w:rPr>
      </w:pPr>
      <w:r>
        <w:rPr>
          <w:rFonts w:hint="eastAsia"/>
          <w:color w:val="auto"/>
          <w:highlight w:val="none"/>
          <w:lang w:val="en-US" w:eastAsia="zh-CN"/>
        </w:rPr>
        <w:t>单位：mg/m</w:t>
      </w:r>
      <w:r>
        <w:rPr>
          <w:rFonts w:hint="eastAsia"/>
          <w:color w:val="auto"/>
          <w:highlight w:val="none"/>
          <w:vertAlign w:val="superscript"/>
          <w:lang w:val="en-US" w:eastAsia="zh-CN"/>
        </w:rPr>
        <w:t>3</w:t>
      </w:r>
    </w:p>
    <w:tbl>
      <w:tblPr>
        <w:tblStyle w:val="34"/>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50"/>
        <w:gridCol w:w="1290"/>
        <w:gridCol w:w="1259"/>
        <w:gridCol w:w="1259"/>
        <w:gridCol w:w="1259"/>
        <w:gridCol w:w="1259"/>
        <w:gridCol w:w="1259"/>
      </w:tblGrid>
      <w:tr w14:paraId="52082E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blHeader/>
        </w:trPr>
        <w:tc>
          <w:tcPr>
            <w:tcW w:w="893" w:type="pct"/>
            <w:tcBorders>
              <w:bottom w:val="single" w:color="000000" w:sz="4" w:space="0"/>
              <w:right w:val="single" w:color="000000" w:sz="4" w:space="0"/>
              <w:tl2br w:val="nil"/>
            </w:tcBorders>
            <w:shd w:val="clear" w:color="auto" w:fill="FFFFFF"/>
            <w:noWrap/>
            <w:vAlign w:val="center"/>
          </w:tcPr>
          <w:p w14:paraId="11D95EB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监测项目</w:t>
            </w:r>
          </w:p>
        </w:tc>
        <w:tc>
          <w:tcPr>
            <w:tcW w:w="698" w:type="pct"/>
            <w:tcBorders>
              <w:left w:val="single" w:color="000000" w:sz="4" w:space="0"/>
              <w:bottom w:val="single" w:color="000000" w:sz="4" w:space="0"/>
              <w:right w:val="single" w:color="000000" w:sz="4" w:space="0"/>
            </w:tcBorders>
            <w:shd w:val="clear" w:color="auto" w:fill="FFFFFF"/>
            <w:noWrap/>
            <w:vAlign w:val="center"/>
          </w:tcPr>
          <w:p w14:paraId="51B1B98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企业数量</w:t>
            </w:r>
          </w:p>
        </w:tc>
        <w:tc>
          <w:tcPr>
            <w:tcW w:w="681" w:type="pct"/>
            <w:tcBorders>
              <w:left w:val="single" w:color="000000" w:sz="4" w:space="0"/>
              <w:bottom w:val="single" w:color="000000" w:sz="4" w:space="0"/>
              <w:right w:val="single" w:color="000000" w:sz="4" w:space="0"/>
            </w:tcBorders>
            <w:shd w:val="clear" w:color="auto" w:fill="FFFFFF"/>
            <w:noWrap/>
            <w:vAlign w:val="center"/>
          </w:tcPr>
          <w:p w14:paraId="48F548A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数据量</w:t>
            </w:r>
          </w:p>
        </w:tc>
        <w:tc>
          <w:tcPr>
            <w:tcW w:w="681" w:type="pct"/>
            <w:tcBorders>
              <w:left w:val="single" w:color="000000" w:sz="4" w:space="0"/>
              <w:bottom w:val="single" w:color="000000" w:sz="4" w:space="0"/>
              <w:right w:val="single" w:color="000000" w:sz="4" w:space="0"/>
            </w:tcBorders>
            <w:shd w:val="clear" w:color="auto" w:fill="FFFFFF"/>
            <w:noWrap/>
            <w:vAlign w:val="center"/>
          </w:tcPr>
          <w:p w14:paraId="2FB9F4A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iCs w:val="0"/>
                <w:color w:val="auto"/>
                <w:kern w:val="0"/>
                <w:sz w:val="18"/>
                <w:szCs w:val="18"/>
                <w:highlight w:val="none"/>
                <w:u w:val="none"/>
                <w:lang w:val="en-US" w:eastAsia="zh-CN" w:bidi="ar"/>
              </w:rPr>
            </w:pPr>
            <w:r>
              <w:rPr>
                <w:rFonts w:hint="eastAsia" w:cs="Times New Roman"/>
                <w:b w:val="0"/>
                <w:bCs/>
                <w:i w:val="0"/>
                <w:iCs w:val="0"/>
                <w:color w:val="auto"/>
                <w:kern w:val="0"/>
                <w:sz w:val="18"/>
                <w:szCs w:val="18"/>
                <w:highlight w:val="none"/>
                <w:u w:val="none"/>
                <w:lang w:val="en-US" w:eastAsia="zh-CN" w:bidi="ar"/>
              </w:rPr>
              <w:t>浓度范围</w:t>
            </w:r>
          </w:p>
        </w:tc>
        <w:tc>
          <w:tcPr>
            <w:tcW w:w="681" w:type="pct"/>
            <w:tcBorders>
              <w:left w:val="single" w:color="000000" w:sz="4" w:space="0"/>
              <w:bottom w:val="single" w:color="000000" w:sz="4" w:space="0"/>
              <w:right w:val="single" w:color="000000" w:sz="4" w:space="0"/>
            </w:tcBorders>
            <w:shd w:val="clear" w:color="auto" w:fill="FFFFFF"/>
            <w:noWrap/>
            <w:vAlign w:val="center"/>
          </w:tcPr>
          <w:p w14:paraId="635FF13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中位数</w:t>
            </w:r>
          </w:p>
        </w:tc>
        <w:tc>
          <w:tcPr>
            <w:tcW w:w="681" w:type="pct"/>
            <w:tcBorders>
              <w:left w:val="single" w:color="000000" w:sz="4" w:space="0"/>
              <w:bottom w:val="single" w:color="000000" w:sz="4" w:space="0"/>
              <w:right w:val="single" w:color="000000" w:sz="4" w:space="0"/>
            </w:tcBorders>
            <w:shd w:val="clear" w:color="auto" w:fill="FFFFFF"/>
            <w:noWrap/>
            <w:vAlign w:val="center"/>
          </w:tcPr>
          <w:p w14:paraId="07015FD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70%分位数</w:t>
            </w:r>
          </w:p>
        </w:tc>
        <w:tc>
          <w:tcPr>
            <w:tcW w:w="681" w:type="pct"/>
            <w:tcBorders>
              <w:left w:val="single" w:color="000000" w:sz="4" w:space="0"/>
              <w:bottom w:val="single" w:color="000000" w:sz="4" w:space="0"/>
            </w:tcBorders>
            <w:shd w:val="clear" w:color="auto" w:fill="FFFFFF"/>
            <w:noWrap/>
            <w:vAlign w:val="center"/>
          </w:tcPr>
          <w:p w14:paraId="453DA41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90%分位数</w:t>
            </w:r>
          </w:p>
        </w:tc>
      </w:tr>
      <w:tr w14:paraId="07120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893" w:type="pct"/>
            <w:tcBorders>
              <w:top w:val="single" w:color="000000" w:sz="4" w:space="0"/>
              <w:bottom w:val="single" w:color="000000" w:sz="4" w:space="0"/>
              <w:right w:val="single" w:color="000000" w:sz="4" w:space="0"/>
            </w:tcBorders>
            <w:shd w:val="clear" w:color="auto" w:fill="FFFFFF"/>
            <w:noWrap/>
            <w:vAlign w:val="center"/>
          </w:tcPr>
          <w:p w14:paraId="3CDD88E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苯</w:t>
            </w:r>
          </w:p>
        </w:tc>
        <w:tc>
          <w:tcPr>
            <w:tcW w:w="6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DB543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31</w:t>
            </w:r>
          </w:p>
        </w:tc>
        <w:tc>
          <w:tcPr>
            <w:tcW w:w="6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E38E3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88</w:t>
            </w:r>
          </w:p>
        </w:tc>
        <w:tc>
          <w:tcPr>
            <w:tcW w:w="6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C764A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cs="Times New Roman"/>
                <w:b w:val="0"/>
                <w:bCs/>
                <w:i w:val="0"/>
                <w:iCs w:val="0"/>
                <w:color w:val="auto"/>
                <w:kern w:val="0"/>
                <w:sz w:val="18"/>
                <w:szCs w:val="18"/>
                <w:highlight w:val="none"/>
                <w:u w:val="none"/>
                <w:lang w:val="en-US" w:eastAsia="zh-CN" w:bidi="ar"/>
              </w:rPr>
              <w:t>≤</w:t>
            </w:r>
            <w:r>
              <w:rPr>
                <w:rFonts w:hint="eastAsia" w:ascii="Times New Roman" w:hAnsi="Times New Roman" w:eastAsia="宋体" w:cs="Times New Roman"/>
                <w:b w:val="0"/>
                <w:bCs/>
                <w:i w:val="0"/>
                <w:iCs w:val="0"/>
                <w:color w:val="auto"/>
                <w:kern w:val="0"/>
                <w:sz w:val="18"/>
                <w:szCs w:val="18"/>
                <w:highlight w:val="none"/>
                <w:u w:val="none"/>
                <w:lang w:val="en-US" w:eastAsia="zh-CN" w:bidi="ar"/>
              </w:rPr>
              <w:t>0.36</w:t>
            </w:r>
          </w:p>
        </w:tc>
        <w:tc>
          <w:tcPr>
            <w:tcW w:w="6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165EB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0.03</w:t>
            </w:r>
          </w:p>
        </w:tc>
        <w:tc>
          <w:tcPr>
            <w:tcW w:w="6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A194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0.05</w:t>
            </w:r>
          </w:p>
        </w:tc>
        <w:tc>
          <w:tcPr>
            <w:tcW w:w="681" w:type="pct"/>
            <w:tcBorders>
              <w:top w:val="single" w:color="000000" w:sz="4" w:space="0"/>
              <w:left w:val="single" w:color="000000" w:sz="4" w:space="0"/>
              <w:bottom w:val="single" w:color="000000" w:sz="4" w:space="0"/>
            </w:tcBorders>
            <w:shd w:val="clear" w:color="auto" w:fill="FFFFFF"/>
            <w:noWrap/>
            <w:vAlign w:val="center"/>
          </w:tcPr>
          <w:p w14:paraId="0AFFD4C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0.14</w:t>
            </w:r>
          </w:p>
        </w:tc>
      </w:tr>
      <w:tr w14:paraId="458338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893" w:type="pct"/>
            <w:tcBorders>
              <w:top w:val="single" w:color="000000" w:sz="4" w:space="0"/>
              <w:bottom w:val="single" w:color="000000" w:sz="4" w:space="0"/>
              <w:right w:val="single" w:color="000000" w:sz="4" w:space="0"/>
            </w:tcBorders>
            <w:shd w:val="clear" w:color="auto" w:fill="FFFFFF"/>
            <w:noWrap/>
            <w:vAlign w:val="center"/>
          </w:tcPr>
          <w:p w14:paraId="04E4440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甲苯</w:t>
            </w:r>
          </w:p>
        </w:tc>
        <w:tc>
          <w:tcPr>
            <w:tcW w:w="6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8F80A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48</w:t>
            </w:r>
          </w:p>
        </w:tc>
        <w:tc>
          <w:tcPr>
            <w:tcW w:w="6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42257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155</w:t>
            </w:r>
          </w:p>
        </w:tc>
        <w:tc>
          <w:tcPr>
            <w:tcW w:w="6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F2154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cs="Times New Roman"/>
                <w:b w:val="0"/>
                <w:bCs/>
                <w:i w:val="0"/>
                <w:iCs w:val="0"/>
                <w:color w:val="auto"/>
                <w:kern w:val="0"/>
                <w:sz w:val="18"/>
                <w:szCs w:val="18"/>
                <w:highlight w:val="none"/>
                <w:u w:val="none"/>
                <w:lang w:val="en-US" w:eastAsia="zh-CN" w:bidi="ar"/>
              </w:rPr>
              <w:t>≤</w:t>
            </w:r>
            <w:r>
              <w:rPr>
                <w:rFonts w:hint="eastAsia" w:ascii="Times New Roman" w:hAnsi="Times New Roman" w:eastAsia="宋体" w:cs="Times New Roman"/>
                <w:b w:val="0"/>
                <w:bCs/>
                <w:i w:val="0"/>
                <w:iCs w:val="0"/>
                <w:color w:val="auto"/>
                <w:kern w:val="0"/>
                <w:sz w:val="18"/>
                <w:szCs w:val="18"/>
                <w:highlight w:val="none"/>
                <w:u w:val="none"/>
                <w:lang w:val="en-US" w:eastAsia="zh-CN" w:bidi="ar"/>
              </w:rPr>
              <w:t>3.02</w:t>
            </w:r>
          </w:p>
        </w:tc>
        <w:tc>
          <w:tcPr>
            <w:tcW w:w="6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01C40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0.06</w:t>
            </w:r>
          </w:p>
        </w:tc>
        <w:tc>
          <w:tcPr>
            <w:tcW w:w="6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4BA71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0.19</w:t>
            </w:r>
          </w:p>
        </w:tc>
        <w:tc>
          <w:tcPr>
            <w:tcW w:w="681" w:type="pct"/>
            <w:tcBorders>
              <w:top w:val="single" w:color="000000" w:sz="4" w:space="0"/>
              <w:left w:val="single" w:color="000000" w:sz="4" w:space="0"/>
              <w:bottom w:val="single" w:color="000000" w:sz="4" w:space="0"/>
            </w:tcBorders>
            <w:shd w:val="clear" w:color="auto" w:fill="FFFFFF"/>
            <w:noWrap/>
            <w:vAlign w:val="center"/>
          </w:tcPr>
          <w:p w14:paraId="725A0F4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0.73</w:t>
            </w:r>
          </w:p>
        </w:tc>
      </w:tr>
      <w:tr w14:paraId="239F79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3" w:type="pct"/>
            <w:tcBorders>
              <w:top w:val="single" w:color="000000" w:sz="4" w:space="0"/>
              <w:bottom w:val="single" w:color="000000" w:sz="4" w:space="0"/>
              <w:right w:val="single" w:color="000000" w:sz="4" w:space="0"/>
            </w:tcBorders>
            <w:shd w:val="clear" w:color="auto" w:fill="FFFFFF"/>
            <w:noWrap/>
            <w:vAlign w:val="center"/>
          </w:tcPr>
          <w:p w14:paraId="77761B9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二甲苯</w:t>
            </w:r>
          </w:p>
        </w:tc>
        <w:tc>
          <w:tcPr>
            <w:tcW w:w="6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20998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51</w:t>
            </w:r>
          </w:p>
        </w:tc>
        <w:tc>
          <w:tcPr>
            <w:tcW w:w="6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382B2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161</w:t>
            </w:r>
          </w:p>
        </w:tc>
        <w:tc>
          <w:tcPr>
            <w:tcW w:w="6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39D47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cs="Times New Roman"/>
                <w:b w:val="0"/>
                <w:bCs/>
                <w:i w:val="0"/>
                <w:iCs w:val="0"/>
                <w:color w:val="auto"/>
                <w:kern w:val="0"/>
                <w:sz w:val="18"/>
                <w:szCs w:val="18"/>
                <w:highlight w:val="none"/>
                <w:u w:val="none"/>
                <w:lang w:val="en-US" w:eastAsia="zh-CN" w:bidi="ar"/>
              </w:rPr>
              <w:t>≤</w:t>
            </w:r>
            <w:r>
              <w:rPr>
                <w:rFonts w:hint="eastAsia" w:ascii="Times New Roman" w:hAnsi="Times New Roman" w:eastAsia="宋体" w:cs="Times New Roman"/>
                <w:b w:val="0"/>
                <w:bCs/>
                <w:i w:val="0"/>
                <w:iCs w:val="0"/>
                <w:color w:val="auto"/>
                <w:kern w:val="0"/>
                <w:sz w:val="18"/>
                <w:szCs w:val="18"/>
                <w:highlight w:val="none"/>
                <w:u w:val="none"/>
                <w:lang w:val="en-US" w:eastAsia="zh-CN" w:bidi="ar"/>
              </w:rPr>
              <w:t>24.40</w:t>
            </w:r>
          </w:p>
        </w:tc>
        <w:tc>
          <w:tcPr>
            <w:tcW w:w="6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DAFE1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0.18</w:t>
            </w:r>
          </w:p>
        </w:tc>
        <w:tc>
          <w:tcPr>
            <w:tcW w:w="6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AF2FB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0.71</w:t>
            </w:r>
          </w:p>
        </w:tc>
        <w:tc>
          <w:tcPr>
            <w:tcW w:w="681" w:type="pct"/>
            <w:tcBorders>
              <w:top w:val="single" w:color="000000" w:sz="4" w:space="0"/>
              <w:left w:val="single" w:color="000000" w:sz="4" w:space="0"/>
              <w:bottom w:val="single" w:color="000000" w:sz="4" w:space="0"/>
            </w:tcBorders>
            <w:shd w:val="clear" w:color="auto" w:fill="FFFFFF"/>
            <w:noWrap/>
            <w:vAlign w:val="center"/>
          </w:tcPr>
          <w:p w14:paraId="07A74A3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2.44</w:t>
            </w:r>
          </w:p>
        </w:tc>
      </w:tr>
      <w:tr w14:paraId="67D6E4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893" w:type="pct"/>
            <w:tcBorders>
              <w:top w:val="single" w:color="000000" w:sz="4" w:space="0"/>
              <w:bottom w:val="single" w:color="000000" w:sz="4" w:space="0"/>
              <w:right w:val="single" w:color="000000" w:sz="4" w:space="0"/>
            </w:tcBorders>
            <w:shd w:val="clear" w:color="auto" w:fill="FFFFFF"/>
            <w:noWrap/>
            <w:vAlign w:val="center"/>
          </w:tcPr>
          <w:p w14:paraId="31AAD7E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苯系物</w:t>
            </w:r>
          </w:p>
        </w:tc>
        <w:tc>
          <w:tcPr>
            <w:tcW w:w="6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A61E5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41</w:t>
            </w:r>
          </w:p>
        </w:tc>
        <w:tc>
          <w:tcPr>
            <w:tcW w:w="6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B4DEA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116</w:t>
            </w:r>
          </w:p>
        </w:tc>
        <w:tc>
          <w:tcPr>
            <w:tcW w:w="6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0DB0E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cs="Times New Roman"/>
                <w:b w:val="0"/>
                <w:bCs/>
                <w:i w:val="0"/>
                <w:iCs w:val="0"/>
                <w:color w:val="auto"/>
                <w:kern w:val="0"/>
                <w:sz w:val="18"/>
                <w:szCs w:val="18"/>
                <w:highlight w:val="none"/>
                <w:u w:val="none"/>
                <w:lang w:val="en-US" w:eastAsia="zh-CN" w:bidi="ar"/>
              </w:rPr>
              <w:t>≤</w:t>
            </w:r>
            <w:r>
              <w:rPr>
                <w:rFonts w:hint="eastAsia" w:ascii="Times New Roman" w:hAnsi="Times New Roman" w:eastAsia="宋体" w:cs="Times New Roman"/>
                <w:b w:val="0"/>
                <w:bCs/>
                <w:i w:val="0"/>
                <w:iCs w:val="0"/>
                <w:color w:val="auto"/>
                <w:kern w:val="0"/>
                <w:sz w:val="18"/>
                <w:szCs w:val="18"/>
                <w:highlight w:val="none"/>
                <w:u w:val="none"/>
                <w:lang w:val="en-US" w:eastAsia="zh-CN" w:bidi="ar"/>
              </w:rPr>
              <w:t>19.00</w:t>
            </w:r>
          </w:p>
        </w:tc>
        <w:tc>
          <w:tcPr>
            <w:tcW w:w="6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0EBC1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0.15</w:t>
            </w:r>
          </w:p>
        </w:tc>
        <w:tc>
          <w:tcPr>
            <w:tcW w:w="6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8EDA6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0.68</w:t>
            </w:r>
          </w:p>
        </w:tc>
        <w:tc>
          <w:tcPr>
            <w:tcW w:w="681" w:type="pct"/>
            <w:tcBorders>
              <w:top w:val="single" w:color="000000" w:sz="4" w:space="0"/>
              <w:left w:val="single" w:color="000000" w:sz="4" w:space="0"/>
              <w:bottom w:val="single" w:color="000000" w:sz="4" w:space="0"/>
            </w:tcBorders>
            <w:shd w:val="clear" w:color="auto" w:fill="FFFFFF"/>
            <w:noWrap/>
            <w:vAlign w:val="center"/>
          </w:tcPr>
          <w:p w14:paraId="0EA8481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4.65</w:t>
            </w:r>
          </w:p>
        </w:tc>
      </w:tr>
      <w:tr w14:paraId="053E8E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3" w:type="pct"/>
            <w:tcBorders>
              <w:top w:val="single" w:color="000000" w:sz="4" w:space="0"/>
              <w:bottom w:val="single" w:color="000000" w:sz="4" w:space="0"/>
              <w:right w:val="single" w:color="000000" w:sz="4" w:space="0"/>
            </w:tcBorders>
            <w:shd w:val="clear" w:color="auto" w:fill="FFFFFF"/>
            <w:noWrap/>
            <w:vAlign w:val="center"/>
          </w:tcPr>
          <w:p w14:paraId="787FC7E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非甲烷总烃</w:t>
            </w:r>
          </w:p>
        </w:tc>
        <w:tc>
          <w:tcPr>
            <w:tcW w:w="69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E3196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46</w:t>
            </w:r>
          </w:p>
        </w:tc>
        <w:tc>
          <w:tcPr>
            <w:tcW w:w="6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945A3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182</w:t>
            </w:r>
          </w:p>
        </w:tc>
        <w:tc>
          <w:tcPr>
            <w:tcW w:w="6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BF1B3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cs="Times New Roman"/>
                <w:b w:val="0"/>
                <w:bCs/>
                <w:i w:val="0"/>
                <w:iCs w:val="0"/>
                <w:color w:val="auto"/>
                <w:kern w:val="0"/>
                <w:sz w:val="18"/>
                <w:szCs w:val="18"/>
                <w:highlight w:val="none"/>
                <w:u w:val="none"/>
                <w:lang w:val="en-US" w:eastAsia="zh-CN" w:bidi="ar"/>
              </w:rPr>
              <w:t>≤</w:t>
            </w:r>
            <w:r>
              <w:rPr>
                <w:rFonts w:hint="eastAsia" w:ascii="Times New Roman" w:hAnsi="Times New Roman" w:eastAsia="宋体" w:cs="Times New Roman"/>
                <w:b w:val="0"/>
                <w:bCs/>
                <w:i w:val="0"/>
                <w:iCs w:val="0"/>
                <w:color w:val="auto"/>
                <w:kern w:val="0"/>
                <w:sz w:val="18"/>
                <w:szCs w:val="18"/>
                <w:highlight w:val="none"/>
                <w:u w:val="none"/>
                <w:lang w:val="en-US" w:eastAsia="zh-CN" w:bidi="ar"/>
              </w:rPr>
              <w:t>25.60</w:t>
            </w:r>
          </w:p>
        </w:tc>
        <w:tc>
          <w:tcPr>
            <w:tcW w:w="6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BBB1D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3.05</w:t>
            </w:r>
          </w:p>
        </w:tc>
        <w:tc>
          <w:tcPr>
            <w:tcW w:w="6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31C83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4.20</w:t>
            </w:r>
          </w:p>
        </w:tc>
        <w:tc>
          <w:tcPr>
            <w:tcW w:w="681" w:type="pct"/>
            <w:tcBorders>
              <w:top w:val="single" w:color="000000" w:sz="4" w:space="0"/>
              <w:left w:val="single" w:color="000000" w:sz="4" w:space="0"/>
              <w:bottom w:val="single" w:color="000000" w:sz="4" w:space="0"/>
            </w:tcBorders>
            <w:shd w:val="clear" w:color="auto" w:fill="FFFFFF"/>
            <w:noWrap/>
            <w:vAlign w:val="center"/>
          </w:tcPr>
          <w:p w14:paraId="1AEDBFA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8.59</w:t>
            </w:r>
          </w:p>
        </w:tc>
      </w:tr>
      <w:tr w14:paraId="3ACA6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893" w:type="pct"/>
            <w:tcBorders>
              <w:top w:val="single" w:color="000000" w:sz="4" w:space="0"/>
              <w:right w:val="single" w:color="000000" w:sz="4" w:space="0"/>
            </w:tcBorders>
            <w:shd w:val="clear" w:color="auto" w:fill="FFFFFF"/>
            <w:noWrap/>
            <w:vAlign w:val="center"/>
          </w:tcPr>
          <w:p w14:paraId="6F92BA9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挥发性有机物</w:t>
            </w:r>
          </w:p>
        </w:tc>
        <w:tc>
          <w:tcPr>
            <w:tcW w:w="698" w:type="pct"/>
            <w:tcBorders>
              <w:top w:val="single" w:color="000000" w:sz="4" w:space="0"/>
              <w:left w:val="single" w:color="000000" w:sz="4" w:space="0"/>
              <w:right w:val="single" w:color="000000" w:sz="4" w:space="0"/>
            </w:tcBorders>
            <w:shd w:val="clear" w:color="auto" w:fill="FFFFFF"/>
            <w:noWrap/>
            <w:vAlign w:val="center"/>
          </w:tcPr>
          <w:p w14:paraId="5F14BAA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54</w:t>
            </w:r>
          </w:p>
        </w:tc>
        <w:tc>
          <w:tcPr>
            <w:tcW w:w="681" w:type="pct"/>
            <w:tcBorders>
              <w:top w:val="single" w:color="000000" w:sz="4" w:space="0"/>
              <w:left w:val="single" w:color="000000" w:sz="4" w:space="0"/>
              <w:right w:val="single" w:color="000000" w:sz="4" w:space="0"/>
            </w:tcBorders>
            <w:shd w:val="clear" w:color="auto" w:fill="FFFFFF"/>
            <w:noWrap/>
            <w:vAlign w:val="center"/>
          </w:tcPr>
          <w:p w14:paraId="1A95347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267</w:t>
            </w:r>
          </w:p>
        </w:tc>
        <w:tc>
          <w:tcPr>
            <w:tcW w:w="681" w:type="pct"/>
            <w:tcBorders>
              <w:top w:val="single" w:color="000000" w:sz="4" w:space="0"/>
              <w:left w:val="single" w:color="000000" w:sz="4" w:space="0"/>
              <w:right w:val="single" w:color="000000" w:sz="4" w:space="0"/>
            </w:tcBorders>
            <w:shd w:val="clear" w:color="auto" w:fill="FFFFFF"/>
            <w:noWrap/>
            <w:vAlign w:val="center"/>
          </w:tcPr>
          <w:p w14:paraId="2B68D28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cs="Times New Roman"/>
                <w:b w:val="0"/>
                <w:bCs/>
                <w:i w:val="0"/>
                <w:iCs w:val="0"/>
                <w:color w:val="auto"/>
                <w:kern w:val="0"/>
                <w:sz w:val="18"/>
                <w:szCs w:val="18"/>
                <w:highlight w:val="none"/>
                <w:u w:val="none"/>
                <w:lang w:val="en-US" w:eastAsia="zh-CN" w:bidi="ar"/>
              </w:rPr>
              <w:t>≤</w:t>
            </w:r>
            <w:r>
              <w:rPr>
                <w:rFonts w:hint="eastAsia" w:ascii="Times New Roman" w:hAnsi="Times New Roman" w:eastAsia="宋体" w:cs="Times New Roman"/>
                <w:b w:val="0"/>
                <w:bCs/>
                <w:i w:val="0"/>
                <w:iCs w:val="0"/>
                <w:color w:val="auto"/>
                <w:kern w:val="0"/>
                <w:sz w:val="18"/>
                <w:szCs w:val="18"/>
                <w:highlight w:val="none"/>
                <w:u w:val="none"/>
                <w:lang w:val="en-US" w:eastAsia="zh-CN" w:bidi="ar"/>
              </w:rPr>
              <w:t>31.90</w:t>
            </w:r>
          </w:p>
        </w:tc>
        <w:tc>
          <w:tcPr>
            <w:tcW w:w="681" w:type="pct"/>
            <w:tcBorders>
              <w:top w:val="single" w:color="000000" w:sz="4" w:space="0"/>
              <w:left w:val="single" w:color="000000" w:sz="4" w:space="0"/>
              <w:right w:val="single" w:color="000000" w:sz="4" w:space="0"/>
            </w:tcBorders>
            <w:shd w:val="clear" w:color="auto" w:fill="FFFFFF"/>
            <w:noWrap/>
            <w:vAlign w:val="center"/>
          </w:tcPr>
          <w:p w14:paraId="61D7076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2.53</w:t>
            </w:r>
          </w:p>
        </w:tc>
        <w:tc>
          <w:tcPr>
            <w:tcW w:w="681" w:type="pct"/>
            <w:tcBorders>
              <w:top w:val="single" w:color="000000" w:sz="4" w:space="0"/>
              <w:left w:val="single" w:color="000000" w:sz="4" w:space="0"/>
              <w:right w:val="single" w:color="000000" w:sz="4" w:space="0"/>
            </w:tcBorders>
            <w:shd w:val="clear" w:color="auto" w:fill="FFFFFF"/>
            <w:noWrap/>
            <w:vAlign w:val="center"/>
          </w:tcPr>
          <w:p w14:paraId="62014DB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4.95</w:t>
            </w:r>
          </w:p>
        </w:tc>
        <w:tc>
          <w:tcPr>
            <w:tcW w:w="681" w:type="pct"/>
            <w:tcBorders>
              <w:top w:val="single" w:color="000000" w:sz="4" w:space="0"/>
              <w:left w:val="single" w:color="000000" w:sz="4" w:space="0"/>
            </w:tcBorders>
            <w:shd w:val="clear" w:color="auto" w:fill="FFFFFF"/>
            <w:noWrap/>
            <w:vAlign w:val="center"/>
          </w:tcPr>
          <w:p w14:paraId="673D3EC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12.48</w:t>
            </w:r>
          </w:p>
        </w:tc>
      </w:tr>
    </w:tbl>
    <w:p w14:paraId="712802A8">
      <w:pPr>
        <w:shd w:val="clear"/>
        <w:rPr>
          <w:rFonts w:hint="eastAsia"/>
          <w:color w:val="auto"/>
          <w:highlight w:val="none"/>
          <w:lang w:val="en-US" w:eastAsia="zh-CN"/>
        </w:rPr>
      </w:pPr>
    </w:p>
    <w:p w14:paraId="0C8B630B">
      <w:pPr>
        <w:pStyle w:val="129"/>
        <w:shd w:val="clear"/>
        <w:bidi w:val="0"/>
        <w:ind w:left="0" w:leftChars="0"/>
        <w:jc w:val="center"/>
        <w:outlineLvl w:val="4"/>
        <w:rPr>
          <w:rFonts w:hint="default"/>
          <w:lang w:val="en-US" w:eastAsia="zh-CN"/>
        </w:rPr>
      </w:pPr>
      <w:bookmarkStart w:id="219" w:name="_Ref7417"/>
      <w:r>
        <w:t>表</w:t>
      </w:r>
      <w:r>
        <w:fldChar w:fldCharType="begin"/>
      </w:r>
      <w:r>
        <w:instrText xml:space="preserve"> SEQ 表 \* ARABIC </w:instrText>
      </w:r>
      <w:r>
        <w:fldChar w:fldCharType="separate"/>
      </w:r>
      <w:r>
        <w:t>25</w:t>
      </w:r>
      <w:r>
        <w:fldChar w:fldCharType="end"/>
      </w:r>
      <w:bookmarkEnd w:id="219"/>
      <w:r>
        <w:rPr>
          <w:rFonts w:hint="eastAsia"/>
          <w:lang w:val="en-US" w:eastAsia="zh-CN"/>
        </w:rPr>
        <w:t xml:space="preserve"> 汽车维修行业挥发性有机物排放浓度</w:t>
      </w:r>
    </w:p>
    <w:p w14:paraId="4260C68E">
      <w:pPr>
        <w:shd w:val="clear"/>
        <w:jc w:val="right"/>
        <w:rPr>
          <w:rFonts w:hint="default"/>
          <w:b w:val="0"/>
          <w:color w:val="auto"/>
          <w:sz w:val="21"/>
          <w:szCs w:val="21"/>
          <w:highlight w:val="none"/>
          <w:lang w:val="en-US" w:eastAsia="zh-CN"/>
        </w:rPr>
      </w:pPr>
      <w:r>
        <w:rPr>
          <w:rFonts w:hint="eastAsia"/>
          <w:color w:val="auto"/>
          <w:highlight w:val="none"/>
          <w:lang w:val="en-US" w:eastAsia="zh-CN"/>
        </w:rPr>
        <w:t>单位：mg/m</w:t>
      </w:r>
      <w:r>
        <w:rPr>
          <w:rFonts w:hint="eastAsia"/>
          <w:color w:val="auto"/>
          <w:highlight w:val="none"/>
          <w:vertAlign w:val="superscript"/>
          <w:lang w:val="en-US" w:eastAsia="zh-CN"/>
        </w:rPr>
        <w:t>3</w:t>
      </w:r>
    </w:p>
    <w:tbl>
      <w:tblPr>
        <w:tblStyle w:val="3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46"/>
        <w:gridCol w:w="1293"/>
        <w:gridCol w:w="1217"/>
        <w:gridCol w:w="1296"/>
        <w:gridCol w:w="1261"/>
        <w:gridCol w:w="1261"/>
        <w:gridCol w:w="1261"/>
      </w:tblGrid>
      <w:tr w14:paraId="78525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blHeader/>
        </w:trPr>
        <w:tc>
          <w:tcPr>
            <w:tcW w:w="893" w:type="pct"/>
            <w:tcBorders>
              <w:top w:val="single" w:color="000000" w:sz="12" w:space="0"/>
              <w:left w:val="single" w:color="000000" w:sz="12" w:space="0"/>
              <w:bottom w:val="single" w:color="000000" w:sz="4" w:space="0"/>
              <w:right w:val="single" w:color="000000" w:sz="4" w:space="0"/>
              <w:tl2br w:val="nil"/>
            </w:tcBorders>
            <w:shd w:val="clear" w:color="auto" w:fill="FFFFFF"/>
            <w:noWrap/>
            <w:vAlign w:val="center"/>
          </w:tcPr>
          <w:p w14:paraId="4017C72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监测项目</w:t>
            </w:r>
          </w:p>
        </w:tc>
        <w:tc>
          <w:tcPr>
            <w:tcW w:w="702"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6BA5769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企业数量</w:t>
            </w:r>
          </w:p>
        </w:tc>
        <w:tc>
          <w:tcPr>
            <w:tcW w:w="661"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7559288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数据量</w:t>
            </w:r>
          </w:p>
        </w:tc>
        <w:tc>
          <w:tcPr>
            <w:tcW w:w="685"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03FC77D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iCs w:val="0"/>
                <w:color w:val="auto"/>
                <w:kern w:val="0"/>
                <w:sz w:val="18"/>
                <w:szCs w:val="18"/>
                <w:highlight w:val="none"/>
                <w:u w:val="none"/>
                <w:lang w:val="en-US" w:eastAsia="zh-CN" w:bidi="ar"/>
              </w:rPr>
            </w:pPr>
            <w:r>
              <w:rPr>
                <w:rFonts w:hint="eastAsia" w:cs="Times New Roman"/>
                <w:b w:val="0"/>
                <w:bCs/>
                <w:i w:val="0"/>
                <w:iCs w:val="0"/>
                <w:color w:val="auto"/>
                <w:kern w:val="0"/>
                <w:sz w:val="18"/>
                <w:szCs w:val="18"/>
                <w:highlight w:val="none"/>
                <w:u w:val="none"/>
                <w:lang w:val="en-US" w:eastAsia="zh-CN" w:bidi="ar"/>
              </w:rPr>
              <w:t>浓度范围</w:t>
            </w:r>
          </w:p>
        </w:tc>
        <w:tc>
          <w:tcPr>
            <w:tcW w:w="685"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6C5EC46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中位数</w:t>
            </w:r>
          </w:p>
        </w:tc>
        <w:tc>
          <w:tcPr>
            <w:tcW w:w="685"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001298C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70%分位数</w:t>
            </w:r>
          </w:p>
        </w:tc>
        <w:tc>
          <w:tcPr>
            <w:tcW w:w="685" w:type="pct"/>
            <w:tcBorders>
              <w:top w:val="single" w:color="000000" w:sz="12" w:space="0"/>
              <w:left w:val="single" w:color="000000" w:sz="4" w:space="0"/>
              <w:bottom w:val="single" w:color="000000" w:sz="4" w:space="0"/>
              <w:right w:val="single" w:color="000000" w:sz="12" w:space="0"/>
            </w:tcBorders>
            <w:shd w:val="clear" w:color="auto" w:fill="FFFFFF"/>
            <w:noWrap/>
            <w:vAlign w:val="center"/>
          </w:tcPr>
          <w:p w14:paraId="735EB0D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90%分位数</w:t>
            </w:r>
          </w:p>
        </w:tc>
      </w:tr>
      <w:tr w14:paraId="6165D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93"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20AE08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苯</w:t>
            </w:r>
          </w:p>
        </w:tc>
        <w:tc>
          <w:tcPr>
            <w:tcW w:w="7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F47F0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108</w:t>
            </w:r>
          </w:p>
        </w:tc>
        <w:tc>
          <w:tcPr>
            <w:tcW w:w="6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8607A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154</w:t>
            </w:r>
          </w:p>
        </w:tc>
        <w:tc>
          <w:tcPr>
            <w:tcW w:w="6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8A8DF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iCs w:val="0"/>
                <w:color w:val="auto"/>
                <w:kern w:val="0"/>
                <w:sz w:val="18"/>
                <w:szCs w:val="18"/>
                <w:highlight w:val="none"/>
                <w:u w:val="none"/>
                <w:lang w:val="en-US" w:eastAsia="zh-CN" w:bidi="ar"/>
              </w:rPr>
            </w:pPr>
            <w:r>
              <w:rPr>
                <w:rFonts w:hint="eastAsia" w:cs="Times New Roman"/>
                <w:b w:val="0"/>
                <w:bCs/>
                <w:i w:val="0"/>
                <w:iCs w:val="0"/>
                <w:color w:val="auto"/>
                <w:kern w:val="0"/>
                <w:sz w:val="18"/>
                <w:szCs w:val="18"/>
                <w:highlight w:val="none"/>
                <w:u w:val="none"/>
                <w:lang w:val="en-US" w:eastAsia="zh-CN" w:bidi="ar"/>
              </w:rPr>
              <w:t>≤</w:t>
            </w:r>
            <w:r>
              <w:rPr>
                <w:rFonts w:hint="eastAsia" w:ascii="Times New Roman" w:hAnsi="Times New Roman" w:eastAsia="宋体" w:cs="Times New Roman"/>
                <w:b w:val="0"/>
                <w:bCs/>
                <w:i w:val="0"/>
                <w:iCs w:val="0"/>
                <w:color w:val="auto"/>
                <w:kern w:val="0"/>
                <w:sz w:val="18"/>
                <w:szCs w:val="18"/>
                <w:highlight w:val="none"/>
                <w:u w:val="none"/>
                <w:lang w:val="en-US" w:eastAsia="zh-CN" w:bidi="ar"/>
              </w:rPr>
              <w:t>2.35</w:t>
            </w:r>
          </w:p>
        </w:tc>
        <w:tc>
          <w:tcPr>
            <w:tcW w:w="6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A4B6C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0.05</w:t>
            </w:r>
          </w:p>
        </w:tc>
        <w:tc>
          <w:tcPr>
            <w:tcW w:w="6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5D359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0.09</w:t>
            </w:r>
          </w:p>
        </w:tc>
        <w:tc>
          <w:tcPr>
            <w:tcW w:w="685"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349831F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0.23</w:t>
            </w:r>
          </w:p>
        </w:tc>
      </w:tr>
      <w:tr w14:paraId="6047D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93"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10C361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甲苯</w:t>
            </w:r>
          </w:p>
        </w:tc>
        <w:tc>
          <w:tcPr>
            <w:tcW w:w="7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CF3B3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18</w:t>
            </w:r>
          </w:p>
        </w:tc>
        <w:tc>
          <w:tcPr>
            <w:tcW w:w="6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2DBC5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21</w:t>
            </w:r>
          </w:p>
        </w:tc>
        <w:tc>
          <w:tcPr>
            <w:tcW w:w="6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B358A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0.00011</w:t>
            </w:r>
            <w:r>
              <w:rPr>
                <w:rFonts w:hint="eastAsia" w:cs="Times New Roman"/>
                <w:b w:val="0"/>
                <w:bCs/>
                <w:i w:val="0"/>
                <w:iCs w:val="0"/>
                <w:color w:val="auto"/>
                <w:kern w:val="0"/>
                <w:sz w:val="18"/>
                <w:szCs w:val="18"/>
                <w:highlight w:val="none"/>
                <w:u w:val="none"/>
                <w:lang w:val="en-US" w:eastAsia="zh-CN" w:bidi="ar"/>
              </w:rPr>
              <w:t>～2.22</w:t>
            </w:r>
          </w:p>
        </w:tc>
        <w:tc>
          <w:tcPr>
            <w:tcW w:w="6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B0999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0.16</w:t>
            </w:r>
          </w:p>
        </w:tc>
        <w:tc>
          <w:tcPr>
            <w:tcW w:w="6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56DE9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0.43</w:t>
            </w:r>
          </w:p>
        </w:tc>
        <w:tc>
          <w:tcPr>
            <w:tcW w:w="685"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0E99300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1.23</w:t>
            </w:r>
          </w:p>
        </w:tc>
      </w:tr>
      <w:tr w14:paraId="6F606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93"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3EC541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二甲苯</w:t>
            </w:r>
          </w:p>
        </w:tc>
        <w:tc>
          <w:tcPr>
            <w:tcW w:w="7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807B7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18</w:t>
            </w:r>
          </w:p>
        </w:tc>
        <w:tc>
          <w:tcPr>
            <w:tcW w:w="6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0B583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21</w:t>
            </w:r>
          </w:p>
        </w:tc>
        <w:tc>
          <w:tcPr>
            <w:tcW w:w="6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5937F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0.0012</w:t>
            </w:r>
            <w:r>
              <w:rPr>
                <w:rFonts w:hint="eastAsia" w:cs="Times New Roman"/>
                <w:b w:val="0"/>
                <w:bCs/>
                <w:i w:val="0"/>
                <w:iCs w:val="0"/>
                <w:color w:val="auto"/>
                <w:kern w:val="0"/>
                <w:sz w:val="18"/>
                <w:szCs w:val="18"/>
                <w:highlight w:val="none"/>
                <w:u w:val="none"/>
                <w:lang w:val="en-US" w:eastAsia="zh-CN" w:bidi="ar"/>
              </w:rPr>
              <w:t>～3.23</w:t>
            </w:r>
          </w:p>
        </w:tc>
        <w:tc>
          <w:tcPr>
            <w:tcW w:w="6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81861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0.15</w:t>
            </w:r>
          </w:p>
        </w:tc>
        <w:tc>
          <w:tcPr>
            <w:tcW w:w="6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B1A1C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0.54</w:t>
            </w:r>
          </w:p>
        </w:tc>
        <w:tc>
          <w:tcPr>
            <w:tcW w:w="685"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2411073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2.34</w:t>
            </w:r>
          </w:p>
        </w:tc>
      </w:tr>
      <w:tr w14:paraId="2FDA7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93"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5CC6BCA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苯系物</w:t>
            </w:r>
          </w:p>
        </w:tc>
        <w:tc>
          <w:tcPr>
            <w:tcW w:w="7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F9155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105</w:t>
            </w:r>
          </w:p>
        </w:tc>
        <w:tc>
          <w:tcPr>
            <w:tcW w:w="6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4B1B6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152</w:t>
            </w:r>
          </w:p>
        </w:tc>
        <w:tc>
          <w:tcPr>
            <w:tcW w:w="6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F055E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cs="Times New Roman"/>
                <w:b w:val="0"/>
                <w:bCs/>
                <w:i w:val="0"/>
                <w:iCs w:val="0"/>
                <w:color w:val="auto"/>
                <w:kern w:val="0"/>
                <w:sz w:val="18"/>
                <w:szCs w:val="18"/>
                <w:highlight w:val="none"/>
                <w:u w:val="none"/>
                <w:lang w:val="en-US" w:eastAsia="zh-CN" w:bidi="ar"/>
              </w:rPr>
              <w:t>≤</w:t>
            </w:r>
            <w:r>
              <w:rPr>
                <w:rFonts w:hint="eastAsia" w:ascii="Times New Roman" w:hAnsi="Times New Roman" w:eastAsia="宋体" w:cs="Times New Roman"/>
                <w:b w:val="0"/>
                <w:bCs/>
                <w:i w:val="0"/>
                <w:iCs w:val="0"/>
                <w:color w:val="auto"/>
                <w:kern w:val="0"/>
                <w:sz w:val="18"/>
                <w:szCs w:val="18"/>
                <w:highlight w:val="none"/>
                <w:u w:val="none"/>
                <w:lang w:val="en-US" w:eastAsia="zh-CN" w:bidi="ar"/>
              </w:rPr>
              <w:t>10.40</w:t>
            </w:r>
          </w:p>
        </w:tc>
        <w:tc>
          <w:tcPr>
            <w:tcW w:w="6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2953D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1.07</w:t>
            </w:r>
          </w:p>
        </w:tc>
        <w:tc>
          <w:tcPr>
            <w:tcW w:w="6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F75E1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2.37</w:t>
            </w:r>
          </w:p>
        </w:tc>
        <w:tc>
          <w:tcPr>
            <w:tcW w:w="685"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1B625E8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4.65</w:t>
            </w:r>
          </w:p>
        </w:tc>
      </w:tr>
      <w:tr w14:paraId="73050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93"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43823BA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非甲烷总烃</w:t>
            </w:r>
          </w:p>
        </w:tc>
        <w:tc>
          <w:tcPr>
            <w:tcW w:w="70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F8CB7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112</w:t>
            </w:r>
          </w:p>
        </w:tc>
        <w:tc>
          <w:tcPr>
            <w:tcW w:w="6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00C75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165</w:t>
            </w:r>
          </w:p>
        </w:tc>
        <w:tc>
          <w:tcPr>
            <w:tcW w:w="6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F796C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cs="Times New Roman"/>
                <w:b w:val="0"/>
                <w:bCs/>
                <w:i w:val="0"/>
                <w:iCs w:val="0"/>
                <w:color w:val="auto"/>
                <w:kern w:val="0"/>
                <w:sz w:val="18"/>
                <w:szCs w:val="18"/>
                <w:highlight w:val="none"/>
                <w:u w:val="none"/>
                <w:lang w:val="en-US" w:eastAsia="zh-CN" w:bidi="ar"/>
              </w:rPr>
              <w:t>≤</w:t>
            </w:r>
            <w:r>
              <w:rPr>
                <w:rFonts w:hint="eastAsia" w:ascii="Times New Roman" w:hAnsi="Times New Roman" w:eastAsia="宋体" w:cs="Times New Roman"/>
                <w:b w:val="0"/>
                <w:bCs/>
                <w:i w:val="0"/>
                <w:iCs w:val="0"/>
                <w:color w:val="auto"/>
                <w:kern w:val="0"/>
                <w:sz w:val="18"/>
                <w:szCs w:val="18"/>
                <w:highlight w:val="none"/>
                <w:u w:val="none"/>
                <w:lang w:val="en-US" w:eastAsia="zh-CN" w:bidi="ar"/>
              </w:rPr>
              <w:t>50.00</w:t>
            </w:r>
          </w:p>
        </w:tc>
        <w:tc>
          <w:tcPr>
            <w:tcW w:w="6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A9FFA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2.80</w:t>
            </w:r>
          </w:p>
        </w:tc>
        <w:tc>
          <w:tcPr>
            <w:tcW w:w="6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23C70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5.01</w:t>
            </w:r>
          </w:p>
        </w:tc>
        <w:tc>
          <w:tcPr>
            <w:tcW w:w="685"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1C313EA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9.12</w:t>
            </w:r>
          </w:p>
        </w:tc>
      </w:tr>
      <w:tr w14:paraId="54D6A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93" w:type="pct"/>
            <w:tcBorders>
              <w:top w:val="single" w:color="000000" w:sz="4" w:space="0"/>
              <w:left w:val="single" w:color="000000" w:sz="12" w:space="0"/>
              <w:bottom w:val="single" w:color="000000" w:sz="12" w:space="0"/>
              <w:right w:val="single" w:color="000000" w:sz="4" w:space="0"/>
            </w:tcBorders>
            <w:shd w:val="clear" w:color="auto" w:fill="FFFFFF"/>
            <w:noWrap/>
            <w:vAlign w:val="center"/>
          </w:tcPr>
          <w:p w14:paraId="6DF240C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挥发性有机物</w:t>
            </w:r>
          </w:p>
        </w:tc>
        <w:tc>
          <w:tcPr>
            <w:tcW w:w="702"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5746125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8</w:t>
            </w:r>
          </w:p>
        </w:tc>
        <w:tc>
          <w:tcPr>
            <w:tcW w:w="661"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52DD100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11</w:t>
            </w:r>
          </w:p>
        </w:tc>
        <w:tc>
          <w:tcPr>
            <w:tcW w:w="685"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3E5A0E0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0.2</w:t>
            </w:r>
            <w:r>
              <w:rPr>
                <w:rFonts w:hint="eastAsia" w:cs="Times New Roman"/>
                <w:b w:val="0"/>
                <w:bCs/>
                <w:i w:val="0"/>
                <w:iCs w:val="0"/>
                <w:color w:val="auto"/>
                <w:kern w:val="0"/>
                <w:sz w:val="18"/>
                <w:szCs w:val="18"/>
                <w:highlight w:val="none"/>
                <w:u w:val="none"/>
                <w:lang w:val="en-US" w:eastAsia="zh-CN" w:bidi="ar"/>
              </w:rPr>
              <w:t>1～</w:t>
            </w:r>
            <w:r>
              <w:rPr>
                <w:rFonts w:hint="eastAsia" w:ascii="Times New Roman" w:hAnsi="Times New Roman" w:eastAsia="宋体" w:cs="Times New Roman"/>
                <w:b w:val="0"/>
                <w:bCs/>
                <w:i w:val="0"/>
                <w:iCs w:val="0"/>
                <w:color w:val="auto"/>
                <w:kern w:val="0"/>
                <w:sz w:val="18"/>
                <w:szCs w:val="18"/>
                <w:highlight w:val="none"/>
                <w:u w:val="none"/>
                <w:lang w:val="en-US" w:eastAsia="zh-CN" w:bidi="ar"/>
              </w:rPr>
              <w:t>7.05</w:t>
            </w:r>
          </w:p>
        </w:tc>
        <w:tc>
          <w:tcPr>
            <w:tcW w:w="685"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44C9C60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1.44</w:t>
            </w:r>
          </w:p>
        </w:tc>
        <w:tc>
          <w:tcPr>
            <w:tcW w:w="685"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1431D67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3.49</w:t>
            </w:r>
          </w:p>
        </w:tc>
        <w:tc>
          <w:tcPr>
            <w:tcW w:w="685" w:type="pct"/>
            <w:tcBorders>
              <w:top w:val="single" w:color="000000" w:sz="4" w:space="0"/>
              <w:left w:val="single" w:color="000000" w:sz="4" w:space="0"/>
              <w:bottom w:val="single" w:color="000000" w:sz="12" w:space="0"/>
              <w:right w:val="single" w:color="000000" w:sz="12" w:space="0"/>
            </w:tcBorders>
            <w:shd w:val="clear" w:color="auto" w:fill="FFFFFF"/>
            <w:noWrap/>
            <w:vAlign w:val="center"/>
          </w:tcPr>
          <w:p w14:paraId="219194E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5.57</w:t>
            </w:r>
          </w:p>
        </w:tc>
      </w:tr>
    </w:tbl>
    <w:p w14:paraId="10EE3CC1">
      <w:pPr>
        <w:shd w:val="clear"/>
        <w:rPr>
          <w:rFonts w:hint="eastAsia"/>
          <w:color w:val="auto"/>
          <w:highlight w:val="none"/>
          <w:lang w:val="en-US" w:eastAsia="zh-CN"/>
        </w:rPr>
      </w:pPr>
    </w:p>
    <w:p w14:paraId="0AD4577A">
      <w:pPr>
        <w:pStyle w:val="3"/>
        <w:shd w:val="clear"/>
        <w:bidi w:val="0"/>
        <w:ind w:left="575" w:leftChars="0" w:hanging="575" w:firstLineChars="0"/>
        <w:rPr>
          <w:rFonts w:hint="eastAsia"/>
          <w:color w:val="auto"/>
          <w:highlight w:val="none"/>
          <w:lang w:eastAsia="zh-CN"/>
        </w:rPr>
      </w:pPr>
      <w:bookmarkStart w:id="220" w:name="_Toc25065"/>
      <w:bookmarkStart w:id="221" w:name="_Toc25861"/>
      <w:bookmarkStart w:id="222" w:name="_Toc12794"/>
      <w:bookmarkStart w:id="223" w:name="_Toc16146"/>
      <w:bookmarkStart w:id="224" w:name="_Toc5557"/>
      <w:bookmarkStart w:id="225" w:name="_Toc6577"/>
      <w:r>
        <w:rPr>
          <w:rFonts w:hint="eastAsia"/>
          <w:color w:val="auto"/>
          <w:highlight w:val="none"/>
          <w:lang w:val="en-US" w:eastAsia="zh-CN"/>
        </w:rPr>
        <w:t>通用设备、专用设备和轨道交通制造业</w:t>
      </w:r>
      <w:bookmarkEnd w:id="220"/>
      <w:bookmarkEnd w:id="221"/>
      <w:bookmarkEnd w:id="222"/>
      <w:bookmarkEnd w:id="223"/>
      <w:bookmarkEnd w:id="224"/>
      <w:bookmarkEnd w:id="225"/>
    </w:p>
    <w:p w14:paraId="63735DA8">
      <w:pPr>
        <w:shd w:val="clear"/>
        <w:rPr>
          <w:rFonts w:hint="eastAsia"/>
          <w:color w:val="auto"/>
          <w:sz w:val="24"/>
          <w:szCs w:val="24"/>
          <w:highlight w:val="none"/>
          <w:lang w:val="en-US" w:eastAsia="zh-CN"/>
        </w:rPr>
      </w:pPr>
      <w:r>
        <w:rPr>
          <w:rFonts w:hint="eastAsia"/>
          <w:color w:val="auto"/>
          <w:sz w:val="24"/>
          <w:szCs w:val="24"/>
          <w:highlight w:val="none"/>
          <w:lang w:val="en-US" w:eastAsia="zh-CN"/>
        </w:rPr>
        <w:t>截止目前，全国共有15个适用于通用设备、专用设备以及轨道交通制造业的地方标准涉及挥发性有机物的排放控制。各污染控制项目有组织排放浓度比对情况如下：</w:t>
      </w:r>
    </w:p>
    <w:p w14:paraId="042D21C6">
      <w:pPr>
        <w:shd w:val="clear"/>
        <w:rPr>
          <w:rFonts w:hint="default"/>
          <w:color w:val="auto"/>
          <w:sz w:val="24"/>
          <w:szCs w:val="24"/>
          <w:highlight w:val="none"/>
          <w:lang w:val="en-US" w:eastAsia="zh-CN"/>
        </w:rPr>
      </w:pPr>
      <w:r>
        <w:rPr>
          <w:rFonts w:hint="eastAsia"/>
          <w:color w:val="auto"/>
          <w:sz w:val="24"/>
          <w:szCs w:val="24"/>
          <w:highlight w:val="none"/>
          <w:lang w:val="en-US" w:eastAsia="zh-CN"/>
        </w:rPr>
        <w:t>苯：控制限值为1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，与全国大部分地区持平。</w:t>
      </w:r>
      <w:r>
        <w:rPr>
          <w:rFonts w:hint="eastAsia"/>
          <w:color w:val="auto"/>
          <w:sz w:val="24"/>
          <w:szCs w:val="24"/>
          <w:highlight w:val="none"/>
          <w:lang w:val="en-US" w:eastAsia="zh-CN"/>
        </w:rPr>
        <w:t>全国各地苯的控制限值主要分为2档，其中，北京、江苏、山东等3省市取值为0.5 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；湖南与全国其余12个省市均为1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p>
    <w:p w14:paraId="59ACD8A8">
      <w:pPr>
        <w:shd w:val="clear"/>
        <w:rPr>
          <w:rFonts w:hint="default"/>
          <w:color w:val="auto"/>
          <w:sz w:val="24"/>
          <w:szCs w:val="24"/>
          <w:highlight w:val="none"/>
          <w:lang w:val="en-US" w:eastAsia="zh-CN"/>
        </w:rPr>
      </w:pPr>
      <w:r>
        <w:rPr>
          <w:rFonts w:hint="eastAsia"/>
          <w:color w:val="auto"/>
          <w:sz w:val="24"/>
          <w:szCs w:val="24"/>
          <w:highlight w:val="none"/>
          <w:lang w:val="en-US" w:eastAsia="zh-CN"/>
        </w:rPr>
        <w:t>苯系物：控制限值为25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，处于较为先进水平。</w:t>
      </w:r>
      <w:r>
        <w:rPr>
          <w:rFonts w:hint="eastAsia"/>
          <w:color w:val="auto"/>
          <w:sz w:val="24"/>
          <w:szCs w:val="24"/>
          <w:highlight w:val="none"/>
          <w:lang w:val="en-US" w:eastAsia="zh-CN"/>
        </w:rPr>
        <w:t>全国各地苯系物的控制限值主要分为3档：其中，北京、辽宁、江苏、浙江特排限值均为20 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w:t>
      </w:r>
      <w:r>
        <w:rPr>
          <w:rFonts w:hint="eastAsia"/>
          <w:color w:val="auto"/>
          <w:sz w:val="24"/>
          <w:szCs w:val="24"/>
          <w:highlight w:val="none"/>
          <w:vertAlign w:val="baseline"/>
          <w:lang w:val="en-US" w:eastAsia="zh-CN"/>
        </w:rPr>
        <w:t xml:space="preserve">福建为30 </w:t>
      </w:r>
      <w:r>
        <w:rPr>
          <w:rFonts w:hint="eastAsia"/>
          <w:color w:val="auto"/>
          <w:sz w:val="24"/>
          <w:szCs w:val="24"/>
          <w:highlight w:val="no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；浙江一般限值和安徽为</w:t>
      </w:r>
      <w:r>
        <w:rPr>
          <w:rFonts w:hint="eastAsia"/>
          <w:color w:val="auto"/>
          <w:sz w:val="24"/>
          <w:szCs w:val="24"/>
          <w:highlight w:val="none"/>
          <w:vertAlign w:val="baseline"/>
          <w:lang w:val="en-US" w:eastAsia="zh-CN"/>
        </w:rPr>
        <w:t xml:space="preserve">30 </w:t>
      </w:r>
      <w:r>
        <w:rPr>
          <w:rFonts w:hint="eastAsia"/>
          <w:color w:val="auto"/>
          <w:sz w:val="24"/>
          <w:szCs w:val="24"/>
          <w:highlight w:val="no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。此外，天津、河北、河南等省规定了甲苯与二甲苯合计的控制限值为</w:t>
      </w:r>
      <w:r>
        <w:rPr>
          <w:rFonts w:hint="eastAsia"/>
          <w:color w:val="auto"/>
          <w:sz w:val="24"/>
          <w:szCs w:val="24"/>
          <w:highlight w:val="none"/>
          <w:lang w:val="en-US" w:eastAsia="zh-CN"/>
        </w:rPr>
        <w:t>20 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w:t>
      </w:r>
    </w:p>
    <w:p w14:paraId="6F106049">
      <w:pPr>
        <w:shd w:val="clear"/>
        <w:rPr>
          <w:rFonts w:hint="default"/>
          <w:color w:val="auto"/>
          <w:sz w:val="24"/>
          <w:szCs w:val="24"/>
          <w:highlight w:val="none"/>
          <w:lang w:val="en-US" w:eastAsia="zh-CN"/>
        </w:rPr>
      </w:pPr>
      <w:r>
        <w:rPr>
          <w:rFonts w:hint="eastAsia"/>
          <w:color w:val="auto"/>
          <w:sz w:val="24"/>
          <w:szCs w:val="24"/>
          <w:highlight w:val="none"/>
          <w:lang w:val="en-US" w:eastAsia="zh-CN"/>
        </w:rPr>
        <w:t>非甲烷总烃</w:t>
      </w:r>
      <w:r>
        <w:rPr>
          <w:rFonts w:hint="eastAsia" w:ascii="Times New Roman" w:eastAsia="宋体"/>
          <w:color w:val="auto"/>
          <w:sz w:val="24"/>
          <w:szCs w:val="24"/>
          <w:highlight w:val="none"/>
          <w:lang w:val="en-US" w:eastAsia="zh-CN"/>
        </w:rPr>
        <w:t>：控制限值为</w:t>
      </w:r>
      <w:r>
        <w:rPr>
          <w:rFonts w:hint="eastAsia"/>
          <w:color w:val="auto"/>
          <w:sz w:val="24"/>
          <w:szCs w:val="24"/>
          <w:highlight w:val="none"/>
          <w:lang w:val="en-US" w:eastAsia="zh-CN"/>
        </w:rPr>
        <w:t>4</w:t>
      </w:r>
      <w:r>
        <w:rPr>
          <w:rFonts w:hint="eastAsia" w:ascii="Times New Roman" w:eastAsia="宋体"/>
          <w:color w:val="auto"/>
          <w:sz w:val="24"/>
          <w:szCs w:val="24"/>
          <w:highlight w:val="none"/>
          <w:lang w:val="en-US" w:eastAsia="zh-CN"/>
        </w:rPr>
        <w:t>0 mg/m</w:t>
      </w:r>
      <w:r>
        <w:rPr>
          <w:rFonts w:hint="eastAsia" w:ascii="Times New Roman" w:eastAsia="宋体"/>
          <w:color w:val="auto"/>
          <w:sz w:val="24"/>
          <w:szCs w:val="24"/>
          <w:highlight w:val="none"/>
          <w:vertAlign w:val="superscript"/>
          <w:lang w:val="en-US" w:eastAsia="zh-CN"/>
        </w:rPr>
        <w:t>3</w:t>
      </w:r>
      <w:r>
        <w:rPr>
          <w:rFonts w:hint="eastAsia" w:ascii="Times New Roman" w:eastAsia="宋体"/>
          <w:color w:val="auto"/>
          <w:sz w:val="24"/>
          <w:szCs w:val="24"/>
          <w:highlight w:val="none"/>
          <w:vertAlign w:val="baseline"/>
          <w:lang w:val="en-US" w:eastAsia="zh-CN"/>
        </w:rPr>
        <w:t>，处于较为先进水平。</w:t>
      </w:r>
      <w:r>
        <w:rPr>
          <w:rFonts w:hint="eastAsia"/>
          <w:color w:val="auto"/>
          <w:sz w:val="24"/>
          <w:szCs w:val="24"/>
          <w:highlight w:val="none"/>
          <w:lang w:val="en-US" w:eastAsia="zh-CN"/>
        </w:rPr>
        <w:t>全国各地非甲烷总烃的控制限值主要分为4档：本文件和天津、</w:t>
      </w:r>
      <w:r>
        <w:rPr>
          <w:rFonts w:hint="eastAsia"/>
          <w:color w:val="auto"/>
          <w:sz w:val="24"/>
          <w:szCs w:val="24"/>
          <w:highlight w:val="none"/>
          <w:vertAlign w:val="baseline"/>
          <w:lang w:val="en-US" w:eastAsia="zh-CN"/>
        </w:rPr>
        <w:t>山西为</w:t>
      </w:r>
      <w:r>
        <w:rPr>
          <w:rFonts w:hint="eastAsia"/>
          <w:color w:val="auto"/>
          <w:sz w:val="24"/>
          <w:szCs w:val="24"/>
          <w:highlight w:val="none"/>
          <w:lang w:val="en-US" w:eastAsia="zh-CN"/>
        </w:rPr>
        <w:t>为40 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；北京、江苏、山东和河南为5</w:t>
      </w:r>
      <w:r>
        <w:rPr>
          <w:rFonts w:hint="eastAsia" w:ascii="Times New Roman" w:eastAsia="宋体"/>
          <w:color w:val="auto"/>
          <w:sz w:val="24"/>
          <w:szCs w:val="24"/>
          <w:highlight w:val="none"/>
          <w:lang w:val="en-US" w:eastAsia="zh-CN"/>
        </w:rPr>
        <w:t>0 mg/m</w:t>
      </w:r>
      <w:r>
        <w:rPr>
          <w:rFonts w:hint="eastAsia" w:ascii="Times New Roman" w:eastAsia="宋体"/>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；河北、辽宁、福建、四川以及浙江的特排限值</w:t>
      </w:r>
      <w:r>
        <w:rPr>
          <w:rFonts w:hint="eastAsia"/>
          <w:color w:val="auto"/>
          <w:sz w:val="24"/>
          <w:szCs w:val="24"/>
          <w:highlight w:val="none"/>
          <w:lang w:val="en-US" w:eastAsia="zh-CN"/>
        </w:rPr>
        <w:t>为6</w:t>
      </w:r>
      <w:r>
        <w:rPr>
          <w:rFonts w:hint="eastAsia" w:ascii="Times New Roman" w:eastAsia="宋体"/>
          <w:color w:val="auto"/>
          <w:sz w:val="24"/>
          <w:szCs w:val="24"/>
          <w:highlight w:val="none"/>
          <w:lang w:val="en-US" w:eastAsia="zh-CN"/>
        </w:rPr>
        <w:t>0 mg/m</w:t>
      </w:r>
      <w:r>
        <w:rPr>
          <w:rFonts w:hint="eastAsia" w:ascii="Times New Roman" w:eastAsia="宋体"/>
          <w:color w:val="auto"/>
          <w:sz w:val="24"/>
          <w:szCs w:val="24"/>
          <w:highlight w:val="none"/>
          <w:vertAlign w:val="superscript"/>
          <w:lang w:val="en-US" w:eastAsia="zh-CN"/>
        </w:rPr>
        <w:t>3</w:t>
      </w:r>
      <w:r>
        <w:rPr>
          <w:rFonts w:hint="eastAsia" w:ascii="Times New Roman" w:eastAsia="宋体"/>
          <w:color w:val="auto"/>
          <w:sz w:val="24"/>
          <w:szCs w:val="24"/>
          <w:highlight w:val="none"/>
          <w:vertAlign w:val="baseline"/>
          <w:lang w:val="en-US" w:eastAsia="zh-CN"/>
        </w:rPr>
        <w:t>，</w:t>
      </w:r>
      <w:r>
        <w:rPr>
          <w:rFonts w:hint="eastAsia"/>
          <w:color w:val="auto"/>
          <w:sz w:val="24"/>
          <w:szCs w:val="24"/>
          <w:highlight w:val="none"/>
          <w:vertAlign w:val="baseline"/>
          <w:lang w:val="en-US" w:eastAsia="zh-CN"/>
        </w:rPr>
        <w:t>河北</w:t>
      </w:r>
      <w:r>
        <w:rPr>
          <w:rFonts w:hint="eastAsia"/>
          <w:color w:val="auto"/>
          <w:sz w:val="24"/>
          <w:szCs w:val="24"/>
          <w:highlight w:val="none"/>
          <w:lang w:val="en-US" w:eastAsia="zh-CN"/>
        </w:rPr>
        <w:t>和安徽为7</w:t>
      </w:r>
      <w:r>
        <w:rPr>
          <w:rFonts w:hint="eastAsia" w:ascii="Times New Roman" w:eastAsia="宋体"/>
          <w:color w:val="auto"/>
          <w:sz w:val="24"/>
          <w:szCs w:val="24"/>
          <w:highlight w:val="none"/>
          <w:lang w:val="en-US" w:eastAsia="zh-CN"/>
        </w:rPr>
        <w:t>0 mg/m</w:t>
      </w:r>
      <w:r>
        <w:rPr>
          <w:rFonts w:hint="eastAsia" w:ascii="Times New Roman" w:eastAsia="宋体"/>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p>
    <w:p w14:paraId="3A8032B7">
      <w:pPr>
        <w:shd w:val="clear"/>
        <w:rPr>
          <w:rFonts w:hint="eastAsia"/>
          <w:color w:val="auto"/>
          <w:sz w:val="24"/>
          <w:szCs w:val="24"/>
          <w:highlight w:val="none"/>
          <w:vertAlign w:val="baseline"/>
          <w:lang w:val="en-US" w:eastAsia="zh-CN"/>
        </w:rPr>
      </w:pPr>
      <w:r>
        <w:rPr>
          <w:rFonts w:hint="eastAsia"/>
          <w:color w:val="auto"/>
          <w:sz w:val="24"/>
          <w:szCs w:val="24"/>
          <w:highlight w:val="none"/>
          <w:lang w:val="en-US" w:eastAsia="zh-CN"/>
        </w:rPr>
        <w:t>挥发性有机物</w:t>
      </w:r>
      <w:r>
        <w:rPr>
          <w:rFonts w:hint="eastAsia" w:ascii="Times New Roman" w:eastAsia="宋体"/>
          <w:color w:val="auto"/>
          <w:sz w:val="24"/>
          <w:szCs w:val="24"/>
          <w:highlight w:val="none"/>
          <w:lang w:val="en-US" w:eastAsia="zh-CN"/>
        </w:rPr>
        <w:t>：控制限值为</w:t>
      </w:r>
      <w:r>
        <w:rPr>
          <w:rFonts w:hint="eastAsia"/>
          <w:color w:val="auto"/>
          <w:sz w:val="24"/>
          <w:szCs w:val="24"/>
          <w:highlight w:val="none"/>
          <w:lang w:val="en-US" w:eastAsia="zh-CN"/>
        </w:rPr>
        <w:t>5</w:t>
      </w:r>
      <w:r>
        <w:rPr>
          <w:rFonts w:hint="eastAsia" w:ascii="Times New Roman" w:eastAsia="宋体"/>
          <w:color w:val="auto"/>
          <w:sz w:val="24"/>
          <w:szCs w:val="24"/>
          <w:highlight w:val="none"/>
          <w:lang w:val="en-US" w:eastAsia="zh-CN"/>
        </w:rPr>
        <w:t>0 mg/m</w:t>
      </w:r>
      <w:r>
        <w:rPr>
          <w:rFonts w:hint="eastAsia" w:ascii="Times New Roman" w:eastAsia="宋体"/>
          <w:color w:val="auto"/>
          <w:sz w:val="24"/>
          <w:szCs w:val="24"/>
          <w:highlight w:val="none"/>
          <w:vertAlign w:val="superscript"/>
          <w:lang w:val="en-US" w:eastAsia="zh-CN"/>
        </w:rPr>
        <w:t>3</w:t>
      </w:r>
      <w:r>
        <w:rPr>
          <w:rFonts w:hint="eastAsia" w:ascii="Times New Roman" w:eastAsia="宋体"/>
          <w:color w:val="auto"/>
          <w:sz w:val="24"/>
          <w:szCs w:val="24"/>
          <w:highlight w:val="none"/>
          <w:vertAlign w:val="baseline"/>
          <w:lang w:val="en-US" w:eastAsia="zh-CN"/>
        </w:rPr>
        <w:t>，处于较为先进水平。</w:t>
      </w:r>
      <w:r>
        <w:rPr>
          <w:rFonts w:hint="eastAsia"/>
          <w:color w:val="auto"/>
          <w:sz w:val="24"/>
          <w:szCs w:val="24"/>
          <w:highlight w:val="none"/>
          <w:lang w:val="en-US" w:eastAsia="zh-CN"/>
        </w:rPr>
        <w:t>全国各地挥发性有机物控制限值主要分为4档：本文件和天津、</w:t>
      </w:r>
      <w:r>
        <w:rPr>
          <w:rFonts w:hint="eastAsia"/>
          <w:color w:val="auto"/>
          <w:sz w:val="24"/>
          <w:szCs w:val="24"/>
          <w:highlight w:val="none"/>
          <w:vertAlign w:val="baseline"/>
          <w:lang w:val="en-US" w:eastAsia="zh-CN"/>
        </w:rPr>
        <w:t>山西为</w:t>
      </w:r>
      <w:r>
        <w:rPr>
          <w:rFonts w:hint="eastAsia"/>
          <w:color w:val="auto"/>
          <w:sz w:val="24"/>
          <w:szCs w:val="24"/>
          <w:highlight w:val="none"/>
          <w:lang w:val="en-US" w:eastAsia="zh-CN"/>
        </w:rPr>
        <w:t>为50 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；辽宁为7</w:t>
      </w:r>
      <w:r>
        <w:rPr>
          <w:rFonts w:hint="eastAsia" w:ascii="Times New Roman" w:eastAsia="宋体"/>
          <w:color w:val="auto"/>
          <w:sz w:val="24"/>
          <w:szCs w:val="24"/>
          <w:highlight w:val="none"/>
          <w:lang w:val="en-US" w:eastAsia="zh-CN"/>
        </w:rPr>
        <w:t>0 mg/m</w:t>
      </w:r>
      <w:r>
        <w:rPr>
          <w:rFonts w:hint="eastAsia" w:ascii="Times New Roman" w:eastAsia="宋体"/>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；江苏</w:t>
      </w:r>
      <w:r>
        <w:rPr>
          <w:rFonts w:hint="eastAsia"/>
          <w:color w:val="auto"/>
          <w:sz w:val="24"/>
          <w:szCs w:val="24"/>
          <w:highlight w:val="none"/>
          <w:lang w:val="en-US" w:eastAsia="zh-CN"/>
        </w:rPr>
        <w:t>为8</w:t>
      </w:r>
      <w:r>
        <w:rPr>
          <w:rFonts w:hint="eastAsia" w:ascii="Times New Roman" w:eastAsia="宋体"/>
          <w:color w:val="auto"/>
          <w:sz w:val="24"/>
          <w:szCs w:val="24"/>
          <w:highlight w:val="none"/>
          <w:lang w:val="en-US" w:eastAsia="zh-CN"/>
        </w:rPr>
        <w:t>0 mg/m</w:t>
      </w:r>
      <w:r>
        <w:rPr>
          <w:rFonts w:hint="eastAsia" w:ascii="Times New Roman" w:eastAsia="宋体"/>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；浙江的特排限值</w:t>
      </w:r>
      <w:r>
        <w:rPr>
          <w:rFonts w:hint="eastAsia"/>
          <w:color w:val="auto"/>
          <w:sz w:val="24"/>
          <w:szCs w:val="24"/>
          <w:highlight w:val="none"/>
          <w:lang w:val="en-US" w:eastAsia="zh-CN"/>
        </w:rPr>
        <w:t>为120</w:t>
      </w:r>
      <w:r>
        <w:rPr>
          <w:rFonts w:hint="eastAsia" w:ascii="Times New Roman" w:eastAsia="宋体"/>
          <w:color w:val="auto"/>
          <w:sz w:val="24"/>
          <w:szCs w:val="24"/>
          <w:highlight w:val="none"/>
          <w:lang w:val="en-US" w:eastAsia="zh-CN"/>
        </w:rPr>
        <w:t xml:space="preserve"> mg/m</w:t>
      </w:r>
      <w:r>
        <w:rPr>
          <w:rFonts w:hint="eastAsia" w:ascii="Times New Roman" w:eastAsia="宋体"/>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p>
    <w:p w14:paraId="66755758">
      <w:pPr>
        <w:shd w:val="clear"/>
        <w:rPr>
          <w:rFonts w:hint="eastAsia"/>
          <w:color w:val="auto"/>
          <w:sz w:val="24"/>
          <w:szCs w:val="24"/>
          <w:highlight w:val="none"/>
          <w:lang w:val="en-US" w:eastAsia="zh-CN"/>
        </w:rPr>
      </w:pPr>
      <w:r>
        <w:rPr>
          <w:rFonts w:hint="eastAsia"/>
          <w:color w:val="auto"/>
          <w:highlight w:val="none"/>
          <w:lang w:val="en-US" w:eastAsia="zh-CN"/>
        </w:rPr>
        <w:t>通用设备、专用设备和轨道交通制造业有组织排放浓度见</w:t>
      </w:r>
      <w:r>
        <w:rPr>
          <w:rFonts w:hint="eastAsia"/>
          <w:color w:val="auto"/>
          <w:highlight w:val="none"/>
          <w:lang w:val="en-US" w:eastAsia="zh-CN"/>
        </w:rPr>
        <w:fldChar w:fldCharType="begin"/>
      </w:r>
      <w:r>
        <w:rPr>
          <w:rFonts w:hint="eastAsia"/>
          <w:color w:val="auto"/>
          <w:highlight w:val="none"/>
          <w:lang w:val="en-US" w:eastAsia="zh-CN"/>
        </w:rPr>
        <w:instrText xml:space="preserve"> REF _Ref7453 \h </w:instrText>
      </w:r>
      <w:r>
        <w:rPr>
          <w:rFonts w:hint="eastAsia"/>
          <w:color w:val="auto"/>
          <w:highlight w:val="none"/>
          <w:lang w:val="en-US" w:eastAsia="zh-CN"/>
        </w:rPr>
        <w:fldChar w:fldCharType="separate"/>
      </w:r>
      <w:r>
        <w:t>表26</w:t>
      </w:r>
      <w:r>
        <w:rPr>
          <w:rFonts w:hint="eastAsia"/>
          <w:color w:val="auto"/>
          <w:highlight w:val="none"/>
          <w:lang w:val="en-US" w:eastAsia="zh-CN"/>
        </w:rPr>
        <w:fldChar w:fldCharType="end"/>
      </w:r>
      <w:r>
        <w:rPr>
          <w:rFonts w:hint="eastAsia"/>
          <w:color w:val="auto"/>
          <w:highlight w:val="none"/>
          <w:lang w:val="en-US" w:eastAsia="zh-CN"/>
        </w:rPr>
        <w:t>。</w:t>
      </w:r>
      <w:r>
        <w:rPr>
          <w:rFonts w:hint="eastAsia"/>
          <w:color w:val="auto"/>
          <w:sz w:val="24"/>
          <w:szCs w:val="24"/>
          <w:highlight w:val="none"/>
          <w:lang w:val="en-US" w:eastAsia="zh-CN"/>
        </w:rPr>
        <w:t>根据现有监测数据判断，设备制造和轨道交通制造等企业挥发性有机物存在一定的超标风险，大约10%的现有企业需要进一步加强控制。此外，考虑到现有数据主要来源于企业自行公开的监测数据，其余未上传数据的企业存在更高的超标风险，保守估计实际达标率约为70%～80%。</w:t>
      </w:r>
    </w:p>
    <w:p w14:paraId="01E2DA01">
      <w:pPr>
        <w:pStyle w:val="129"/>
        <w:shd w:val="clear"/>
        <w:bidi w:val="0"/>
        <w:ind w:left="0" w:leftChars="0"/>
        <w:jc w:val="center"/>
        <w:outlineLvl w:val="4"/>
        <w:rPr>
          <w:rFonts w:hint="default"/>
          <w:lang w:val="en-US" w:eastAsia="zh-CN"/>
        </w:rPr>
      </w:pPr>
      <w:bookmarkStart w:id="226" w:name="_Ref7453"/>
      <w:r>
        <w:t>表</w:t>
      </w:r>
      <w:r>
        <w:fldChar w:fldCharType="begin"/>
      </w:r>
      <w:r>
        <w:instrText xml:space="preserve"> SEQ 表 \* ARABIC </w:instrText>
      </w:r>
      <w:r>
        <w:fldChar w:fldCharType="separate"/>
      </w:r>
      <w:r>
        <w:t>26</w:t>
      </w:r>
      <w:r>
        <w:fldChar w:fldCharType="end"/>
      </w:r>
      <w:bookmarkEnd w:id="226"/>
      <w:r>
        <w:rPr>
          <w:rFonts w:hint="eastAsia"/>
          <w:lang w:val="en-US" w:eastAsia="zh-CN"/>
        </w:rPr>
        <w:t xml:space="preserve"> 通用设备、专用设备和轨道交通制造业有组织排放浓度</w:t>
      </w:r>
    </w:p>
    <w:p w14:paraId="4D929B01">
      <w:pPr>
        <w:shd w:val="clear"/>
        <w:jc w:val="right"/>
        <w:rPr>
          <w:rFonts w:hint="default"/>
          <w:color w:val="auto"/>
          <w:highlight w:val="none"/>
          <w:lang w:val="en-US" w:eastAsia="zh-CN"/>
        </w:rPr>
      </w:pPr>
      <w:r>
        <w:rPr>
          <w:rFonts w:hint="eastAsia"/>
          <w:color w:val="auto"/>
          <w:highlight w:val="none"/>
          <w:lang w:val="en-US" w:eastAsia="zh-CN"/>
        </w:rPr>
        <w:t>单位：mg/m</w:t>
      </w:r>
      <w:r>
        <w:rPr>
          <w:rFonts w:hint="eastAsia"/>
          <w:color w:val="auto"/>
          <w:highlight w:val="none"/>
          <w:vertAlign w:val="superscript"/>
          <w:lang w:val="en-US" w:eastAsia="zh-CN"/>
        </w:rPr>
        <w:t>3</w:t>
      </w:r>
    </w:p>
    <w:tbl>
      <w:tblPr>
        <w:tblStyle w:val="3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97"/>
        <w:gridCol w:w="1480"/>
        <w:gridCol w:w="1020"/>
        <w:gridCol w:w="822"/>
        <w:gridCol w:w="1126"/>
        <w:gridCol w:w="824"/>
        <w:gridCol w:w="1183"/>
        <w:gridCol w:w="1183"/>
      </w:tblGrid>
      <w:tr w14:paraId="64C2F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blHeader/>
        </w:trPr>
        <w:tc>
          <w:tcPr>
            <w:tcW w:w="864" w:type="pct"/>
            <w:tcBorders>
              <w:top w:val="single" w:color="000000" w:sz="12" w:space="0"/>
              <w:left w:val="single" w:color="000000" w:sz="12" w:space="0"/>
              <w:bottom w:val="single" w:color="000000" w:sz="4" w:space="0"/>
              <w:right w:val="single" w:color="000000" w:sz="4" w:space="0"/>
              <w:tl2br w:val="nil"/>
            </w:tcBorders>
            <w:shd w:val="clear" w:color="auto" w:fill="FFFFFF"/>
            <w:noWrap/>
            <w:vAlign w:val="center"/>
          </w:tcPr>
          <w:p w14:paraId="3DC57B71">
            <w:pPr>
              <w:pStyle w:val="62"/>
              <w:numPr>
                <w:ilvl w:val="0"/>
                <w:numId w:val="0"/>
              </w:numPr>
              <w:shd w:val="clear"/>
              <w:bidi w:val="0"/>
              <w:ind w:leftChars="0"/>
              <w:jc w:val="left"/>
              <w:rPr>
                <w:rFonts w:hint="eastAsia"/>
                <w:b w:val="0"/>
                <w:color w:val="000000"/>
                <w:sz w:val="18"/>
                <w:szCs w:val="18"/>
                <w:highlight w:val="none"/>
                <w:lang w:val="en-US" w:eastAsia="zh-CN"/>
              </w:rPr>
            </w:pPr>
            <w:r>
              <w:rPr>
                <w:rFonts w:hint="eastAsia"/>
                <w:b w:val="0"/>
                <w:color w:val="000000"/>
                <w:sz w:val="18"/>
                <w:szCs w:val="18"/>
                <w:highlight w:val="none"/>
                <w:lang w:val="en-US" w:eastAsia="zh-CN"/>
              </w:rPr>
              <w:t>行业编号</w:t>
            </w:r>
          </w:p>
        </w:tc>
        <w:tc>
          <w:tcPr>
            <w:tcW w:w="801"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4E4D097E">
            <w:pPr>
              <w:pStyle w:val="62"/>
              <w:numPr>
                <w:ilvl w:val="0"/>
                <w:numId w:val="0"/>
              </w:numPr>
              <w:shd w:val="clear"/>
              <w:bidi w:val="0"/>
              <w:ind w:leftChars="0"/>
              <w:jc w:val="left"/>
              <w:rPr>
                <w:rFonts w:hint="eastAsia"/>
                <w:b w:val="0"/>
                <w:color w:val="000000"/>
                <w:sz w:val="18"/>
                <w:szCs w:val="18"/>
                <w:highlight w:val="none"/>
                <w:lang w:val="en-US" w:eastAsia="zh-CN"/>
              </w:rPr>
            </w:pPr>
            <w:r>
              <w:rPr>
                <w:rFonts w:hint="eastAsia"/>
                <w:b w:val="0"/>
                <w:color w:val="000000"/>
                <w:sz w:val="18"/>
                <w:szCs w:val="18"/>
                <w:highlight w:val="none"/>
                <w:lang w:val="en-US" w:eastAsia="zh-CN"/>
              </w:rPr>
              <w:t>监测项目</w:t>
            </w:r>
          </w:p>
        </w:tc>
        <w:tc>
          <w:tcPr>
            <w:tcW w:w="1020" w:type="dxa"/>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1CAF81D1">
            <w:pPr>
              <w:pStyle w:val="62"/>
              <w:numPr>
                <w:ilvl w:val="0"/>
                <w:numId w:val="0"/>
              </w:numPr>
              <w:shd w:val="clear"/>
              <w:bidi w:val="0"/>
              <w:ind w:left="0" w:leftChars="0" w:firstLine="0" w:firstLine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企业数量</w:t>
            </w:r>
          </w:p>
        </w:tc>
        <w:tc>
          <w:tcPr>
            <w:tcW w:w="822" w:type="dxa"/>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2D45B861">
            <w:pPr>
              <w:pStyle w:val="62"/>
              <w:numPr>
                <w:ilvl w:val="0"/>
                <w:numId w:val="0"/>
              </w:numPr>
              <w:shd w:val="clear"/>
              <w:bidi w:val="0"/>
              <w:ind w:left="0" w:leftChars="0" w:firstLine="0" w:firstLine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数据量</w:t>
            </w:r>
          </w:p>
        </w:tc>
        <w:tc>
          <w:tcPr>
            <w:tcW w:w="1126" w:type="dxa"/>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5EBEED56">
            <w:pPr>
              <w:pStyle w:val="62"/>
              <w:numPr>
                <w:ilvl w:val="0"/>
                <w:numId w:val="0"/>
              </w:numPr>
              <w:shd w:val="clear"/>
              <w:bidi w:val="0"/>
              <w:ind w:left="0" w:leftChars="0" w:firstLine="0" w:firstLine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浓度范围</w:t>
            </w:r>
          </w:p>
        </w:tc>
        <w:tc>
          <w:tcPr>
            <w:tcW w:w="824" w:type="dxa"/>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0DB7518F">
            <w:pPr>
              <w:pStyle w:val="62"/>
              <w:numPr>
                <w:ilvl w:val="0"/>
                <w:numId w:val="0"/>
              </w:numPr>
              <w:shd w:val="clear"/>
              <w:bidi w:val="0"/>
              <w:ind w:left="0" w:leftChars="0" w:firstLine="0" w:firstLine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中位数</w:t>
            </w:r>
          </w:p>
        </w:tc>
        <w:tc>
          <w:tcPr>
            <w:tcW w:w="1183" w:type="dxa"/>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7BE223B2">
            <w:pPr>
              <w:pStyle w:val="62"/>
              <w:numPr>
                <w:ilvl w:val="0"/>
                <w:numId w:val="0"/>
              </w:numPr>
              <w:shd w:val="clear"/>
              <w:bidi w:val="0"/>
              <w:ind w:left="0" w:leftChars="0" w:firstLine="0" w:firstLine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70%分位数</w:t>
            </w:r>
          </w:p>
        </w:tc>
        <w:tc>
          <w:tcPr>
            <w:tcW w:w="1183" w:type="dxa"/>
            <w:tcBorders>
              <w:top w:val="single" w:color="000000" w:sz="12" w:space="0"/>
              <w:left w:val="single" w:color="000000" w:sz="4" w:space="0"/>
              <w:bottom w:val="single" w:color="000000" w:sz="4" w:space="0"/>
              <w:right w:val="single" w:color="000000" w:sz="12" w:space="0"/>
            </w:tcBorders>
            <w:shd w:val="clear" w:color="auto" w:fill="FFFFFF"/>
            <w:noWrap/>
            <w:vAlign w:val="center"/>
          </w:tcPr>
          <w:p w14:paraId="691E3870">
            <w:pPr>
              <w:pStyle w:val="62"/>
              <w:numPr>
                <w:ilvl w:val="0"/>
                <w:numId w:val="0"/>
              </w:numPr>
              <w:shd w:val="clear"/>
              <w:bidi w:val="0"/>
              <w:ind w:left="0" w:leftChars="0" w:firstLine="0" w:firstLine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90%分位数</w:t>
            </w:r>
          </w:p>
        </w:tc>
      </w:tr>
      <w:tr w14:paraId="754D0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64" w:type="pct"/>
            <w:vMerge w:val="restar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3CF6F4A3">
            <w:pPr>
              <w:pStyle w:val="62"/>
              <w:numPr>
                <w:ilvl w:val="0"/>
                <w:numId w:val="0"/>
              </w:numPr>
              <w:shd w:val="clear"/>
              <w:bidi w:val="0"/>
              <w:ind w:leftChars="0"/>
              <w:jc w:val="left"/>
              <w:rPr>
                <w:rFonts w:hint="default"/>
                <w:b w:val="0"/>
                <w:color w:val="000000"/>
                <w:sz w:val="18"/>
                <w:szCs w:val="18"/>
                <w:highlight w:val="none"/>
                <w:lang w:val="en-US" w:eastAsia="zh-CN"/>
              </w:rPr>
            </w:pPr>
            <w:r>
              <w:rPr>
                <w:rFonts w:hint="eastAsia"/>
                <w:b w:val="0"/>
                <w:color w:val="000000"/>
                <w:sz w:val="18"/>
                <w:szCs w:val="18"/>
                <w:highlight w:val="none"/>
                <w:lang w:val="en-US" w:eastAsia="zh-CN"/>
              </w:rPr>
              <w:t>通用设备制造业</w:t>
            </w:r>
          </w:p>
        </w:tc>
        <w:tc>
          <w:tcPr>
            <w:tcW w:w="8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1C2E4E">
            <w:pPr>
              <w:pStyle w:val="62"/>
              <w:numPr>
                <w:ilvl w:val="0"/>
                <w:numId w:val="0"/>
              </w:numPr>
              <w:shd w:val="clear"/>
              <w:bidi w:val="0"/>
              <w:ind w:leftChars="0"/>
              <w:jc w:val="left"/>
              <w:rPr>
                <w:rFonts w:hint="eastAsia"/>
                <w:b w:val="0"/>
                <w:color w:val="000000"/>
                <w:sz w:val="18"/>
                <w:szCs w:val="18"/>
                <w:highlight w:val="none"/>
                <w:lang w:val="en-US" w:eastAsia="zh-CN"/>
              </w:rPr>
            </w:pPr>
            <w:r>
              <w:rPr>
                <w:rFonts w:hint="eastAsia"/>
                <w:b w:val="0"/>
                <w:color w:val="000000"/>
                <w:sz w:val="18"/>
                <w:szCs w:val="18"/>
                <w:highlight w:val="none"/>
                <w:lang w:val="en-US" w:eastAsia="zh-CN"/>
              </w:rPr>
              <w:t>苯</w:t>
            </w:r>
          </w:p>
        </w:tc>
        <w:tc>
          <w:tcPr>
            <w:tcW w:w="5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8FF559">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37</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AD749A">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50</w:t>
            </w:r>
          </w:p>
        </w:tc>
        <w:tc>
          <w:tcPr>
            <w:tcW w:w="6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015E8B">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≤0.84</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247A69">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0.01</w:t>
            </w:r>
          </w:p>
        </w:tc>
        <w:tc>
          <w:tcPr>
            <w:tcW w:w="6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28675A">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0.06</w:t>
            </w:r>
          </w:p>
        </w:tc>
        <w:tc>
          <w:tcPr>
            <w:tcW w:w="640"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7914EA5D">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0.21</w:t>
            </w:r>
          </w:p>
        </w:tc>
      </w:tr>
      <w:tr w14:paraId="37AB2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64" w:type="pct"/>
            <w:vMerge w:val="continue"/>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41EB5249">
            <w:pPr>
              <w:pStyle w:val="62"/>
              <w:numPr>
                <w:ilvl w:val="0"/>
                <w:numId w:val="0"/>
              </w:numPr>
              <w:shd w:val="clear"/>
              <w:bidi w:val="0"/>
              <w:ind w:left="0" w:leftChars="0" w:firstLine="0" w:firstLineChars="0"/>
              <w:jc w:val="left"/>
              <w:rPr>
                <w:rFonts w:hint="eastAsia" w:ascii="Times New Roman" w:hAnsi="Times New Roman" w:eastAsiaTheme="minorEastAsia" w:cstheme="minorBidi"/>
                <w:b w:val="0"/>
                <w:color w:val="000000"/>
                <w:kern w:val="2"/>
                <w:sz w:val="18"/>
                <w:szCs w:val="18"/>
                <w:highlight w:val="none"/>
                <w:lang w:val="en-US" w:eastAsia="zh-CN" w:bidi="en-US"/>
              </w:rPr>
            </w:pPr>
          </w:p>
        </w:tc>
        <w:tc>
          <w:tcPr>
            <w:tcW w:w="8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0A5D8E">
            <w:pPr>
              <w:pStyle w:val="62"/>
              <w:numPr>
                <w:ilvl w:val="0"/>
                <w:numId w:val="0"/>
              </w:numPr>
              <w:shd w:val="clear"/>
              <w:bidi w:val="0"/>
              <w:ind w:left="0" w:leftChars="0" w:firstLine="0" w:firstLineChars="0"/>
              <w:jc w:val="left"/>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甲苯</w:t>
            </w:r>
          </w:p>
        </w:tc>
        <w:tc>
          <w:tcPr>
            <w:tcW w:w="5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A1B30A">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36</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D48B9B">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49</w:t>
            </w:r>
          </w:p>
        </w:tc>
        <w:tc>
          <w:tcPr>
            <w:tcW w:w="6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CCECE9">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≤9.20</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2BCD1">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0.16</w:t>
            </w:r>
          </w:p>
        </w:tc>
        <w:tc>
          <w:tcPr>
            <w:tcW w:w="6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D3804E">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0.48</w:t>
            </w:r>
          </w:p>
        </w:tc>
        <w:tc>
          <w:tcPr>
            <w:tcW w:w="640"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5E48145B">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1.56</w:t>
            </w:r>
          </w:p>
        </w:tc>
      </w:tr>
      <w:tr w14:paraId="79458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64" w:type="pct"/>
            <w:vMerge w:val="continue"/>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6A2D9F0F">
            <w:pPr>
              <w:pStyle w:val="62"/>
              <w:numPr>
                <w:ilvl w:val="0"/>
                <w:numId w:val="0"/>
              </w:numPr>
              <w:shd w:val="clear"/>
              <w:bidi w:val="0"/>
              <w:ind w:left="0" w:leftChars="0" w:firstLine="0" w:firstLineChars="0"/>
              <w:jc w:val="left"/>
              <w:rPr>
                <w:rFonts w:hint="eastAsia" w:ascii="Times New Roman" w:hAnsi="Times New Roman" w:eastAsiaTheme="minorEastAsia" w:cstheme="minorBidi"/>
                <w:b w:val="0"/>
                <w:color w:val="000000"/>
                <w:kern w:val="2"/>
                <w:sz w:val="18"/>
                <w:szCs w:val="18"/>
                <w:highlight w:val="none"/>
                <w:lang w:val="en-US" w:eastAsia="zh-CN" w:bidi="en-US"/>
              </w:rPr>
            </w:pPr>
          </w:p>
        </w:tc>
        <w:tc>
          <w:tcPr>
            <w:tcW w:w="8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61EAAC">
            <w:pPr>
              <w:pStyle w:val="62"/>
              <w:numPr>
                <w:ilvl w:val="0"/>
                <w:numId w:val="0"/>
              </w:numPr>
              <w:shd w:val="clear"/>
              <w:bidi w:val="0"/>
              <w:ind w:left="0" w:leftChars="0" w:firstLine="0" w:firstLineChars="0"/>
              <w:jc w:val="left"/>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二甲苯</w:t>
            </w:r>
          </w:p>
        </w:tc>
        <w:tc>
          <w:tcPr>
            <w:tcW w:w="5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E4A08A">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39</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22EB31">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56</w:t>
            </w:r>
          </w:p>
        </w:tc>
        <w:tc>
          <w:tcPr>
            <w:tcW w:w="6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54BEAD">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≤14.20</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4E8CBD">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1.12</w:t>
            </w:r>
          </w:p>
        </w:tc>
        <w:tc>
          <w:tcPr>
            <w:tcW w:w="6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95BC23">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2.12</w:t>
            </w:r>
          </w:p>
        </w:tc>
        <w:tc>
          <w:tcPr>
            <w:tcW w:w="640"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3FC869F5">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4.88</w:t>
            </w:r>
          </w:p>
        </w:tc>
      </w:tr>
      <w:tr w14:paraId="2A70F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64" w:type="pct"/>
            <w:vMerge w:val="continue"/>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1877222D">
            <w:pPr>
              <w:pStyle w:val="62"/>
              <w:numPr>
                <w:ilvl w:val="0"/>
                <w:numId w:val="0"/>
              </w:numPr>
              <w:shd w:val="clear"/>
              <w:bidi w:val="0"/>
              <w:ind w:leftChars="0"/>
              <w:jc w:val="left"/>
              <w:rPr>
                <w:rFonts w:hint="eastAsia"/>
                <w:b w:val="0"/>
                <w:color w:val="000000"/>
                <w:sz w:val="18"/>
                <w:szCs w:val="18"/>
                <w:highlight w:val="none"/>
                <w:lang w:val="en-US" w:eastAsia="zh-CN"/>
              </w:rPr>
            </w:pPr>
          </w:p>
        </w:tc>
        <w:tc>
          <w:tcPr>
            <w:tcW w:w="8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D4E391">
            <w:pPr>
              <w:pStyle w:val="62"/>
              <w:numPr>
                <w:ilvl w:val="0"/>
                <w:numId w:val="0"/>
              </w:numPr>
              <w:shd w:val="clear"/>
              <w:bidi w:val="0"/>
              <w:ind w:leftChars="0"/>
              <w:jc w:val="left"/>
              <w:rPr>
                <w:rFonts w:hint="eastAsia"/>
                <w:b w:val="0"/>
                <w:color w:val="000000"/>
                <w:sz w:val="18"/>
                <w:szCs w:val="18"/>
                <w:highlight w:val="none"/>
                <w:lang w:val="en-US" w:eastAsia="zh-CN"/>
              </w:rPr>
            </w:pPr>
            <w:r>
              <w:rPr>
                <w:rFonts w:hint="eastAsia"/>
                <w:b w:val="0"/>
                <w:color w:val="000000"/>
                <w:sz w:val="18"/>
                <w:szCs w:val="18"/>
                <w:highlight w:val="none"/>
                <w:lang w:val="en-US" w:eastAsia="zh-CN"/>
              </w:rPr>
              <w:t>苯系物</w:t>
            </w:r>
          </w:p>
        </w:tc>
        <w:tc>
          <w:tcPr>
            <w:tcW w:w="5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0EAAB0">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15</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801C41">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20</w:t>
            </w:r>
          </w:p>
        </w:tc>
        <w:tc>
          <w:tcPr>
            <w:tcW w:w="6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A943EF">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≤11.60</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055966">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1.20</w:t>
            </w:r>
          </w:p>
        </w:tc>
        <w:tc>
          <w:tcPr>
            <w:tcW w:w="6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AB822D">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2.33</w:t>
            </w:r>
          </w:p>
        </w:tc>
        <w:tc>
          <w:tcPr>
            <w:tcW w:w="640"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7FB8025E">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8.03</w:t>
            </w:r>
          </w:p>
        </w:tc>
      </w:tr>
      <w:tr w14:paraId="3917C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64" w:type="pct"/>
            <w:vMerge w:val="continue"/>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2268DACA">
            <w:pPr>
              <w:pStyle w:val="62"/>
              <w:numPr>
                <w:ilvl w:val="0"/>
                <w:numId w:val="0"/>
              </w:numPr>
              <w:shd w:val="clear"/>
              <w:bidi w:val="0"/>
              <w:ind w:leftChars="0"/>
              <w:jc w:val="left"/>
              <w:rPr>
                <w:rFonts w:hint="eastAsia"/>
                <w:b w:val="0"/>
                <w:color w:val="000000"/>
                <w:sz w:val="18"/>
                <w:szCs w:val="18"/>
                <w:highlight w:val="none"/>
                <w:lang w:val="en-US" w:eastAsia="zh-CN"/>
              </w:rPr>
            </w:pPr>
          </w:p>
        </w:tc>
        <w:tc>
          <w:tcPr>
            <w:tcW w:w="8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959C7A">
            <w:pPr>
              <w:pStyle w:val="62"/>
              <w:numPr>
                <w:ilvl w:val="0"/>
                <w:numId w:val="0"/>
              </w:numPr>
              <w:shd w:val="clear"/>
              <w:bidi w:val="0"/>
              <w:ind w:leftChars="0"/>
              <w:jc w:val="left"/>
              <w:rPr>
                <w:rFonts w:hint="eastAsia"/>
                <w:b w:val="0"/>
                <w:color w:val="000000"/>
                <w:sz w:val="18"/>
                <w:szCs w:val="18"/>
                <w:highlight w:val="none"/>
                <w:lang w:val="en-US" w:eastAsia="zh-CN"/>
              </w:rPr>
            </w:pPr>
            <w:r>
              <w:rPr>
                <w:rFonts w:hint="eastAsia"/>
                <w:b w:val="0"/>
                <w:color w:val="000000"/>
                <w:sz w:val="18"/>
                <w:szCs w:val="18"/>
                <w:highlight w:val="none"/>
                <w:lang w:val="en-US" w:eastAsia="zh-CN"/>
              </w:rPr>
              <w:t>非甲烷总烃</w:t>
            </w:r>
          </w:p>
        </w:tc>
        <w:tc>
          <w:tcPr>
            <w:tcW w:w="5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AD6B1B">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30</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F02C0C">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59</w:t>
            </w:r>
          </w:p>
        </w:tc>
        <w:tc>
          <w:tcPr>
            <w:tcW w:w="6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73777B">
            <w:pPr>
              <w:pStyle w:val="62"/>
              <w:numPr>
                <w:ilvl w:val="0"/>
                <w:numId w:val="0"/>
              </w:numPr>
              <w:shd w:val="clear"/>
              <w:bidi w:val="0"/>
              <w:ind w:left="0" w:leftChars="0" w:firstLine="0" w:firstLine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≤28.90</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73B3D9">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1.76</w:t>
            </w:r>
          </w:p>
        </w:tc>
        <w:tc>
          <w:tcPr>
            <w:tcW w:w="6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365C26">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3.15</w:t>
            </w:r>
          </w:p>
        </w:tc>
        <w:tc>
          <w:tcPr>
            <w:tcW w:w="640"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242825E6">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11.98</w:t>
            </w:r>
          </w:p>
        </w:tc>
      </w:tr>
      <w:tr w14:paraId="626FB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64" w:type="pct"/>
            <w:vMerge w:val="continue"/>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0463668">
            <w:pPr>
              <w:pStyle w:val="62"/>
              <w:numPr>
                <w:ilvl w:val="0"/>
                <w:numId w:val="0"/>
              </w:numPr>
              <w:shd w:val="clear"/>
              <w:bidi w:val="0"/>
              <w:ind w:leftChars="0"/>
              <w:jc w:val="left"/>
              <w:rPr>
                <w:rFonts w:hint="eastAsia"/>
                <w:b w:val="0"/>
                <w:color w:val="000000"/>
                <w:sz w:val="18"/>
                <w:szCs w:val="18"/>
                <w:highlight w:val="none"/>
                <w:lang w:val="en-US" w:eastAsia="zh-CN"/>
              </w:rPr>
            </w:pPr>
          </w:p>
        </w:tc>
        <w:tc>
          <w:tcPr>
            <w:tcW w:w="8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9725E8">
            <w:pPr>
              <w:pStyle w:val="62"/>
              <w:numPr>
                <w:ilvl w:val="0"/>
                <w:numId w:val="0"/>
              </w:numPr>
              <w:shd w:val="clear"/>
              <w:bidi w:val="0"/>
              <w:ind w:leftChars="0"/>
              <w:jc w:val="left"/>
              <w:rPr>
                <w:rFonts w:hint="eastAsia"/>
                <w:b w:val="0"/>
                <w:color w:val="000000"/>
                <w:sz w:val="18"/>
                <w:szCs w:val="18"/>
                <w:highlight w:val="none"/>
                <w:lang w:val="en-US" w:eastAsia="zh-CN"/>
              </w:rPr>
            </w:pPr>
            <w:r>
              <w:rPr>
                <w:rFonts w:hint="eastAsia"/>
                <w:b w:val="0"/>
                <w:color w:val="000000"/>
                <w:sz w:val="18"/>
                <w:szCs w:val="18"/>
                <w:highlight w:val="none"/>
                <w:lang w:val="en-US" w:eastAsia="zh-CN"/>
              </w:rPr>
              <w:t>挥发性有机物</w:t>
            </w:r>
          </w:p>
        </w:tc>
        <w:tc>
          <w:tcPr>
            <w:tcW w:w="5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DF1EA0">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35</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EAF90F">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73</w:t>
            </w:r>
          </w:p>
        </w:tc>
        <w:tc>
          <w:tcPr>
            <w:tcW w:w="6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6088E9">
            <w:pPr>
              <w:pStyle w:val="62"/>
              <w:numPr>
                <w:ilvl w:val="0"/>
                <w:numId w:val="0"/>
              </w:numPr>
              <w:shd w:val="clear"/>
              <w:bidi w:val="0"/>
              <w:ind w:left="0" w:leftChars="0" w:firstLine="0" w:firstLine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≤23.40</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2BA8E6">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4.76</w:t>
            </w:r>
          </w:p>
        </w:tc>
        <w:tc>
          <w:tcPr>
            <w:tcW w:w="6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5CCCEB">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8.79</w:t>
            </w:r>
          </w:p>
        </w:tc>
        <w:tc>
          <w:tcPr>
            <w:tcW w:w="640"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03AD0282">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15.50</w:t>
            </w:r>
          </w:p>
        </w:tc>
      </w:tr>
      <w:tr w14:paraId="3BE70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64" w:type="pct"/>
            <w:vMerge w:val="restar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A416238">
            <w:pPr>
              <w:pStyle w:val="62"/>
              <w:numPr>
                <w:ilvl w:val="0"/>
                <w:numId w:val="0"/>
              </w:numPr>
              <w:shd w:val="clear"/>
              <w:bidi w:val="0"/>
              <w:ind w:leftChars="0"/>
              <w:jc w:val="left"/>
              <w:rPr>
                <w:rFonts w:hint="default"/>
                <w:b w:val="0"/>
                <w:color w:val="000000"/>
                <w:sz w:val="18"/>
                <w:szCs w:val="18"/>
                <w:highlight w:val="none"/>
                <w:lang w:val="en-US" w:eastAsia="zh-CN"/>
              </w:rPr>
            </w:pPr>
            <w:r>
              <w:rPr>
                <w:rFonts w:hint="eastAsia"/>
                <w:b w:val="0"/>
                <w:color w:val="000000"/>
                <w:sz w:val="18"/>
                <w:szCs w:val="18"/>
                <w:highlight w:val="none"/>
                <w:lang w:val="en-US" w:eastAsia="zh-CN"/>
              </w:rPr>
              <w:t>专用设备制造业</w:t>
            </w:r>
          </w:p>
        </w:tc>
        <w:tc>
          <w:tcPr>
            <w:tcW w:w="8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3EAA8C">
            <w:pPr>
              <w:pStyle w:val="62"/>
              <w:numPr>
                <w:ilvl w:val="0"/>
                <w:numId w:val="0"/>
              </w:numPr>
              <w:shd w:val="clear"/>
              <w:bidi w:val="0"/>
              <w:ind w:leftChars="0"/>
              <w:jc w:val="left"/>
              <w:rPr>
                <w:rFonts w:hint="eastAsia"/>
                <w:b w:val="0"/>
                <w:color w:val="000000"/>
                <w:sz w:val="18"/>
                <w:szCs w:val="18"/>
                <w:highlight w:val="none"/>
                <w:lang w:val="en-US" w:eastAsia="zh-CN"/>
              </w:rPr>
            </w:pPr>
            <w:r>
              <w:rPr>
                <w:rFonts w:hint="eastAsia"/>
                <w:b w:val="0"/>
                <w:color w:val="000000"/>
                <w:sz w:val="18"/>
                <w:szCs w:val="18"/>
                <w:highlight w:val="none"/>
                <w:lang w:val="en-US" w:eastAsia="zh-CN"/>
              </w:rPr>
              <w:t>苯</w:t>
            </w:r>
          </w:p>
        </w:tc>
        <w:tc>
          <w:tcPr>
            <w:tcW w:w="5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879D19">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26</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59EA65">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56</w:t>
            </w:r>
          </w:p>
        </w:tc>
        <w:tc>
          <w:tcPr>
            <w:tcW w:w="6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381DA9">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≤0.77</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41E4B1">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0.05</w:t>
            </w:r>
          </w:p>
        </w:tc>
        <w:tc>
          <w:tcPr>
            <w:tcW w:w="6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92D04E">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0.12</w:t>
            </w:r>
          </w:p>
        </w:tc>
        <w:tc>
          <w:tcPr>
            <w:tcW w:w="640"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0F8E7046">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0.46</w:t>
            </w:r>
          </w:p>
        </w:tc>
      </w:tr>
      <w:tr w14:paraId="2FEBB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64" w:type="pct"/>
            <w:vMerge w:val="continue"/>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30D2F5F4">
            <w:pPr>
              <w:pStyle w:val="62"/>
              <w:numPr>
                <w:ilvl w:val="0"/>
                <w:numId w:val="0"/>
              </w:numPr>
              <w:shd w:val="clear"/>
              <w:bidi w:val="0"/>
              <w:ind w:left="0" w:leftChars="0" w:firstLine="0" w:firstLineChars="0"/>
              <w:jc w:val="left"/>
              <w:rPr>
                <w:rFonts w:hint="eastAsia" w:ascii="Times New Roman" w:hAnsi="Times New Roman" w:eastAsiaTheme="minorEastAsia" w:cstheme="minorBidi"/>
                <w:b w:val="0"/>
                <w:color w:val="000000"/>
                <w:kern w:val="2"/>
                <w:sz w:val="18"/>
                <w:szCs w:val="18"/>
                <w:highlight w:val="none"/>
                <w:lang w:val="en-US" w:eastAsia="zh-CN" w:bidi="en-US"/>
              </w:rPr>
            </w:pPr>
          </w:p>
        </w:tc>
        <w:tc>
          <w:tcPr>
            <w:tcW w:w="8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9FC3D6">
            <w:pPr>
              <w:pStyle w:val="62"/>
              <w:numPr>
                <w:ilvl w:val="0"/>
                <w:numId w:val="0"/>
              </w:numPr>
              <w:shd w:val="clear"/>
              <w:bidi w:val="0"/>
              <w:ind w:left="0" w:leftChars="0" w:firstLine="0" w:firstLineChars="0"/>
              <w:jc w:val="left"/>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甲苯</w:t>
            </w:r>
          </w:p>
        </w:tc>
        <w:tc>
          <w:tcPr>
            <w:tcW w:w="5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B22C4C">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29</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F5DC1F">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72</w:t>
            </w:r>
          </w:p>
        </w:tc>
        <w:tc>
          <w:tcPr>
            <w:tcW w:w="6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EC3636">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≤5.64</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FF80A8">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0.11</w:t>
            </w:r>
          </w:p>
        </w:tc>
        <w:tc>
          <w:tcPr>
            <w:tcW w:w="6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19D895">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0.40</w:t>
            </w:r>
          </w:p>
        </w:tc>
        <w:tc>
          <w:tcPr>
            <w:tcW w:w="640"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20D3E4E1">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1.82</w:t>
            </w:r>
          </w:p>
        </w:tc>
      </w:tr>
      <w:tr w14:paraId="00E3E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64" w:type="pct"/>
            <w:vMerge w:val="continue"/>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340AFDCA">
            <w:pPr>
              <w:pStyle w:val="62"/>
              <w:numPr>
                <w:ilvl w:val="0"/>
                <w:numId w:val="0"/>
              </w:numPr>
              <w:shd w:val="clear"/>
              <w:bidi w:val="0"/>
              <w:ind w:left="0" w:leftChars="0" w:firstLine="0" w:firstLineChars="0"/>
              <w:jc w:val="left"/>
              <w:rPr>
                <w:rFonts w:hint="eastAsia" w:ascii="Times New Roman" w:hAnsi="Times New Roman" w:eastAsiaTheme="minorEastAsia" w:cstheme="minorBidi"/>
                <w:b w:val="0"/>
                <w:color w:val="000000"/>
                <w:kern w:val="2"/>
                <w:sz w:val="18"/>
                <w:szCs w:val="18"/>
                <w:highlight w:val="none"/>
                <w:lang w:val="en-US" w:eastAsia="zh-CN" w:bidi="en-US"/>
              </w:rPr>
            </w:pPr>
          </w:p>
        </w:tc>
        <w:tc>
          <w:tcPr>
            <w:tcW w:w="8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51C38B">
            <w:pPr>
              <w:pStyle w:val="62"/>
              <w:numPr>
                <w:ilvl w:val="0"/>
                <w:numId w:val="0"/>
              </w:numPr>
              <w:shd w:val="clear"/>
              <w:bidi w:val="0"/>
              <w:ind w:left="0" w:leftChars="0" w:firstLine="0" w:firstLineChars="0"/>
              <w:jc w:val="left"/>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二甲苯</w:t>
            </w:r>
          </w:p>
        </w:tc>
        <w:tc>
          <w:tcPr>
            <w:tcW w:w="5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357C19">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31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454120">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75</w:t>
            </w:r>
          </w:p>
        </w:tc>
        <w:tc>
          <w:tcPr>
            <w:tcW w:w="6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84ADA7">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≤13.80</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7BF417">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0.72</w:t>
            </w:r>
          </w:p>
        </w:tc>
        <w:tc>
          <w:tcPr>
            <w:tcW w:w="6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F8BDDC">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2.06</w:t>
            </w:r>
          </w:p>
        </w:tc>
        <w:tc>
          <w:tcPr>
            <w:tcW w:w="640"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30F0A235">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6.21</w:t>
            </w:r>
          </w:p>
        </w:tc>
      </w:tr>
      <w:tr w14:paraId="20DAA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64" w:type="pct"/>
            <w:vMerge w:val="continue"/>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4D8CE39F">
            <w:pPr>
              <w:pStyle w:val="62"/>
              <w:numPr>
                <w:ilvl w:val="0"/>
                <w:numId w:val="0"/>
              </w:numPr>
              <w:shd w:val="clear"/>
              <w:bidi w:val="0"/>
              <w:ind w:leftChars="0"/>
              <w:jc w:val="left"/>
              <w:rPr>
                <w:rFonts w:hint="eastAsia"/>
                <w:b w:val="0"/>
                <w:color w:val="000000"/>
                <w:sz w:val="18"/>
                <w:szCs w:val="18"/>
                <w:highlight w:val="none"/>
                <w:lang w:val="en-US" w:eastAsia="zh-CN"/>
              </w:rPr>
            </w:pPr>
          </w:p>
        </w:tc>
        <w:tc>
          <w:tcPr>
            <w:tcW w:w="8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413FE1">
            <w:pPr>
              <w:pStyle w:val="62"/>
              <w:numPr>
                <w:ilvl w:val="0"/>
                <w:numId w:val="0"/>
              </w:numPr>
              <w:shd w:val="clear"/>
              <w:bidi w:val="0"/>
              <w:ind w:leftChars="0"/>
              <w:jc w:val="left"/>
              <w:rPr>
                <w:rFonts w:hint="eastAsia"/>
                <w:b w:val="0"/>
                <w:color w:val="000000"/>
                <w:sz w:val="18"/>
                <w:szCs w:val="18"/>
                <w:highlight w:val="none"/>
                <w:lang w:val="en-US" w:eastAsia="zh-CN"/>
              </w:rPr>
            </w:pPr>
            <w:r>
              <w:rPr>
                <w:rFonts w:hint="eastAsia"/>
                <w:b w:val="0"/>
                <w:color w:val="000000"/>
                <w:sz w:val="18"/>
                <w:szCs w:val="18"/>
                <w:highlight w:val="none"/>
                <w:lang w:val="en-US" w:eastAsia="zh-CN"/>
              </w:rPr>
              <w:t>苯系物</w:t>
            </w:r>
          </w:p>
        </w:tc>
        <w:tc>
          <w:tcPr>
            <w:tcW w:w="5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2FB22A">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8</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475C01">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17</w:t>
            </w:r>
          </w:p>
        </w:tc>
        <w:tc>
          <w:tcPr>
            <w:tcW w:w="6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8C3C45">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≤15.70</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A1D110">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2.13</w:t>
            </w:r>
          </w:p>
        </w:tc>
        <w:tc>
          <w:tcPr>
            <w:tcW w:w="6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8E666E">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4.76</w:t>
            </w:r>
          </w:p>
        </w:tc>
        <w:tc>
          <w:tcPr>
            <w:tcW w:w="640"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23CE33D4">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13.15</w:t>
            </w:r>
          </w:p>
        </w:tc>
      </w:tr>
      <w:tr w14:paraId="2939C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64" w:type="pct"/>
            <w:vMerge w:val="continue"/>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2777470">
            <w:pPr>
              <w:pStyle w:val="62"/>
              <w:numPr>
                <w:ilvl w:val="0"/>
                <w:numId w:val="0"/>
              </w:numPr>
              <w:shd w:val="clear"/>
              <w:bidi w:val="0"/>
              <w:ind w:leftChars="0"/>
              <w:jc w:val="left"/>
              <w:rPr>
                <w:rFonts w:hint="eastAsia"/>
                <w:b w:val="0"/>
                <w:color w:val="000000"/>
                <w:sz w:val="18"/>
                <w:szCs w:val="18"/>
                <w:highlight w:val="none"/>
                <w:lang w:val="en-US" w:eastAsia="zh-CN"/>
              </w:rPr>
            </w:pPr>
          </w:p>
        </w:tc>
        <w:tc>
          <w:tcPr>
            <w:tcW w:w="8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1FAC37">
            <w:pPr>
              <w:pStyle w:val="62"/>
              <w:numPr>
                <w:ilvl w:val="0"/>
                <w:numId w:val="0"/>
              </w:numPr>
              <w:shd w:val="clear"/>
              <w:bidi w:val="0"/>
              <w:ind w:leftChars="0"/>
              <w:jc w:val="left"/>
              <w:rPr>
                <w:rFonts w:hint="eastAsia"/>
                <w:b w:val="0"/>
                <w:color w:val="000000"/>
                <w:sz w:val="18"/>
                <w:szCs w:val="18"/>
                <w:highlight w:val="none"/>
                <w:lang w:val="en-US" w:eastAsia="zh-CN"/>
              </w:rPr>
            </w:pPr>
            <w:r>
              <w:rPr>
                <w:rFonts w:hint="eastAsia"/>
                <w:b w:val="0"/>
                <w:color w:val="000000"/>
                <w:sz w:val="18"/>
                <w:szCs w:val="18"/>
                <w:highlight w:val="none"/>
                <w:lang w:val="en-US" w:eastAsia="zh-CN"/>
              </w:rPr>
              <w:t>非甲烷总烃</w:t>
            </w:r>
          </w:p>
        </w:tc>
        <w:tc>
          <w:tcPr>
            <w:tcW w:w="5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33C8CE">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18</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288137">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51</w:t>
            </w:r>
          </w:p>
        </w:tc>
        <w:tc>
          <w:tcPr>
            <w:tcW w:w="6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949BB9">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0.44～17.50</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F7221F">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1.62</w:t>
            </w:r>
          </w:p>
        </w:tc>
        <w:tc>
          <w:tcPr>
            <w:tcW w:w="6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29AD69">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4.34</w:t>
            </w:r>
          </w:p>
        </w:tc>
        <w:tc>
          <w:tcPr>
            <w:tcW w:w="640"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738890C6">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6.66</w:t>
            </w:r>
          </w:p>
        </w:tc>
      </w:tr>
      <w:tr w14:paraId="10EE3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64" w:type="pct"/>
            <w:vMerge w:val="continue"/>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605AF574">
            <w:pPr>
              <w:pStyle w:val="62"/>
              <w:numPr>
                <w:ilvl w:val="0"/>
                <w:numId w:val="0"/>
              </w:numPr>
              <w:shd w:val="clear"/>
              <w:bidi w:val="0"/>
              <w:ind w:leftChars="0"/>
              <w:jc w:val="left"/>
              <w:rPr>
                <w:rFonts w:hint="eastAsia"/>
                <w:b w:val="0"/>
                <w:color w:val="000000"/>
                <w:sz w:val="18"/>
                <w:szCs w:val="18"/>
                <w:highlight w:val="none"/>
                <w:lang w:val="en-US" w:eastAsia="zh-CN"/>
              </w:rPr>
            </w:pPr>
          </w:p>
        </w:tc>
        <w:tc>
          <w:tcPr>
            <w:tcW w:w="8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CF77BA">
            <w:pPr>
              <w:pStyle w:val="62"/>
              <w:numPr>
                <w:ilvl w:val="0"/>
                <w:numId w:val="0"/>
              </w:numPr>
              <w:shd w:val="clear"/>
              <w:bidi w:val="0"/>
              <w:ind w:leftChars="0"/>
              <w:jc w:val="left"/>
              <w:rPr>
                <w:rFonts w:hint="eastAsia"/>
                <w:b w:val="0"/>
                <w:color w:val="000000"/>
                <w:sz w:val="18"/>
                <w:szCs w:val="18"/>
                <w:highlight w:val="none"/>
                <w:lang w:val="en-US" w:eastAsia="zh-CN"/>
              </w:rPr>
            </w:pPr>
            <w:r>
              <w:rPr>
                <w:rFonts w:hint="eastAsia"/>
                <w:b w:val="0"/>
                <w:color w:val="000000"/>
                <w:sz w:val="18"/>
                <w:szCs w:val="18"/>
                <w:highlight w:val="none"/>
                <w:lang w:val="en-US" w:eastAsia="zh-CN"/>
              </w:rPr>
              <w:t>挥发性有机物</w:t>
            </w:r>
          </w:p>
        </w:tc>
        <w:tc>
          <w:tcPr>
            <w:tcW w:w="5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17F857">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29</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9FB468">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90</w:t>
            </w:r>
          </w:p>
        </w:tc>
        <w:tc>
          <w:tcPr>
            <w:tcW w:w="6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35EA4C">
            <w:pPr>
              <w:pStyle w:val="62"/>
              <w:numPr>
                <w:ilvl w:val="0"/>
                <w:numId w:val="0"/>
              </w:numPr>
              <w:shd w:val="clear"/>
              <w:bidi w:val="0"/>
              <w:ind w:left="0" w:leftChars="0" w:firstLine="0" w:firstLine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≤36.50</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75507D">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3.50</w:t>
            </w:r>
          </w:p>
        </w:tc>
        <w:tc>
          <w:tcPr>
            <w:tcW w:w="6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80ADAF">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12.68</w:t>
            </w:r>
          </w:p>
        </w:tc>
        <w:tc>
          <w:tcPr>
            <w:tcW w:w="640"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72CC47D3">
            <w:pPr>
              <w:pStyle w:val="62"/>
              <w:numPr>
                <w:ilvl w:val="0"/>
                <w:numId w:val="0"/>
              </w:numPr>
              <w:shd w:val="clear"/>
              <w:bidi w:val="0"/>
              <w:ind w:leftChars="0"/>
              <w:jc w:val="center"/>
              <w:rPr>
                <w:rFonts w:hint="default"/>
                <w:b w:val="0"/>
                <w:color w:val="000000"/>
                <w:sz w:val="18"/>
                <w:szCs w:val="18"/>
                <w:highlight w:val="none"/>
                <w:lang w:val="en-US" w:eastAsia="zh-CN"/>
              </w:rPr>
            </w:pPr>
            <w:r>
              <w:rPr>
                <w:rFonts w:hint="eastAsia"/>
                <w:b w:val="0"/>
                <w:color w:val="000000"/>
                <w:sz w:val="18"/>
                <w:szCs w:val="18"/>
                <w:highlight w:val="none"/>
                <w:lang w:val="en-US" w:eastAsia="zh-CN"/>
              </w:rPr>
              <w:t>28.98</w:t>
            </w:r>
          </w:p>
        </w:tc>
      </w:tr>
      <w:tr w14:paraId="669CB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64" w:type="pct"/>
            <w:vMerge w:val="restar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4D680F30">
            <w:pPr>
              <w:pStyle w:val="62"/>
              <w:numPr>
                <w:ilvl w:val="0"/>
                <w:numId w:val="0"/>
              </w:numPr>
              <w:shd w:val="clear"/>
              <w:bidi w:val="0"/>
              <w:ind w:leftChars="0"/>
              <w:jc w:val="left"/>
              <w:rPr>
                <w:rFonts w:hint="default"/>
                <w:b w:val="0"/>
                <w:color w:val="000000"/>
                <w:sz w:val="18"/>
                <w:szCs w:val="18"/>
                <w:highlight w:val="none"/>
                <w:lang w:val="en-US" w:eastAsia="zh-CN"/>
              </w:rPr>
            </w:pPr>
            <w:r>
              <w:rPr>
                <w:rFonts w:hint="eastAsia"/>
                <w:b w:val="0"/>
                <w:color w:val="000000"/>
                <w:sz w:val="18"/>
                <w:szCs w:val="18"/>
                <w:highlight w:val="none"/>
                <w:lang w:val="en-US" w:eastAsia="zh-CN"/>
              </w:rPr>
              <w:t>轨道交通制造业</w:t>
            </w:r>
          </w:p>
        </w:tc>
        <w:tc>
          <w:tcPr>
            <w:tcW w:w="8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F06449">
            <w:pPr>
              <w:pStyle w:val="62"/>
              <w:numPr>
                <w:ilvl w:val="0"/>
                <w:numId w:val="0"/>
              </w:numPr>
              <w:shd w:val="clear"/>
              <w:bidi w:val="0"/>
              <w:ind w:leftChars="0"/>
              <w:jc w:val="left"/>
              <w:rPr>
                <w:rFonts w:hint="eastAsia"/>
                <w:b w:val="0"/>
                <w:color w:val="000000"/>
                <w:sz w:val="18"/>
                <w:szCs w:val="18"/>
                <w:highlight w:val="none"/>
                <w:lang w:val="en-US" w:eastAsia="zh-CN"/>
              </w:rPr>
            </w:pPr>
            <w:r>
              <w:rPr>
                <w:rFonts w:hint="eastAsia"/>
                <w:b w:val="0"/>
                <w:color w:val="000000"/>
                <w:sz w:val="18"/>
                <w:szCs w:val="18"/>
                <w:highlight w:val="none"/>
                <w:lang w:val="en-US" w:eastAsia="zh-CN"/>
              </w:rPr>
              <w:t>苯</w:t>
            </w:r>
          </w:p>
        </w:tc>
        <w:tc>
          <w:tcPr>
            <w:tcW w:w="5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B9622B">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14</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0386AD">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48</w:t>
            </w:r>
          </w:p>
        </w:tc>
        <w:tc>
          <w:tcPr>
            <w:tcW w:w="6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E51CF9">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≤0.89</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6210A3">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0.02</w:t>
            </w:r>
          </w:p>
        </w:tc>
        <w:tc>
          <w:tcPr>
            <w:tcW w:w="6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1F20A2">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0.09</w:t>
            </w:r>
          </w:p>
        </w:tc>
        <w:tc>
          <w:tcPr>
            <w:tcW w:w="640"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06DE889F">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0.23</w:t>
            </w:r>
          </w:p>
        </w:tc>
      </w:tr>
      <w:tr w14:paraId="59ECD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64" w:type="pct"/>
            <w:vMerge w:val="continue"/>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2DFDD09">
            <w:pPr>
              <w:pStyle w:val="62"/>
              <w:numPr>
                <w:ilvl w:val="0"/>
                <w:numId w:val="0"/>
              </w:numPr>
              <w:shd w:val="clear"/>
              <w:bidi w:val="0"/>
              <w:ind w:left="0" w:leftChars="0" w:firstLine="0" w:firstLineChars="0"/>
              <w:jc w:val="left"/>
              <w:rPr>
                <w:rFonts w:hint="eastAsia" w:ascii="Times New Roman" w:hAnsi="Times New Roman" w:eastAsiaTheme="minorEastAsia" w:cstheme="minorBidi"/>
                <w:b w:val="0"/>
                <w:color w:val="000000"/>
                <w:kern w:val="2"/>
                <w:sz w:val="18"/>
                <w:szCs w:val="18"/>
                <w:highlight w:val="none"/>
                <w:lang w:val="en-US" w:eastAsia="zh-CN" w:bidi="en-US"/>
              </w:rPr>
            </w:pPr>
          </w:p>
        </w:tc>
        <w:tc>
          <w:tcPr>
            <w:tcW w:w="8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EAC90C">
            <w:pPr>
              <w:pStyle w:val="62"/>
              <w:numPr>
                <w:ilvl w:val="0"/>
                <w:numId w:val="0"/>
              </w:numPr>
              <w:shd w:val="clear"/>
              <w:bidi w:val="0"/>
              <w:ind w:left="0" w:leftChars="0" w:firstLine="0" w:firstLineChars="0"/>
              <w:jc w:val="left"/>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甲苯</w:t>
            </w:r>
          </w:p>
        </w:tc>
        <w:tc>
          <w:tcPr>
            <w:tcW w:w="5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776974">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15</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030B2E">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49</w:t>
            </w:r>
          </w:p>
        </w:tc>
        <w:tc>
          <w:tcPr>
            <w:tcW w:w="6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0D964E">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≤2.61</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26D59C">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0.10</w:t>
            </w:r>
          </w:p>
        </w:tc>
        <w:tc>
          <w:tcPr>
            <w:tcW w:w="6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9A36AB">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0.20</w:t>
            </w:r>
          </w:p>
        </w:tc>
        <w:tc>
          <w:tcPr>
            <w:tcW w:w="640"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5C2A7BE7">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1.00</w:t>
            </w:r>
          </w:p>
        </w:tc>
      </w:tr>
      <w:tr w14:paraId="0C027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864" w:type="pct"/>
            <w:vMerge w:val="continue"/>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2D131A5F">
            <w:pPr>
              <w:pStyle w:val="62"/>
              <w:numPr>
                <w:ilvl w:val="0"/>
                <w:numId w:val="0"/>
              </w:numPr>
              <w:shd w:val="clear"/>
              <w:bidi w:val="0"/>
              <w:ind w:left="0" w:leftChars="0" w:firstLine="0" w:firstLineChars="0"/>
              <w:jc w:val="left"/>
              <w:rPr>
                <w:rFonts w:hint="eastAsia" w:ascii="Times New Roman" w:hAnsi="Times New Roman" w:eastAsiaTheme="minorEastAsia" w:cstheme="minorBidi"/>
                <w:b w:val="0"/>
                <w:color w:val="000000"/>
                <w:kern w:val="2"/>
                <w:sz w:val="18"/>
                <w:szCs w:val="18"/>
                <w:highlight w:val="none"/>
                <w:lang w:val="en-US" w:eastAsia="zh-CN" w:bidi="en-US"/>
              </w:rPr>
            </w:pPr>
          </w:p>
        </w:tc>
        <w:tc>
          <w:tcPr>
            <w:tcW w:w="8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55FFAB">
            <w:pPr>
              <w:pStyle w:val="62"/>
              <w:numPr>
                <w:ilvl w:val="0"/>
                <w:numId w:val="0"/>
              </w:numPr>
              <w:shd w:val="clear"/>
              <w:bidi w:val="0"/>
              <w:ind w:left="0" w:leftChars="0" w:firstLine="0" w:firstLineChars="0"/>
              <w:jc w:val="left"/>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二甲苯</w:t>
            </w:r>
          </w:p>
        </w:tc>
        <w:tc>
          <w:tcPr>
            <w:tcW w:w="5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640557">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16</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CA4EF5">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49</w:t>
            </w:r>
          </w:p>
        </w:tc>
        <w:tc>
          <w:tcPr>
            <w:tcW w:w="6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06034C">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≤17.10</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D2A0AD">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0.77</w:t>
            </w:r>
          </w:p>
        </w:tc>
        <w:tc>
          <w:tcPr>
            <w:tcW w:w="6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78EC37">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2.04</w:t>
            </w:r>
          </w:p>
        </w:tc>
        <w:tc>
          <w:tcPr>
            <w:tcW w:w="640"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18951719">
            <w:pPr>
              <w:pStyle w:val="62"/>
              <w:numPr>
                <w:ilvl w:val="0"/>
                <w:numId w:val="0"/>
              </w:numPr>
              <w:shd w:val="clear"/>
              <w:bidi w:val="0"/>
              <w:ind w:left="0" w:leftChars="0" w:firstLine="0" w:firstLineChars="0"/>
              <w:jc w:val="center"/>
              <w:rPr>
                <w:rFonts w:hint="eastAsia" w:ascii="Times New Roman" w:hAnsi="Times New Roman" w:eastAsiaTheme="minorEastAsia" w:cstheme="minorBidi"/>
                <w:b w:val="0"/>
                <w:color w:val="000000"/>
                <w:kern w:val="2"/>
                <w:sz w:val="18"/>
                <w:szCs w:val="18"/>
                <w:highlight w:val="none"/>
                <w:lang w:val="en-US" w:eastAsia="zh-CN" w:bidi="en-US"/>
              </w:rPr>
            </w:pPr>
            <w:r>
              <w:rPr>
                <w:rFonts w:hint="eastAsia"/>
                <w:b w:val="0"/>
                <w:color w:val="000000"/>
                <w:sz w:val="18"/>
                <w:szCs w:val="18"/>
                <w:highlight w:val="none"/>
                <w:lang w:val="en-US" w:eastAsia="zh-CN"/>
              </w:rPr>
              <w:t>10.00</w:t>
            </w:r>
          </w:p>
        </w:tc>
      </w:tr>
      <w:tr w14:paraId="41F9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64" w:type="pct"/>
            <w:vMerge w:val="continue"/>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10A51C17">
            <w:pPr>
              <w:pStyle w:val="62"/>
              <w:numPr>
                <w:ilvl w:val="0"/>
                <w:numId w:val="0"/>
              </w:numPr>
              <w:shd w:val="clear"/>
              <w:bidi w:val="0"/>
              <w:ind w:leftChars="0"/>
              <w:jc w:val="left"/>
              <w:rPr>
                <w:rFonts w:hint="eastAsia"/>
                <w:b w:val="0"/>
                <w:color w:val="000000"/>
                <w:sz w:val="18"/>
                <w:szCs w:val="18"/>
                <w:highlight w:val="none"/>
                <w:lang w:val="en-US" w:eastAsia="zh-CN"/>
              </w:rPr>
            </w:pPr>
          </w:p>
        </w:tc>
        <w:tc>
          <w:tcPr>
            <w:tcW w:w="8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393F1F">
            <w:pPr>
              <w:pStyle w:val="62"/>
              <w:numPr>
                <w:ilvl w:val="0"/>
                <w:numId w:val="0"/>
              </w:numPr>
              <w:shd w:val="clear"/>
              <w:bidi w:val="0"/>
              <w:ind w:leftChars="0"/>
              <w:jc w:val="left"/>
              <w:rPr>
                <w:rFonts w:hint="eastAsia"/>
                <w:b w:val="0"/>
                <w:color w:val="000000"/>
                <w:sz w:val="18"/>
                <w:szCs w:val="18"/>
                <w:highlight w:val="none"/>
                <w:lang w:val="en-US" w:eastAsia="zh-CN"/>
              </w:rPr>
            </w:pPr>
            <w:r>
              <w:rPr>
                <w:rFonts w:hint="eastAsia"/>
                <w:b w:val="0"/>
                <w:color w:val="000000"/>
                <w:sz w:val="18"/>
                <w:szCs w:val="18"/>
                <w:highlight w:val="none"/>
                <w:lang w:val="en-US" w:eastAsia="zh-CN"/>
              </w:rPr>
              <w:t>苯系物</w:t>
            </w:r>
          </w:p>
        </w:tc>
        <w:tc>
          <w:tcPr>
            <w:tcW w:w="5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103530">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4</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64BFA1">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18</w:t>
            </w:r>
          </w:p>
        </w:tc>
        <w:tc>
          <w:tcPr>
            <w:tcW w:w="6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ACB4F8">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0.08～9.80</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DE012D">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0.42</w:t>
            </w:r>
          </w:p>
        </w:tc>
        <w:tc>
          <w:tcPr>
            <w:tcW w:w="6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CA94A2">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1.19</w:t>
            </w:r>
          </w:p>
        </w:tc>
        <w:tc>
          <w:tcPr>
            <w:tcW w:w="640"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FCFA03D">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1.70</w:t>
            </w:r>
          </w:p>
        </w:tc>
      </w:tr>
      <w:tr w14:paraId="0B182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64" w:type="pct"/>
            <w:vMerge w:val="continue"/>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2AF6AD64">
            <w:pPr>
              <w:pStyle w:val="62"/>
              <w:numPr>
                <w:ilvl w:val="0"/>
                <w:numId w:val="0"/>
              </w:numPr>
              <w:shd w:val="clear"/>
              <w:bidi w:val="0"/>
              <w:ind w:leftChars="0"/>
              <w:jc w:val="left"/>
              <w:rPr>
                <w:rFonts w:hint="eastAsia"/>
                <w:b w:val="0"/>
                <w:color w:val="000000"/>
                <w:sz w:val="18"/>
                <w:szCs w:val="18"/>
                <w:highlight w:val="none"/>
                <w:lang w:val="en-US" w:eastAsia="zh-CN"/>
              </w:rPr>
            </w:pPr>
          </w:p>
        </w:tc>
        <w:tc>
          <w:tcPr>
            <w:tcW w:w="8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8D989F">
            <w:pPr>
              <w:pStyle w:val="62"/>
              <w:numPr>
                <w:ilvl w:val="0"/>
                <w:numId w:val="0"/>
              </w:numPr>
              <w:shd w:val="clear"/>
              <w:bidi w:val="0"/>
              <w:ind w:leftChars="0"/>
              <w:jc w:val="left"/>
              <w:rPr>
                <w:rFonts w:hint="eastAsia"/>
                <w:b w:val="0"/>
                <w:color w:val="000000"/>
                <w:sz w:val="18"/>
                <w:szCs w:val="18"/>
                <w:highlight w:val="none"/>
                <w:lang w:val="en-US" w:eastAsia="zh-CN"/>
              </w:rPr>
            </w:pPr>
            <w:r>
              <w:rPr>
                <w:rFonts w:hint="eastAsia"/>
                <w:b w:val="0"/>
                <w:color w:val="000000"/>
                <w:sz w:val="18"/>
                <w:szCs w:val="18"/>
                <w:highlight w:val="none"/>
                <w:lang w:val="en-US" w:eastAsia="zh-CN"/>
              </w:rPr>
              <w:t>非甲烷总烃</w:t>
            </w:r>
          </w:p>
        </w:tc>
        <w:tc>
          <w:tcPr>
            <w:tcW w:w="55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577D40">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7</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68B098">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23</w:t>
            </w:r>
          </w:p>
        </w:tc>
        <w:tc>
          <w:tcPr>
            <w:tcW w:w="6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5D07A0">
            <w:pPr>
              <w:pStyle w:val="62"/>
              <w:numPr>
                <w:ilvl w:val="0"/>
                <w:numId w:val="0"/>
              </w:numPr>
              <w:shd w:val="clear"/>
              <w:bidi w:val="0"/>
              <w:ind w:left="0" w:leftChars="0" w:firstLine="0" w:firstLine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≤11.60</w:t>
            </w:r>
          </w:p>
        </w:tc>
        <w:tc>
          <w:tcPr>
            <w:tcW w:w="44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DFD4CD">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2.60</w:t>
            </w:r>
          </w:p>
        </w:tc>
        <w:tc>
          <w:tcPr>
            <w:tcW w:w="64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DC4FB0">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3.64</w:t>
            </w:r>
          </w:p>
        </w:tc>
        <w:tc>
          <w:tcPr>
            <w:tcW w:w="640"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5774BA9C">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8.43</w:t>
            </w:r>
          </w:p>
        </w:tc>
      </w:tr>
      <w:tr w14:paraId="3D491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864" w:type="pct"/>
            <w:vMerge w:val="continue"/>
            <w:tcBorders>
              <w:top w:val="single" w:color="000000" w:sz="4" w:space="0"/>
              <w:left w:val="single" w:color="000000" w:sz="12" w:space="0"/>
              <w:bottom w:val="single" w:color="000000" w:sz="12" w:space="0"/>
              <w:right w:val="single" w:color="000000" w:sz="4" w:space="0"/>
            </w:tcBorders>
            <w:shd w:val="clear" w:color="auto" w:fill="FFFFFF"/>
            <w:noWrap/>
            <w:vAlign w:val="center"/>
          </w:tcPr>
          <w:p w14:paraId="1AE8B0FF">
            <w:pPr>
              <w:pStyle w:val="62"/>
              <w:numPr>
                <w:ilvl w:val="0"/>
                <w:numId w:val="0"/>
              </w:numPr>
              <w:shd w:val="clear"/>
              <w:bidi w:val="0"/>
              <w:ind w:leftChars="0"/>
              <w:jc w:val="left"/>
              <w:rPr>
                <w:rFonts w:hint="eastAsia"/>
                <w:b w:val="0"/>
                <w:color w:val="000000"/>
                <w:sz w:val="18"/>
                <w:szCs w:val="18"/>
                <w:highlight w:val="none"/>
                <w:lang w:val="en-US" w:eastAsia="zh-CN"/>
              </w:rPr>
            </w:pPr>
          </w:p>
        </w:tc>
        <w:tc>
          <w:tcPr>
            <w:tcW w:w="801"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77C6A1D4">
            <w:pPr>
              <w:pStyle w:val="62"/>
              <w:numPr>
                <w:ilvl w:val="0"/>
                <w:numId w:val="0"/>
              </w:numPr>
              <w:shd w:val="clear"/>
              <w:bidi w:val="0"/>
              <w:ind w:leftChars="0"/>
              <w:jc w:val="left"/>
              <w:rPr>
                <w:rFonts w:hint="eastAsia"/>
                <w:b w:val="0"/>
                <w:color w:val="000000"/>
                <w:sz w:val="18"/>
                <w:szCs w:val="18"/>
                <w:highlight w:val="none"/>
                <w:lang w:val="en-US" w:eastAsia="zh-CN"/>
              </w:rPr>
            </w:pPr>
            <w:r>
              <w:rPr>
                <w:rFonts w:hint="eastAsia"/>
                <w:b w:val="0"/>
                <w:color w:val="000000"/>
                <w:sz w:val="18"/>
                <w:szCs w:val="18"/>
                <w:highlight w:val="none"/>
                <w:lang w:val="en-US" w:eastAsia="zh-CN"/>
              </w:rPr>
              <w:t>挥发性有机物</w:t>
            </w:r>
          </w:p>
        </w:tc>
        <w:tc>
          <w:tcPr>
            <w:tcW w:w="552"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5ADA20F1">
            <w:pPr>
              <w:pStyle w:val="62"/>
              <w:numPr>
                <w:ilvl w:val="0"/>
                <w:numId w:val="0"/>
              </w:numPr>
              <w:shd w:val="clear"/>
              <w:bidi w:val="0"/>
              <w:ind w:leftChars="0"/>
              <w:jc w:val="center"/>
              <w:rPr>
                <w:rFonts w:hint="default"/>
                <w:b w:val="0"/>
                <w:color w:val="000000"/>
                <w:sz w:val="18"/>
                <w:szCs w:val="18"/>
                <w:highlight w:val="none"/>
                <w:lang w:val="en-US" w:eastAsia="zh-CN"/>
              </w:rPr>
            </w:pPr>
            <w:r>
              <w:rPr>
                <w:rFonts w:hint="eastAsia"/>
                <w:b w:val="0"/>
                <w:color w:val="000000"/>
                <w:sz w:val="18"/>
                <w:szCs w:val="18"/>
                <w:highlight w:val="none"/>
                <w:lang w:val="en-US" w:eastAsia="zh-CN"/>
              </w:rPr>
              <w:t>18</w:t>
            </w:r>
          </w:p>
        </w:tc>
        <w:tc>
          <w:tcPr>
            <w:tcW w:w="445"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6F4C21A1">
            <w:pPr>
              <w:pStyle w:val="62"/>
              <w:numPr>
                <w:ilvl w:val="0"/>
                <w:numId w:val="0"/>
              </w:numPr>
              <w:shd w:val="clear"/>
              <w:bidi w:val="0"/>
              <w:ind w:leftChars="0"/>
              <w:jc w:val="center"/>
              <w:rPr>
                <w:rFonts w:hint="default"/>
                <w:b w:val="0"/>
                <w:color w:val="000000"/>
                <w:sz w:val="18"/>
                <w:szCs w:val="18"/>
                <w:highlight w:val="none"/>
                <w:lang w:val="en-US" w:eastAsia="zh-CN"/>
              </w:rPr>
            </w:pPr>
            <w:r>
              <w:rPr>
                <w:rFonts w:hint="eastAsia"/>
                <w:b w:val="0"/>
                <w:color w:val="000000"/>
                <w:sz w:val="18"/>
                <w:szCs w:val="18"/>
                <w:highlight w:val="none"/>
                <w:lang w:val="en-US" w:eastAsia="zh-CN"/>
              </w:rPr>
              <w:t>59</w:t>
            </w:r>
          </w:p>
        </w:tc>
        <w:tc>
          <w:tcPr>
            <w:tcW w:w="609"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25BB7A42">
            <w:pPr>
              <w:pStyle w:val="62"/>
              <w:numPr>
                <w:ilvl w:val="0"/>
                <w:numId w:val="0"/>
              </w:numPr>
              <w:shd w:val="clear"/>
              <w:bidi w:val="0"/>
              <w:ind w:left="0" w:leftChars="0" w:firstLine="0" w:firstLine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≤265.50</w:t>
            </w:r>
          </w:p>
        </w:tc>
        <w:tc>
          <w:tcPr>
            <w:tcW w:w="446"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1F43C6DF">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6.96</w:t>
            </w:r>
          </w:p>
        </w:tc>
        <w:tc>
          <w:tcPr>
            <w:tcW w:w="640"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37E5AAAF">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12.78</w:t>
            </w:r>
          </w:p>
        </w:tc>
        <w:tc>
          <w:tcPr>
            <w:tcW w:w="640" w:type="pct"/>
            <w:tcBorders>
              <w:top w:val="single" w:color="000000" w:sz="4" w:space="0"/>
              <w:left w:val="single" w:color="000000" w:sz="4" w:space="0"/>
              <w:bottom w:val="single" w:color="000000" w:sz="12" w:space="0"/>
              <w:right w:val="single" w:color="000000" w:sz="12" w:space="0"/>
            </w:tcBorders>
            <w:shd w:val="clear" w:color="auto" w:fill="FFFFFF"/>
            <w:noWrap/>
            <w:vAlign w:val="center"/>
          </w:tcPr>
          <w:p w14:paraId="62A017AD">
            <w:pPr>
              <w:pStyle w:val="62"/>
              <w:numPr>
                <w:ilvl w:val="0"/>
                <w:numId w:val="0"/>
              </w:numPr>
              <w:shd w:val="clear"/>
              <w:bidi w:val="0"/>
              <w:ind w:leftChars="0"/>
              <w:jc w:val="center"/>
              <w:rPr>
                <w:rFonts w:hint="eastAsia"/>
                <w:b w:val="0"/>
                <w:color w:val="000000"/>
                <w:sz w:val="18"/>
                <w:szCs w:val="18"/>
                <w:highlight w:val="none"/>
                <w:lang w:val="en-US" w:eastAsia="zh-CN"/>
              </w:rPr>
            </w:pPr>
            <w:r>
              <w:rPr>
                <w:rFonts w:hint="eastAsia"/>
                <w:b w:val="0"/>
                <w:color w:val="000000"/>
                <w:sz w:val="18"/>
                <w:szCs w:val="18"/>
                <w:highlight w:val="none"/>
                <w:lang w:val="en-US" w:eastAsia="zh-CN"/>
              </w:rPr>
              <w:t>28.48</w:t>
            </w:r>
          </w:p>
        </w:tc>
      </w:tr>
    </w:tbl>
    <w:p w14:paraId="0E40D1B4">
      <w:pPr>
        <w:shd w:val="clear"/>
        <w:rPr>
          <w:rFonts w:hint="eastAsia"/>
          <w:b w:val="0"/>
          <w:color w:val="auto"/>
          <w:sz w:val="24"/>
          <w:szCs w:val="24"/>
          <w:highlight w:val="none"/>
          <w:lang w:val="en-US" w:eastAsia="zh-CN"/>
        </w:rPr>
      </w:pPr>
    </w:p>
    <w:p w14:paraId="7B4FCBD4">
      <w:pPr>
        <w:pStyle w:val="3"/>
        <w:shd w:val="clear"/>
        <w:bidi w:val="0"/>
        <w:ind w:left="575" w:leftChars="0" w:hanging="575" w:firstLineChars="0"/>
        <w:rPr>
          <w:rFonts w:hint="eastAsia"/>
          <w:color w:val="auto"/>
          <w:highlight w:val="none"/>
          <w:lang w:val="en-US" w:eastAsia="zh-CN"/>
        </w:rPr>
      </w:pPr>
      <w:bookmarkStart w:id="227" w:name="_Toc19127"/>
      <w:bookmarkStart w:id="228" w:name="_Toc11546"/>
      <w:bookmarkStart w:id="229" w:name="_Toc29373"/>
      <w:bookmarkStart w:id="230" w:name="_Toc11723"/>
      <w:bookmarkStart w:id="231" w:name="_Toc29583"/>
      <w:bookmarkStart w:id="232" w:name="_Toc12441"/>
      <w:r>
        <w:rPr>
          <w:rFonts w:hint="eastAsia"/>
          <w:color w:val="auto"/>
          <w:highlight w:val="none"/>
          <w:lang w:val="en-US" w:eastAsia="zh-CN"/>
        </w:rPr>
        <w:t>金属制品制造业</w:t>
      </w:r>
      <w:bookmarkEnd w:id="227"/>
      <w:bookmarkEnd w:id="228"/>
      <w:bookmarkEnd w:id="229"/>
      <w:bookmarkEnd w:id="230"/>
      <w:bookmarkEnd w:id="231"/>
      <w:bookmarkEnd w:id="232"/>
    </w:p>
    <w:p w14:paraId="15A2EE57">
      <w:pPr>
        <w:shd w:val="clear"/>
        <w:rPr>
          <w:rFonts w:hint="eastAsia"/>
          <w:color w:val="auto"/>
          <w:sz w:val="24"/>
          <w:szCs w:val="24"/>
          <w:highlight w:val="none"/>
          <w:lang w:val="en-US" w:eastAsia="zh-CN"/>
        </w:rPr>
      </w:pPr>
      <w:r>
        <w:rPr>
          <w:rFonts w:hint="eastAsia"/>
          <w:color w:val="auto"/>
          <w:sz w:val="24"/>
          <w:szCs w:val="24"/>
          <w:highlight w:val="none"/>
          <w:lang w:val="en-US" w:eastAsia="zh-CN"/>
        </w:rPr>
        <w:t>截止目前，全国共有17个适用于金属制品制造业的地方标准涉及挥发性有机物的排放控制。各污染控制项目有组织排放浓度比对情况如下：</w:t>
      </w:r>
    </w:p>
    <w:p w14:paraId="750C1C4B">
      <w:pPr>
        <w:shd w:val="clear"/>
        <w:rPr>
          <w:rFonts w:hint="default"/>
          <w:color w:val="auto"/>
          <w:sz w:val="24"/>
          <w:szCs w:val="24"/>
          <w:highlight w:val="none"/>
          <w:lang w:val="en-US" w:eastAsia="zh-CN"/>
        </w:rPr>
      </w:pPr>
      <w:r>
        <w:rPr>
          <w:rFonts w:hint="eastAsia"/>
          <w:color w:val="auto"/>
          <w:sz w:val="24"/>
          <w:szCs w:val="24"/>
          <w:highlight w:val="none"/>
          <w:lang w:val="en-US" w:eastAsia="zh-CN"/>
        </w:rPr>
        <w:t>苯：控制限值为1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，与全国大部分地区持平。</w:t>
      </w:r>
      <w:r>
        <w:rPr>
          <w:rFonts w:hint="eastAsia"/>
          <w:color w:val="auto"/>
          <w:sz w:val="24"/>
          <w:szCs w:val="24"/>
          <w:highlight w:val="none"/>
          <w:lang w:val="en-US" w:eastAsia="zh-CN"/>
        </w:rPr>
        <w:t>全国各地苯的控制限值主要分为2档，其中，北京、江苏、山东等3省市取值为0.5 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；本文件与全国其余14个省市均为1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p>
    <w:p w14:paraId="3491AA2F">
      <w:pPr>
        <w:shd w:val="clear"/>
        <w:rPr>
          <w:rFonts w:hint="default"/>
          <w:color w:val="auto"/>
          <w:sz w:val="24"/>
          <w:szCs w:val="24"/>
          <w:highlight w:val="none"/>
          <w:lang w:val="en-US" w:eastAsia="zh-CN"/>
        </w:rPr>
      </w:pPr>
      <w:r>
        <w:rPr>
          <w:rFonts w:hint="eastAsia"/>
          <w:color w:val="auto"/>
          <w:sz w:val="24"/>
          <w:szCs w:val="24"/>
          <w:highlight w:val="none"/>
          <w:lang w:val="en-US" w:eastAsia="zh-CN"/>
        </w:rPr>
        <w:t>苯系物：控制限值为30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，处于中等水平。</w:t>
      </w:r>
      <w:r>
        <w:rPr>
          <w:rFonts w:hint="eastAsia"/>
          <w:color w:val="auto"/>
          <w:sz w:val="24"/>
          <w:szCs w:val="24"/>
          <w:highlight w:val="none"/>
          <w:lang w:val="en-US" w:eastAsia="zh-CN"/>
        </w:rPr>
        <w:t>全国各地苯系物的控制限值主要分为3档：其中，北京、江苏、浙江特排限值为20 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；本文件与</w:t>
      </w:r>
      <w:r>
        <w:rPr>
          <w:rFonts w:hint="eastAsia"/>
          <w:color w:val="auto"/>
          <w:sz w:val="24"/>
          <w:szCs w:val="24"/>
          <w:highlight w:val="none"/>
          <w:vertAlign w:val="baseline"/>
          <w:lang w:val="en-US" w:eastAsia="zh-CN"/>
        </w:rPr>
        <w:t xml:space="preserve">福建为30 </w:t>
      </w:r>
      <w:r>
        <w:rPr>
          <w:rFonts w:hint="eastAsia"/>
          <w:color w:val="auto"/>
          <w:sz w:val="24"/>
          <w:szCs w:val="24"/>
          <w:highlight w:val="no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；浙江一般限值和安徽为</w:t>
      </w:r>
      <w:r>
        <w:rPr>
          <w:rFonts w:hint="eastAsia"/>
          <w:color w:val="auto"/>
          <w:sz w:val="24"/>
          <w:szCs w:val="24"/>
          <w:highlight w:val="none"/>
          <w:vertAlign w:val="baseline"/>
          <w:lang w:val="en-US" w:eastAsia="zh-CN"/>
        </w:rPr>
        <w:t xml:space="preserve">40 </w:t>
      </w:r>
      <w:r>
        <w:rPr>
          <w:rFonts w:hint="eastAsia"/>
          <w:color w:val="auto"/>
          <w:sz w:val="24"/>
          <w:szCs w:val="24"/>
          <w:highlight w:val="no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。此外，天津、河北、山东、河南、广东等省规定了甲苯与二甲苯合计的控制限值为</w:t>
      </w:r>
      <w:r>
        <w:rPr>
          <w:rFonts w:hint="eastAsia"/>
          <w:color w:val="auto"/>
          <w:sz w:val="24"/>
          <w:szCs w:val="24"/>
          <w:highlight w:val="none"/>
          <w:lang w:val="en-US" w:eastAsia="zh-CN"/>
        </w:rPr>
        <w:t>20 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w:t>
      </w:r>
    </w:p>
    <w:p w14:paraId="3A645AA5">
      <w:pPr>
        <w:shd w:val="clear"/>
        <w:rPr>
          <w:rFonts w:hint="default"/>
          <w:color w:val="auto"/>
          <w:sz w:val="24"/>
          <w:szCs w:val="24"/>
          <w:highlight w:val="none"/>
          <w:lang w:val="en-US" w:eastAsia="zh-CN"/>
        </w:rPr>
      </w:pPr>
      <w:r>
        <w:rPr>
          <w:rFonts w:hint="eastAsia"/>
          <w:color w:val="auto"/>
          <w:sz w:val="24"/>
          <w:szCs w:val="24"/>
          <w:highlight w:val="none"/>
          <w:lang w:val="en-US" w:eastAsia="zh-CN"/>
        </w:rPr>
        <w:t>非甲烷总烃</w:t>
      </w:r>
      <w:r>
        <w:rPr>
          <w:rFonts w:hint="eastAsia" w:ascii="Times New Roman" w:eastAsia="宋体"/>
          <w:color w:val="auto"/>
          <w:sz w:val="24"/>
          <w:szCs w:val="24"/>
          <w:highlight w:val="none"/>
          <w:lang w:val="en-US" w:eastAsia="zh-CN"/>
        </w:rPr>
        <w:t>：控制限值为</w:t>
      </w:r>
      <w:r>
        <w:rPr>
          <w:rFonts w:hint="eastAsia"/>
          <w:color w:val="auto"/>
          <w:sz w:val="24"/>
          <w:szCs w:val="24"/>
          <w:highlight w:val="none"/>
          <w:lang w:val="en-US" w:eastAsia="zh-CN"/>
        </w:rPr>
        <w:t>5</w:t>
      </w:r>
      <w:r>
        <w:rPr>
          <w:rFonts w:hint="eastAsia" w:ascii="Times New Roman" w:eastAsia="宋体"/>
          <w:color w:val="auto"/>
          <w:sz w:val="24"/>
          <w:szCs w:val="24"/>
          <w:highlight w:val="none"/>
          <w:lang w:val="en-US" w:eastAsia="zh-CN"/>
        </w:rPr>
        <w:t>0 mg/m</w:t>
      </w:r>
      <w:r>
        <w:rPr>
          <w:rFonts w:hint="eastAsia" w:ascii="Times New Roman" w:eastAsia="宋体"/>
          <w:color w:val="auto"/>
          <w:sz w:val="24"/>
          <w:szCs w:val="24"/>
          <w:highlight w:val="none"/>
          <w:vertAlign w:val="superscript"/>
          <w:lang w:val="en-US" w:eastAsia="zh-CN"/>
        </w:rPr>
        <w:t>3</w:t>
      </w:r>
      <w:r>
        <w:rPr>
          <w:rFonts w:hint="eastAsia" w:ascii="Times New Roman" w:eastAsia="宋体"/>
          <w:color w:val="auto"/>
          <w:sz w:val="24"/>
          <w:szCs w:val="24"/>
          <w:highlight w:val="none"/>
          <w:vertAlign w:val="baseline"/>
          <w:lang w:val="en-US" w:eastAsia="zh-CN"/>
        </w:rPr>
        <w:t>，处于</w:t>
      </w:r>
      <w:r>
        <w:rPr>
          <w:rFonts w:hint="eastAsia"/>
          <w:color w:val="auto"/>
          <w:sz w:val="24"/>
          <w:szCs w:val="24"/>
          <w:highlight w:val="none"/>
          <w:vertAlign w:val="baseline"/>
          <w:lang w:val="en-US" w:eastAsia="zh-CN"/>
        </w:rPr>
        <w:t>中等</w:t>
      </w:r>
      <w:r>
        <w:rPr>
          <w:rFonts w:hint="eastAsia" w:ascii="Times New Roman" w:eastAsia="宋体"/>
          <w:color w:val="auto"/>
          <w:sz w:val="24"/>
          <w:szCs w:val="24"/>
          <w:highlight w:val="none"/>
          <w:vertAlign w:val="baseline"/>
          <w:lang w:val="en-US" w:eastAsia="zh-CN"/>
        </w:rPr>
        <w:t>水平。</w:t>
      </w:r>
      <w:r>
        <w:rPr>
          <w:rFonts w:hint="eastAsia"/>
          <w:color w:val="auto"/>
          <w:sz w:val="24"/>
          <w:szCs w:val="24"/>
          <w:highlight w:val="none"/>
          <w:lang w:val="en-US" w:eastAsia="zh-CN"/>
        </w:rPr>
        <w:t>全国非甲烷总烃的控制限值主要分为4档：其中，天津、山西为40 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；本文件与北京、江苏、山东、河南</w:t>
      </w:r>
      <w:r>
        <w:rPr>
          <w:rFonts w:hint="eastAsia"/>
          <w:color w:val="auto"/>
          <w:sz w:val="24"/>
          <w:szCs w:val="24"/>
          <w:highlight w:val="none"/>
          <w:vertAlign w:val="baseline"/>
          <w:lang w:val="en-US" w:eastAsia="zh-CN"/>
        </w:rPr>
        <w:t xml:space="preserve">为50 </w:t>
      </w:r>
      <w:r>
        <w:rPr>
          <w:rFonts w:hint="eastAsia"/>
          <w:color w:val="auto"/>
          <w:sz w:val="24"/>
          <w:szCs w:val="24"/>
          <w:highlight w:val="no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；安徽</w:t>
      </w:r>
      <w:r>
        <w:rPr>
          <w:rFonts w:hint="eastAsia"/>
          <w:color w:val="auto"/>
          <w:sz w:val="24"/>
          <w:szCs w:val="24"/>
          <w:highlight w:val="none"/>
          <w:vertAlign w:val="baseline"/>
          <w:lang w:val="en-US" w:eastAsia="zh-CN"/>
        </w:rPr>
        <w:t>为7</w:t>
      </w:r>
      <w:r>
        <w:rPr>
          <w:rFonts w:hint="eastAsia"/>
          <w:color w:val="auto"/>
          <w:sz w:val="24"/>
          <w:szCs w:val="24"/>
          <w:highlight w:val="none"/>
          <w:lang w:val="en-US" w:eastAsia="zh-CN"/>
        </w:rPr>
        <w:t>0 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；四川为80 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w:t>
      </w:r>
    </w:p>
    <w:p w14:paraId="109C3BAC">
      <w:pPr>
        <w:shd w:val="clear"/>
        <w:rPr>
          <w:rFonts w:hint="default"/>
          <w:color w:val="auto"/>
          <w:sz w:val="24"/>
          <w:szCs w:val="24"/>
          <w:highlight w:val="none"/>
          <w:lang w:val="en-US" w:eastAsia="zh-CN"/>
        </w:rPr>
      </w:pPr>
      <w:r>
        <w:rPr>
          <w:rFonts w:hint="eastAsia"/>
          <w:color w:val="auto"/>
          <w:sz w:val="24"/>
          <w:szCs w:val="24"/>
          <w:highlight w:val="none"/>
          <w:lang w:val="en-US" w:eastAsia="zh-CN"/>
        </w:rPr>
        <w:t>挥发性有机物</w:t>
      </w:r>
      <w:r>
        <w:rPr>
          <w:rFonts w:hint="eastAsia" w:ascii="Times New Roman" w:eastAsia="宋体"/>
          <w:color w:val="auto"/>
          <w:sz w:val="24"/>
          <w:szCs w:val="24"/>
          <w:highlight w:val="none"/>
          <w:lang w:val="en-US" w:eastAsia="zh-CN"/>
        </w:rPr>
        <w:t>：控制限值为</w:t>
      </w:r>
      <w:r>
        <w:rPr>
          <w:rFonts w:hint="eastAsia"/>
          <w:color w:val="auto"/>
          <w:sz w:val="24"/>
          <w:szCs w:val="24"/>
          <w:highlight w:val="none"/>
          <w:lang w:val="en-US" w:eastAsia="zh-CN"/>
        </w:rPr>
        <w:t>8</w:t>
      </w:r>
      <w:r>
        <w:rPr>
          <w:rFonts w:hint="eastAsia" w:ascii="Times New Roman" w:eastAsia="宋体"/>
          <w:color w:val="auto"/>
          <w:sz w:val="24"/>
          <w:szCs w:val="24"/>
          <w:highlight w:val="none"/>
          <w:lang w:val="en-US" w:eastAsia="zh-CN"/>
        </w:rPr>
        <w:t>0 mg/m</w:t>
      </w:r>
      <w:r>
        <w:rPr>
          <w:rFonts w:hint="eastAsia" w:ascii="Times New Roman" w:eastAsia="宋体"/>
          <w:color w:val="auto"/>
          <w:sz w:val="24"/>
          <w:szCs w:val="24"/>
          <w:highlight w:val="none"/>
          <w:vertAlign w:val="superscript"/>
          <w:lang w:val="en-US" w:eastAsia="zh-CN"/>
        </w:rPr>
        <w:t>3</w:t>
      </w:r>
      <w:r>
        <w:rPr>
          <w:rFonts w:hint="eastAsia" w:ascii="Times New Roman" w:eastAsia="宋体"/>
          <w:color w:val="auto"/>
          <w:sz w:val="24"/>
          <w:szCs w:val="24"/>
          <w:highlight w:val="none"/>
          <w:vertAlign w:val="baseline"/>
          <w:lang w:val="en-US" w:eastAsia="zh-CN"/>
        </w:rPr>
        <w:t>，处于</w:t>
      </w:r>
      <w:r>
        <w:rPr>
          <w:rFonts w:hint="eastAsia"/>
          <w:color w:val="auto"/>
          <w:sz w:val="24"/>
          <w:szCs w:val="24"/>
          <w:highlight w:val="none"/>
          <w:vertAlign w:val="baseline"/>
          <w:lang w:val="en-US" w:eastAsia="zh-CN"/>
        </w:rPr>
        <w:t>中等</w:t>
      </w:r>
      <w:r>
        <w:rPr>
          <w:rFonts w:hint="eastAsia" w:ascii="Times New Roman" w:eastAsia="宋体"/>
          <w:color w:val="auto"/>
          <w:sz w:val="24"/>
          <w:szCs w:val="24"/>
          <w:highlight w:val="none"/>
          <w:vertAlign w:val="baseline"/>
          <w:lang w:val="en-US" w:eastAsia="zh-CN"/>
        </w:rPr>
        <w:t>水平。</w:t>
      </w:r>
      <w:r>
        <w:rPr>
          <w:rFonts w:hint="eastAsia"/>
          <w:color w:val="auto"/>
          <w:sz w:val="24"/>
          <w:szCs w:val="24"/>
          <w:highlight w:val="none"/>
          <w:lang w:val="en-US" w:eastAsia="zh-CN"/>
        </w:rPr>
        <w:t>全国挥发性有机物的控制限值主要分为4档：其中，天津为50 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；本文件与江苏</w:t>
      </w:r>
      <w:r>
        <w:rPr>
          <w:rFonts w:hint="eastAsia"/>
          <w:color w:val="auto"/>
          <w:sz w:val="24"/>
          <w:szCs w:val="24"/>
          <w:highlight w:val="none"/>
          <w:vertAlign w:val="baseline"/>
          <w:lang w:val="en-US" w:eastAsia="zh-CN"/>
        </w:rPr>
        <w:t xml:space="preserve">为80 </w:t>
      </w:r>
      <w:r>
        <w:rPr>
          <w:rFonts w:hint="eastAsia"/>
          <w:color w:val="auto"/>
          <w:sz w:val="24"/>
          <w:szCs w:val="24"/>
          <w:highlight w:val="no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；广东集中箱行业为90 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；浙江特排限值和一般限值分别为120 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和150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p>
    <w:p w14:paraId="1AA0659A">
      <w:pPr>
        <w:shd w:val="clear"/>
        <w:rPr>
          <w:rFonts w:hint="default"/>
          <w:color w:val="auto"/>
          <w:sz w:val="24"/>
          <w:szCs w:val="24"/>
          <w:highlight w:val="none"/>
          <w:lang w:val="en-US" w:eastAsia="zh-CN"/>
        </w:rPr>
      </w:pPr>
      <w:r>
        <w:rPr>
          <w:rFonts w:hint="eastAsia"/>
          <w:color w:val="auto"/>
          <w:highlight w:val="none"/>
          <w:lang w:val="en-US" w:eastAsia="zh-CN"/>
        </w:rPr>
        <w:t>金属制品制造业有组织排放浓度见</w:t>
      </w:r>
      <w:r>
        <w:rPr>
          <w:rFonts w:hint="eastAsia"/>
          <w:color w:val="auto"/>
          <w:highlight w:val="none"/>
          <w:lang w:val="en-US" w:eastAsia="zh-CN"/>
        </w:rPr>
        <w:fldChar w:fldCharType="begin"/>
      </w:r>
      <w:r>
        <w:rPr>
          <w:rFonts w:hint="eastAsia"/>
          <w:color w:val="auto"/>
          <w:highlight w:val="none"/>
          <w:lang w:val="en-US" w:eastAsia="zh-CN"/>
        </w:rPr>
        <w:instrText xml:space="preserve"> REF _Ref7746 \h </w:instrText>
      </w:r>
      <w:r>
        <w:rPr>
          <w:rFonts w:hint="eastAsia"/>
          <w:color w:val="auto"/>
          <w:highlight w:val="none"/>
          <w:lang w:val="en-US" w:eastAsia="zh-CN"/>
        </w:rPr>
        <w:fldChar w:fldCharType="separate"/>
      </w:r>
      <w:r>
        <w:t>表27</w:t>
      </w:r>
      <w:r>
        <w:rPr>
          <w:rFonts w:hint="eastAsia"/>
          <w:color w:val="auto"/>
          <w:highlight w:val="none"/>
          <w:lang w:val="en-US" w:eastAsia="zh-CN"/>
        </w:rPr>
        <w:fldChar w:fldCharType="end"/>
      </w:r>
      <w:r>
        <w:rPr>
          <w:rFonts w:hint="eastAsia"/>
          <w:color w:val="auto"/>
          <w:highlight w:val="none"/>
          <w:lang w:val="en-US" w:eastAsia="zh-CN"/>
        </w:rPr>
        <w:t>。</w:t>
      </w:r>
      <w:r>
        <w:rPr>
          <w:rFonts w:hint="eastAsia"/>
          <w:color w:val="auto"/>
          <w:sz w:val="24"/>
          <w:szCs w:val="24"/>
          <w:highlight w:val="none"/>
          <w:lang w:val="en-US" w:eastAsia="zh-CN"/>
        </w:rPr>
        <w:t>根据现有监测数据判断，金属制品制造等企业挥发性有机物存在一定的超标风险，大约10%的现有企业需要进一步加强对挥发性有机物的控制。此外，考虑到现有数据主要来源于企业自行公开的监测数据，其余未上传数据的企业存在更高的超标风险，保守估计实际达标率约为70%～80%。</w:t>
      </w:r>
    </w:p>
    <w:p w14:paraId="3FEF3104">
      <w:pPr>
        <w:pStyle w:val="129"/>
        <w:shd w:val="clear"/>
        <w:bidi w:val="0"/>
        <w:ind w:left="0" w:leftChars="0"/>
        <w:jc w:val="center"/>
        <w:outlineLvl w:val="4"/>
        <w:rPr>
          <w:rFonts w:hint="default"/>
          <w:lang w:val="en-US" w:eastAsia="zh-CN"/>
        </w:rPr>
      </w:pPr>
      <w:bookmarkStart w:id="233" w:name="_Ref7746"/>
      <w:r>
        <w:t>表</w:t>
      </w:r>
      <w:r>
        <w:fldChar w:fldCharType="begin"/>
      </w:r>
      <w:r>
        <w:instrText xml:space="preserve"> SEQ 表 \* ARABIC </w:instrText>
      </w:r>
      <w:r>
        <w:fldChar w:fldCharType="separate"/>
      </w:r>
      <w:r>
        <w:t>27</w:t>
      </w:r>
      <w:r>
        <w:fldChar w:fldCharType="end"/>
      </w:r>
      <w:bookmarkEnd w:id="233"/>
      <w:r>
        <w:rPr>
          <w:rFonts w:hint="eastAsia"/>
          <w:lang w:val="en-US" w:eastAsia="zh-CN"/>
        </w:rPr>
        <w:t xml:space="preserve"> 金属制品制造业有组织排放浓度</w:t>
      </w:r>
    </w:p>
    <w:p w14:paraId="692A2EE9">
      <w:pPr>
        <w:shd w:val="clear"/>
        <w:jc w:val="right"/>
        <w:rPr>
          <w:rFonts w:hint="default"/>
          <w:color w:val="auto"/>
          <w:highlight w:val="none"/>
          <w:lang w:val="en-US" w:eastAsia="zh-CN"/>
        </w:rPr>
      </w:pPr>
      <w:r>
        <w:rPr>
          <w:rFonts w:hint="eastAsia"/>
          <w:color w:val="auto"/>
          <w:highlight w:val="none"/>
          <w:lang w:val="en-US" w:eastAsia="zh-CN"/>
        </w:rPr>
        <w:t>单位：mg/m</w:t>
      </w:r>
      <w:r>
        <w:rPr>
          <w:rFonts w:hint="eastAsia"/>
          <w:color w:val="auto"/>
          <w:highlight w:val="none"/>
          <w:vertAlign w:val="superscript"/>
          <w:lang w:val="en-US" w:eastAsia="zh-CN"/>
        </w:rPr>
        <w:t>3</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874"/>
        <w:gridCol w:w="1533"/>
        <w:gridCol w:w="936"/>
        <w:gridCol w:w="757"/>
        <w:gridCol w:w="1213"/>
        <w:gridCol w:w="757"/>
        <w:gridCol w:w="1086"/>
        <w:gridCol w:w="1086"/>
      </w:tblGrid>
      <w:tr w14:paraId="6011F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blHeader/>
        </w:trPr>
        <w:tc>
          <w:tcPr>
            <w:tcW w:w="1013" w:type="pct"/>
            <w:tcBorders>
              <w:bottom w:val="single" w:color="000000" w:sz="4" w:space="0"/>
              <w:right w:val="single" w:color="000000" w:sz="4" w:space="0"/>
              <w:tl2br w:val="nil"/>
            </w:tcBorders>
            <w:shd w:val="clear" w:color="auto" w:fill="FFFFFF"/>
            <w:noWrap/>
            <w:vAlign w:val="center"/>
          </w:tcPr>
          <w:p w14:paraId="0DCD7BC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eastAsia"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行业编号</w:t>
            </w:r>
          </w:p>
        </w:tc>
        <w:tc>
          <w:tcPr>
            <w:tcW w:w="829" w:type="pct"/>
            <w:tcBorders>
              <w:left w:val="single" w:color="000000" w:sz="4" w:space="0"/>
              <w:bottom w:val="single" w:color="000000" w:sz="4" w:space="0"/>
              <w:right w:val="single" w:color="000000" w:sz="4" w:space="0"/>
            </w:tcBorders>
            <w:shd w:val="clear" w:color="auto" w:fill="FFFFFF"/>
            <w:noWrap/>
            <w:vAlign w:val="center"/>
          </w:tcPr>
          <w:p w14:paraId="7CDBBC2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000000"/>
                <w:kern w:val="0"/>
                <w:sz w:val="18"/>
                <w:szCs w:val="18"/>
                <w:highlight w:val="none"/>
                <w:u w:val="none"/>
                <w:lang w:val="en-US" w:eastAsia="zh-CN" w:bidi="ar"/>
              </w:rPr>
            </w:pPr>
            <w:r>
              <w:rPr>
                <w:rFonts w:hint="default" w:ascii="Times New Roman" w:hAnsi="Times New Roman" w:eastAsia="宋体" w:cs="Times New Roman"/>
                <w:b w:val="0"/>
                <w:bCs/>
                <w:i w:val="0"/>
                <w:iCs w:val="0"/>
                <w:color w:val="000000"/>
                <w:kern w:val="0"/>
                <w:sz w:val="18"/>
                <w:szCs w:val="18"/>
                <w:highlight w:val="none"/>
                <w:u w:val="none"/>
                <w:lang w:val="en-US" w:eastAsia="zh-CN" w:bidi="ar"/>
              </w:rPr>
              <w:t>监测项目</w:t>
            </w:r>
          </w:p>
        </w:tc>
        <w:tc>
          <w:tcPr>
            <w:tcW w:w="506" w:type="pct"/>
            <w:tcBorders>
              <w:left w:val="single" w:color="000000" w:sz="4" w:space="0"/>
              <w:bottom w:val="single" w:color="000000" w:sz="4" w:space="0"/>
              <w:right w:val="single" w:color="000000" w:sz="4" w:space="0"/>
            </w:tcBorders>
            <w:shd w:val="clear" w:color="auto" w:fill="FFFFFF"/>
            <w:noWrap/>
            <w:vAlign w:val="center"/>
          </w:tcPr>
          <w:p w14:paraId="6D573BC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iCs w:val="0"/>
                <w:color w:val="000000"/>
                <w:kern w:val="2"/>
                <w:sz w:val="18"/>
                <w:szCs w:val="18"/>
                <w:highlight w:val="none"/>
                <w:u w:val="none"/>
                <w:lang w:val="en-US" w:eastAsia="zh-CN" w:bidi="ar-SA"/>
              </w:rPr>
            </w:pPr>
            <w:r>
              <w:rPr>
                <w:rFonts w:hint="default" w:ascii="Times New Roman" w:hAnsi="Times New Roman" w:eastAsia="宋体" w:cs="Times New Roman"/>
                <w:b w:val="0"/>
                <w:bCs/>
                <w:i w:val="0"/>
                <w:iCs w:val="0"/>
                <w:color w:val="000000"/>
                <w:kern w:val="0"/>
                <w:sz w:val="18"/>
                <w:szCs w:val="18"/>
                <w:highlight w:val="none"/>
                <w:u w:val="none"/>
                <w:lang w:val="en-US" w:eastAsia="zh-CN" w:bidi="ar"/>
              </w:rPr>
              <w:t>企业数量</w:t>
            </w:r>
          </w:p>
        </w:tc>
        <w:tc>
          <w:tcPr>
            <w:tcW w:w="409" w:type="pct"/>
            <w:tcBorders>
              <w:left w:val="single" w:color="000000" w:sz="4" w:space="0"/>
              <w:bottom w:val="single" w:color="000000" w:sz="4" w:space="0"/>
              <w:right w:val="single" w:color="000000" w:sz="4" w:space="0"/>
            </w:tcBorders>
            <w:shd w:val="clear" w:color="auto" w:fill="FFFFFF"/>
            <w:noWrap/>
            <w:vAlign w:val="center"/>
          </w:tcPr>
          <w:p w14:paraId="6FF83D2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0"/>
                <w:sz w:val="18"/>
                <w:szCs w:val="18"/>
                <w:highlight w:val="none"/>
                <w:u w:val="none"/>
                <w:lang w:val="en-US" w:eastAsia="zh-CN" w:bidi="ar"/>
              </w:rPr>
            </w:pPr>
            <w:r>
              <w:rPr>
                <w:rFonts w:hint="default" w:ascii="Times New Roman" w:hAnsi="Times New Roman" w:eastAsia="宋体" w:cs="Times New Roman"/>
                <w:b w:val="0"/>
                <w:bCs/>
                <w:i w:val="0"/>
                <w:iCs w:val="0"/>
                <w:color w:val="000000"/>
                <w:kern w:val="0"/>
                <w:sz w:val="18"/>
                <w:szCs w:val="18"/>
                <w:highlight w:val="none"/>
                <w:u w:val="none"/>
                <w:lang w:val="en-US" w:eastAsia="zh-CN" w:bidi="ar"/>
              </w:rPr>
              <w:t>数据量</w:t>
            </w:r>
          </w:p>
        </w:tc>
        <w:tc>
          <w:tcPr>
            <w:tcW w:w="656" w:type="pct"/>
            <w:tcBorders>
              <w:left w:val="single" w:color="000000" w:sz="4" w:space="0"/>
              <w:bottom w:val="single" w:color="000000" w:sz="4" w:space="0"/>
              <w:right w:val="single" w:color="000000" w:sz="4" w:space="0"/>
            </w:tcBorders>
            <w:shd w:val="clear" w:color="auto" w:fill="FFFFFF"/>
            <w:noWrap/>
            <w:vAlign w:val="center"/>
          </w:tcPr>
          <w:p w14:paraId="0B3976F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cs="Times New Roman"/>
                <w:b w:val="0"/>
                <w:i w:val="0"/>
                <w:iCs w:val="0"/>
                <w:color w:val="000000"/>
                <w:kern w:val="0"/>
                <w:sz w:val="18"/>
                <w:szCs w:val="18"/>
                <w:highlight w:val="none"/>
                <w:u w:val="none"/>
                <w:lang w:val="en-US" w:eastAsia="zh-CN" w:bidi="ar"/>
              </w:rPr>
            </w:pPr>
            <w:r>
              <w:rPr>
                <w:rFonts w:hint="eastAsia" w:ascii="Times New Roman" w:hAnsi="Times New Roman" w:eastAsia="宋体" w:cs="Times New Roman"/>
                <w:b w:val="0"/>
                <w:bCs/>
                <w:i w:val="0"/>
                <w:iCs w:val="0"/>
                <w:color w:val="000000"/>
                <w:sz w:val="18"/>
                <w:szCs w:val="18"/>
                <w:highlight w:val="none"/>
                <w:u w:val="none"/>
                <w:lang w:val="en-US" w:eastAsia="zh-CN"/>
              </w:rPr>
              <w:t>浓度范围</w:t>
            </w:r>
          </w:p>
        </w:tc>
        <w:tc>
          <w:tcPr>
            <w:tcW w:w="409" w:type="pct"/>
            <w:tcBorders>
              <w:left w:val="single" w:color="000000" w:sz="4" w:space="0"/>
              <w:bottom w:val="single" w:color="000000" w:sz="4" w:space="0"/>
              <w:right w:val="single" w:color="000000" w:sz="4" w:space="0"/>
            </w:tcBorders>
            <w:shd w:val="clear" w:color="auto" w:fill="FFFFFF"/>
            <w:noWrap/>
            <w:vAlign w:val="center"/>
          </w:tcPr>
          <w:p w14:paraId="00B90FE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0"/>
                <w:sz w:val="18"/>
                <w:szCs w:val="18"/>
                <w:highlight w:val="none"/>
                <w:u w:val="none"/>
                <w:lang w:val="en-US" w:eastAsia="zh-CN" w:bidi="ar"/>
              </w:rPr>
            </w:pPr>
            <w:r>
              <w:rPr>
                <w:rFonts w:hint="default" w:ascii="Times New Roman" w:hAnsi="Times New Roman" w:eastAsia="宋体" w:cs="Times New Roman"/>
                <w:b w:val="0"/>
                <w:bCs/>
                <w:i w:val="0"/>
                <w:iCs w:val="0"/>
                <w:color w:val="000000"/>
                <w:kern w:val="0"/>
                <w:sz w:val="18"/>
                <w:szCs w:val="18"/>
                <w:highlight w:val="none"/>
                <w:u w:val="none"/>
                <w:lang w:val="en-US" w:eastAsia="zh-CN" w:bidi="ar"/>
              </w:rPr>
              <w:t>中位数</w:t>
            </w:r>
          </w:p>
        </w:tc>
        <w:tc>
          <w:tcPr>
            <w:tcW w:w="587" w:type="pct"/>
            <w:tcBorders>
              <w:left w:val="single" w:color="000000" w:sz="4" w:space="0"/>
              <w:bottom w:val="single" w:color="000000" w:sz="4" w:space="0"/>
              <w:right w:val="single" w:color="000000" w:sz="4" w:space="0"/>
            </w:tcBorders>
            <w:shd w:val="clear" w:color="auto" w:fill="FFFFFF"/>
            <w:noWrap/>
            <w:vAlign w:val="center"/>
          </w:tcPr>
          <w:p w14:paraId="282A7EA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0"/>
                <w:sz w:val="18"/>
                <w:szCs w:val="18"/>
                <w:highlight w:val="none"/>
                <w:u w:val="none"/>
                <w:lang w:val="en-US" w:eastAsia="zh-CN" w:bidi="ar"/>
              </w:rPr>
            </w:pPr>
            <w:r>
              <w:rPr>
                <w:rFonts w:hint="default" w:ascii="Times New Roman" w:hAnsi="Times New Roman" w:eastAsia="宋体" w:cs="Times New Roman"/>
                <w:b w:val="0"/>
                <w:bCs/>
                <w:i w:val="0"/>
                <w:iCs w:val="0"/>
                <w:color w:val="000000"/>
                <w:kern w:val="0"/>
                <w:sz w:val="18"/>
                <w:szCs w:val="18"/>
                <w:highlight w:val="none"/>
                <w:u w:val="none"/>
                <w:lang w:val="en-US" w:eastAsia="zh-CN" w:bidi="ar"/>
              </w:rPr>
              <w:t>70%分位数</w:t>
            </w:r>
          </w:p>
        </w:tc>
        <w:tc>
          <w:tcPr>
            <w:tcW w:w="587" w:type="pct"/>
            <w:tcBorders>
              <w:left w:val="single" w:color="000000" w:sz="4" w:space="0"/>
              <w:bottom w:val="single" w:color="000000" w:sz="4" w:space="0"/>
            </w:tcBorders>
            <w:shd w:val="clear" w:color="auto" w:fill="FFFFFF"/>
            <w:noWrap/>
            <w:vAlign w:val="center"/>
          </w:tcPr>
          <w:p w14:paraId="3BE3A00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iCs w:val="0"/>
                <w:color w:val="000000"/>
                <w:kern w:val="2"/>
                <w:sz w:val="18"/>
                <w:szCs w:val="18"/>
                <w:highlight w:val="none"/>
                <w:u w:val="none"/>
                <w:lang w:val="en-US" w:eastAsia="zh-CN" w:bidi="ar-SA"/>
              </w:rPr>
            </w:pPr>
            <w:r>
              <w:rPr>
                <w:rFonts w:hint="default" w:ascii="Times New Roman" w:hAnsi="Times New Roman" w:eastAsia="宋体" w:cs="Times New Roman"/>
                <w:b w:val="0"/>
                <w:bCs/>
                <w:i w:val="0"/>
                <w:iCs w:val="0"/>
                <w:color w:val="000000"/>
                <w:kern w:val="0"/>
                <w:sz w:val="18"/>
                <w:szCs w:val="18"/>
                <w:highlight w:val="none"/>
                <w:u w:val="none"/>
                <w:lang w:val="en-US" w:eastAsia="zh-CN" w:bidi="ar"/>
              </w:rPr>
              <w:t>90%分位数</w:t>
            </w:r>
          </w:p>
        </w:tc>
      </w:tr>
      <w:tr w14:paraId="493E70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13" w:type="pct"/>
            <w:vMerge w:val="restart"/>
            <w:tcBorders>
              <w:top w:val="single" w:color="000000" w:sz="4" w:space="0"/>
              <w:bottom w:val="single" w:color="000000" w:sz="4" w:space="0"/>
              <w:right w:val="single" w:color="000000" w:sz="4" w:space="0"/>
              <w:tl2br w:val="nil"/>
            </w:tcBorders>
            <w:shd w:val="clear" w:color="auto" w:fill="FFFFFF"/>
            <w:noWrap/>
            <w:vAlign w:val="center"/>
          </w:tcPr>
          <w:p w14:paraId="71B6D60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eastAsia" w:cs="Times New Roman"/>
                <w:b w:val="0"/>
                <w:i w:val="0"/>
                <w:iCs w:val="0"/>
                <w:color w:val="000000"/>
                <w:kern w:val="2"/>
                <w:sz w:val="18"/>
                <w:szCs w:val="18"/>
                <w:highlight w:val="none"/>
                <w:u w:val="none"/>
                <w:lang w:val="en-US" w:eastAsia="zh-CN" w:bidi="ar-SA"/>
              </w:rPr>
              <w:t>金属制品制造业</w:t>
            </w:r>
          </w:p>
        </w:tc>
        <w:tc>
          <w:tcPr>
            <w:tcW w:w="8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AA999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000000"/>
                <w:sz w:val="18"/>
                <w:szCs w:val="18"/>
                <w:highlight w:val="none"/>
                <w:u w:val="none"/>
              </w:rPr>
            </w:pPr>
            <w:r>
              <w:rPr>
                <w:rFonts w:hint="default" w:ascii="Times New Roman" w:hAnsi="Times New Roman" w:eastAsia="宋体" w:cs="Times New Roman"/>
                <w:b w:val="0"/>
                <w:i w:val="0"/>
                <w:iCs w:val="0"/>
                <w:color w:val="000000"/>
                <w:kern w:val="0"/>
                <w:sz w:val="18"/>
                <w:szCs w:val="18"/>
                <w:highlight w:val="none"/>
                <w:u w:val="none"/>
                <w:lang w:val="en-US" w:eastAsia="zh-CN" w:bidi="ar"/>
              </w:rPr>
              <w:t>苯</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D7CD3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highlight w:val="none"/>
                <w:u w:val="none"/>
              </w:rPr>
            </w:pPr>
            <w:r>
              <w:rPr>
                <w:rFonts w:hint="default" w:ascii="Times New Roman" w:hAnsi="Times New Roman" w:eastAsia="宋体" w:cs="Times New Roman"/>
                <w:b w:val="0"/>
                <w:i w:val="0"/>
                <w:iCs w:val="0"/>
                <w:color w:val="000000"/>
                <w:kern w:val="0"/>
                <w:sz w:val="18"/>
                <w:szCs w:val="18"/>
                <w:highlight w:val="none"/>
                <w:u w:val="none"/>
                <w:lang w:val="en-US" w:eastAsia="zh-CN" w:bidi="ar"/>
              </w:rPr>
              <w:t>92</w:t>
            </w:r>
          </w:p>
        </w:tc>
        <w:tc>
          <w:tcPr>
            <w:tcW w:w="4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6BAB2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highlight w:val="none"/>
                <w:u w:val="none"/>
              </w:rPr>
            </w:pPr>
            <w:r>
              <w:rPr>
                <w:rFonts w:hint="default" w:ascii="Times New Roman" w:hAnsi="Times New Roman" w:eastAsia="宋体" w:cs="Times New Roman"/>
                <w:b w:val="0"/>
                <w:i w:val="0"/>
                <w:iCs w:val="0"/>
                <w:color w:val="000000"/>
                <w:kern w:val="0"/>
                <w:sz w:val="18"/>
                <w:szCs w:val="18"/>
                <w:highlight w:val="none"/>
                <w:u w:val="none"/>
                <w:lang w:val="en-US" w:eastAsia="zh-CN" w:bidi="ar"/>
              </w:rPr>
              <w:t>168</w:t>
            </w:r>
          </w:p>
        </w:tc>
        <w:tc>
          <w:tcPr>
            <w:tcW w:w="6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EF25F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highlight w:val="none"/>
                <w:u w:val="none"/>
              </w:rPr>
            </w:pPr>
            <w:r>
              <w:rPr>
                <w:rFonts w:hint="eastAsia" w:cs="Times New Roman"/>
                <w:b w:val="0"/>
                <w:i w:val="0"/>
                <w:iCs w:val="0"/>
                <w:color w:val="000000"/>
                <w:kern w:val="0"/>
                <w:sz w:val="18"/>
                <w:szCs w:val="18"/>
                <w:highlight w:val="none"/>
                <w:u w:val="none"/>
                <w:lang w:val="en-US" w:eastAsia="zh-CN" w:bidi="ar"/>
              </w:rPr>
              <w:t>≤</w:t>
            </w:r>
            <w:r>
              <w:rPr>
                <w:rFonts w:hint="default" w:ascii="Times New Roman" w:hAnsi="Times New Roman" w:eastAsia="宋体" w:cs="Times New Roman"/>
                <w:b w:val="0"/>
                <w:i w:val="0"/>
                <w:iCs w:val="0"/>
                <w:color w:val="000000"/>
                <w:kern w:val="0"/>
                <w:sz w:val="18"/>
                <w:szCs w:val="18"/>
                <w:highlight w:val="none"/>
                <w:u w:val="none"/>
                <w:lang w:val="en-US" w:eastAsia="zh-CN" w:bidi="ar"/>
              </w:rPr>
              <w:t>1.00</w:t>
            </w:r>
          </w:p>
        </w:tc>
        <w:tc>
          <w:tcPr>
            <w:tcW w:w="4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D2817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highlight w:val="none"/>
                <w:u w:val="none"/>
              </w:rPr>
            </w:pPr>
            <w:r>
              <w:rPr>
                <w:rFonts w:hint="default" w:ascii="Times New Roman" w:hAnsi="Times New Roman" w:eastAsia="宋体" w:cs="Times New Roman"/>
                <w:b w:val="0"/>
                <w:i w:val="0"/>
                <w:iCs w:val="0"/>
                <w:color w:val="000000"/>
                <w:kern w:val="0"/>
                <w:sz w:val="18"/>
                <w:szCs w:val="18"/>
                <w:highlight w:val="none"/>
                <w:u w:val="none"/>
                <w:lang w:val="en-US" w:eastAsia="zh-CN" w:bidi="ar"/>
              </w:rPr>
              <w:t>0.02</w:t>
            </w:r>
          </w:p>
        </w:tc>
        <w:tc>
          <w:tcPr>
            <w:tcW w:w="5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36A05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highlight w:val="none"/>
                <w:u w:val="none"/>
              </w:rPr>
            </w:pPr>
            <w:r>
              <w:rPr>
                <w:rFonts w:hint="default" w:ascii="Times New Roman" w:hAnsi="Times New Roman" w:eastAsia="宋体" w:cs="Times New Roman"/>
                <w:b w:val="0"/>
                <w:i w:val="0"/>
                <w:iCs w:val="0"/>
                <w:color w:val="000000"/>
                <w:kern w:val="0"/>
                <w:sz w:val="18"/>
                <w:szCs w:val="18"/>
                <w:highlight w:val="none"/>
                <w:u w:val="none"/>
                <w:lang w:val="en-US" w:eastAsia="zh-CN" w:bidi="ar"/>
              </w:rPr>
              <w:t>0.05</w:t>
            </w:r>
          </w:p>
        </w:tc>
        <w:tc>
          <w:tcPr>
            <w:tcW w:w="587" w:type="pct"/>
            <w:tcBorders>
              <w:top w:val="single" w:color="000000" w:sz="4" w:space="0"/>
              <w:left w:val="single" w:color="000000" w:sz="4" w:space="0"/>
              <w:bottom w:val="single" w:color="000000" w:sz="4" w:space="0"/>
            </w:tcBorders>
            <w:shd w:val="clear" w:color="auto" w:fill="FFFFFF"/>
            <w:noWrap/>
            <w:vAlign w:val="center"/>
          </w:tcPr>
          <w:p w14:paraId="24B02F9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highlight w:val="none"/>
                <w:u w:val="none"/>
              </w:rPr>
            </w:pPr>
            <w:r>
              <w:rPr>
                <w:rFonts w:hint="default" w:ascii="Times New Roman" w:hAnsi="Times New Roman" w:eastAsia="宋体" w:cs="Times New Roman"/>
                <w:b w:val="0"/>
                <w:i w:val="0"/>
                <w:iCs w:val="0"/>
                <w:color w:val="000000"/>
                <w:kern w:val="0"/>
                <w:sz w:val="18"/>
                <w:szCs w:val="18"/>
                <w:highlight w:val="none"/>
                <w:u w:val="none"/>
                <w:lang w:val="en-US" w:eastAsia="zh-CN" w:bidi="ar"/>
              </w:rPr>
              <w:t>0.13</w:t>
            </w:r>
          </w:p>
        </w:tc>
      </w:tr>
      <w:tr w14:paraId="0E6B65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3" w:type="pct"/>
            <w:vMerge w:val="continue"/>
            <w:tcBorders>
              <w:top w:val="single" w:color="000000" w:sz="4" w:space="0"/>
              <w:bottom w:val="single" w:color="000000" w:sz="4" w:space="0"/>
              <w:right w:val="single" w:color="000000" w:sz="4" w:space="0"/>
            </w:tcBorders>
            <w:shd w:val="clear" w:color="auto" w:fill="FFFFFF"/>
            <w:noWrap/>
            <w:vAlign w:val="center"/>
          </w:tcPr>
          <w:p w14:paraId="5AEA61E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p>
        </w:tc>
        <w:tc>
          <w:tcPr>
            <w:tcW w:w="8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E0730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甲苯</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AE56B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47</w:t>
            </w:r>
          </w:p>
        </w:tc>
        <w:tc>
          <w:tcPr>
            <w:tcW w:w="4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854CA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123</w:t>
            </w:r>
          </w:p>
        </w:tc>
        <w:tc>
          <w:tcPr>
            <w:tcW w:w="6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3E469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i w:val="0"/>
                <w:iCs w:val="0"/>
                <w:color w:val="000000"/>
                <w:kern w:val="2"/>
                <w:sz w:val="18"/>
                <w:szCs w:val="18"/>
                <w:highlight w:val="none"/>
                <w:u w:val="none"/>
                <w:lang w:val="en-US" w:eastAsia="zh-CN" w:bidi="ar-SA"/>
              </w:rPr>
            </w:pPr>
            <w:r>
              <w:rPr>
                <w:rFonts w:hint="eastAsia" w:cs="Times New Roman"/>
                <w:b w:val="0"/>
                <w:i w:val="0"/>
                <w:iCs w:val="0"/>
                <w:color w:val="000000"/>
                <w:kern w:val="0"/>
                <w:sz w:val="18"/>
                <w:szCs w:val="18"/>
                <w:highlight w:val="none"/>
                <w:u w:val="none"/>
                <w:lang w:val="en-US" w:eastAsia="zh-CN" w:bidi="ar"/>
              </w:rPr>
              <w:t>≤</w:t>
            </w:r>
            <w:r>
              <w:rPr>
                <w:rFonts w:hint="default" w:ascii="Times New Roman" w:hAnsi="Times New Roman" w:eastAsia="宋体" w:cs="Times New Roman"/>
                <w:b w:val="0"/>
                <w:i w:val="0"/>
                <w:iCs w:val="0"/>
                <w:color w:val="000000"/>
                <w:kern w:val="0"/>
                <w:sz w:val="18"/>
                <w:szCs w:val="18"/>
                <w:highlight w:val="none"/>
                <w:u w:val="none"/>
                <w:lang w:val="en-US" w:eastAsia="zh-CN" w:bidi="ar"/>
              </w:rPr>
              <w:t>8.33</w:t>
            </w:r>
          </w:p>
        </w:tc>
        <w:tc>
          <w:tcPr>
            <w:tcW w:w="4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5D7F3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0.07</w:t>
            </w:r>
          </w:p>
        </w:tc>
        <w:tc>
          <w:tcPr>
            <w:tcW w:w="5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88B44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0.19</w:t>
            </w:r>
          </w:p>
        </w:tc>
        <w:tc>
          <w:tcPr>
            <w:tcW w:w="587" w:type="pct"/>
            <w:tcBorders>
              <w:top w:val="single" w:color="000000" w:sz="4" w:space="0"/>
              <w:left w:val="single" w:color="000000" w:sz="4" w:space="0"/>
              <w:bottom w:val="single" w:color="000000" w:sz="4" w:space="0"/>
            </w:tcBorders>
            <w:shd w:val="clear" w:color="auto" w:fill="FFFFFF"/>
            <w:noWrap/>
            <w:vAlign w:val="center"/>
          </w:tcPr>
          <w:p w14:paraId="473BFA2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0.74</w:t>
            </w:r>
          </w:p>
        </w:tc>
      </w:tr>
      <w:tr w14:paraId="132CD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13" w:type="pct"/>
            <w:vMerge w:val="continue"/>
            <w:tcBorders>
              <w:top w:val="single" w:color="000000" w:sz="4" w:space="0"/>
              <w:bottom w:val="single" w:color="000000" w:sz="4" w:space="0"/>
              <w:right w:val="single" w:color="000000" w:sz="4" w:space="0"/>
            </w:tcBorders>
            <w:shd w:val="clear" w:color="auto" w:fill="FFFFFF"/>
            <w:noWrap/>
            <w:vAlign w:val="center"/>
          </w:tcPr>
          <w:p w14:paraId="40124D1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p>
        </w:tc>
        <w:tc>
          <w:tcPr>
            <w:tcW w:w="8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1660C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二甲苯</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9CAA2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48</w:t>
            </w:r>
          </w:p>
        </w:tc>
        <w:tc>
          <w:tcPr>
            <w:tcW w:w="4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FCDA6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124</w:t>
            </w:r>
          </w:p>
        </w:tc>
        <w:tc>
          <w:tcPr>
            <w:tcW w:w="6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DAE7F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i w:val="0"/>
                <w:iCs w:val="0"/>
                <w:color w:val="000000"/>
                <w:kern w:val="2"/>
                <w:sz w:val="18"/>
                <w:szCs w:val="18"/>
                <w:highlight w:val="none"/>
                <w:u w:val="none"/>
                <w:lang w:val="en-US" w:eastAsia="zh-CN" w:bidi="ar-SA"/>
              </w:rPr>
            </w:pPr>
            <w:r>
              <w:rPr>
                <w:rFonts w:hint="eastAsia" w:cs="Times New Roman"/>
                <w:b w:val="0"/>
                <w:i w:val="0"/>
                <w:iCs w:val="0"/>
                <w:color w:val="000000"/>
                <w:kern w:val="0"/>
                <w:sz w:val="18"/>
                <w:szCs w:val="18"/>
                <w:highlight w:val="none"/>
                <w:u w:val="none"/>
                <w:lang w:val="en-US" w:eastAsia="zh-CN" w:bidi="ar"/>
              </w:rPr>
              <w:t>≤</w:t>
            </w:r>
            <w:r>
              <w:rPr>
                <w:rFonts w:hint="default" w:ascii="Times New Roman" w:hAnsi="Times New Roman" w:eastAsia="宋体" w:cs="Times New Roman"/>
                <w:b w:val="0"/>
                <w:i w:val="0"/>
                <w:iCs w:val="0"/>
                <w:color w:val="000000"/>
                <w:kern w:val="0"/>
                <w:sz w:val="18"/>
                <w:szCs w:val="18"/>
                <w:highlight w:val="none"/>
                <w:u w:val="none"/>
                <w:lang w:val="en-US" w:eastAsia="zh-CN" w:bidi="ar"/>
              </w:rPr>
              <w:t>16.60</w:t>
            </w:r>
          </w:p>
        </w:tc>
        <w:tc>
          <w:tcPr>
            <w:tcW w:w="4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05EF6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1.34</w:t>
            </w:r>
          </w:p>
        </w:tc>
        <w:tc>
          <w:tcPr>
            <w:tcW w:w="5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0FAB0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6.42</w:t>
            </w:r>
          </w:p>
        </w:tc>
        <w:tc>
          <w:tcPr>
            <w:tcW w:w="587" w:type="pct"/>
            <w:tcBorders>
              <w:top w:val="single" w:color="000000" w:sz="4" w:space="0"/>
              <w:left w:val="single" w:color="000000" w:sz="4" w:space="0"/>
              <w:bottom w:val="single" w:color="000000" w:sz="4" w:space="0"/>
            </w:tcBorders>
            <w:shd w:val="clear" w:color="auto" w:fill="FFFFFF"/>
            <w:noWrap/>
            <w:vAlign w:val="center"/>
          </w:tcPr>
          <w:p w14:paraId="62DAA3E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11.46</w:t>
            </w:r>
          </w:p>
        </w:tc>
      </w:tr>
      <w:tr w14:paraId="262A4F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3" w:type="pct"/>
            <w:vMerge w:val="continue"/>
            <w:tcBorders>
              <w:top w:val="single" w:color="000000" w:sz="4" w:space="0"/>
              <w:bottom w:val="single" w:color="000000" w:sz="4" w:space="0"/>
              <w:right w:val="single" w:color="000000" w:sz="4" w:space="0"/>
            </w:tcBorders>
            <w:shd w:val="clear" w:color="auto" w:fill="FFFFFF"/>
            <w:noWrap/>
            <w:vAlign w:val="center"/>
          </w:tcPr>
          <w:p w14:paraId="338DC84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p>
        </w:tc>
        <w:tc>
          <w:tcPr>
            <w:tcW w:w="8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C9DBD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苯系物</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DCCD5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58</w:t>
            </w:r>
          </w:p>
        </w:tc>
        <w:tc>
          <w:tcPr>
            <w:tcW w:w="4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7F948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70</w:t>
            </w:r>
          </w:p>
        </w:tc>
        <w:tc>
          <w:tcPr>
            <w:tcW w:w="6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A35B8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i w:val="0"/>
                <w:iCs w:val="0"/>
                <w:color w:val="000000"/>
                <w:kern w:val="2"/>
                <w:sz w:val="18"/>
                <w:szCs w:val="18"/>
                <w:highlight w:val="none"/>
                <w:u w:val="none"/>
                <w:lang w:val="en-US" w:eastAsia="zh-CN" w:bidi="ar-SA"/>
              </w:rPr>
            </w:pPr>
            <w:r>
              <w:rPr>
                <w:rFonts w:hint="eastAsia" w:cs="Times New Roman"/>
                <w:b w:val="0"/>
                <w:i w:val="0"/>
                <w:iCs w:val="0"/>
                <w:color w:val="000000"/>
                <w:kern w:val="0"/>
                <w:sz w:val="18"/>
                <w:szCs w:val="18"/>
                <w:highlight w:val="none"/>
                <w:u w:val="none"/>
                <w:lang w:val="en-US" w:eastAsia="zh-CN" w:bidi="ar"/>
              </w:rPr>
              <w:t>≤</w:t>
            </w:r>
            <w:r>
              <w:rPr>
                <w:rFonts w:hint="default" w:ascii="Times New Roman" w:hAnsi="Times New Roman" w:eastAsia="宋体" w:cs="Times New Roman"/>
                <w:b w:val="0"/>
                <w:i w:val="0"/>
                <w:iCs w:val="0"/>
                <w:color w:val="000000"/>
                <w:kern w:val="0"/>
                <w:sz w:val="18"/>
                <w:szCs w:val="18"/>
                <w:highlight w:val="none"/>
                <w:u w:val="none"/>
                <w:lang w:val="en-US" w:eastAsia="zh-CN" w:bidi="ar"/>
              </w:rPr>
              <w:t>23.30</w:t>
            </w:r>
          </w:p>
        </w:tc>
        <w:tc>
          <w:tcPr>
            <w:tcW w:w="4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44620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0.81</w:t>
            </w:r>
          </w:p>
        </w:tc>
        <w:tc>
          <w:tcPr>
            <w:tcW w:w="5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D0AF3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2.01</w:t>
            </w:r>
          </w:p>
        </w:tc>
        <w:tc>
          <w:tcPr>
            <w:tcW w:w="587" w:type="pct"/>
            <w:tcBorders>
              <w:top w:val="single" w:color="000000" w:sz="4" w:space="0"/>
              <w:left w:val="single" w:color="000000" w:sz="4" w:space="0"/>
              <w:bottom w:val="single" w:color="000000" w:sz="4" w:space="0"/>
            </w:tcBorders>
            <w:shd w:val="clear" w:color="auto" w:fill="FFFFFF"/>
            <w:noWrap/>
            <w:vAlign w:val="center"/>
          </w:tcPr>
          <w:p w14:paraId="3ACFF4C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5.46</w:t>
            </w:r>
          </w:p>
        </w:tc>
      </w:tr>
      <w:tr w14:paraId="000AA5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rPr>
        <w:tc>
          <w:tcPr>
            <w:tcW w:w="1013" w:type="pct"/>
            <w:vMerge w:val="continue"/>
            <w:tcBorders>
              <w:top w:val="single" w:color="000000" w:sz="4" w:space="0"/>
              <w:bottom w:val="single" w:color="000000" w:sz="4" w:space="0"/>
              <w:right w:val="single" w:color="000000" w:sz="4" w:space="0"/>
            </w:tcBorders>
            <w:shd w:val="clear" w:color="auto" w:fill="FFFFFF"/>
            <w:noWrap/>
            <w:vAlign w:val="center"/>
          </w:tcPr>
          <w:p w14:paraId="0887DE8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p>
        </w:tc>
        <w:tc>
          <w:tcPr>
            <w:tcW w:w="8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66218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非甲烷总烃</w:t>
            </w:r>
          </w:p>
        </w:tc>
        <w:tc>
          <w:tcPr>
            <w:tcW w:w="5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D9C98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143</w:t>
            </w:r>
          </w:p>
        </w:tc>
        <w:tc>
          <w:tcPr>
            <w:tcW w:w="4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8BDED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253</w:t>
            </w:r>
          </w:p>
        </w:tc>
        <w:tc>
          <w:tcPr>
            <w:tcW w:w="6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6414C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i w:val="0"/>
                <w:iCs w:val="0"/>
                <w:color w:val="000000"/>
                <w:kern w:val="2"/>
                <w:sz w:val="18"/>
                <w:szCs w:val="18"/>
                <w:highlight w:val="none"/>
                <w:u w:val="none"/>
                <w:lang w:val="en-US" w:eastAsia="zh-CN" w:bidi="ar-SA"/>
              </w:rPr>
            </w:pPr>
            <w:r>
              <w:rPr>
                <w:rFonts w:hint="eastAsia" w:cs="Times New Roman"/>
                <w:b w:val="0"/>
                <w:i w:val="0"/>
                <w:iCs w:val="0"/>
                <w:color w:val="000000"/>
                <w:kern w:val="0"/>
                <w:sz w:val="18"/>
                <w:szCs w:val="18"/>
                <w:highlight w:val="none"/>
                <w:u w:val="none"/>
                <w:lang w:val="en-US" w:eastAsia="zh-CN" w:bidi="ar"/>
              </w:rPr>
              <w:t>≤</w:t>
            </w:r>
            <w:r>
              <w:rPr>
                <w:rFonts w:hint="default" w:ascii="Times New Roman" w:hAnsi="Times New Roman" w:eastAsia="宋体" w:cs="Times New Roman"/>
                <w:b w:val="0"/>
                <w:i w:val="0"/>
                <w:iCs w:val="0"/>
                <w:color w:val="000000"/>
                <w:kern w:val="0"/>
                <w:sz w:val="18"/>
                <w:szCs w:val="18"/>
                <w:highlight w:val="none"/>
                <w:u w:val="none"/>
                <w:lang w:val="en-US" w:eastAsia="zh-CN" w:bidi="ar"/>
              </w:rPr>
              <w:t>47.80</w:t>
            </w:r>
          </w:p>
        </w:tc>
        <w:tc>
          <w:tcPr>
            <w:tcW w:w="40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F0251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4.30</w:t>
            </w:r>
          </w:p>
        </w:tc>
        <w:tc>
          <w:tcPr>
            <w:tcW w:w="5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2EE4F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8.32</w:t>
            </w:r>
          </w:p>
        </w:tc>
        <w:tc>
          <w:tcPr>
            <w:tcW w:w="587" w:type="pct"/>
            <w:tcBorders>
              <w:top w:val="single" w:color="000000" w:sz="4" w:space="0"/>
              <w:left w:val="single" w:color="000000" w:sz="4" w:space="0"/>
              <w:bottom w:val="single" w:color="000000" w:sz="4" w:space="0"/>
            </w:tcBorders>
            <w:shd w:val="clear" w:color="auto" w:fill="FFFFFF"/>
            <w:noWrap/>
            <w:vAlign w:val="center"/>
          </w:tcPr>
          <w:p w14:paraId="6181979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25.88</w:t>
            </w:r>
          </w:p>
        </w:tc>
      </w:tr>
      <w:tr w14:paraId="54BD56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3" w:type="pct"/>
            <w:vMerge w:val="continue"/>
            <w:tcBorders>
              <w:top w:val="single" w:color="000000" w:sz="4" w:space="0"/>
              <w:right w:val="single" w:color="000000" w:sz="4" w:space="0"/>
            </w:tcBorders>
            <w:shd w:val="clear" w:color="auto" w:fill="FFFFFF"/>
            <w:noWrap/>
            <w:vAlign w:val="center"/>
          </w:tcPr>
          <w:p w14:paraId="67C0483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p>
        </w:tc>
        <w:tc>
          <w:tcPr>
            <w:tcW w:w="829" w:type="pct"/>
            <w:tcBorders>
              <w:top w:val="single" w:color="000000" w:sz="4" w:space="0"/>
              <w:left w:val="single" w:color="000000" w:sz="4" w:space="0"/>
              <w:right w:val="single" w:color="000000" w:sz="4" w:space="0"/>
            </w:tcBorders>
            <w:shd w:val="clear" w:color="auto" w:fill="FFFFFF"/>
            <w:noWrap/>
            <w:vAlign w:val="center"/>
          </w:tcPr>
          <w:p w14:paraId="5B980A0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挥发性有机物</w:t>
            </w:r>
          </w:p>
        </w:tc>
        <w:tc>
          <w:tcPr>
            <w:tcW w:w="506" w:type="pct"/>
            <w:tcBorders>
              <w:top w:val="single" w:color="000000" w:sz="4" w:space="0"/>
              <w:left w:val="single" w:color="000000" w:sz="4" w:space="0"/>
              <w:right w:val="single" w:color="000000" w:sz="4" w:space="0"/>
            </w:tcBorders>
            <w:shd w:val="clear" w:color="auto" w:fill="FFFFFF"/>
            <w:noWrap/>
            <w:vAlign w:val="center"/>
          </w:tcPr>
          <w:p w14:paraId="37B33D0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eastAsia" w:cs="Times New Roman"/>
                <w:b w:val="0"/>
                <w:i w:val="0"/>
                <w:iCs w:val="0"/>
                <w:color w:val="000000"/>
                <w:kern w:val="0"/>
                <w:sz w:val="18"/>
                <w:szCs w:val="18"/>
                <w:highlight w:val="none"/>
                <w:u w:val="none"/>
                <w:lang w:val="en-US" w:eastAsia="zh-CN" w:bidi="ar"/>
              </w:rPr>
              <w:t>112</w:t>
            </w:r>
          </w:p>
        </w:tc>
        <w:tc>
          <w:tcPr>
            <w:tcW w:w="409" w:type="pct"/>
            <w:tcBorders>
              <w:top w:val="single" w:color="000000" w:sz="4" w:space="0"/>
              <w:left w:val="single" w:color="000000" w:sz="4" w:space="0"/>
              <w:right w:val="single" w:color="000000" w:sz="4" w:space="0"/>
            </w:tcBorders>
            <w:shd w:val="clear" w:color="auto" w:fill="FFFFFF"/>
            <w:noWrap/>
            <w:vAlign w:val="center"/>
          </w:tcPr>
          <w:p w14:paraId="028151F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eastAsia" w:cs="Times New Roman"/>
                <w:b w:val="0"/>
                <w:i w:val="0"/>
                <w:iCs w:val="0"/>
                <w:color w:val="000000"/>
                <w:kern w:val="0"/>
                <w:sz w:val="18"/>
                <w:szCs w:val="18"/>
                <w:highlight w:val="none"/>
                <w:u w:val="none"/>
                <w:lang w:val="en-US" w:eastAsia="zh-CN" w:bidi="ar"/>
              </w:rPr>
              <w:t>222</w:t>
            </w:r>
          </w:p>
        </w:tc>
        <w:tc>
          <w:tcPr>
            <w:tcW w:w="656" w:type="pct"/>
            <w:tcBorders>
              <w:top w:val="single" w:color="000000" w:sz="4" w:space="0"/>
              <w:left w:val="single" w:color="000000" w:sz="4" w:space="0"/>
              <w:right w:val="single" w:color="000000" w:sz="4" w:space="0"/>
            </w:tcBorders>
            <w:shd w:val="clear" w:color="auto" w:fill="FFFFFF"/>
            <w:noWrap/>
            <w:vAlign w:val="center"/>
          </w:tcPr>
          <w:p w14:paraId="6D0B853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i w:val="0"/>
                <w:iCs w:val="0"/>
                <w:color w:val="000000"/>
                <w:kern w:val="2"/>
                <w:sz w:val="18"/>
                <w:szCs w:val="18"/>
                <w:highlight w:val="none"/>
                <w:u w:val="none"/>
                <w:lang w:val="en-US" w:eastAsia="zh-CN" w:bidi="ar-SA"/>
              </w:rPr>
            </w:pPr>
            <w:r>
              <w:rPr>
                <w:rFonts w:hint="eastAsia" w:cs="Times New Roman"/>
                <w:b w:val="0"/>
                <w:i w:val="0"/>
                <w:iCs w:val="0"/>
                <w:color w:val="000000"/>
                <w:kern w:val="0"/>
                <w:sz w:val="18"/>
                <w:szCs w:val="18"/>
                <w:highlight w:val="none"/>
                <w:u w:val="none"/>
                <w:lang w:val="en-US" w:eastAsia="zh-CN" w:bidi="ar"/>
              </w:rPr>
              <w:t>≤</w:t>
            </w:r>
            <w:r>
              <w:rPr>
                <w:rFonts w:hint="default" w:ascii="Times New Roman" w:hAnsi="Times New Roman" w:eastAsia="宋体" w:cs="Times New Roman"/>
                <w:b w:val="0"/>
                <w:i w:val="0"/>
                <w:iCs w:val="0"/>
                <w:color w:val="000000"/>
                <w:kern w:val="0"/>
                <w:sz w:val="18"/>
                <w:szCs w:val="18"/>
                <w:highlight w:val="none"/>
                <w:u w:val="none"/>
                <w:lang w:val="en-US" w:eastAsia="zh-CN" w:bidi="ar"/>
              </w:rPr>
              <w:t>706.50</w:t>
            </w:r>
          </w:p>
        </w:tc>
        <w:tc>
          <w:tcPr>
            <w:tcW w:w="409" w:type="pct"/>
            <w:tcBorders>
              <w:top w:val="single" w:color="000000" w:sz="4" w:space="0"/>
              <w:left w:val="single" w:color="000000" w:sz="4" w:space="0"/>
              <w:right w:val="single" w:color="000000" w:sz="4" w:space="0"/>
            </w:tcBorders>
            <w:shd w:val="clear" w:color="auto" w:fill="FFFFFF"/>
            <w:noWrap/>
            <w:vAlign w:val="center"/>
          </w:tcPr>
          <w:p w14:paraId="2C2761B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5.31</w:t>
            </w:r>
          </w:p>
        </w:tc>
        <w:tc>
          <w:tcPr>
            <w:tcW w:w="587" w:type="pct"/>
            <w:tcBorders>
              <w:top w:val="single" w:color="000000" w:sz="4" w:space="0"/>
              <w:left w:val="single" w:color="000000" w:sz="4" w:space="0"/>
              <w:right w:val="single" w:color="000000" w:sz="4" w:space="0"/>
            </w:tcBorders>
            <w:shd w:val="clear" w:color="auto" w:fill="FFFFFF"/>
            <w:noWrap/>
            <w:vAlign w:val="center"/>
          </w:tcPr>
          <w:p w14:paraId="1520D27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12.26</w:t>
            </w:r>
          </w:p>
        </w:tc>
        <w:tc>
          <w:tcPr>
            <w:tcW w:w="587" w:type="pct"/>
            <w:tcBorders>
              <w:top w:val="single" w:color="000000" w:sz="4" w:space="0"/>
              <w:left w:val="single" w:color="000000" w:sz="4" w:space="0"/>
            </w:tcBorders>
            <w:shd w:val="clear" w:color="auto" w:fill="FFFFFF"/>
            <w:noWrap/>
            <w:vAlign w:val="center"/>
          </w:tcPr>
          <w:p w14:paraId="5168E62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2"/>
                <w:sz w:val="18"/>
                <w:szCs w:val="18"/>
                <w:highlight w:val="none"/>
                <w:u w:val="none"/>
                <w:lang w:val="en-US" w:eastAsia="zh-CN" w:bidi="ar-SA"/>
              </w:rPr>
            </w:pPr>
            <w:r>
              <w:rPr>
                <w:rFonts w:hint="default" w:ascii="Times New Roman" w:hAnsi="Times New Roman" w:eastAsia="宋体" w:cs="Times New Roman"/>
                <w:b w:val="0"/>
                <w:i w:val="0"/>
                <w:iCs w:val="0"/>
                <w:color w:val="000000"/>
                <w:kern w:val="0"/>
                <w:sz w:val="18"/>
                <w:szCs w:val="18"/>
                <w:highlight w:val="none"/>
                <w:u w:val="none"/>
                <w:lang w:val="en-US" w:eastAsia="zh-CN" w:bidi="ar"/>
              </w:rPr>
              <w:t>27.26</w:t>
            </w:r>
          </w:p>
        </w:tc>
      </w:tr>
    </w:tbl>
    <w:p w14:paraId="797B96A5">
      <w:bookmarkStart w:id="234" w:name="_Toc20069"/>
      <w:bookmarkStart w:id="235" w:name="_Toc30252"/>
      <w:bookmarkStart w:id="236" w:name="_Toc32736"/>
      <w:bookmarkStart w:id="237" w:name="_Toc7063"/>
      <w:bookmarkStart w:id="238" w:name="_Toc28408"/>
    </w:p>
    <w:p w14:paraId="7E396183">
      <w:pPr>
        <w:pStyle w:val="3"/>
        <w:shd w:val="clear"/>
        <w:bidi w:val="0"/>
        <w:ind w:left="575" w:leftChars="0" w:hanging="575" w:firstLineChars="0"/>
        <w:rPr>
          <w:rFonts w:hint="eastAsia"/>
          <w:color w:val="auto"/>
          <w:highlight w:val="none"/>
          <w:lang w:eastAsia="zh-CN"/>
        </w:rPr>
      </w:pPr>
      <w:bookmarkStart w:id="239" w:name="_Toc24789"/>
      <w:r>
        <w:rPr>
          <w:rFonts w:hint="eastAsia"/>
          <w:color w:val="auto"/>
          <w:highlight w:val="none"/>
          <w:lang w:val="en-US" w:eastAsia="zh-CN"/>
        </w:rPr>
        <w:t>印刷行业</w:t>
      </w:r>
      <w:bookmarkEnd w:id="234"/>
      <w:bookmarkEnd w:id="235"/>
      <w:bookmarkEnd w:id="236"/>
      <w:bookmarkEnd w:id="237"/>
      <w:bookmarkEnd w:id="238"/>
      <w:bookmarkEnd w:id="239"/>
    </w:p>
    <w:p w14:paraId="3A1FE620">
      <w:pPr>
        <w:shd w:val="clear"/>
        <w:rPr>
          <w:rFonts w:hint="eastAsia" w:eastAsia="宋体"/>
          <w:color w:val="auto"/>
          <w:sz w:val="24"/>
          <w:szCs w:val="24"/>
          <w:highlight w:val="none"/>
          <w:lang w:val="en-US" w:eastAsia="zh-CN"/>
        </w:rPr>
      </w:pPr>
      <w:r>
        <w:rPr>
          <w:rFonts w:hint="eastAsia" w:eastAsia="宋体"/>
          <w:color w:val="auto"/>
          <w:sz w:val="24"/>
          <w:szCs w:val="24"/>
          <w:highlight w:val="none"/>
          <w:lang w:val="en-US" w:eastAsia="zh-CN"/>
        </w:rPr>
        <w:t>包括湖南省在内，目前全国共有13个省级行政区制定了地方印刷业大气污染物排放标准</w:t>
      </w:r>
      <w:r>
        <w:rPr>
          <w:rFonts w:hint="eastAsia"/>
          <w:color w:val="auto"/>
          <w:sz w:val="24"/>
          <w:szCs w:val="24"/>
          <w:highlight w:val="none"/>
          <w:lang w:val="en-US" w:eastAsia="zh-CN"/>
        </w:rPr>
        <w:t>。</w:t>
      </w:r>
      <w:r>
        <w:rPr>
          <w:rFonts w:hint="eastAsia" w:eastAsia="宋体"/>
          <w:color w:val="auto"/>
          <w:sz w:val="24"/>
          <w:szCs w:val="24"/>
          <w:highlight w:val="none"/>
          <w:lang w:val="en-US" w:eastAsia="zh-CN"/>
        </w:rPr>
        <w:t>本</w:t>
      </w:r>
      <w:r>
        <w:rPr>
          <w:rFonts w:hint="eastAsia"/>
          <w:color w:val="auto"/>
          <w:sz w:val="24"/>
          <w:szCs w:val="24"/>
          <w:highlight w:val="none"/>
          <w:lang w:val="en-US" w:eastAsia="zh-CN"/>
        </w:rPr>
        <w:t>文件</w:t>
      </w:r>
      <w:r>
        <w:rPr>
          <w:rFonts w:hint="eastAsia" w:eastAsia="宋体"/>
          <w:color w:val="auto"/>
          <w:sz w:val="24"/>
          <w:szCs w:val="24"/>
          <w:highlight w:val="none"/>
          <w:lang w:val="en-US" w:eastAsia="zh-CN"/>
        </w:rPr>
        <w:t>与各省（市）现行印刷工业排放标准及相比：</w:t>
      </w:r>
    </w:p>
    <w:p w14:paraId="435C146B">
      <w:pPr>
        <w:shd w:val="clear"/>
        <w:rPr>
          <w:rFonts w:hint="default"/>
          <w:color w:val="auto"/>
          <w:sz w:val="24"/>
          <w:szCs w:val="24"/>
          <w:highlight w:val="none"/>
          <w:lang w:val="en-US" w:eastAsia="zh-CN"/>
        </w:rPr>
      </w:pPr>
      <w:r>
        <w:rPr>
          <w:rFonts w:hint="eastAsia" w:eastAsia="宋体"/>
          <w:color w:val="auto"/>
          <w:sz w:val="24"/>
          <w:szCs w:val="24"/>
          <w:highlight w:val="none"/>
          <w:lang w:val="en-US" w:eastAsia="zh-CN"/>
        </w:rPr>
        <w:t>苯：</w:t>
      </w:r>
      <w:r>
        <w:rPr>
          <w:rFonts w:hint="eastAsia"/>
          <w:color w:val="auto"/>
          <w:sz w:val="24"/>
          <w:szCs w:val="24"/>
          <w:highlight w:val="none"/>
          <w:lang w:val="en-US" w:eastAsia="zh-CN"/>
        </w:rPr>
        <w:t>控制限值为1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，与现行地方标准、国家标准及全国大部分地区持平。</w:t>
      </w:r>
      <w:r>
        <w:rPr>
          <w:rFonts w:hint="eastAsia"/>
          <w:color w:val="auto"/>
          <w:sz w:val="24"/>
          <w:szCs w:val="24"/>
          <w:highlight w:val="none"/>
          <w:lang w:val="en-US" w:eastAsia="zh-CN"/>
        </w:rPr>
        <w:t>全国各地苯的控制限值主要分为2档，其中，北京、江苏、山东、河南等4省市取值为0.5 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；湖南与辽宁、吉林、上海、福建、山东、江西、湖北、广东、重庆等9省市均为1mg/m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p>
    <w:p w14:paraId="0D6E65A0">
      <w:pPr>
        <w:shd w:val="clear"/>
        <w:rPr>
          <w:rFonts w:hint="default"/>
          <w:color w:val="auto"/>
          <w:sz w:val="24"/>
          <w:szCs w:val="24"/>
          <w:highlight w:val="none"/>
          <w:lang w:val="en-US" w:eastAsia="zh-CN"/>
        </w:rPr>
      </w:pPr>
      <w:r>
        <w:rPr>
          <w:rFonts w:hint="eastAsia" w:eastAsia="宋体"/>
          <w:color w:val="auto"/>
          <w:sz w:val="24"/>
          <w:szCs w:val="24"/>
          <w:highlight w:val="none"/>
          <w:lang w:val="en-US" w:eastAsia="zh-CN"/>
        </w:rPr>
        <w:t>苯系物：</w:t>
      </w:r>
      <w:r>
        <w:rPr>
          <w:rFonts w:hint="eastAsia"/>
          <w:color w:val="auto"/>
          <w:sz w:val="24"/>
          <w:szCs w:val="24"/>
          <w:highlight w:val="none"/>
          <w:lang w:val="en-US" w:eastAsia="zh-CN"/>
        </w:rPr>
        <w:t>控制限值为15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，与现行标准、国家标准及全国大部分地区持平。</w:t>
      </w:r>
      <w:r>
        <w:rPr>
          <w:rFonts w:hint="eastAsia"/>
          <w:color w:val="auto"/>
          <w:sz w:val="24"/>
          <w:szCs w:val="24"/>
          <w:highlight w:val="none"/>
          <w:lang w:val="en-US" w:eastAsia="zh-CN"/>
        </w:rPr>
        <w:t>全国各地苯系物的控制限来看，其中，北京最严格为10 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；湖南与辽宁、吉林、上海、福建、江西、湖北、广东、重庆等9省市均为15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。河南、山东分别为8</w:t>
      </w:r>
      <w:r>
        <w:rPr>
          <w:rFonts w:hint="eastAsia"/>
          <w:color w:val="auto"/>
          <w:sz w:val="24"/>
          <w:szCs w:val="24"/>
          <w:highlight w:val="none"/>
          <w:lang w:val="en-US" w:eastAsia="zh-CN"/>
        </w:rPr>
        <w:t xml:space="preserve">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 xml:space="preserve">和13 </w:t>
      </w:r>
      <w:r>
        <w:rPr>
          <w:rFonts w:hint="eastAsia"/>
          <w:color w:val="auto"/>
          <w:sz w:val="24"/>
          <w:szCs w:val="24"/>
          <w:highlight w:val="no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，但其苯系物仅包括苯、甲苯、二甲苯，控制项目比国家标准少。</w:t>
      </w:r>
    </w:p>
    <w:p w14:paraId="00C929F4">
      <w:pPr>
        <w:shd w:val="clear"/>
        <w:rPr>
          <w:rFonts w:hint="default"/>
          <w:color w:val="auto"/>
          <w:sz w:val="24"/>
          <w:szCs w:val="24"/>
          <w:highlight w:val="none"/>
          <w:lang w:val="en-US" w:eastAsia="zh-CN"/>
        </w:rPr>
      </w:pPr>
      <w:r>
        <w:rPr>
          <w:rFonts w:hint="eastAsia" w:eastAsia="宋体"/>
          <w:color w:val="auto"/>
          <w:sz w:val="24"/>
          <w:szCs w:val="24"/>
          <w:highlight w:val="none"/>
          <w:lang w:val="en-US" w:eastAsia="zh-CN"/>
        </w:rPr>
        <w:t>非甲烷总烃：</w:t>
      </w:r>
      <w:r>
        <w:rPr>
          <w:rFonts w:hint="eastAsia"/>
          <w:color w:val="auto"/>
          <w:sz w:val="24"/>
          <w:szCs w:val="24"/>
          <w:highlight w:val="none"/>
          <w:lang w:val="en-US" w:eastAsia="zh-CN"/>
        </w:rPr>
        <w:t>控制限值为40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 xml:space="preserve">，比现行标准加严20%，处于中等偏上水平。目前，各地印刷行业非甲烷总烃控制限值主要分为3档，其中北京市最严格为30 </w:t>
      </w:r>
      <w:r>
        <w:rPr>
          <w:rFonts w:hint="eastAsia"/>
          <w:color w:val="auto"/>
          <w:sz w:val="24"/>
          <w:szCs w:val="24"/>
          <w:highlight w:val="no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 xml:space="preserve">，本文件与河南为40 </w:t>
      </w:r>
      <w:r>
        <w:rPr>
          <w:rFonts w:hint="eastAsia"/>
          <w:color w:val="auto"/>
          <w:sz w:val="24"/>
          <w:szCs w:val="24"/>
          <w:highlight w:val="no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 xml:space="preserve">，湖南现行标准与辽宁、上海、江苏、福建、江西、湖北等省为50 </w:t>
      </w:r>
      <w:r>
        <w:rPr>
          <w:rFonts w:hint="eastAsia"/>
          <w:color w:val="auto"/>
          <w:sz w:val="24"/>
          <w:szCs w:val="24"/>
          <w:highlight w:val="no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。根据现有监测数据判断，印刷行业非甲烷总烃的达标率预计为100%。</w:t>
      </w:r>
    </w:p>
    <w:p w14:paraId="003C0D3F">
      <w:pPr>
        <w:shd w:val="clear"/>
        <w:rPr>
          <w:rFonts w:hint="eastAsia"/>
          <w:color w:val="auto"/>
          <w:sz w:val="24"/>
          <w:szCs w:val="24"/>
          <w:highlight w:val="none"/>
          <w:vertAlign w:val="baseline"/>
          <w:lang w:val="en-US" w:eastAsia="zh-CN"/>
        </w:rPr>
      </w:pPr>
      <w:r>
        <w:rPr>
          <w:rFonts w:hint="eastAsia" w:eastAsia="宋体"/>
          <w:color w:val="auto"/>
          <w:sz w:val="24"/>
          <w:szCs w:val="24"/>
          <w:highlight w:val="none"/>
          <w:lang w:val="en-US" w:eastAsia="zh-CN"/>
        </w:rPr>
        <w:t>挥发性有机物：</w:t>
      </w:r>
      <w:r>
        <w:rPr>
          <w:rFonts w:hint="eastAsia"/>
          <w:color w:val="auto"/>
          <w:sz w:val="24"/>
          <w:szCs w:val="24"/>
          <w:highlight w:val="none"/>
          <w:lang w:val="en-US" w:eastAsia="zh-CN"/>
        </w:rPr>
        <w:t>控制限值为70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 xml:space="preserve">，比现行标准加严30%，处于中等水平。目前，各地印刷行业挥发性有机物控制限值主要分为3档，其中山东最严格为50 </w:t>
      </w:r>
      <w:r>
        <w:rPr>
          <w:rFonts w:hint="eastAsia"/>
          <w:color w:val="auto"/>
          <w:sz w:val="24"/>
          <w:szCs w:val="24"/>
          <w:highlight w:val="no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 xml:space="preserve">，吉林为60 </w:t>
      </w:r>
      <w:r>
        <w:rPr>
          <w:rFonts w:hint="eastAsia"/>
          <w:color w:val="auto"/>
          <w:sz w:val="24"/>
          <w:szCs w:val="24"/>
          <w:highlight w:val="no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 xml:space="preserve">，本文件与江苏为70 </w:t>
      </w:r>
      <w:r>
        <w:rPr>
          <w:rFonts w:hint="eastAsia"/>
          <w:color w:val="auto"/>
          <w:sz w:val="24"/>
          <w:szCs w:val="24"/>
          <w:highlight w:val="no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 xml:space="preserve">，广东为80 </w:t>
      </w:r>
      <w:r>
        <w:rPr>
          <w:rFonts w:hint="eastAsia"/>
          <w:color w:val="auto"/>
          <w:sz w:val="24"/>
          <w:szCs w:val="24"/>
          <w:highlight w:val="none"/>
          <w:lang w:val="en-US" w:eastAsia="zh-CN"/>
        </w:rPr>
        <w:t>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w:t>
      </w:r>
    </w:p>
    <w:p w14:paraId="10B7857D">
      <w:pPr>
        <w:shd w:val="clear"/>
        <w:rPr>
          <w:rFonts w:hint="default"/>
          <w:color w:val="auto"/>
          <w:sz w:val="24"/>
          <w:szCs w:val="24"/>
          <w:highlight w:val="none"/>
          <w:lang w:val="en-US" w:eastAsia="zh-CN"/>
        </w:rPr>
      </w:pPr>
      <w:r>
        <w:rPr>
          <w:rFonts w:hint="eastAsia"/>
          <w:color w:val="auto"/>
          <w:highlight w:val="none"/>
          <w:lang w:val="en-US" w:eastAsia="zh-CN"/>
        </w:rPr>
        <w:t>印刷行业挥发性有机物排放浓度见</w:t>
      </w:r>
      <w:r>
        <w:rPr>
          <w:rFonts w:hint="eastAsia"/>
          <w:color w:val="auto"/>
          <w:highlight w:val="none"/>
          <w:lang w:val="en-US" w:eastAsia="zh-CN"/>
        </w:rPr>
        <w:fldChar w:fldCharType="begin"/>
      </w:r>
      <w:r>
        <w:rPr>
          <w:rFonts w:hint="eastAsia"/>
          <w:color w:val="auto"/>
          <w:highlight w:val="none"/>
          <w:lang w:val="en-US" w:eastAsia="zh-CN"/>
        </w:rPr>
        <w:instrText xml:space="preserve"> REF _Ref7782 \h </w:instrText>
      </w:r>
      <w:r>
        <w:rPr>
          <w:rFonts w:hint="eastAsia"/>
          <w:color w:val="auto"/>
          <w:highlight w:val="none"/>
          <w:lang w:val="en-US" w:eastAsia="zh-CN"/>
        </w:rPr>
        <w:fldChar w:fldCharType="separate"/>
      </w:r>
      <w:r>
        <w:t>表28</w:t>
      </w:r>
      <w:r>
        <w:rPr>
          <w:rFonts w:hint="eastAsia"/>
          <w:color w:val="auto"/>
          <w:highlight w:val="none"/>
          <w:lang w:val="en-US" w:eastAsia="zh-CN"/>
        </w:rPr>
        <w:fldChar w:fldCharType="end"/>
      </w:r>
      <w:r>
        <w:rPr>
          <w:rFonts w:hint="eastAsia"/>
          <w:color w:val="auto"/>
          <w:highlight w:val="none"/>
          <w:lang w:val="en-US" w:eastAsia="zh-CN"/>
        </w:rPr>
        <w:t>。</w:t>
      </w:r>
      <w:r>
        <w:rPr>
          <w:rFonts w:hint="eastAsia"/>
          <w:color w:val="auto"/>
          <w:sz w:val="24"/>
          <w:szCs w:val="24"/>
          <w:highlight w:val="none"/>
          <w:lang w:val="en-US" w:eastAsia="zh-CN"/>
        </w:rPr>
        <w:t>根据现有监测数据判断，印刷行业非甲烷总烃和挥发性有机物的达标率在90%左右，大约10%的现有企业需要进一步加强对挥发性有机物的控制。此外，考虑到现有数据主要来源于企业自行公开的监测数据，预计部分未上传数据的企业存在更高的超标风险，保守估计实际达标率约为70%～80%。</w:t>
      </w:r>
    </w:p>
    <w:p w14:paraId="1B877DC5">
      <w:pPr>
        <w:pStyle w:val="129"/>
        <w:shd w:val="clear"/>
        <w:bidi w:val="0"/>
        <w:ind w:left="0" w:leftChars="0"/>
        <w:jc w:val="center"/>
        <w:outlineLvl w:val="4"/>
        <w:rPr>
          <w:rFonts w:hint="default"/>
          <w:lang w:val="en-US" w:eastAsia="zh-CN"/>
        </w:rPr>
      </w:pPr>
      <w:bookmarkStart w:id="240" w:name="_Ref7782"/>
      <w:r>
        <w:t>表</w:t>
      </w:r>
      <w:r>
        <w:fldChar w:fldCharType="begin"/>
      </w:r>
      <w:r>
        <w:instrText xml:space="preserve"> SEQ 表 \* ARABIC </w:instrText>
      </w:r>
      <w:r>
        <w:fldChar w:fldCharType="separate"/>
      </w:r>
      <w:r>
        <w:t>28</w:t>
      </w:r>
      <w:r>
        <w:fldChar w:fldCharType="end"/>
      </w:r>
      <w:bookmarkEnd w:id="240"/>
      <w:r>
        <w:rPr>
          <w:rFonts w:hint="eastAsia"/>
          <w:lang w:val="en-US" w:eastAsia="zh-CN"/>
        </w:rPr>
        <w:t xml:space="preserve"> 印刷行业挥发性有机物排放浓度</w:t>
      </w:r>
    </w:p>
    <w:p w14:paraId="5A83407F">
      <w:pPr>
        <w:shd w:val="clear"/>
        <w:jc w:val="right"/>
        <w:rPr>
          <w:rFonts w:hint="default"/>
          <w:color w:val="auto"/>
          <w:highlight w:val="none"/>
          <w:lang w:val="en-US" w:eastAsia="zh-CN"/>
        </w:rPr>
      </w:pPr>
      <w:r>
        <w:rPr>
          <w:rFonts w:hint="eastAsia"/>
          <w:color w:val="auto"/>
          <w:highlight w:val="none"/>
          <w:lang w:val="en-US" w:eastAsia="zh-CN"/>
        </w:rPr>
        <w:t>单位：mg/m</w:t>
      </w:r>
      <w:r>
        <w:rPr>
          <w:rFonts w:hint="eastAsia"/>
          <w:color w:val="auto"/>
          <w:highlight w:val="none"/>
          <w:vertAlign w:val="superscript"/>
          <w:lang w:val="en-US" w:eastAsia="zh-CN"/>
        </w:rPr>
        <w:t>3</w:t>
      </w:r>
    </w:p>
    <w:tbl>
      <w:tblPr>
        <w:tblStyle w:val="3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450"/>
        <w:gridCol w:w="1357"/>
        <w:gridCol w:w="1248"/>
        <w:gridCol w:w="1294"/>
        <w:gridCol w:w="1294"/>
        <w:gridCol w:w="1296"/>
        <w:gridCol w:w="1296"/>
      </w:tblGrid>
      <w:tr w14:paraId="007D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blHeader/>
        </w:trPr>
        <w:tc>
          <w:tcPr>
            <w:tcW w:w="785" w:type="pct"/>
            <w:tcBorders>
              <w:top w:val="single" w:color="000000" w:sz="12" w:space="0"/>
              <w:left w:val="single" w:color="000000" w:sz="12" w:space="0"/>
              <w:bottom w:val="single" w:color="000000" w:sz="4" w:space="0"/>
              <w:right w:val="single" w:color="000000" w:sz="4" w:space="0"/>
              <w:tl2br w:val="nil"/>
            </w:tcBorders>
            <w:shd w:val="clear" w:color="auto" w:fill="FFFFFF"/>
            <w:noWrap/>
            <w:vAlign w:val="center"/>
          </w:tcPr>
          <w:p w14:paraId="3ADB5F8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监测项目</w:t>
            </w:r>
          </w:p>
        </w:tc>
        <w:tc>
          <w:tcPr>
            <w:tcW w:w="735"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7D5C199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企业数量</w:t>
            </w:r>
          </w:p>
        </w:tc>
        <w:tc>
          <w:tcPr>
            <w:tcW w:w="675"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395E3A1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数据量</w:t>
            </w:r>
          </w:p>
        </w:tc>
        <w:tc>
          <w:tcPr>
            <w:tcW w:w="700"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67B0303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最小值</w:t>
            </w:r>
          </w:p>
        </w:tc>
        <w:tc>
          <w:tcPr>
            <w:tcW w:w="700"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5997B8E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中位数</w:t>
            </w:r>
          </w:p>
        </w:tc>
        <w:tc>
          <w:tcPr>
            <w:tcW w:w="701"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0DFA4E1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70%分位数</w:t>
            </w:r>
          </w:p>
        </w:tc>
        <w:tc>
          <w:tcPr>
            <w:tcW w:w="701" w:type="pct"/>
            <w:tcBorders>
              <w:top w:val="single" w:color="000000" w:sz="12" w:space="0"/>
              <w:left w:val="single" w:color="000000" w:sz="4" w:space="0"/>
              <w:bottom w:val="single" w:color="000000" w:sz="4" w:space="0"/>
              <w:right w:val="single" w:color="000000" w:sz="12" w:space="0"/>
            </w:tcBorders>
            <w:shd w:val="clear" w:color="auto" w:fill="FFFFFF"/>
            <w:noWrap/>
            <w:vAlign w:val="center"/>
          </w:tcPr>
          <w:p w14:paraId="5377A76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90%分位数</w:t>
            </w:r>
          </w:p>
        </w:tc>
      </w:tr>
      <w:tr w14:paraId="1174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85"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41B6D17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苯</w:t>
            </w:r>
          </w:p>
        </w:tc>
        <w:tc>
          <w:tcPr>
            <w:tcW w:w="7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73756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31</w:t>
            </w:r>
          </w:p>
        </w:tc>
        <w:tc>
          <w:tcPr>
            <w:tcW w:w="6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5C9C1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51</w:t>
            </w:r>
          </w:p>
        </w:tc>
        <w:tc>
          <w:tcPr>
            <w:tcW w:w="7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6BCB0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cs="Times New Roman"/>
                <w:b w:val="0"/>
                <w:bCs/>
                <w:i w:val="0"/>
                <w:iCs w:val="0"/>
                <w:color w:val="auto"/>
                <w:kern w:val="0"/>
                <w:sz w:val="18"/>
                <w:szCs w:val="18"/>
                <w:highlight w:val="none"/>
                <w:u w:val="none"/>
                <w:lang w:val="en-US" w:eastAsia="zh-CN" w:bidi="ar"/>
              </w:rPr>
              <w:t>≤</w:t>
            </w:r>
            <w:r>
              <w:rPr>
                <w:rFonts w:hint="eastAsia" w:ascii="Times New Roman" w:hAnsi="Times New Roman" w:eastAsia="宋体" w:cs="Times New Roman"/>
                <w:b w:val="0"/>
                <w:bCs/>
                <w:i w:val="0"/>
                <w:iCs w:val="0"/>
                <w:color w:val="auto"/>
                <w:kern w:val="0"/>
                <w:sz w:val="18"/>
                <w:szCs w:val="18"/>
                <w:highlight w:val="none"/>
                <w:u w:val="none"/>
                <w:lang w:val="en-US" w:eastAsia="zh-CN" w:bidi="ar"/>
              </w:rPr>
              <w:t>1.37</w:t>
            </w:r>
          </w:p>
        </w:tc>
        <w:tc>
          <w:tcPr>
            <w:tcW w:w="7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D9EE6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0.04</w:t>
            </w:r>
          </w:p>
        </w:tc>
        <w:tc>
          <w:tcPr>
            <w:tcW w:w="7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2B898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0.09</w:t>
            </w:r>
          </w:p>
        </w:tc>
        <w:tc>
          <w:tcPr>
            <w:tcW w:w="701"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71AA762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0.38</w:t>
            </w:r>
          </w:p>
        </w:tc>
      </w:tr>
      <w:tr w14:paraId="51FE5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85"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5191A37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甲苯</w:t>
            </w:r>
          </w:p>
        </w:tc>
        <w:tc>
          <w:tcPr>
            <w:tcW w:w="7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C481D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31</w:t>
            </w:r>
          </w:p>
        </w:tc>
        <w:tc>
          <w:tcPr>
            <w:tcW w:w="6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C5453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55</w:t>
            </w:r>
          </w:p>
        </w:tc>
        <w:tc>
          <w:tcPr>
            <w:tcW w:w="7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5B2CF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cs="Times New Roman"/>
                <w:b w:val="0"/>
                <w:bCs/>
                <w:i w:val="0"/>
                <w:iCs w:val="0"/>
                <w:color w:val="auto"/>
                <w:kern w:val="0"/>
                <w:sz w:val="18"/>
                <w:szCs w:val="18"/>
                <w:highlight w:val="none"/>
                <w:u w:val="none"/>
                <w:lang w:val="en-US" w:eastAsia="zh-CN" w:bidi="ar"/>
              </w:rPr>
              <w:t>≤</w:t>
            </w:r>
            <w:r>
              <w:rPr>
                <w:rFonts w:hint="eastAsia" w:ascii="Times New Roman" w:hAnsi="Times New Roman" w:eastAsia="宋体" w:cs="Times New Roman"/>
                <w:b w:val="0"/>
                <w:bCs/>
                <w:i w:val="0"/>
                <w:iCs w:val="0"/>
                <w:color w:val="auto"/>
                <w:kern w:val="0"/>
                <w:sz w:val="18"/>
                <w:szCs w:val="18"/>
                <w:highlight w:val="none"/>
                <w:u w:val="none"/>
                <w:lang w:val="en-US" w:eastAsia="zh-CN" w:bidi="ar"/>
              </w:rPr>
              <w:t>2.95</w:t>
            </w:r>
          </w:p>
        </w:tc>
        <w:tc>
          <w:tcPr>
            <w:tcW w:w="7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27690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0.16</w:t>
            </w:r>
          </w:p>
        </w:tc>
        <w:tc>
          <w:tcPr>
            <w:tcW w:w="7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1A2C5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0.57</w:t>
            </w:r>
          </w:p>
        </w:tc>
        <w:tc>
          <w:tcPr>
            <w:tcW w:w="701"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3FAD00D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1.93</w:t>
            </w:r>
          </w:p>
        </w:tc>
      </w:tr>
      <w:tr w14:paraId="42C88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85"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1CB21E2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二甲苯</w:t>
            </w:r>
          </w:p>
        </w:tc>
        <w:tc>
          <w:tcPr>
            <w:tcW w:w="7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E5EBD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30</w:t>
            </w:r>
          </w:p>
        </w:tc>
        <w:tc>
          <w:tcPr>
            <w:tcW w:w="6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955D2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50</w:t>
            </w:r>
          </w:p>
        </w:tc>
        <w:tc>
          <w:tcPr>
            <w:tcW w:w="7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916C8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cs="Times New Roman"/>
                <w:b w:val="0"/>
                <w:bCs/>
                <w:i w:val="0"/>
                <w:iCs w:val="0"/>
                <w:color w:val="auto"/>
                <w:kern w:val="0"/>
                <w:sz w:val="18"/>
                <w:szCs w:val="18"/>
                <w:highlight w:val="none"/>
                <w:u w:val="none"/>
                <w:lang w:val="en-US" w:eastAsia="zh-CN" w:bidi="ar"/>
              </w:rPr>
              <w:t>≤</w:t>
            </w:r>
            <w:r>
              <w:rPr>
                <w:rFonts w:hint="eastAsia" w:ascii="Times New Roman" w:hAnsi="Times New Roman" w:eastAsia="宋体" w:cs="Times New Roman"/>
                <w:b w:val="0"/>
                <w:bCs/>
                <w:i w:val="0"/>
                <w:iCs w:val="0"/>
                <w:color w:val="auto"/>
                <w:kern w:val="0"/>
                <w:sz w:val="18"/>
                <w:szCs w:val="18"/>
                <w:highlight w:val="none"/>
                <w:u w:val="none"/>
                <w:lang w:val="en-US" w:eastAsia="zh-CN" w:bidi="ar"/>
              </w:rPr>
              <w:t>4.85</w:t>
            </w:r>
          </w:p>
        </w:tc>
        <w:tc>
          <w:tcPr>
            <w:tcW w:w="7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AFEF7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0.10</w:t>
            </w:r>
          </w:p>
        </w:tc>
        <w:tc>
          <w:tcPr>
            <w:tcW w:w="7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0992E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0.37</w:t>
            </w:r>
          </w:p>
        </w:tc>
        <w:tc>
          <w:tcPr>
            <w:tcW w:w="701"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14C1849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2.32</w:t>
            </w:r>
          </w:p>
        </w:tc>
      </w:tr>
      <w:tr w14:paraId="2BF9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85"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674F06C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苯系物</w:t>
            </w:r>
          </w:p>
        </w:tc>
        <w:tc>
          <w:tcPr>
            <w:tcW w:w="7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A5E77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11</w:t>
            </w:r>
          </w:p>
        </w:tc>
        <w:tc>
          <w:tcPr>
            <w:tcW w:w="6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DDF79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25</w:t>
            </w:r>
          </w:p>
        </w:tc>
        <w:tc>
          <w:tcPr>
            <w:tcW w:w="7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08AF6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cs="Times New Roman"/>
                <w:b w:val="0"/>
                <w:bCs/>
                <w:i w:val="0"/>
                <w:iCs w:val="0"/>
                <w:color w:val="auto"/>
                <w:kern w:val="0"/>
                <w:sz w:val="18"/>
                <w:szCs w:val="18"/>
                <w:highlight w:val="none"/>
                <w:u w:val="none"/>
                <w:lang w:val="en-US" w:eastAsia="zh-CN" w:bidi="ar"/>
              </w:rPr>
              <w:t>≤</w:t>
            </w:r>
            <w:r>
              <w:rPr>
                <w:rFonts w:hint="eastAsia" w:ascii="Times New Roman" w:hAnsi="Times New Roman" w:eastAsia="宋体" w:cs="Times New Roman"/>
                <w:b w:val="0"/>
                <w:bCs/>
                <w:i w:val="0"/>
                <w:iCs w:val="0"/>
                <w:color w:val="auto"/>
                <w:kern w:val="0"/>
                <w:sz w:val="18"/>
                <w:szCs w:val="18"/>
                <w:highlight w:val="none"/>
                <w:u w:val="none"/>
                <w:lang w:val="en-US" w:eastAsia="zh-CN" w:bidi="ar"/>
              </w:rPr>
              <w:t>6.30</w:t>
            </w:r>
          </w:p>
        </w:tc>
        <w:tc>
          <w:tcPr>
            <w:tcW w:w="7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78DD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0.68</w:t>
            </w:r>
          </w:p>
        </w:tc>
        <w:tc>
          <w:tcPr>
            <w:tcW w:w="7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79B26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1.25</w:t>
            </w:r>
          </w:p>
        </w:tc>
        <w:tc>
          <w:tcPr>
            <w:tcW w:w="701"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5C798E4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6.23</w:t>
            </w:r>
          </w:p>
        </w:tc>
      </w:tr>
      <w:tr w14:paraId="5B3F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785"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58B0922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非甲烷总烃</w:t>
            </w:r>
          </w:p>
        </w:tc>
        <w:tc>
          <w:tcPr>
            <w:tcW w:w="73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D354E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43</w:t>
            </w:r>
          </w:p>
        </w:tc>
        <w:tc>
          <w:tcPr>
            <w:tcW w:w="6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BA634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80</w:t>
            </w:r>
          </w:p>
        </w:tc>
        <w:tc>
          <w:tcPr>
            <w:tcW w:w="7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CF263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cs="Times New Roman"/>
                <w:b w:val="0"/>
                <w:bCs/>
                <w:i w:val="0"/>
                <w:iCs w:val="0"/>
                <w:color w:val="auto"/>
                <w:kern w:val="0"/>
                <w:sz w:val="18"/>
                <w:szCs w:val="18"/>
                <w:highlight w:val="none"/>
                <w:u w:val="none"/>
                <w:lang w:val="en-US" w:eastAsia="zh-CN" w:bidi="ar"/>
              </w:rPr>
              <w:t>≤</w:t>
            </w:r>
            <w:r>
              <w:rPr>
                <w:rFonts w:hint="eastAsia" w:ascii="Times New Roman" w:hAnsi="Times New Roman" w:eastAsia="宋体" w:cs="Times New Roman"/>
                <w:b w:val="0"/>
                <w:bCs/>
                <w:i w:val="0"/>
                <w:iCs w:val="0"/>
                <w:color w:val="auto"/>
                <w:kern w:val="0"/>
                <w:sz w:val="18"/>
                <w:szCs w:val="18"/>
                <w:highlight w:val="none"/>
                <w:u w:val="none"/>
                <w:lang w:val="en-US" w:eastAsia="zh-CN" w:bidi="ar"/>
              </w:rPr>
              <w:t>615.00</w:t>
            </w:r>
          </w:p>
        </w:tc>
        <w:tc>
          <w:tcPr>
            <w:tcW w:w="7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C841E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5.09</w:t>
            </w:r>
          </w:p>
        </w:tc>
        <w:tc>
          <w:tcPr>
            <w:tcW w:w="70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615D6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12.62</w:t>
            </w:r>
          </w:p>
        </w:tc>
        <w:tc>
          <w:tcPr>
            <w:tcW w:w="701"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1B557DE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34.75</w:t>
            </w:r>
          </w:p>
        </w:tc>
      </w:tr>
      <w:tr w14:paraId="7B9FB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85" w:type="pct"/>
            <w:tcBorders>
              <w:top w:val="single" w:color="000000" w:sz="4" w:space="0"/>
              <w:left w:val="single" w:color="000000" w:sz="12" w:space="0"/>
              <w:bottom w:val="single" w:color="000000" w:sz="12" w:space="0"/>
              <w:right w:val="single" w:color="000000" w:sz="4" w:space="0"/>
            </w:tcBorders>
            <w:shd w:val="clear" w:color="auto" w:fill="FFFFFF"/>
            <w:noWrap/>
            <w:vAlign w:val="center"/>
          </w:tcPr>
          <w:p w14:paraId="34353A5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both"/>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挥发性有机物</w:t>
            </w:r>
          </w:p>
        </w:tc>
        <w:tc>
          <w:tcPr>
            <w:tcW w:w="735"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2370D41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44</w:t>
            </w:r>
          </w:p>
        </w:tc>
        <w:tc>
          <w:tcPr>
            <w:tcW w:w="675"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265981C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74</w:t>
            </w:r>
          </w:p>
        </w:tc>
        <w:tc>
          <w:tcPr>
            <w:tcW w:w="700"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0B4B516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cs="Times New Roman"/>
                <w:b w:val="0"/>
                <w:bCs/>
                <w:i w:val="0"/>
                <w:iCs w:val="0"/>
                <w:color w:val="auto"/>
                <w:kern w:val="0"/>
                <w:sz w:val="18"/>
                <w:szCs w:val="18"/>
                <w:highlight w:val="none"/>
                <w:u w:val="none"/>
                <w:lang w:val="en-US" w:eastAsia="zh-CN" w:bidi="ar"/>
              </w:rPr>
              <w:t>≤</w:t>
            </w:r>
            <w:r>
              <w:rPr>
                <w:rFonts w:hint="eastAsia" w:ascii="Times New Roman" w:hAnsi="Times New Roman" w:eastAsia="宋体" w:cs="Times New Roman"/>
                <w:b w:val="0"/>
                <w:bCs/>
                <w:i w:val="0"/>
                <w:iCs w:val="0"/>
                <w:color w:val="auto"/>
                <w:kern w:val="0"/>
                <w:sz w:val="18"/>
                <w:szCs w:val="18"/>
                <w:highlight w:val="none"/>
                <w:u w:val="none"/>
                <w:lang w:val="en-US" w:eastAsia="zh-CN" w:bidi="ar"/>
              </w:rPr>
              <w:t>71.60</w:t>
            </w:r>
          </w:p>
        </w:tc>
        <w:tc>
          <w:tcPr>
            <w:tcW w:w="700"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6095189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8.52</w:t>
            </w:r>
          </w:p>
        </w:tc>
        <w:tc>
          <w:tcPr>
            <w:tcW w:w="701"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75FB8AC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14.11</w:t>
            </w:r>
          </w:p>
        </w:tc>
        <w:tc>
          <w:tcPr>
            <w:tcW w:w="701" w:type="pct"/>
            <w:tcBorders>
              <w:top w:val="single" w:color="000000" w:sz="4" w:space="0"/>
              <w:left w:val="single" w:color="000000" w:sz="4" w:space="0"/>
              <w:bottom w:val="single" w:color="000000" w:sz="12" w:space="0"/>
              <w:right w:val="single" w:color="000000" w:sz="12" w:space="0"/>
            </w:tcBorders>
            <w:shd w:val="clear" w:color="auto" w:fill="FFFFFF"/>
            <w:noWrap/>
            <w:vAlign w:val="center"/>
          </w:tcPr>
          <w:p w14:paraId="34726D3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24.81</w:t>
            </w:r>
          </w:p>
        </w:tc>
      </w:tr>
    </w:tbl>
    <w:p w14:paraId="23B7BC15">
      <w:pPr>
        <w:shd w:val="clear"/>
        <w:rPr>
          <w:rFonts w:hint="eastAsia"/>
          <w:color w:val="auto"/>
          <w:highlight w:val="none"/>
          <w:lang w:val="en-US" w:eastAsia="zh-CN"/>
        </w:rPr>
      </w:pPr>
    </w:p>
    <w:p w14:paraId="1320299B">
      <w:pPr>
        <w:pStyle w:val="3"/>
        <w:shd w:val="clear"/>
        <w:bidi w:val="0"/>
        <w:ind w:left="575" w:leftChars="0" w:hanging="575" w:firstLineChars="0"/>
        <w:rPr>
          <w:rFonts w:hint="eastAsia"/>
          <w:color w:val="auto"/>
          <w:highlight w:val="none"/>
          <w:lang w:val="en-US" w:eastAsia="zh-CN"/>
        </w:rPr>
      </w:pPr>
      <w:bookmarkStart w:id="241" w:name="_Toc12113"/>
      <w:bookmarkStart w:id="242" w:name="_Toc7527"/>
      <w:bookmarkStart w:id="243" w:name="_Toc30355"/>
      <w:bookmarkStart w:id="244" w:name="_Toc5274"/>
      <w:bookmarkStart w:id="245" w:name="_Toc27196"/>
      <w:bookmarkStart w:id="246" w:name="_Toc27765"/>
      <w:r>
        <w:rPr>
          <w:rFonts w:hint="eastAsia"/>
          <w:color w:val="auto"/>
          <w:highlight w:val="none"/>
          <w:lang w:val="en-US" w:eastAsia="zh-CN"/>
        </w:rPr>
        <w:t>计算机、通信和其他电子设备制造业</w:t>
      </w:r>
      <w:bookmarkEnd w:id="241"/>
      <w:bookmarkEnd w:id="242"/>
      <w:bookmarkEnd w:id="243"/>
      <w:bookmarkEnd w:id="244"/>
      <w:bookmarkEnd w:id="245"/>
      <w:bookmarkEnd w:id="246"/>
    </w:p>
    <w:p w14:paraId="184DBD47">
      <w:pPr>
        <w:keepNext w:val="0"/>
        <w:keepLines w:val="0"/>
        <w:pageBreakBefore w:val="0"/>
        <w:widowControl w:val="0"/>
        <w:shd w:val="clear"/>
        <w:kinsoku/>
        <w:wordWrap/>
        <w:overflowPunct/>
        <w:topLinePunct w:val="0"/>
        <w:autoSpaceDE/>
        <w:autoSpaceDN/>
        <w:bidi w:val="0"/>
        <w:adjustRightInd/>
        <w:snapToGrid/>
        <w:textAlignment w:val="auto"/>
        <w:rPr>
          <w:rFonts w:hint="eastAsia"/>
          <w:color w:val="auto"/>
          <w:highlight w:val="none"/>
          <w:vertAlign w:val="baseline"/>
          <w:lang w:val="en-US" w:eastAsia="zh-CN"/>
        </w:rPr>
      </w:pPr>
      <w:r>
        <w:rPr>
          <w:rFonts w:hint="eastAsia" w:eastAsia="宋体"/>
          <w:color w:val="auto"/>
          <w:highlight w:val="none"/>
          <w:vertAlign w:val="baseline"/>
          <w:lang w:val="en-US" w:eastAsia="zh-CN"/>
        </w:rPr>
        <w:t>北京、上海、福建、安徽等</w:t>
      </w:r>
      <w:r>
        <w:rPr>
          <w:rFonts w:hint="eastAsia"/>
          <w:color w:val="auto"/>
          <w:highlight w:val="none"/>
          <w:vertAlign w:val="baseline"/>
          <w:lang w:val="en-US" w:eastAsia="zh-CN"/>
        </w:rPr>
        <w:t>11省市</w:t>
      </w:r>
      <w:r>
        <w:rPr>
          <w:rFonts w:hint="eastAsia" w:eastAsia="宋体"/>
          <w:color w:val="auto"/>
          <w:highlight w:val="none"/>
          <w:vertAlign w:val="baseline"/>
          <w:lang w:val="en-US" w:eastAsia="zh-CN"/>
        </w:rPr>
        <w:t>地发布了针对电子和半导体行业的挥发性有机物排放控制限值</w:t>
      </w:r>
      <w:r>
        <w:rPr>
          <w:rFonts w:hint="eastAsia"/>
          <w:color w:val="auto"/>
          <w:highlight w:val="none"/>
          <w:vertAlign w:val="baseline"/>
          <w:lang w:val="en-US" w:eastAsia="zh-CN"/>
        </w:rPr>
        <w:t>。</w:t>
      </w:r>
      <w:r>
        <w:rPr>
          <w:rFonts w:hint="eastAsia" w:eastAsia="宋体"/>
          <w:color w:val="auto"/>
          <w:highlight w:val="none"/>
          <w:vertAlign w:val="baseline"/>
          <w:lang w:val="en-US" w:eastAsia="zh-CN"/>
        </w:rPr>
        <w:t>北京</w:t>
      </w:r>
      <w:r>
        <w:rPr>
          <w:rFonts w:hint="eastAsia"/>
          <w:color w:val="auto"/>
          <w:highlight w:val="none"/>
          <w:vertAlign w:val="baseline"/>
          <w:lang w:val="en-US" w:eastAsia="zh-CN"/>
        </w:rPr>
        <w:t>控制限值最为严格</w:t>
      </w:r>
      <w:r>
        <w:rPr>
          <w:rFonts w:hint="eastAsia" w:eastAsia="宋体"/>
          <w:color w:val="auto"/>
          <w:highlight w:val="none"/>
          <w:vertAlign w:val="baseline"/>
          <w:lang w:val="en-US" w:eastAsia="zh-CN"/>
        </w:rPr>
        <w:t>，规定</w:t>
      </w:r>
      <w:r>
        <w:rPr>
          <w:rFonts w:hint="eastAsia"/>
          <w:color w:val="auto"/>
          <w:highlight w:val="none"/>
          <w:vertAlign w:val="baseline"/>
          <w:lang w:val="en-US" w:eastAsia="zh-CN"/>
        </w:rPr>
        <w:t xml:space="preserve">了苯、苯系物、非甲烷总烃的控制限值分别为1 </w:t>
      </w:r>
      <w:r>
        <w:rPr>
          <w:rFonts w:hint="eastAsia" w:eastAsia="宋体"/>
          <w:color w:val="auto"/>
          <w:highlight w:val="none"/>
          <w:vertAlign w:val="baseline"/>
          <w:lang w:val="en-US" w:eastAsia="zh-CN"/>
        </w:rPr>
        <w:t>mg/m</w:t>
      </w:r>
      <w:r>
        <w:rPr>
          <w:rFonts w:hint="eastAsia" w:eastAsia="宋体"/>
          <w:color w:val="auto"/>
          <w:highlight w:val="none"/>
          <w:vertAlign w:val="superscript"/>
          <w:lang w:val="en-US" w:eastAsia="zh-CN"/>
        </w:rPr>
        <w:t>3</w:t>
      </w:r>
      <w:r>
        <w:rPr>
          <w:rFonts w:hint="eastAsia"/>
          <w:color w:val="auto"/>
          <w:highlight w:val="none"/>
          <w:vertAlign w:val="baseline"/>
          <w:lang w:val="en-US" w:eastAsia="zh-CN"/>
        </w:rPr>
        <w:t>，</w:t>
      </w:r>
      <w:r>
        <w:rPr>
          <w:rFonts w:hint="eastAsia" w:eastAsia="宋体"/>
          <w:color w:val="auto"/>
          <w:highlight w:val="none"/>
          <w:vertAlign w:val="baseline"/>
          <w:lang w:val="en-US" w:eastAsia="zh-CN"/>
        </w:rPr>
        <w:t>8 mg/m</w:t>
      </w:r>
      <w:r>
        <w:rPr>
          <w:rFonts w:hint="eastAsia" w:eastAsia="宋体"/>
          <w:color w:val="auto"/>
          <w:highlight w:val="none"/>
          <w:vertAlign w:val="superscript"/>
          <w:lang w:val="en-US" w:eastAsia="zh-CN"/>
        </w:rPr>
        <w:t>3</w:t>
      </w:r>
      <w:r>
        <w:rPr>
          <w:rFonts w:hint="eastAsia" w:eastAsia="宋体"/>
          <w:color w:val="auto"/>
          <w:highlight w:val="none"/>
          <w:vertAlign w:val="baseline"/>
          <w:lang w:val="en-US" w:eastAsia="zh-CN"/>
        </w:rPr>
        <w:t>，</w:t>
      </w:r>
      <w:r>
        <w:rPr>
          <w:rFonts w:hint="eastAsia"/>
          <w:color w:val="auto"/>
          <w:highlight w:val="none"/>
          <w:vertAlign w:val="baseline"/>
          <w:lang w:val="en-US" w:eastAsia="zh-CN"/>
        </w:rPr>
        <w:t>和10</w:t>
      </w:r>
      <w:r>
        <w:rPr>
          <w:rFonts w:hint="eastAsia" w:eastAsia="宋体"/>
          <w:color w:val="auto"/>
          <w:highlight w:val="none"/>
          <w:vertAlign w:val="baseline"/>
          <w:lang w:val="en-US" w:eastAsia="zh-CN"/>
        </w:rPr>
        <w:t xml:space="preserve"> mg/m</w:t>
      </w:r>
      <w:r>
        <w:rPr>
          <w:rFonts w:hint="eastAsia" w:eastAsia="宋体"/>
          <w:color w:val="auto"/>
          <w:highlight w:val="none"/>
          <w:vertAlign w:val="superscript"/>
          <w:lang w:val="en-US" w:eastAsia="zh-CN"/>
        </w:rPr>
        <w:t>3</w:t>
      </w:r>
      <w:r>
        <w:rPr>
          <w:rFonts w:hint="eastAsia"/>
          <w:color w:val="auto"/>
          <w:highlight w:val="none"/>
          <w:vertAlign w:val="baseline"/>
          <w:lang w:val="en-US" w:eastAsia="zh-CN"/>
        </w:rPr>
        <w:t xml:space="preserve">；上海发布了针对半导体行业苯、苯系物、非甲烷总烃和总挥发性有机物的控制限值分别为1 </w:t>
      </w:r>
      <w:r>
        <w:rPr>
          <w:rFonts w:hint="eastAsia" w:eastAsia="宋体"/>
          <w:color w:val="auto"/>
          <w:highlight w:val="none"/>
          <w:vertAlign w:val="baseline"/>
          <w:lang w:val="en-US" w:eastAsia="zh-CN"/>
        </w:rPr>
        <w:t>mg/m</w:t>
      </w:r>
      <w:r>
        <w:rPr>
          <w:rFonts w:hint="eastAsia" w:eastAsia="宋体"/>
          <w:color w:val="auto"/>
          <w:highlight w:val="none"/>
          <w:vertAlign w:val="superscript"/>
          <w:lang w:val="en-US" w:eastAsia="zh-CN"/>
        </w:rPr>
        <w:t>3</w:t>
      </w:r>
      <w:r>
        <w:rPr>
          <w:rFonts w:hint="eastAsia"/>
          <w:color w:val="auto"/>
          <w:highlight w:val="none"/>
          <w:vertAlign w:val="baseline"/>
          <w:lang w:val="en-US" w:eastAsia="zh-CN"/>
        </w:rPr>
        <w:t>，</w:t>
      </w:r>
      <w:r>
        <w:rPr>
          <w:rFonts w:hint="eastAsia" w:eastAsia="宋体"/>
          <w:color w:val="auto"/>
          <w:highlight w:val="none"/>
          <w:vertAlign w:val="baseline"/>
          <w:lang w:val="en-US" w:eastAsia="zh-CN"/>
        </w:rPr>
        <w:t>8 mg/m</w:t>
      </w:r>
      <w:r>
        <w:rPr>
          <w:rFonts w:hint="eastAsia" w:eastAsia="宋体"/>
          <w:color w:val="auto"/>
          <w:highlight w:val="none"/>
          <w:vertAlign w:val="superscript"/>
          <w:lang w:val="en-US" w:eastAsia="zh-CN"/>
        </w:rPr>
        <w:t>3</w:t>
      </w:r>
      <w:r>
        <w:rPr>
          <w:rFonts w:hint="eastAsia" w:eastAsia="宋体"/>
          <w:color w:val="auto"/>
          <w:highlight w:val="none"/>
          <w:vertAlign w:val="baseline"/>
          <w:lang w:val="en-US" w:eastAsia="zh-CN"/>
        </w:rPr>
        <w:t>，</w:t>
      </w:r>
      <w:r>
        <w:rPr>
          <w:rFonts w:hint="eastAsia"/>
          <w:color w:val="auto"/>
          <w:highlight w:val="none"/>
          <w:vertAlign w:val="baseline"/>
          <w:lang w:val="en-US" w:eastAsia="zh-CN"/>
        </w:rPr>
        <w:t>50</w:t>
      </w:r>
      <w:r>
        <w:rPr>
          <w:rFonts w:hint="eastAsia" w:eastAsia="宋体"/>
          <w:color w:val="auto"/>
          <w:highlight w:val="none"/>
          <w:vertAlign w:val="baseline"/>
          <w:lang w:val="en-US" w:eastAsia="zh-CN"/>
        </w:rPr>
        <w:t xml:space="preserve"> mg/m</w:t>
      </w:r>
      <w:r>
        <w:rPr>
          <w:rFonts w:hint="eastAsia" w:eastAsia="宋体"/>
          <w:color w:val="auto"/>
          <w:highlight w:val="none"/>
          <w:vertAlign w:val="superscript"/>
          <w:lang w:val="en-US" w:eastAsia="zh-CN"/>
        </w:rPr>
        <w:t>3</w:t>
      </w:r>
      <w:r>
        <w:rPr>
          <w:rFonts w:hint="eastAsia"/>
          <w:color w:val="auto"/>
          <w:highlight w:val="none"/>
          <w:vertAlign w:val="baseline"/>
          <w:lang w:val="en-US" w:eastAsia="zh-CN"/>
        </w:rPr>
        <w:t>，和60</w:t>
      </w:r>
      <w:r>
        <w:rPr>
          <w:rFonts w:hint="eastAsia" w:eastAsia="宋体"/>
          <w:color w:val="auto"/>
          <w:highlight w:val="none"/>
          <w:vertAlign w:val="baseline"/>
          <w:lang w:val="en-US" w:eastAsia="zh-CN"/>
        </w:rPr>
        <w:t xml:space="preserve"> mg/m</w:t>
      </w:r>
      <w:r>
        <w:rPr>
          <w:rFonts w:hint="eastAsia" w:eastAsia="宋体"/>
          <w:color w:val="auto"/>
          <w:highlight w:val="none"/>
          <w:vertAlign w:val="superscript"/>
          <w:lang w:val="en-US" w:eastAsia="zh-CN"/>
        </w:rPr>
        <w:t>3</w:t>
      </w:r>
      <w:r>
        <w:rPr>
          <w:rFonts w:hint="eastAsia"/>
          <w:color w:val="auto"/>
          <w:highlight w:val="none"/>
          <w:vertAlign w:val="baseline"/>
          <w:lang w:val="en-US" w:eastAsia="zh-CN"/>
        </w:rPr>
        <w:t>；安徽将电子行业细分为半导体器件、显示器件及光电子器件和电子元件、电子专用材料、电子终端产品、印制电路板、其他电子工业等3个类别，分别制定了控制限值。</w:t>
      </w:r>
    </w:p>
    <w:p w14:paraId="27187753">
      <w:pPr>
        <w:keepNext w:val="0"/>
        <w:keepLines w:val="0"/>
        <w:pageBreakBefore w:val="0"/>
        <w:widowControl w:val="0"/>
        <w:shd w:val="clear"/>
        <w:kinsoku/>
        <w:wordWrap/>
        <w:overflowPunct/>
        <w:topLinePunct w:val="0"/>
        <w:autoSpaceDE/>
        <w:autoSpaceDN/>
        <w:bidi w:val="0"/>
        <w:adjustRightInd/>
        <w:snapToGrid/>
        <w:textAlignment w:val="auto"/>
        <w:rPr>
          <w:rFonts w:hint="eastAsia"/>
          <w:color w:val="auto"/>
          <w:highlight w:val="none"/>
          <w:vertAlign w:val="baseline"/>
          <w:lang w:val="en-US" w:eastAsia="zh-CN"/>
        </w:rPr>
      </w:pPr>
      <w:r>
        <w:rPr>
          <w:rFonts w:hint="eastAsia"/>
          <w:color w:val="auto"/>
          <w:highlight w:val="none"/>
          <w:vertAlign w:val="baseline"/>
          <w:lang w:val="en-US" w:eastAsia="zh-CN"/>
        </w:rPr>
        <w:t>本标准规定了</w:t>
      </w:r>
      <w:r>
        <w:rPr>
          <w:rFonts w:hint="eastAsia" w:eastAsia="宋体"/>
          <w:color w:val="auto"/>
          <w:highlight w:val="none"/>
          <w:vertAlign w:val="baseline"/>
          <w:lang w:val="en-US" w:eastAsia="zh-CN"/>
        </w:rPr>
        <w:t>苯、</w:t>
      </w:r>
      <w:r>
        <w:rPr>
          <w:rFonts w:hint="eastAsia"/>
          <w:color w:val="auto"/>
          <w:highlight w:val="none"/>
          <w:vertAlign w:val="baseline"/>
          <w:lang w:val="en-US" w:eastAsia="zh-CN"/>
        </w:rPr>
        <w:t>苯系物、非甲烷总烃和总挥发性有机物的</w:t>
      </w:r>
      <w:r>
        <w:rPr>
          <w:rFonts w:hint="eastAsia" w:eastAsia="宋体"/>
          <w:color w:val="auto"/>
          <w:highlight w:val="none"/>
          <w:vertAlign w:val="baseline"/>
          <w:lang w:val="en-US" w:eastAsia="zh-CN"/>
        </w:rPr>
        <w:t>控制限值分别为1</w:t>
      </w:r>
      <w:r>
        <w:rPr>
          <w:rFonts w:hint="eastAsia"/>
          <w:color w:val="auto"/>
          <w:highlight w:val="none"/>
          <w:vertAlign w:val="baseline"/>
          <w:lang w:val="en-US" w:eastAsia="zh-CN"/>
        </w:rPr>
        <w:t xml:space="preserve"> </w:t>
      </w:r>
      <w:r>
        <w:rPr>
          <w:rFonts w:hint="eastAsia" w:eastAsia="宋体"/>
          <w:color w:val="auto"/>
          <w:highlight w:val="none"/>
          <w:vertAlign w:val="baseline"/>
          <w:lang w:val="en-US" w:eastAsia="zh-CN"/>
        </w:rPr>
        <w:t>mg/m</w:t>
      </w:r>
      <w:r>
        <w:rPr>
          <w:rFonts w:hint="eastAsia" w:eastAsia="宋体"/>
          <w:color w:val="auto"/>
          <w:highlight w:val="none"/>
          <w:vertAlign w:val="superscript"/>
          <w:lang w:val="en-US" w:eastAsia="zh-CN"/>
        </w:rPr>
        <w:t>3</w:t>
      </w:r>
      <w:r>
        <w:rPr>
          <w:rFonts w:hint="eastAsia" w:eastAsia="宋体"/>
          <w:color w:val="auto"/>
          <w:highlight w:val="none"/>
          <w:vertAlign w:val="baseline"/>
          <w:lang w:val="en-US" w:eastAsia="zh-CN"/>
        </w:rPr>
        <w:t>，</w:t>
      </w:r>
      <w:r>
        <w:rPr>
          <w:rFonts w:hint="eastAsia"/>
          <w:color w:val="auto"/>
          <w:highlight w:val="none"/>
          <w:vertAlign w:val="baseline"/>
          <w:lang w:val="en-US" w:eastAsia="zh-CN"/>
        </w:rPr>
        <w:t>3</w:t>
      </w:r>
      <w:r>
        <w:rPr>
          <w:rFonts w:hint="eastAsia" w:eastAsia="宋体"/>
          <w:color w:val="auto"/>
          <w:highlight w:val="none"/>
          <w:vertAlign w:val="baseline"/>
          <w:lang w:val="en-US" w:eastAsia="zh-CN"/>
        </w:rPr>
        <w:t>0</w:t>
      </w:r>
      <w:r>
        <w:rPr>
          <w:rFonts w:hint="eastAsia"/>
          <w:color w:val="auto"/>
          <w:highlight w:val="none"/>
          <w:vertAlign w:val="baseline"/>
          <w:lang w:val="en-US" w:eastAsia="zh-CN"/>
        </w:rPr>
        <w:t xml:space="preserve"> </w:t>
      </w:r>
      <w:r>
        <w:rPr>
          <w:rFonts w:hint="eastAsia" w:eastAsia="宋体"/>
          <w:color w:val="auto"/>
          <w:highlight w:val="none"/>
          <w:vertAlign w:val="baseline"/>
          <w:lang w:val="en-US" w:eastAsia="zh-CN"/>
        </w:rPr>
        <w:t>mg/m</w:t>
      </w:r>
      <w:r>
        <w:rPr>
          <w:rFonts w:hint="eastAsia" w:eastAsia="宋体"/>
          <w:color w:val="auto"/>
          <w:highlight w:val="none"/>
          <w:vertAlign w:val="superscript"/>
          <w:lang w:val="en-US" w:eastAsia="zh-CN"/>
        </w:rPr>
        <w:t>3</w:t>
      </w:r>
      <w:r>
        <w:rPr>
          <w:rFonts w:hint="eastAsia" w:eastAsia="宋体"/>
          <w:color w:val="auto"/>
          <w:highlight w:val="none"/>
          <w:vertAlign w:val="baseline"/>
          <w:lang w:val="en-US" w:eastAsia="zh-CN"/>
        </w:rPr>
        <w:t>，</w:t>
      </w:r>
      <w:r>
        <w:rPr>
          <w:rFonts w:hint="eastAsia"/>
          <w:color w:val="auto"/>
          <w:highlight w:val="none"/>
          <w:vertAlign w:val="baseline"/>
          <w:lang w:val="en-US" w:eastAsia="zh-CN"/>
        </w:rPr>
        <w:t>5</w:t>
      </w:r>
      <w:r>
        <w:rPr>
          <w:rFonts w:hint="eastAsia" w:eastAsia="宋体"/>
          <w:color w:val="auto"/>
          <w:highlight w:val="none"/>
          <w:vertAlign w:val="baseline"/>
          <w:lang w:val="en-US" w:eastAsia="zh-CN"/>
        </w:rPr>
        <w:t>0</w:t>
      </w:r>
      <w:r>
        <w:rPr>
          <w:rFonts w:hint="eastAsia"/>
          <w:color w:val="auto"/>
          <w:highlight w:val="none"/>
          <w:vertAlign w:val="baseline"/>
          <w:lang w:val="en-US" w:eastAsia="zh-CN"/>
        </w:rPr>
        <w:t xml:space="preserve"> </w:t>
      </w:r>
      <w:r>
        <w:rPr>
          <w:rFonts w:hint="eastAsia" w:eastAsia="宋体"/>
          <w:color w:val="auto"/>
          <w:highlight w:val="none"/>
          <w:vertAlign w:val="baseline"/>
          <w:lang w:val="en-US" w:eastAsia="zh-CN"/>
        </w:rPr>
        <w:t>mg/m</w:t>
      </w:r>
      <w:r>
        <w:rPr>
          <w:rFonts w:hint="eastAsia" w:eastAsia="宋体"/>
          <w:color w:val="auto"/>
          <w:highlight w:val="none"/>
          <w:vertAlign w:val="superscript"/>
          <w:lang w:val="en-US" w:eastAsia="zh-CN"/>
        </w:rPr>
        <w:t>3</w:t>
      </w:r>
      <w:r>
        <w:rPr>
          <w:rFonts w:hint="eastAsia"/>
          <w:color w:val="auto"/>
          <w:highlight w:val="none"/>
          <w:vertAlign w:val="baseline"/>
          <w:lang w:val="en-US" w:eastAsia="zh-CN"/>
        </w:rPr>
        <w:t xml:space="preserve">和80 </w:t>
      </w:r>
      <w:r>
        <w:rPr>
          <w:rFonts w:hint="eastAsia" w:eastAsia="宋体"/>
          <w:color w:val="auto"/>
          <w:highlight w:val="none"/>
          <w:vertAlign w:val="baseline"/>
          <w:lang w:val="en-US" w:eastAsia="zh-CN"/>
        </w:rPr>
        <w:t>mg/m</w:t>
      </w:r>
      <w:r>
        <w:rPr>
          <w:rFonts w:hint="eastAsia" w:eastAsia="宋体"/>
          <w:color w:val="auto"/>
          <w:highlight w:val="none"/>
          <w:vertAlign w:val="superscript"/>
          <w:lang w:val="en-US" w:eastAsia="zh-CN"/>
        </w:rPr>
        <w:t>3</w:t>
      </w:r>
      <w:r>
        <w:rPr>
          <w:rFonts w:hint="eastAsia" w:eastAsia="宋体"/>
          <w:color w:val="auto"/>
          <w:highlight w:val="none"/>
          <w:vertAlign w:val="baseline"/>
          <w:lang w:val="en-US" w:eastAsia="zh-CN"/>
        </w:rPr>
        <w:t>；</w:t>
      </w:r>
      <w:r>
        <w:rPr>
          <w:rFonts w:hint="eastAsia"/>
          <w:color w:val="auto"/>
          <w:highlight w:val="none"/>
          <w:vertAlign w:val="baseline"/>
          <w:lang w:val="en-US" w:eastAsia="zh-CN"/>
        </w:rPr>
        <w:t>大致与安徽省电子行业排放标准控制限值一致。</w:t>
      </w:r>
    </w:p>
    <w:p w14:paraId="6D54983F">
      <w:pPr>
        <w:keepNext w:val="0"/>
        <w:keepLines w:val="0"/>
        <w:pageBreakBefore w:val="0"/>
        <w:widowControl w:val="0"/>
        <w:shd w:val="clear"/>
        <w:kinsoku/>
        <w:wordWrap/>
        <w:overflowPunct/>
        <w:topLinePunct w:val="0"/>
        <w:autoSpaceDE/>
        <w:autoSpaceDN/>
        <w:bidi w:val="0"/>
        <w:adjustRightInd/>
        <w:snapToGrid/>
        <w:textAlignment w:val="auto"/>
        <w:rPr>
          <w:rFonts w:hint="default"/>
          <w:color w:val="auto"/>
          <w:sz w:val="24"/>
          <w:szCs w:val="24"/>
          <w:highlight w:val="none"/>
          <w:lang w:val="en-US" w:eastAsia="zh-CN"/>
        </w:rPr>
      </w:pPr>
      <w:r>
        <w:rPr>
          <w:rFonts w:hint="eastAsia"/>
          <w:color w:val="auto"/>
          <w:highlight w:val="none"/>
          <w:lang w:val="en-US" w:eastAsia="zh-CN"/>
        </w:rPr>
        <w:t>湖南省计算机、通信和其他电子设备制造业挥发性有机物有组织排放浓度见</w:t>
      </w:r>
      <w:r>
        <w:rPr>
          <w:rFonts w:hint="eastAsia"/>
          <w:color w:val="auto"/>
          <w:highlight w:val="none"/>
          <w:lang w:val="en-US" w:eastAsia="zh-CN"/>
        </w:rPr>
        <w:fldChar w:fldCharType="begin"/>
      </w:r>
      <w:r>
        <w:rPr>
          <w:rFonts w:hint="eastAsia"/>
          <w:color w:val="auto"/>
          <w:highlight w:val="none"/>
          <w:lang w:val="en-US" w:eastAsia="zh-CN"/>
        </w:rPr>
        <w:instrText xml:space="preserve"> REF _Ref7825 \h </w:instrText>
      </w:r>
      <w:r>
        <w:rPr>
          <w:rFonts w:hint="eastAsia"/>
          <w:color w:val="auto"/>
          <w:highlight w:val="none"/>
          <w:lang w:val="en-US" w:eastAsia="zh-CN"/>
        </w:rPr>
        <w:fldChar w:fldCharType="separate"/>
      </w:r>
      <w:r>
        <w:t>表29</w:t>
      </w:r>
      <w:r>
        <w:rPr>
          <w:rFonts w:hint="eastAsia"/>
          <w:color w:val="auto"/>
          <w:highlight w:val="none"/>
          <w:lang w:val="en-US" w:eastAsia="zh-CN"/>
        </w:rPr>
        <w:fldChar w:fldCharType="end"/>
      </w:r>
      <w:r>
        <w:rPr>
          <w:rFonts w:hint="eastAsia"/>
          <w:color w:val="auto"/>
          <w:highlight w:val="none"/>
          <w:lang w:val="en-US" w:eastAsia="zh-CN"/>
        </w:rPr>
        <w:t>。</w:t>
      </w:r>
      <w:r>
        <w:rPr>
          <w:rFonts w:hint="eastAsia"/>
          <w:color w:val="auto"/>
          <w:highlight w:val="none"/>
          <w:vertAlign w:val="baseline"/>
          <w:lang w:val="en-US" w:eastAsia="zh-CN"/>
        </w:rPr>
        <w:t>根据监测数据估算，计算机、通信和其他电子设备制造业苯系物、非甲烷总烃和挥发性有机物的达标率大致</w:t>
      </w:r>
      <w:r>
        <w:rPr>
          <w:rFonts w:hint="eastAsia"/>
          <w:color w:val="auto"/>
          <w:sz w:val="24"/>
          <w:szCs w:val="24"/>
          <w:highlight w:val="none"/>
          <w:lang w:val="en-US" w:eastAsia="zh-CN"/>
        </w:rPr>
        <w:t>在90%左右，大约10%的现有企业需要进一步加强对挥发性有机物的控制。此外，考虑到现有数据主要来源于企业自行公开的监测数据，预计部分未上传数据的企业存在更高的超标风险，保守估计实际达标率约为70%～80%。</w:t>
      </w:r>
    </w:p>
    <w:p w14:paraId="5D15D834">
      <w:pPr>
        <w:pStyle w:val="129"/>
        <w:shd w:val="clear"/>
        <w:bidi w:val="0"/>
        <w:ind w:left="0" w:leftChars="0"/>
        <w:jc w:val="center"/>
        <w:outlineLvl w:val="4"/>
        <w:rPr>
          <w:rFonts w:hint="eastAsia"/>
          <w:lang w:val="en-US" w:eastAsia="zh-CN"/>
        </w:rPr>
      </w:pPr>
      <w:bookmarkStart w:id="247" w:name="_Ref7825"/>
      <w:r>
        <w:t>表</w:t>
      </w:r>
      <w:r>
        <w:fldChar w:fldCharType="begin"/>
      </w:r>
      <w:r>
        <w:instrText xml:space="preserve"> SEQ 表 \* ARABIC </w:instrText>
      </w:r>
      <w:r>
        <w:fldChar w:fldCharType="separate"/>
      </w:r>
      <w:r>
        <w:t>29</w:t>
      </w:r>
      <w:r>
        <w:fldChar w:fldCharType="end"/>
      </w:r>
      <w:bookmarkEnd w:id="247"/>
      <w:r>
        <w:rPr>
          <w:rFonts w:hint="eastAsia"/>
          <w:lang w:val="en-US" w:eastAsia="zh-CN"/>
        </w:rPr>
        <w:t xml:space="preserve"> 湖南省计算机、通信和其他电子设备制造业挥发性有机物有组织排放浓度</w:t>
      </w:r>
    </w:p>
    <w:p w14:paraId="7C45CC96">
      <w:pPr>
        <w:bidi w:val="0"/>
        <w:jc w:val="right"/>
        <w:rPr>
          <w:rFonts w:hint="eastAsia"/>
          <w:lang w:val="en-US" w:eastAsia="zh-CN"/>
        </w:rPr>
      </w:pPr>
      <w:r>
        <w:rPr>
          <w:rFonts w:hint="eastAsia"/>
          <w:color w:val="auto"/>
          <w:sz w:val="20"/>
          <w:szCs w:val="20"/>
          <w:highlight w:val="none"/>
          <w:lang w:val="en-US" w:eastAsia="zh-CN"/>
        </w:rPr>
        <w:t>单位：</w:t>
      </w:r>
      <w:r>
        <w:rPr>
          <w:rFonts w:hint="eastAsia"/>
          <w:b w:val="0"/>
          <w:bCs w:val="0"/>
          <w:color w:val="auto"/>
          <w:sz w:val="20"/>
          <w:szCs w:val="20"/>
          <w:highlight w:val="none"/>
          <w:lang w:val="en-US" w:eastAsia="zh-CN"/>
        </w:rPr>
        <w:t>mg/m</w:t>
      </w:r>
      <w:r>
        <w:rPr>
          <w:rFonts w:hint="eastAsia"/>
          <w:b w:val="0"/>
          <w:bCs w:val="0"/>
          <w:color w:val="auto"/>
          <w:sz w:val="20"/>
          <w:szCs w:val="20"/>
          <w:highlight w:val="none"/>
          <w:vertAlign w:val="superscript"/>
          <w:lang w:val="en-US" w:eastAsia="zh-CN"/>
        </w:rPr>
        <w:t>3</w:t>
      </w:r>
    </w:p>
    <w:tbl>
      <w:tblPr>
        <w:tblStyle w:val="34"/>
        <w:tblW w:w="5073"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Layout w:type="autofit"/>
        <w:tblCellMar>
          <w:top w:w="0" w:type="dxa"/>
          <w:left w:w="108" w:type="dxa"/>
          <w:bottom w:w="0" w:type="dxa"/>
          <w:right w:w="108" w:type="dxa"/>
        </w:tblCellMar>
      </w:tblPr>
      <w:tblGrid>
        <w:gridCol w:w="1531"/>
        <w:gridCol w:w="1332"/>
        <w:gridCol w:w="1166"/>
        <w:gridCol w:w="1395"/>
        <w:gridCol w:w="1017"/>
        <w:gridCol w:w="1466"/>
        <w:gridCol w:w="1470"/>
      </w:tblGrid>
      <w:tr w14:paraId="09751763">
        <w:tblPrEx>
          <w:shd w:val="clear" w:color="auto" w:fill="auto"/>
          <w:tblCellMar>
            <w:top w:w="0" w:type="dxa"/>
            <w:left w:w="108" w:type="dxa"/>
            <w:bottom w:w="0" w:type="dxa"/>
            <w:right w:w="108" w:type="dxa"/>
          </w:tblCellMar>
        </w:tblPrEx>
        <w:trPr>
          <w:trHeight w:val="351" w:hRule="atLeast"/>
        </w:trPr>
        <w:tc>
          <w:tcPr>
            <w:tcW w:w="816" w:type="pct"/>
            <w:tcBorders>
              <w:left w:val="single" w:color="000000" w:sz="12" w:space="0"/>
              <w:bottom w:val="single" w:color="000000" w:sz="4" w:space="0"/>
              <w:right w:val="single" w:color="000000" w:sz="4" w:space="0"/>
              <w:tl2br w:val="nil"/>
            </w:tcBorders>
            <w:shd w:val="clear" w:color="auto" w:fill="FFFFFF"/>
            <w:noWrap/>
            <w:vAlign w:val="center"/>
          </w:tcPr>
          <w:p w14:paraId="49AE285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bCs/>
                <w:i w:val="0"/>
                <w:iCs w:val="0"/>
                <w:color w:val="auto"/>
                <w:sz w:val="18"/>
                <w:szCs w:val="18"/>
                <w:highlight w:val="none"/>
                <w:u w:val="none"/>
              </w:rPr>
            </w:pPr>
            <w:r>
              <w:rPr>
                <w:rFonts w:hint="default" w:ascii="Times New Roman" w:hAnsi="Times New Roman" w:eastAsia="宋体" w:cs="Times New Roman"/>
                <w:b w:val="0"/>
                <w:bCs/>
                <w:i w:val="0"/>
                <w:iCs w:val="0"/>
                <w:color w:val="auto"/>
                <w:kern w:val="0"/>
                <w:sz w:val="18"/>
                <w:szCs w:val="18"/>
                <w:highlight w:val="none"/>
                <w:u w:val="none"/>
                <w:lang w:val="en-US" w:eastAsia="zh-CN" w:bidi="ar"/>
              </w:rPr>
              <w:t>监测项目</w:t>
            </w:r>
          </w:p>
        </w:tc>
        <w:tc>
          <w:tcPr>
            <w:tcW w:w="710" w:type="pct"/>
            <w:tcBorders>
              <w:left w:val="single" w:color="000000" w:sz="4" w:space="0"/>
              <w:bottom w:val="single" w:color="000000" w:sz="4" w:space="0"/>
              <w:right w:val="single" w:color="000000" w:sz="4" w:space="0"/>
            </w:tcBorders>
            <w:shd w:val="clear" w:color="auto" w:fill="FFFFFF"/>
            <w:noWrap/>
            <w:vAlign w:val="center"/>
          </w:tcPr>
          <w:p w14:paraId="5DD89BD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iCs w:val="0"/>
                <w:color w:val="auto"/>
                <w:sz w:val="18"/>
                <w:szCs w:val="18"/>
                <w:highlight w:val="none"/>
                <w:u w:val="none"/>
              </w:rPr>
            </w:pPr>
            <w:r>
              <w:rPr>
                <w:rFonts w:hint="default" w:ascii="Times New Roman" w:hAnsi="Times New Roman" w:eastAsia="宋体" w:cs="Times New Roman"/>
                <w:b w:val="0"/>
                <w:bCs/>
                <w:i w:val="0"/>
                <w:iCs w:val="0"/>
                <w:color w:val="auto"/>
                <w:kern w:val="0"/>
                <w:sz w:val="18"/>
                <w:szCs w:val="18"/>
                <w:highlight w:val="none"/>
                <w:u w:val="none"/>
                <w:lang w:val="en-US" w:eastAsia="zh-CN" w:bidi="ar"/>
              </w:rPr>
              <w:t>企业数量</w:t>
            </w:r>
          </w:p>
        </w:tc>
        <w:tc>
          <w:tcPr>
            <w:tcW w:w="621" w:type="pct"/>
            <w:tcBorders>
              <w:left w:val="single" w:color="000000" w:sz="4" w:space="0"/>
              <w:bottom w:val="single" w:color="000000" w:sz="4" w:space="0"/>
              <w:right w:val="single" w:color="000000" w:sz="4" w:space="0"/>
            </w:tcBorders>
            <w:shd w:val="clear" w:color="auto" w:fill="FFFFFF"/>
            <w:noWrap/>
            <w:vAlign w:val="center"/>
          </w:tcPr>
          <w:p w14:paraId="4B4EEFF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iCs w:val="0"/>
                <w:color w:val="auto"/>
                <w:sz w:val="18"/>
                <w:szCs w:val="18"/>
                <w:highlight w:val="none"/>
                <w:u w:val="none"/>
              </w:rPr>
            </w:pPr>
            <w:r>
              <w:rPr>
                <w:rFonts w:hint="default" w:ascii="Times New Roman" w:hAnsi="Times New Roman" w:eastAsia="宋体" w:cs="Times New Roman"/>
                <w:b w:val="0"/>
                <w:bCs/>
                <w:i w:val="0"/>
                <w:iCs w:val="0"/>
                <w:color w:val="auto"/>
                <w:kern w:val="0"/>
                <w:sz w:val="18"/>
                <w:szCs w:val="18"/>
                <w:highlight w:val="none"/>
                <w:u w:val="none"/>
                <w:lang w:val="en-US" w:eastAsia="zh-CN" w:bidi="ar"/>
              </w:rPr>
              <w:t>数据量</w:t>
            </w:r>
          </w:p>
        </w:tc>
        <w:tc>
          <w:tcPr>
            <w:tcW w:w="743" w:type="pct"/>
            <w:tcBorders>
              <w:left w:val="single" w:color="000000" w:sz="4" w:space="0"/>
              <w:bottom w:val="single" w:color="000000" w:sz="4" w:space="0"/>
              <w:right w:val="single" w:color="000000" w:sz="4" w:space="0"/>
            </w:tcBorders>
            <w:shd w:val="clear" w:color="auto" w:fill="FFFFFF"/>
            <w:noWrap/>
            <w:vAlign w:val="center"/>
          </w:tcPr>
          <w:p w14:paraId="522E7E9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iCs w:val="0"/>
                <w:color w:val="auto"/>
                <w:sz w:val="18"/>
                <w:szCs w:val="18"/>
                <w:highlight w:val="none"/>
                <w:u w:val="none"/>
                <w:lang w:val="en-US" w:eastAsia="zh-CN"/>
              </w:rPr>
            </w:pPr>
            <w:r>
              <w:rPr>
                <w:rFonts w:hint="eastAsia" w:ascii="Times New Roman" w:hAnsi="Times New Roman" w:eastAsia="宋体" w:cs="Times New Roman"/>
                <w:b w:val="0"/>
                <w:bCs/>
                <w:i w:val="0"/>
                <w:iCs w:val="0"/>
                <w:color w:val="auto"/>
                <w:sz w:val="18"/>
                <w:szCs w:val="18"/>
                <w:highlight w:val="none"/>
                <w:u w:val="none"/>
                <w:lang w:val="en-US" w:eastAsia="zh-CN"/>
              </w:rPr>
              <w:t>浓度范围</w:t>
            </w:r>
          </w:p>
        </w:tc>
        <w:tc>
          <w:tcPr>
            <w:tcW w:w="542" w:type="pct"/>
            <w:tcBorders>
              <w:left w:val="single" w:color="000000" w:sz="4" w:space="0"/>
              <w:bottom w:val="single" w:color="000000" w:sz="4" w:space="0"/>
              <w:right w:val="single" w:color="000000" w:sz="4" w:space="0"/>
            </w:tcBorders>
            <w:shd w:val="clear" w:color="auto" w:fill="FFFFFF"/>
            <w:noWrap/>
            <w:vAlign w:val="center"/>
          </w:tcPr>
          <w:p w14:paraId="1AB680B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iCs w:val="0"/>
                <w:color w:val="auto"/>
                <w:sz w:val="18"/>
                <w:szCs w:val="18"/>
                <w:highlight w:val="none"/>
                <w:u w:val="none"/>
              </w:rPr>
            </w:pPr>
            <w:r>
              <w:rPr>
                <w:rFonts w:hint="default" w:ascii="Times New Roman" w:hAnsi="Times New Roman" w:eastAsia="宋体" w:cs="Times New Roman"/>
                <w:b w:val="0"/>
                <w:bCs/>
                <w:i w:val="0"/>
                <w:iCs w:val="0"/>
                <w:color w:val="auto"/>
                <w:kern w:val="0"/>
                <w:sz w:val="18"/>
                <w:szCs w:val="18"/>
                <w:highlight w:val="none"/>
                <w:u w:val="none"/>
                <w:lang w:val="en-US" w:eastAsia="zh-CN" w:bidi="ar"/>
              </w:rPr>
              <w:t>中位数</w:t>
            </w:r>
          </w:p>
        </w:tc>
        <w:tc>
          <w:tcPr>
            <w:tcW w:w="781" w:type="pct"/>
            <w:tcBorders>
              <w:left w:val="single" w:color="000000" w:sz="4" w:space="0"/>
              <w:bottom w:val="single" w:color="000000" w:sz="4" w:space="0"/>
              <w:right w:val="single" w:color="000000" w:sz="4" w:space="0"/>
            </w:tcBorders>
            <w:shd w:val="clear" w:color="auto" w:fill="FFFFFF"/>
            <w:noWrap/>
            <w:vAlign w:val="center"/>
          </w:tcPr>
          <w:p w14:paraId="361782D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iCs w:val="0"/>
                <w:color w:val="auto"/>
                <w:sz w:val="18"/>
                <w:szCs w:val="18"/>
                <w:highlight w:val="none"/>
                <w:u w:val="none"/>
              </w:rPr>
            </w:pPr>
            <w:r>
              <w:rPr>
                <w:rFonts w:hint="default" w:ascii="Times New Roman" w:hAnsi="Times New Roman" w:eastAsia="宋体" w:cs="Times New Roman"/>
                <w:b w:val="0"/>
                <w:bCs/>
                <w:i w:val="0"/>
                <w:iCs w:val="0"/>
                <w:color w:val="auto"/>
                <w:kern w:val="0"/>
                <w:sz w:val="18"/>
                <w:szCs w:val="18"/>
                <w:highlight w:val="none"/>
                <w:u w:val="none"/>
                <w:lang w:val="en-US" w:eastAsia="zh-CN" w:bidi="ar"/>
              </w:rPr>
              <w:t>70%分位数</w:t>
            </w:r>
          </w:p>
        </w:tc>
        <w:tc>
          <w:tcPr>
            <w:tcW w:w="783" w:type="pct"/>
            <w:tcBorders>
              <w:left w:val="single" w:color="000000" w:sz="4" w:space="0"/>
              <w:bottom w:val="single" w:color="000000" w:sz="4" w:space="0"/>
              <w:right w:val="single" w:color="000000" w:sz="12" w:space="0"/>
            </w:tcBorders>
            <w:shd w:val="clear" w:color="auto" w:fill="FFFFFF"/>
            <w:noWrap/>
            <w:vAlign w:val="center"/>
          </w:tcPr>
          <w:p w14:paraId="38218F3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iCs w:val="0"/>
                <w:color w:val="auto"/>
                <w:sz w:val="18"/>
                <w:szCs w:val="18"/>
                <w:highlight w:val="none"/>
                <w:u w:val="none"/>
              </w:rPr>
            </w:pPr>
            <w:r>
              <w:rPr>
                <w:rFonts w:hint="default" w:ascii="Times New Roman" w:hAnsi="Times New Roman" w:eastAsia="宋体" w:cs="Times New Roman"/>
                <w:b w:val="0"/>
                <w:bCs/>
                <w:i w:val="0"/>
                <w:iCs w:val="0"/>
                <w:color w:val="auto"/>
                <w:kern w:val="0"/>
                <w:sz w:val="18"/>
                <w:szCs w:val="18"/>
                <w:highlight w:val="none"/>
                <w:u w:val="none"/>
                <w:lang w:val="en-US" w:eastAsia="zh-CN" w:bidi="ar"/>
              </w:rPr>
              <w:t>90%分位数</w:t>
            </w:r>
          </w:p>
        </w:tc>
      </w:tr>
      <w:tr w14:paraId="684D9F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10" w:hRule="atLeast"/>
        </w:trPr>
        <w:tc>
          <w:tcPr>
            <w:tcW w:w="816"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35616A7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苯</w:t>
            </w:r>
          </w:p>
        </w:tc>
        <w:tc>
          <w:tcPr>
            <w:tcW w:w="7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85C73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11</w:t>
            </w:r>
          </w:p>
        </w:tc>
        <w:tc>
          <w:tcPr>
            <w:tcW w:w="62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3BC0B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28</w:t>
            </w:r>
          </w:p>
        </w:tc>
        <w:tc>
          <w:tcPr>
            <w:tcW w:w="74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F6114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lang w:val="en-US" w:eastAsia="zh-CN"/>
              </w:rPr>
            </w:pPr>
            <w:r>
              <w:rPr>
                <w:rFonts w:hint="eastAsia" w:ascii="Times New Roman" w:hAnsi="Times New Roman" w:eastAsia="宋体" w:cs="Times New Roman"/>
                <w:b w:val="0"/>
                <w:i w:val="0"/>
                <w:iCs w:val="0"/>
                <w:color w:val="auto"/>
                <w:sz w:val="18"/>
                <w:szCs w:val="18"/>
                <w:highlight w:val="none"/>
                <w:u w:val="none"/>
                <w:lang w:val="en-US" w:eastAsia="zh-CN"/>
              </w:rPr>
              <w:t>≤0.45</w:t>
            </w:r>
          </w:p>
        </w:tc>
        <w:tc>
          <w:tcPr>
            <w:tcW w:w="5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D50B2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0.02</w:t>
            </w:r>
          </w:p>
        </w:tc>
        <w:tc>
          <w:tcPr>
            <w:tcW w:w="7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413C3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0.04</w:t>
            </w:r>
          </w:p>
        </w:tc>
        <w:tc>
          <w:tcPr>
            <w:tcW w:w="783"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4B70950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0.11</w:t>
            </w:r>
          </w:p>
        </w:tc>
      </w:tr>
      <w:tr w14:paraId="1CB0BEC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310" w:hRule="atLeast"/>
        </w:trPr>
        <w:tc>
          <w:tcPr>
            <w:tcW w:w="816"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540A87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甲苯</w:t>
            </w:r>
          </w:p>
        </w:tc>
        <w:tc>
          <w:tcPr>
            <w:tcW w:w="7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7B943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7</w:t>
            </w:r>
          </w:p>
        </w:tc>
        <w:tc>
          <w:tcPr>
            <w:tcW w:w="62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E3B58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35</w:t>
            </w:r>
          </w:p>
        </w:tc>
        <w:tc>
          <w:tcPr>
            <w:tcW w:w="74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C0BB1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i w:val="0"/>
                <w:iCs w:val="0"/>
                <w:color w:val="auto"/>
                <w:kern w:val="2"/>
                <w:sz w:val="18"/>
                <w:szCs w:val="18"/>
                <w:highlight w:val="none"/>
                <w:u w:val="none"/>
                <w:lang w:val="en-US" w:eastAsia="zh-CN" w:bidi="ar-SA"/>
              </w:rPr>
            </w:pPr>
            <w:r>
              <w:rPr>
                <w:rFonts w:hint="eastAsia" w:ascii="Times New Roman" w:hAnsi="Times New Roman" w:eastAsia="宋体" w:cs="Times New Roman"/>
                <w:b w:val="0"/>
                <w:i w:val="0"/>
                <w:iCs w:val="0"/>
                <w:color w:val="auto"/>
                <w:sz w:val="18"/>
                <w:szCs w:val="18"/>
                <w:highlight w:val="none"/>
                <w:u w:val="none"/>
                <w:lang w:val="en-US" w:eastAsia="zh-CN"/>
              </w:rPr>
              <w:t>≤</w:t>
            </w:r>
            <w:r>
              <w:rPr>
                <w:rFonts w:hint="default" w:ascii="Times New Roman" w:hAnsi="Times New Roman" w:eastAsia="宋体" w:cs="Times New Roman"/>
                <w:b w:val="0"/>
                <w:i w:val="0"/>
                <w:iCs w:val="0"/>
                <w:color w:val="auto"/>
                <w:kern w:val="0"/>
                <w:sz w:val="18"/>
                <w:szCs w:val="18"/>
                <w:highlight w:val="none"/>
                <w:u w:val="none"/>
                <w:lang w:val="en-US" w:eastAsia="zh-CN" w:bidi="ar"/>
              </w:rPr>
              <w:t>0.56</w:t>
            </w:r>
          </w:p>
        </w:tc>
        <w:tc>
          <w:tcPr>
            <w:tcW w:w="5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C45F7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0.03</w:t>
            </w:r>
          </w:p>
        </w:tc>
        <w:tc>
          <w:tcPr>
            <w:tcW w:w="7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49660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0.07</w:t>
            </w:r>
          </w:p>
        </w:tc>
        <w:tc>
          <w:tcPr>
            <w:tcW w:w="783"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0A0346D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default" w:ascii="Times New Roman" w:hAnsi="Times New Roman" w:eastAsia="宋体" w:cs="Times New Roman"/>
                <w:b w:val="0"/>
                <w:i w:val="0"/>
                <w:iCs w:val="0"/>
                <w:color w:val="auto"/>
                <w:kern w:val="0"/>
                <w:sz w:val="18"/>
                <w:szCs w:val="18"/>
                <w:highlight w:val="none"/>
                <w:u w:val="none"/>
                <w:lang w:val="en-US" w:eastAsia="zh-CN" w:bidi="ar"/>
              </w:rPr>
              <w:t>0.34</w:t>
            </w:r>
          </w:p>
        </w:tc>
      </w:tr>
      <w:tr w14:paraId="54A041E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310" w:hRule="atLeast"/>
        </w:trPr>
        <w:tc>
          <w:tcPr>
            <w:tcW w:w="816"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C12D21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二甲苯</w:t>
            </w:r>
          </w:p>
        </w:tc>
        <w:tc>
          <w:tcPr>
            <w:tcW w:w="7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45A90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8</w:t>
            </w:r>
          </w:p>
        </w:tc>
        <w:tc>
          <w:tcPr>
            <w:tcW w:w="62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B4E4C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154</w:t>
            </w:r>
          </w:p>
        </w:tc>
        <w:tc>
          <w:tcPr>
            <w:tcW w:w="74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11E57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eastAsia" w:ascii="Times New Roman" w:hAnsi="Times New Roman" w:eastAsia="宋体" w:cs="Times New Roman"/>
                <w:b w:val="0"/>
                <w:i w:val="0"/>
                <w:iCs w:val="0"/>
                <w:color w:val="auto"/>
                <w:sz w:val="18"/>
                <w:szCs w:val="18"/>
                <w:highlight w:val="none"/>
                <w:u w:val="none"/>
                <w:lang w:val="en-US" w:eastAsia="zh-CN"/>
              </w:rPr>
              <w:t>≤</w:t>
            </w:r>
            <w:r>
              <w:rPr>
                <w:rFonts w:hint="default" w:ascii="Times New Roman" w:hAnsi="Times New Roman" w:eastAsia="宋体" w:cs="Times New Roman"/>
                <w:b w:val="0"/>
                <w:i w:val="0"/>
                <w:iCs w:val="0"/>
                <w:color w:val="auto"/>
                <w:kern w:val="0"/>
                <w:sz w:val="18"/>
                <w:szCs w:val="18"/>
                <w:highlight w:val="none"/>
                <w:u w:val="none"/>
                <w:lang w:val="en-US" w:eastAsia="zh-CN" w:bidi="ar"/>
              </w:rPr>
              <w:t>372.00</w:t>
            </w:r>
          </w:p>
        </w:tc>
        <w:tc>
          <w:tcPr>
            <w:tcW w:w="5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85D08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0.19</w:t>
            </w:r>
          </w:p>
        </w:tc>
        <w:tc>
          <w:tcPr>
            <w:tcW w:w="7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1EDEF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0.29</w:t>
            </w:r>
          </w:p>
        </w:tc>
        <w:tc>
          <w:tcPr>
            <w:tcW w:w="783"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4B2885D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0.68</w:t>
            </w:r>
          </w:p>
        </w:tc>
      </w:tr>
      <w:tr w14:paraId="5FEED61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310" w:hRule="atLeast"/>
        </w:trPr>
        <w:tc>
          <w:tcPr>
            <w:tcW w:w="816"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20409DE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非甲烷总烃</w:t>
            </w:r>
          </w:p>
        </w:tc>
        <w:tc>
          <w:tcPr>
            <w:tcW w:w="7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184CB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14</w:t>
            </w:r>
          </w:p>
        </w:tc>
        <w:tc>
          <w:tcPr>
            <w:tcW w:w="62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48849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176</w:t>
            </w:r>
          </w:p>
        </w:tc>
        <w:tc>
          <w:tcPr>
            <w:tcW w:w="74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97C4D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0.08</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70.80</w:t>
            </w:r>
          </w:p>
        </w:tc>
        <w:tc>
          <w:tcPr>
            <w:tcW w:w="5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4119C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0.83</w:t>
            </w:r>
          </w:p>
        </w:tc>
        <w:tc>
          <w:tcPr>
            <w:tcW w:w="7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36295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1.43</w:t>
            </w:r>
          </w:p>
        </w:tc>
        <w:tc>
          <w:tcPr>
            <w:tcW w:w="783"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3E543FF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2.96</w:t>
            </w:r>
          </w:p>
        </w:tc>
      </w:tr>
      <w:tr w14:paraId="32571E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310" w:hRule="atLeast"/>
        </w:trPr>
        <w:tc>
          <w:tcPr>
            <w:tcW w:w="816"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351E25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挥发性有机物</w:t>
            </w:r>
          </w:p>
        </w:tc>
        <w:tc>
          <w:tcPr>
            <w:tcW w:w="7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55DF1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37</w:t>
            </w:r>
          </w:p>
        </w:tc>
        <w:tc>
          <w:tcPr>
            <w:tcW w:w="62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B8541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274</w:t>
            </w:r>
          </w:p>
        </w:tc>
        <w:tc>
          <w:tcPr>
            <w:tcW w:w="74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EA060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2"/>
                <w:sz w:val="18"/>
                <w:szCs w:val="18"/>
                <w:highlight w:val="none"/>
                <w:u w:val="none"/>
                <w:lang w:val="en-US" w:eastAsia="zh-CN" w:bidi="ar-SA"/>
              </w:rPr>
            </w:pPr>
            <w:r>
              <w:rPr>
                <w:rFonts w:hint="eastAsia" w:ascii="Times New Roman" w:hAnsi="Times New Roman" w:eastAsia="宋体" w:cs="Times New Roman"/>
                <w:b w:val="0"/>
                <w:i w:val="0"/>
                <w:iCs w:val="0"/>
                <w:color w:val="auto"/>
                <w:sz w:val="18"/>
                <w:szCs w:val="18"/>
                <w:highlight w:val="none"/>
                <w:u w:val="none"/>
                <w:lang w:val="en-US" w:eastAsia="zh-CN"/>
              </w:rPr>
              <w:t>≤</w:t>
            </w:r>
            <w:r>
              <w:rPr>
                <w:rFonts w:hint="default" w:ascii="Times New Roman" w:hAnsi="Times New Roman" w:eastAsia="宋体" w:cs="Times New Roman"/>
                <w:b w:val="0"/>
                <w:i w:val="0"/>
                <w:iCs w:val="0"/>
                <w:color w:val="auto"/>
                <w:kern w:val="0"/>
                <w:sz w:val="18"/>
                <w:szCs w:val="18"/>
                <w:highlight w:val="none"/>
                <w:u w:val="none"/>
                <w:lang w:val="en-US" w:eastAsia="zh-CN" w:bidi="ar"/>
              </w:rPr>
              <w:t>393.35</w:t>
            </w:r>
          </w:p>
        </w:tc>
        <w:tc>
          <w:tcPr>
            <w:tcW w:w="5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C7967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1.80</w:t>
            </w:r>
          </w:p>
        </w:tc>
        <w:tc>
          <w:tcPr>
            <w:tcW w:w="7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3E26B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2.77</w:t>
            </w:r>
          </w:p>
        </w:tc>
        <w:tc>
          <w:tcPr>
            <w:tcW w:w="783"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2B45A06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7.27</w:t>
            </w:r>
          </w:p>
        </w:tc>
      </w:tr>
      <w:tr w14:paraId="4C99775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shd w:val="clear" w:color="auto" w:fill="auto"/>
          <w:tblCellMar>
            <w:top w:w="0" w:type="dxa"/>
            <w:left w:w="108" w:type="dxa"/>
            <w:bottom w:w="0" w:type="dxa"/>
            <w:right w:w="108" w:type="dxa"/>
          </w:tblCellMar>
        </w:tblPrEx>
        <w:trPr>
          <w:trHeight w:val="371" w:hRule="atLeast"/>
        </w:trPr>
        <w:tc>
          <w:tcPr>
            <w:tcW w:w="816" w:type="pct"/>
            <w:tcBorders>
              <w:top w:val="single" w:color="000000" w:sz="4" w:space="0"/>
              <w:left w:val="single" w:color="000000" w:sz="12" w:space="0"/>
              <w:right w:val="single" w:color="000000" w:sz="4" w:space="0"/>
            </w:tcBorders>
            <w:shd w:val="clear" w:color="auto" w:fill="FFFFFF"/>
            <w:noWrap/>
            <w:vAlign w:val="center"/>
          </w:tcPr>
          <w:p w14:paraId="2803F7C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甲醛</w:t>
            </w:r>
          </w:p>
        </w:tc>
        <w:tc>
          <w:tcPr>
            <w:tcW w:w="710" w:type="pct"/>
            <w:tcBorders>
              <w:top w:val="single" w:color="000000" w:sz="4" w:space="0"/>
              <w:left w:val="single" w:color="000000" w:sz="4" w:space="0"/>
              <w:right w:val="single" w:color="000000" w:sz="4" w:space="0"/>
            </w:tcBorders>
            <w:shd w:val="clear" w:color="auto" w:fill="FFFFFF"/>
            <w:noWrap/>
            <w:vAlign w:val="center"/>
          </w:tcPr>
          <w:p w14:paraId="24C5D0C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8</w:t>
            </w:r>
          </w:p>
        </w:tc>
        <w:tc>
          <w:tcPr>
            <w:tcW w:w="621" w:type="pct"/>
            <w:tcBorders>
              <w:top w:val="single" w:color="000000" w:sz="4" w:space="0"/>
              <w:left w:val="single" w:color="000000" w:sz="4" w:space="0"/>
              <w:right w:val="single" w:color="000000" w:sz="4" w:space="0"/>
            </w:tcBorders>
            <w:shd w:val="clear" w:color="auto" w:fill="FFFFFF"/>
            <w:noWrap/>
            <w:vAlign w:val="center"/>
          </w:tcPr>
          <w:p w14:paraId="368D760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10</w:t>
            </w:r>
          </w:p>
        </w:tc>
        <w:tc>
          <w:tcPr>
            <w:tcW w:w="743" w:type="pct"/>
            <w:tcBorders>
              <w:top w:val="single" w:color="000000" w:sz="4" w:space="0"/>
              <w:left w:val="single" w:color="000000" w:sz="4" w:space="0"/>
              <w:right w:val="single" w:color="000000" w:sz="4" w:space="0"/>
            </w:tcBorders>
            <w:shd w:val="clear" w:color="auto" w:fill="FFFFFF"/>
            <w:noWrap/>
            <w:vAlign w:val="center"/>
          </w:tcPr>
          <w:p w14:paraId="02CE4A2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0.11</w:t>
            </w: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2.62</w:t>
            </w:r>
          </w:p>
        </w:tc>
        <w:tc>
          <w:tcPr>
            <w:tcW w:w="542" w:type="pct"/>
            <w:tcBorders>
              <w:top w:val="single" w:color="000000" w:sz="4" w:space="0"/>
              <w:left w:val="single" w:color="000000" w:sz="4" w:space="0"/>
              <w:right w:val="single" w:color="000000" w:sz="4" w:space="0"/>
            </w:tcBorders>
            <w:shd w:val="clear" w:color="auto" w:fill="FFFFFF"/>
            <w:noWrap/>
            <w:vAlign w:val="center"/>
          </w:tcPr>
          <w:p w14:paraId="4E1693D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0.51</w:t>
            </w:r>
          </w:p>
        </w:tc>
        <w:tc>
          <w:tcPr>
            <w:tcW w:w="781" w:type="pct"/>
            <w:tcBorders>
              <w:top w:val="single" w:color="000000" w:sz="4" w:space="0"/>
              <w:left w:val="single" w:color="000000" w:sz="4" w:space="0"/>
              <w:right w:val="single" w:color="000000" w:sz="4" w:space="0"/>
            </w:tcBorders>
            <w:shd w:val="clear" w:color="auto" w:fill="FFFFFF"/>
            <w:noWrap/>
            <w:vAlign w:val="center"/>
          </w:tcPr>
          <w:p w14:paraId="6F7D844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0.78</w:t>
            </w:r>
          </w:p>
        </w:tc>
        <w:tc>
          <w:tcPr>
            <w:tcW w:w="783" w:type="pct"/>
            <w:tcBorders>
              <w:top w:val="single" w:color="000000" w:sz="4" w:space="0"/>
              <w:left w:val="single" w:color="000000" w:sz="4" w:space="0"/>
              <w:right w:val="single" w:color="000000" w:sz="12" w:space="0"/>
            </w:tcBorders>
            <w:shd w:val="clear" w:color="auto" w:fill="FFFFFF"/>
            <w:noWrap/>
            <w:vAlign w:val="center"/>
          </w:tcPr>
          <w:p w14:paraId="612BBE8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highlight w:val="none"/>
                <w:u w:val="none"/>
              </w:rPr>
            </w:pPr>
            <w:r>
              <w:rPr>
                <w:rFonts w:hint="default" w:ascii="Times New Roman" w:hAnsi="Times New Roman" w:eastAsia="宋体" w:cs="Times New Roman"/>
                <w:b w:val="0"/>
                <w:i w:val="0"/>
                <w:iCs w:val="0"/>
                <w:color w:val="auto"/>
                <w:kern w:val="0"/>
                <w:sz w:val="18"/>
                <w:szCs w:val="18"/>
                <w:highlight w:val="none"/>
                <w:u w:val="none"/>
                <w:lang w:val="en-US" w:eastAsia="zh-CN" w:bidi="ar"/>
              </w:rPr>
              <w:t>2.36</w:t>
            </w:r>
          </w:p>
        </w:tc>
      </w:tr>
    </w:tbl>
    <w:p w14:paraId="36CFB163">
      <w:pPr>
        <w:shd w:val="clear"/>
        <w:rPr>
          <w:rFonts w:hint="eastAsia"/>
          <w:color w:val="auto"/>
          <w:highlight w:val="none"/>
          <w:lang w:val="en-US" w:eastAsia="zh-CN"/>
        </w:rPr>
      </w:pPr>
    </w:p>
    <w:p w14:paraId="598649F5">
      <w:pPr>
        <w:pStyle w:val="3"/>
        <w:shd w:val="clear"/>
        <w:bidi w:val="0"/>
        <w:ind w:left="575" w:leftChars="0" w:hanging="575" w:firstLineChars="0"/>
        <w:rPr>
          <w:rFonts w:hint="eastAsia"/>
          <w:color w:val="auto"/>
          <w:highlight w:val="none"/>
          <w:lang w:val="en-US" w:eastAsia="zh-CN"/>
        </w:rPr>
      </w:pPr>
      <w:bookmarkStart w:id="248" w:name="_Toc3245"/>
      <w:bookmarkStart w:id="249" w:name="_Toc5715"/>
      <w:bookmarkStart w:id="250" w:name="_Toc4937"/>
      <w:bookmarkStart w:id="251" w:name="_Toc1975"/>
      <w:bookmarkStart w:id="252" w:name="_Toc25399"/>
      <w:bookmarkStart w:id="253" w:name="_Toc29768"/>
      <w:r>
        <w:rPr>
          <w:rFonts w:hint="eastAsia"/>
          <w:color w:val="auto"/>
          <w:highlight w:val="none"/>
          <w:lang w:val="en-US" w:eastAsia="zh-CN"/>
        </w:rPr>
        <w:t>纺织业</w:t>
      </w:r>
      <w:bookmarkEnd w:id="248"/>
      <w:bookmarkEnd w:id="249"/>
      <w:bookmarkEnd w:id="250"/>
      <w:bookmarkEnd w:id="251"/>
      <w:bookmarkEnd w:id="252"/>
      <w:bookmarkEnd w:id="253"/>
    </w:p>
    <w:p w14:paraId="48F60D25">
      <w:pPr>
        <w:keepNext w:val="0"/>
        <w:keepLines w:val="0"/>
        <w:pageBreakBefore w:val="0"/>
        <w:widowControl w:val="0"/>
        <w:shd w:val="clear"/>
        <w:kinsoku/>
        <w:wordWrap/>
        <w:overflowPunct/>
        <w:topLinePunct w:val="0"/>
        <w:autoSpaceDE/>
        <w:autoSpaceDN/>
        <w:bidi w:val="0"/>
        <w:adjustRightInd/>
        <w:snapToGrid/>
        <w:textAlignment w:val="auto"/>
        <w:rPr>
          <w:rFonts w:hint="eastAsia"/>
          <w:color w:val="auto"/>
          <w:sz w:val="24"/>
          <w:szCs w:val="24"/>
          <w:highlight w:val="none"/>
          <w:lang w:val="en-US" w:eastAsia="zh-CN"/>
        </w:rPr>
      </w:pPr>
      <w:r>
        <w:rPr>
          <w:rFonts w:hint="eastAsia" w:eastAsia="宋体"/>
          <w:color w:val="auto"/>
          <w:sz w:val="24"/>
          <w:szCs w:val="24"/>
          <w:highlight w:val="none"/>
          <w:lang w:val="en-US" w:eastAsia="zh-CN"/>
        </w:rPr>
        <w:t>目前</w:t>
      </w:r>
      <w:r>
        <w:rPr>
          <w:rFonts w:hint="eastAsia"/>
          <w:color w:val="auto"/>
          <w:sz w:val="24"/>
          <w:szCs w:val="24"/>
          <w:highlight w:val="none"/>
          <w:lang w:val="en-US" w:eastAsia="zh-CN"/>
        </w:rPr>
        <w:t>仅浙江和山东两省制定了针对纺织业的地方</w:t>
      </w:r>
      <w:r>
        <w:rPr>
          <w:rFonts w:hint="eastAsia" w:eastAsia="宋体"/>
          <w:color w:val="auto"/>
          <w:sz w:val="24"/>
          <w:szCs w:val="24"/>
          <w:highlight w:val="none"/>
          <w:lang w:val="en-US" w:eastAsia="zh-CN"/>
        </w:rPr>
        <w:t>大气污染物排放标准</w:t>
      </w:r>
      <w:r>
        <w:rPr>
          <w:rFonts w:hint="eastAsia"/>
          <w:color w:val="auto"/>
          <w:sz w:val="24"/>
          <w:szCs w:val="24"/>
          <w:highlight w:val="none"/>
          <w:lang w:val="en-US" w:eastAsia="zh-CN"/>
        </w:rPr>
        <w:t>。</w:t>
      </w:r>
      <w:r>
        <w:rPr>
          <w:rFonts w:hint="eastAsia" w:eastAsia="宋体"/>
          <w:color w:val="auto"/>
          <w:sz w:val="24"/>
          <w:szCs w:val="24"/>
          <w:highlight w:val="none"/>
          <w:lang w:val="en-US" w:eastAsia="zh-CN"/>
        </w:rPr>
        <w:t>本</w:t>
      </w:r>
      <w:r>
        <w:rPr>
          <w:rFonts w:hint="eastAsia"/>
          <w:color w:val="auto"/>
          <w:sz w:val="24"/>
          <w:szCs w:val="24"/>
          <w:highlight w:val="none"/>
          <w:lang w:val="en-US" w:eastAsia="zh-CN"/>
        </w:rPr>
        <w:t>文件控制限值与浙江省控制限值持平。</w:t>
      </w:r>
    </w:p>
    <w:p w14:paraId="7E8A001F">
      <w:pPr>
        <w:keepNext w:val="0"/>
        <w:keepLines w:val="0"/>
        <w:pageBreakBefore w:val="0"/>
        <w:widowControl w:val="0"/>
        <w:shd w:val="clear"/>
        <w:kinsoku/>
        <w:wordWrap/>
        <w:overflowPunct/>
        <w:topLinePunct w:val="0"/>
        <w:autoSpaceDE/>
        <w:autoSpaceDN/>
        <w:bidi w:val="0"/>
        <w:adjustRightInd/>
        <w:snapToGrid/>
        <w:textAlignment w:val="auto"/>
        <w:rPr>
          <w:rFonts w:hint="eastAsia"/>
          <w:color w:val="auto"/>
          <w:sz w:val="24"/>
          <w:szCs w:val="24"/>
          <w:highlight w:val="none"/>
          <w:lang w:val="en-US" w:eastAsia="zh-CN"/>
        </w:rPr>
      </w:pPr>
      <w:r>
        <w:rPr>
          <w:rFonts w:hint="eastAsia"/>
          <w:color w:val="auto"/>
          <w:highlight w:val="none"/>
          <w:lang w:val="en-US" w:eastAsia="zh-CN"/>
        </w:rPr>
        <w:t>纺织行业挥发性有机物有组织排放浓度见</w:t>
      </w:r>
      <w:r>
        <w:rPr>
          <w:rFonts w:hint="eastAsia"/>
          <w:color w:val="auto"/>
          <w:highlight w:val="none"/>
          <w:lang w:val="en-US" w:eastAsia="zh-CN"/>
        </w:rPr>
        <w:fldChar w:fldCharType="begin"/>
      </w:r>
      <w:r>
        <w:rPr>
          <w:rFonts w:hint="eastAsia"/>
          <w:color w:val="auto"/>
          <w:highlight w:val="none"/>
          <w:lang w:val="en-US" w:eastAsia="zh-CN"/>
        </w:rPr>
        <w:instrText xml:space="preserve"> REF _Ref8612 \h </w:instrText>
      </w:r>
      <w:r>
        <w:rPr>
          <w:rFonts w:hint="eastAsia"/>
          <w:color w:val="auto"/>
          <w:highlight w:val="none"/>
          <w:lang w:val="en-US" w:eastAsia="zh-CN"/>
        </w:rPr>
        <w:fldChar w:fldCharType="separate"/>
      </w:r>
      <w:r>
        <w:t>表30</w:t>
      </w:r>
      <w:r>
        <w:rPr>
          <w:rFonts w:hint="eastAsia"/>
          <w:color w:val="auto"/>
          <w:highlight w:val="none"/>
          <w:lang w:val="en-US" w:eastAsia="zh-CN"/>
        </w:rPr>
        <w:fldChar w:fldCharType="end"/>
      </w:r>
      <w:r>
        <w:rPr>
          <w:rFonts w:hint="eastAsia"/>
          <w:color w:val="auto"/>
          <w:highlight w:val="none"/>
          <w:lang w:val="en-US" w:eastAsia="zh-CN"/>
        </w:rPr>
        <w:t>。</w:t>
      </w:r>
      <w:r>
        <w:rPr>
          <w:rFonts w:hint="eastAsia"/>
          <w:color w:val="auto"/>
          <w:sz w:val="24"/>
          <w:szCs w:val="24"/>
          <w:highlight w:val="none"/>
          <w:lang w:val="en-US" w:eastAsia="zh-CN"/>
        </w:rPr>
        <w:t>根据现有监测数据判断，湖南省纺织企业苯系物和非甲烷总烃的达标率在90%左右，大约10%的现有企业需要进一步加强对挥发性有机物的控制。此外，考虑到现有数据主要来源于企业自行公开的监测数据，其余未上传数据的企业存在更高的超标风险，保守估计实际达标率约为70%～80%。</w:t>
      </w:r>
    </w:p>
    <w:p w14:paraId="12DA069C">
      <w:pPr>
        <w:pStyle w:val="129"/>
        <w:shd w:val="clear"/>
        <w:bidi w:val="0"/>
        <w:ind w:left="0" w:leftChars="0"/>
        <w:jc w:val="center"/>
        <w:outlineLvl w:val="4"/>
        <w:rPr>
          <w:rFonts w:hint="default"/>
          <w:lang w:val="en-US" w:eastAsia="zh-CN"/>
        </w:rPr>
      </w:pPr>
      <w:bookmarkStart w:id="254" w:name="_Ref8612"/>
      <w:r>
        <w:t>表</w:t>
      </w:r>
      <w:r>
        <w:fldChar w:fldCharType="begin"/>
      </w:r>
      <w:r>
        <w:instrText xml:space="preserve"> SEQ 表 \* ARABIC </w:instrText>
      </w:r>
      <w:r>
        <w:fldChar w:fldCharType="separate"/>
      </w:r>
      <w:r>
        <w:t>30</w:t>
      </w:r>
      <w:r>
        <w:fldChar w:fldCharType="end"/>
      </w:r>
      <w:bookmarkEnd w:id="254"/>
      <w:r>
        <w:rPr>
          <w:rFonts w:hint="eastAsia"/>
          <w:lang w:val="en-US" w:eastAsia="zh-CN"/>
        </w:rPr>
        <w:t xml:space="preserve"> 纺织行业挥发性有机物有组织排放浓度</w:t>
      </w:r>
    </w:p>
    <w:p w14:paraId="5ABB3513">
      <w:pPr>
        <w:shd w:val="clear"/>
        <w:jc w:val="right"/>
        <w:rPr>
          <w:rFonts w:hint="default"/>
          <w:color w:val="auto"/>
          <w:highlight w:val="none"/>
          <w:lang w:val="en-US" w:eastAsia="zh-CN"/>
        </w:rPr>
      </w:pPr>
      <w:r>
        <w:rPr>
          <w:rFonts w:hint="eastAsia"/>
          <w:color w:val="auto"/>
          <w:highlight w:val="none"/>
          <w:lang w:val="en-US" w:eastAsia="zh-CN"/>
        </w:rPr>
        <w:t>单位：mg/m</w:t>
      </w:r>
      <w:r>
        <w:rPr>
          <w:rFonts w:hint="eastAsia"/>
          <w:color w:val="auto"/>
          <w:highlight w:val="none"/>
          <w:vertAlign w:val="superscript"/>
          <w:lang w:val="en-US" w:eastAsia="zh-CN"/>
        </w:rPr>
        <w:t>3</w:t>
      </w:r>
    </w:p>
    <w:tbl>
      <w:tblPr>
        <w:tblStyle w:val="3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91"/>
        <w:gridCol w:w="1324"/>
        <w:gridCol w:w="1324"/>
        <w:gridCol w:w="1324"/>
        <w:gridCol w:w="1324"/>
        <w:gridCol w:w="1324"/>
        <w:gridCol w:w="1324"/>
      </w:tblGrid>
      <w:tr w14:paraId="7AD62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99" w:type="pct"/>
            <w:tcBorders>
              <w:top w:val="single" w:color="000000" w:sz="12" w:space="0"/>
              <w:left w:val="single" w:color="000000" w:sz="12" w:space="0"/>
              <w:bottom w:val="single" w:color="000000" w:sz="4" w:space="0"/>
              <w:right w:val="single" w:color="000000" w:sz="4" w:space="0"/>
              <w:tl2br w:val="nil"/>
            </w:tcBorders>
            <w:shd w:val="clear" w:color="auto" w:fill="FFFFFF"/>
            <w:noWrap/>
            <w:vAlign w:val="center"/>
          </w:tcPr>
          <w:p w14:paraId="69D17EF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监测项目</w:t>
            </w:r>
          </w:p>
        </w:tc>
        <w:tc>
          <w:tcPr>
            <w:tcW w:w="716"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1E0266E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企业数量</w:t>
            </w:r>
          </w:p>
        </w:tc>
        <w:tc>
          <w:tcPr>
            <w:tcW w:w="716"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2109165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数据量</w:t>
            </w:r>
          </w:p>
        </w:tc>
        <w:tc>
          <w:tcPr>
            <w:tcW w:w="716"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75B58D3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iCs w:val="0"/>
                <w:color w:val="auto"/>
                <w:kern w:val="0"/>
                <w:sz w:val="18"/>
                <w:szCs w:val="18"/>
                <w:highlight w:val="none"/>
                <w:u w:val="none"/>
                <w:lang w:val="en-US" w:eastAsia="zh-CN" w:bidi="ar"/>
              </w:rPr>
            </w:pPr>
            <w:r>
              <w:rPr>
                <w:rFonts w:hint="eastAsia" w:cs="Times New Roman"/>
                <w:b w:val="0"/>
                <w:bCs/>
                <w:i w:val="0"/>
                <w:iCs w:val="0"/>
                <w:color w:val="auto"/>
                <w:kern w:val="0"/>
                <w:sz w:val="18"/>
                <w:szCs w:val="18"/>
                <w:highlight w:val="none"/>
                <w:u w:val="none"/>
                <w:lang w:val="en-US" w:eastAsia="zh-CN" w:bidi="ar"/>
              </w:rPr>
              <w:t>浓度范围</w:t>
            </w:r>
          </w:p>
        </w:tc>
        <w:tc>
          <w:tcPr>
            <w:tcW w:w="716"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009D5F2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中位数</w:t>
            </w:r>
          </w:p>
        </w:tc>
        <w:tc>
          <w:tcPr>
            <w:tcW w:w="716"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4085E14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70%分位数</w:t>
            </w:r>
          </w:p>
        </w:tc>
        <w:tc>
          <w:tcPr>
            <w:tcW w:w="716" w:type="pct"/>
            <w:tcBorders>
              <w:top w:val="single" w:color="000000" w:sz="12" w:space="0"/>
              <w:left w:val="single" w:color="000000" w:sz="4" w:space="0"/>
              <w:bottom w:val="single" w:color="000000" w:sz="4" w:space="0"/>
              <w:right w:val="single" w:color="000000" w:sz="12" w:space="0"/>
            </w:tcBorders>
            <w:shd w:val="clear" w:color="auto" w:fill="FFFFFF"/>
            <w:noWrap/>
            <w:vAlign w:val="center"/>
          </w:tcPr>
          <w:p w14:paraId="5C79640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90%分位数</w:t>
            </w:r>
          </w:p>
        </w:tc>
      </w:tr>
      <w:tr w14:paraId="2D2EB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99"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3B88ED5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苯</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2D3AA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1B790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21</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DC423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4829B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0.00</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798F3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0.00</w:t>
            </w:r>
          </w:p>
        </w:tc>
        <w:tc>
          <w:tcPr>
            <w:tcW w:w="716"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C07873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0.00</w:t>
            </w:r>
          </w:p>
        </w:tc>
      </w:tr>
      <w:tr w14:paraId="693C9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99"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58138EE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甲苯</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C82DC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9</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99751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32</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9138A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0.011</w:t>
            </w:r>
            <w:r>
              <w:rPr>
                <w:rFonts w:hint="eastAsia" w:cs="Times New Roman"/>
                <w:b w:val="0"/>
                <w:bCs/>
                <w:i w:val="0"/>
                <w:iCs w:val="0"/>
                <w:color w:val="auto"/>
                <w:kern w:val="0"/>
                <w:sz w:val="18"/>
                <w:szCs w:val="18"/>
                <w:highlight w:val="none"/>
                <w:u w:val="none"/>
                <w:lang w:val="en-US" w:eastAsia="zh-CN" w:bidi="ar"/>
              </w:rPr>
              <w:t>～25.8</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4E951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0.08</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AB974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0.32</w:t>
            </w:r>
          </w:p>
        </w:tc>
        <w:tc>
          <w:tcPr>
            <w:tcW w:w="716"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1807D4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6.43</w:t>
            </w:r>
          </w:p>
        </w:tc>
      </w:tr>
      <w:tr w14:paraId="16334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9"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2E9EB0B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二甲苯</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F917D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9</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CCBA5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32</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25BC6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iCs w:val="0"/>
                <w:color w:val="auto"/>
                <w:kern w:val="0"/>
                <w:sz w:val="18"/>
                <w:szCs w:val="18"/>
                <w:highlight w:val="none"/>
                <w:u w:val="none"/>
                <w:lang w:val="en-US" w:eastAsia="zh-CN" w:bidi="ar"/>
              </w:rPr>
            </w:pPr>
            <w:r>
              <w:rPr>
                <w:rFonts w:hint="eastAsia" w:cs="Times New Roman"/>
                <w:b w:val="0"/>
                <w:bCs/>
                <w:i w:val="0"/>
                <w:iCs w:val="0"/>
                <w:color w:val="auto"/>
                <w:kern w:val="0"/>
                <w:sz w:val="18"/>
                <w:szCs w:val="18"/>
                <w:highlight w:val="none"/>
                <w:u w:val="none"/>
                <w:lang w:val="en-US" w:eastAsia="zh-CN" w:bidi="ar"/>
              </w:rPr>
              <w:t>≤</w:t>
            </w:r>
            <w:r>
              <w:rPr>
                <w:rFonts w:hint="eastAsia" w:ascii="Times New Roman" w:hAnsi="Times New Roman" w:eastAsia="宋体" w:cs="Times New Roman"/>
                <w:b w:val="0"/>
                <w:bCs/>
                <w:i w:val="0"/>
                <w:iCs w:val="0"/>
                <w:color w:val="auto"/>
                <w:kern w:val="0"/>
                <w:sz w:val="18"/>
                <w:szCs w:val="18"/>
                <w:highlight w:val="none"/>
                <w:u w:val="none"/>
                <w:lang w:val="en-US" w:eastAsia="zh-CN" w:bidi="ar"/>
              </w:rPr>
              <w:t>2.74</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B3134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0.05</w:t>
            </w: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0E655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0.11</w:t>
            </w:r>
          </w:p>
        </w:tc>
        <w:tc>
          <w:tcPr>
            <w:tcW w:w="716"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7C57E46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1.07</w:t>
            </w:r>
          </w:p>
        </w:tc>
      </w:tr>
      <w:tr w14:paraId="5C4E6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99" w:type="pct"/>
            <w:tcBorders>
              <w:top w:val="single" w:color="000000" w:sz="4" w:space="0"/>
              <w:left w:val="single" w:color="000000" w:sz="12" w:space="0"/>
              <w:bottom w:val="single" w:color="000000" w:sz="12" w:space="0"/>
              <w:right w:val="single" w:color="000000" w:sz="4" w:space="0"/>
            </w:tcBorders>
            <w:shd w:val="clear" w:color="auto" w:fill="FFFFFF"/>
            <w:noWrap/>
            <w:vAlign w:val="center"/>
          </w:tcPr>
          <w:p w14:paraId="5771BCA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非甲烷总烃</w:t>
            </w:r>
          </w:p>
        </w:tc>
        <w:tc>
          <w:tcPr>
            <w:tcW w:w="716"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0280D863">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15</w:t>
            </w:r>
          </w:p>
        </w:tc>
        <w:tc>
          <w:tcPr>
            <w:tcW w:w="716"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6FDC0C5F">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47</w:t>
            </w:r>
          </w:p>
        </w:tc>
        <w:tc>
          <w:tcPr>
            <w:tcW w:w="716"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14D9B01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cs="Times New Roman"/>
                <w:b w:val="0"/>
                <w:bCs/>
                <w:i w:val="0"/>
                <w:iCs w:val="0"/>
                <w:color w:val="auto"/>
                <w:kern w:val="0"/>
                <w:sz w:val="18"/>
                <w:szCs w:val="18"/>
                <w:highlight w:val="none"/>
                <w:u w:val="none"/>
                <w:lang w:val="en-US" w:eastAsia="zh-CN" w:bidi="ar"/>
              </w:rPr>
              <w:t>≤</w:t>
            </w:r>
            <w:r>
              <w:rPr>
                <w:rFonts w:hint="eastAsia" w:ascii="Times New Roman" w:hAnsi="Times New Roman" w:eastAsia="宋体" w:cs="Times New Roman"/>
                <w:b w:val="0"/>
                <w:bCs/>
                <w:i w:val="0"/>
                <w:iCs w:val="0"/>
                <w:color w:val="auto"/>
                <w:kern w:val="0"/>
                <w:sz w:val="18"/>
                <w:szCs w:val="18"/>
                <w:highlight w:val="none"/>
                <w:u w:val="none"/>
                <w:lang w:val="en-US" w:eastAsia="zh-CN" w:bidi="ar"/>
              </w:rPr>
              <w:t>288.00</w:t>
            </w:r>
          </w:p>
        </w:tc>
        <w:tc>
          <w:tcPr>
            <w:tcW w:w="716"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1E721E1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2.87</w:t>
            </w:r>
          </w:p>
        </w:tc>
        <w:tc>
          <w:tcPr>
            <w:tcW w:w="716"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7594C80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5.12</w:t>
            </w:r>
          </w:p>
        </w:tc>
        <w:tc>
          <w:tcPr>
            <w:tcW w:w="716" w:type="pct"/>
            <w:tcBorders>
              <w:top w:val="single" w:color="000000" w:sz="4" w:space="0"/>
              <w:left w:val="single" w:color="000000" w:sz="4" w:space="0"/>
              <w:bottom w:val="single" w:color="000000" w:sz="12" w:space="0"/>
              <w:right w:val="single" w:color="000000" w:sz="12" w:space="0"/>
            </w:tcBorders>
            <w:shd w:val="clear" w:color="auto" w:fill="FFFFFF"/>
            <w:noWrap/>
            <w:vAlign w:val="center"/>
          </w:tcPr>
          <w:p w14:paraId="07E168C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iCs w:val="0"/>
                <w:color w:val="auto"/>
                <w:kern w:val="0"/>
                <w:sz w:val="18"/>
                <w:szCs w:val="18"/>
                <w:highlight w:val="none"/>
                <w:u w:val="none"/>
                <w:lang w:val="en-US" w:eastAsia="zh-CN" w:bidi="ar"/>
              </w:rPr>
            </w:pPr>
            <w:r>
              <w:rPr>
                <w:rFonts w:hint="eastAsia" w:ascii="Times New Roman" w:hAnsi="Times New Roman" w:eastAsia="宋体" w:cs="Times New Roman"/>
                <w:b w:val="0"/>
                <w:bCs/>
                <w:i w:val="0"/>
                <w:iCs w:val="0"/>
                <w:color w:val="auto"/>
                <w:kern w:val="0"/>
                <w:sz w:val="18"/>
                <w:szCs w:val="18"/>
                <w:highlight w:val="none"/>
                <w:u w:val="none"/>
                <w:lang w:val="en-US" w:eastAsia="zh-CN" w:bidi="ar"/>
              </w:rPr>
              <w:t>11.51</w:t>
            </w:r>
          </w:p>
        </w:tc>
      </w:tr>
    </w:tbl>
    <w:p w14:paraId="1D2F730D">
      <w:pPr>
        <w:shd w:val="clear"/>
        <w:rPr>
          <w:rFonts w:hint="eastAsia"/>
          <w:color w:val="auto"/>
          <w:highlight w:val="none"/>
          <w:lang w:val="en-US" w:eastAsia="zh-CN"/>
        </w:rPr>
      </w:pPr>
    </w:p>
    <w:p w14:paraId="292EDFBD">
      <w:pPr>
        <w:pStyle w:val="3"/>
        <w:shd w:val="clear"/>
        <w:bidi w:val="0"/>
        <w:ind w:left="575" w:leftChars="0" w:hanging="575" w:firstLineChars="0"/>
        <w:rPr>
          <w:rFonts w:hint="eastAsia"/>
          <w:color w:val="auto"/>
          <w:highlight w:val="none"/>
          <w:lang w:val="en-US" w:eastAsia="zh-CN"/>
        </w:rPr>
      </w:pPr>
      <w:bookmarkStart w:id="255" w:name="_Toc15037"/>
      <w:bookmarkStart w:id="256" w:name="_Toc8050"/>
      <w:bookmarkStart w:id="257" w:name="_Toc24250"/>
      <w:bookmarkStart w:id="258" w:name="_Toc12594"/>
      <w:bookmarkStart w:id="259" w:name="_Toc7612"/>
      <w:bookmarkStart w:id="260" w:name="_Toc26440"/>
      <w:r>
        <w:rPr>
          <w:rFonts w:hint="eastAsia"/>
          <w:color w:val="auto"/>
          <w:highlight w:val="none"/>
          <w:lang w:val="en-US" w:eastAsia="zh-CN"/>
        </w:rPr>
        <w:t>制鞋行业</w:t>
      </w:r>
      <w:bookmarkEnd w:id="255"/>
      <w:bookmarkEnd w:id="256"/>
      <w:bookmarkEnd w:id="257"/>
      <w:bookmarkEnd w:id="258"/>
      <w:bookmarkEnd w:id="259"/>
      <w:bookmarkEnd w:id="260"/>
    </w:p>
    <w:p w14:paraId="0523EB9E">
      <w:pPr>
        <w:keepNext w:val="0"/>
        <w:keepLines w:val="0"/>
        <w:pageBreakBefore w:val="0"/>
        <w:widowControl w:val="0"/>
        <w:shd w:val="clear"/>
        <w:kinsoku/>
        <w:wordWrap/>
        <w:overflowPunct/>
        <w:topLinePunct w:val="0"/>
        <w:autoSpaceDE/>
        <w:autoSpaceDN/>
        <w:bidi w:val="0"/>
        <w:adjustRightInd/>
        <w:snapToGrid/>
        <w:textAlignment w:val="auto"/>
        <w:rPr>
          <w:rFonts w:hint="eastAsia" w:eastAsia="宋体"/>
          <w:color w:val="auto"/>
          <w:sz w:val="24"/>
          <w:szCs w:val="24"/>
          <w:highlight w:val="none"/>
          <w:lang w:val="en-US" w:eastAsia="zh-CN"/>
        </w:rPr>
      </w:pPr>
      <w:r>
        <w:rPr>
          <w:rFonts w:hint="eastAsia" w:eastAsia="宋体"/>
          <w:color w:val="auto"/>
          <w:sz w:val="24"/>
          <w:szCs w:val="24"/>
          <w:highlight w:val="none"/>
          <w:lang w:val="en-US" w:eastAsia="zh-CN"/>
        </w:rPr>
        <w:t>目前</w:t>
      </w:r>
      <w:r>
        <w:rPr>
          <w:rFonts w:hint="eastAsia"/>
          <w:color w:val="auto"/>
          <w:sz w:val="24"/>
          <w:szCs w:val="24"/>
          <w:highlight w:val="none"/>
          <w:lang w:val="en-US" w:eastAsia="zh-CN"/>
        </w:rPr>
        <w:t>仅浙江、广东、安徽制定了</w:t>
      </w:r>
      <w:r>
        <w:rPr>
          <w:rFonts w:hint="eastAsia" w:eastAsia="宋体"/>
          <w:color w:val="auto"/>
          <w:sz w:val="24"/>
          <w:szCs w:val="24"/>
          <w:highlight w:val="none"/>
          <w:lang w:val="en-US" w:eastAsia="zh-CN"/>
        </w:rPr>
        <w:t>地方</w:t>
      </w:r>
      <w:r>
        <w:rPr>
          <w:rFonts w:hint="eastAsia"/>
          <w:color w:val="auto"/>
          <w:sz w:val="24"/>
          <w:szCs w:val="24"/>
          <w:highlight w:val="none"/>
          <w:lang w:val="en-US" w:eastAsia="zh-CN"/>
        </w:rPr>
        <w:t>制鞋</w:t>
      </w:r>
      <w:r>
        <w:rPr>
          <w:rFonts w:hint="eastAsia" w:eastAsia="宋体"/>
          <w:color w:val="auto"/>
          <w:sz w:val="24"/>
          <w:szCs w:val="24"/>
          <w:highlight w:val="none"/>
          <w:lang w:val="en-US" w:eastAsia="zh-CN"/>
        </w:rPr>
        <w:t>业大气污染物排放标准</w:t>
      </w:r>
      <w:r>
        <w:rPr>
          <w:rFonts w:hint="eastAsia"/>
          <w:color w:val="auto"/>
          <w:sz w:val="24"/>
          <w:szCs w:val="24"/>
          <w:highlight w:val="none"/>
          <w:lang w:val="en-US" w:eastAsia="zh-CN"/>
        </w:rPr>
        <w:t>。</w:t>
      </w:r>
      <w:r>
        <w:rPr>
          <w:rFonts w:hint="eastAsia" w:eastAsia="宋体"/>
          <w:color w:val="auto"/>
          <w:sz w:val="24"/>
          <w:szCs w:val="24"/>
          <w:highlight w:val="none"/>
          <w:lang w:val="en-US" w:eastAsia="zh-CN"/>
        </w:rPr>
        <w:t>本标准与各省排放标准及相比：</w:t>
      </w:r>
    </w:p>
    <w:p w14:paraId="4952CF2D">
      <w:pPr>
        <w:keepNext w:val="0"/>
        <w:keepLines w:val="0"/>
        <w:pageBreakBefore w:val="0"/>
        <w:widowControl w:val="0"/>
        <w:shd w:val="clear"/>
        <w:kinsoku/>
        <w:wordWrap/>
        <w:overflowPunct/>
        <w:topLinePunct w:val="0"/>
        <w:autoSpaceDE/>
        <w:autoSpaceDN/>
        <w:bidi w:val="0"/>
        <w:adjustRightInd/>
        <w:snapToGrid/>
        <w:textAlignment w:val="auto"/>
        <w:rPr>
          <w:rFonts w:hint="default"/>
          <w:color w:val="auto"/>
          <w:sz w:val="24"/>
          <w:szCs w:val="24"/>
          <w:highlight w:val="none"/>
          <w:vertAlign w:val="baseline"/>
          <w:lang w:val="en-US" w:eastAsia="zh-CN"/>
        </w:rPr>
      </w:pPr>
      <w:r>
        <w:rPr>
          <w:rFonts w:hint="eastAsia" w:eastAsia="宋体"/>
          <w:color w:val="auto"/>
          <w:sz w:val="24"/>
          <w:szCs w:val="24"/>
          <w:highlight w:val="none"/>
          <w:lang w:val="en-US" w:eastAsia="zh-CN"/>
        </w:rPr>
        <w:t>苯：</w:t>
      </w:r>
      <w:r>
        <w:rPr>
          <w:rFonts w:hint="eastAsia"/>
          <w:color w:val="auto"/>
          <w:sz w:val="24"/>
          <w:szCs w:val="24"/>
          <w:highlight w:val="none"/>
          <w:lang w:val="en-US" w:eastAsia="zh-CN"/>
        </w:rPr>
        <w:t>控制限值为1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，与各地方标准持平。</w:t>
      </w:r>
      <w:r>
        <w:rPr>
          <w:rFonts w:hint="eastAsia" w:eastAsia="宋体"/>
          <w:color w:val="auto"/>
          <w:sz w:val="24"/>
          <w:szCs w:val="24"/>
          <w:highlight w:val="none"/>
          <w:lang w:val="en-US" w:eastAsia="zh-CN"/>
        </w:rPr>
        <w:t>苯系物：</w:t>
      </w:r>
      <w:r>
        <w:rPr>
          <w:rFonts w:hint="eastAsia"/>
          <w:color w:val="auto"/>
          <w:sz w:val="24"/>
          <w:szCs w:val="24"/>
          <w:highlight w:val="none"/>
          <w:lang w:val="en-US" w:eastAsia="zh-CN"/>
        </w:rPr>
        <w:t>控制限值为20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，与浙江持平，宽松于广东标准。</w:t>
      </w:r>
      <w:r>
        <w:rPr>
          <w:rFonts w:hint="eastAsia" w:eastAsia="宋体"/>
          <w:color w:val="auto"/>
          <w:sz w:val="24"/>
          <w:szCs w:val="24"/>
          <w:highlight w:val="none"/>
          <w:lang w:val="en-US" w:eastAsia="zh-CN"/>
        </w:rPr>
        <w:t>非甲烷总烃：</w:t>
      </w:r>
      <w:r>
        <w:rPr>
          <w:rFonts w:hint="eastAsia"/>
          <w:color w:val="auto"/>
          <w:sz w:val="24"/>
          <w:szCs w:val="24"/>
          <w:highlight w:val="none"/>
          <w:lang w:val="en-US" w:eastAsia="zh-CN"/>
        </w:rPr>
        <w:t>控制限值为40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，与广东持平。挥发性有机物：</w:t>
      </w:r>
      <w:r>
        <w:rPr>
          <w:rFonts w:hint="eastAsia"/>
          <w:color w:val="auto"/>
          <w:sz w:val="24"/>
          <w:szCs w:val="24"/>
          <w:highlight w:val="none"/>
          <w:lang w:val="en-US" w:eastAsia="zh-CN"/>
        </w:rPr>
        <w:t>控制限值为60 mg/m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，比浙江控制限值加严25%。</w:t>
      </w:r>
    </w:p>
    <w:p w14:paraId="0B22D459">
      <w:pPr>
        <w:keepNext w:val="0"/>
        <w:keepLines w:val="0"/>
        <w:pageBreakBefore w:val="0"/>
        <w:widowControl w:val="0"/>
        <w:shd w:val="clear"/>
        <w:kinsoku/>
        <w:wordWrap/>
        <w:overflowPunct/>
        <w:topLinePunct w:val="0"/>
        <w:autoSpaceDE/>
        <w:autoSpaceDN/>
        <w:bidi w:val="0"/>
        <w:adjustRightInd/>
        <w:snapToGrid/>
        <w:textAlignment w:val="auto"/>
        <w:rPr>
          <w:rFonts w:hint="eastAsia"/>
          <w:color w:val="auto"/>
          <w:sz w:val="24"/>
          <w:szCs w:val="24"/>
          <w:highlight w:val="none"/>
          <w:lang w:val="en-US" w:eastAsia="zh-CN"/>
        </w:rPr>
      </w:pPr>
      <w:r>
        <w:rPr>
          <w:rFonts w:hint="eastAsia"/>
          <w:color w:val="auto"/>
          <w:highlight w:val="none"/>
          <w:lang w:val="en-US" w:eastAsia="zh-CN"/>
        </w:rPr>
        <w:t>制鞋行业挥发性有机物有组织排放现状见</w:t>
      </w:r>
      <w:r>
        <w:rPr>
          <w:rFonts w:hint="eastAsia"/>
          <w:color w:val="auto"/>
          <w:highlight w:val="none"/>
          <w:lang w:val="en-US" w:eastAsia="zh-CN"/>
        </w:rPr>
        <w:fldChar w:fldCharType="begin"/>
      </w:r>
      <w:r>
        <w:rPr>
          <w:rFonts w:hint="eastAsia"/>
          <w:color w:val="auto"/>
          <w:highlight w:val="none"/>
          <w:lang w:val="en-US" w:eastAsia="zh-CN"/>
        </w:rPr>
        <w:instrText xml:space="preserve"> REF _Ref8645 \h </w:instrText>
      </w:r>
      <w:r>
        <w:rPr>
          <w:rFonts w:hint="eastAsia"/>
          <w:color w:val="auto"/>
          <w:highlight w:val="none"/>
          <w:lang w:val="en-US" w:eastAsia="zh-CN"/>
        </w:rPr>
        <w:fldChar w:fldCharType="separate"/>
      </w:r>
      <w:r>
        <w:t>表31</w:t>
      </w:r>
      <w:r>
        <w:rPr>
          <w:rFonts w:hint="eastAsia"/>
          <w:color w:val="auto"/>
          <w:highlight w:val="none"/>
          <w:lang w:val="en-US" w:eastAsia="zh-CN"/>
        </w:rPr>
        <w:fldChar w:fldCharType="end"/>
      </w:r>
      <w:r>
        <w:rPr>
          <w:rFonts w:hint="eastAsia"/>
          <w:color w:val="auto"/>
          <w:highlight w:val="none"/>
          <w:lang w:val="en-US" w:eastAsia="zh-CN"/>
        </w:rPr>
        <w:t>。</w:t>
      </w:r>
      <w:r>
        <w:rPr>
          <w:rFonts w:hint="eastAsia"/>
          <w:color w:val="auto"/>
          <w:sz w:val="24"/>
          <w:szCs w:val="24"/>
          <w:highlight w:val="none"/>
          <w:lang w:val="en-US" w:eastAsia="zh-CN"/>
        </w:rPr>
        <w:t>根据现有监测数据判断，湖南省制鞋企业苯系物和挥发性有机物的达标率在90%左右，大约10%的现有企业需要进一步加强对挥发性有机物的控制。此外，考虑到现有数据主要来源于企业自行公开的监测数据，其余未上传数据的企业存在更高的超标风险，保守估计实际达标率约为70%～80%。</w:t>
      </w:r>
    </w:p>
    <w:p w14:paraId="70828BBE">
      <w:pPr>
        <w:pStyle w:val="129"/>
        <w:shd w:val="clear"/>
        <w:bidi w:val="0"/>
        <w:ind w:left="0" w:leftChars="0"/>
        <w:jc w:val="center"/>
        <w:outlineLvl w:val="4"/>
        <w:rPr>
          <w:rFonts w:hint="eastAsia"/>
          <w:lang w:val="en-US" w:eastAsia="zh-CN"/>
        </w:rPr>
      </w:pPr>
      <w:bookmarkStart w:id="261" w:name="_Ref8645"/>
      <w:r>
        <w:t>表</w:t>
      </w:r>
      <w:r>
        <w:fldChar w:fldCharType="begin"/>
      </w:r>
      <w:r>
        <w:instrText xml:space="preserve"> SEQ 表 \* ARABIC </w:instrText>
      </w:r>
      <w:r>
        <w:fldChar w:fldCharType="separate"/>
      </w:r>
      <w:r>
        <w:t>31</w:t>
      </w:r>
      <w:r>
        <w:fldChar w:fldCharType="end"/>
      </w:r>
      <w:bookmarkEnd w:id="261"/>
      <w:r>
        <w:rPr>
          <w:rFonts w:hint="eastAsia"/>
          <w:lang w:val="en-US" w:eastAsia="zh-CN"/>
        </w:rPr>
        <w:t xml:space="preserve"> 制鞋行业挥发性有机物有组织排放现状</w:t>
      </w:r>
    </w:p>
    <w:p w14:paraId="3AE8DBEF">
      <w:pPr>
        <w:shd w:val="clear"/>
        <w:jc w:val="right"/>
        <w:rPr>
          <w:rFonts w:hint="default"/>
          <w:color w:val="auto"/>
          <w:highlight w:val="none"/>
          <w:lang w:val="en-US" w:eastAsia="zh-CN"/>
        </w:rPr>
      </w:pPr>
      <w:r>
        <w:rPr>
          <w:rFonts w:hint="eastAsia"/>
          <w:color w:val="auto"/>
          <w:highlight w:val="none"/>
          <w:lang w:val="en-US" w:eastAsia="zh-CN"/>
        </w:rPr>
        <w:t>单位：mg/m</w:t>
      </w:r>
      <w:r>
        <w:rPr>
          <w:rFonts w:hint="eastAsia"/>
          <w:color w:val="auto"/>
          <w:highlight w:val="none"/>
          <w:vertAlign w:val="superscript"/>
          <w:lang w:val="en-US" w:eastAsia="zh-CN"/>
        </w:rPr>
        <w:t>3</w:t>
      </w:r>
    </w:p>
    <w:tbl>
      <w:tblPr>
        <w:tblStyle w:val="3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74"/>
        <w:gridCol w:w="1224"/>
        <w:gridCol w:w="959"/>
        <w:gridCol w:w="1135"/>
        <w:gridCol w:w="1301"/>
        <w:gridCol w:w="1433"/>
        <w:gridCol w:w="1410"/>
      </w:tblGrid>
      <w:tr w14:paraId="7EBB5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60" w:type="pct"/>
            <w:tcBorders>
              <w:top w:val="single" w:color="000000" w:sz="12" w:space="0"/>
              <w:left w:val="single" w:color="000000" w:sz="12" w:space="0"/>
              <w:bottom w:val="single" w:color="000000" w:sz="4" w:space="0"/>
              <w:right w:val="single" w:color="000000" w:sz="4" w:space="0"/>
              <w:tl2br w:val="nil"/>
            </w:tcBorders>
            <w:shd w:val="clear" w:color="auto" w:fill="FFFFFF"/>
            <w:noWrap/>
            <w:vAlign w:val="center"/>
          </w:tcPr>
          <w:p w14:paraId="4392C90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监测项目</w:t>
            </w:r>
          </w:p>
        </w:tc>
        <w:tc>
          <w:tcPr>
            <w:tcW w:w="662"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60B4C9F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企业数量</w:t>
            </w:r>
          </w:p>
        </w:tc>
        <w:tc>
          <w:tcPr>
            <w:tcW w:w="519"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578F25D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数据量</w:t>
            </w:r>
          </w:p>
        </w:tc>
        <w:tc>
          <w:tcPr>
            <w:tcW w:w="614"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27C62AF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eastAsia" w:ascii="Times New Roman" w:hAnsi="Times New Roman" w:cs="Times New Roman"/>
                <w:b w:val="0"/>
                <w:i w:val="0"/>
                <w:iCs w:val="0"/>
                <w:color w:val="auto"/>
                <w:kern w:val="0"/>
                <w:sz w:val="18"/>
                <w:szCs w:val="18"/>
                <w:highlight w:val="none"/>
                <w:u w:val="none"/>
                <w:lang w:val="en-US" w:eastAsia="zh-CN" w:bidi="ar"/>
              </w:rPr>
              <w:t>浓度范围</w:t>
            </w:r>
          </w:p>
        </w:tc>
        <w:tc>
          <w:tcPr>
            <w:tcW w:w="704"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67B1475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中位数</w:t>
            </w:r>
          </w:p>
        </w:tc>
        <w:tc>
          <w:tcPr>
            <w:tcW w:w="775" w:type="pct"/>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1C1A842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70%分位数</w:t>
            </w:r>
          </w:p>
        </w:tc>
        <w:tc>
          <w:tcPr>
            <w:tcW w:w="763" w:type="pct"/>
            <w:tcBorders>
              <w:top w:val="single" w:color="000000" w:sz="12" w:space="0"/>
              <w:left w:val="single" w:color="000000" w:sz="4" w:space="0"/>
              <w:bottom w:val="single" w:color="000000" w:sz="4" w:space="0"/>
              <w:right w:val="single" w:color="000000" w:sz="12" w:space="0"/>
            </w:tcBorders>
            <w:shd w:val="clear" w:color="auto" w:fill="FFFFFF"/>
            <w:noWrap/>
            <w:vAlign w:val="center"/>
          </w:tcPr>
          <w:p w14:paraId="5222023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90%分位数</w:t>
            </w:r>
          </w:p>
        </w:tc>
      </w:tr>
      <w:tr w14:paraId="62FAD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60"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BAD6E6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苯</w:t>
            </w:r>
          </w:p>
        </w:tc>
        <w:tc>
          <w:tcPr>
            <w:tcW w:w="6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399E7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25</w:t>
            </w:r>
          </w:p>
        </w:tc>
        <w:tc>
          <w:tcPr>
            <w:tcW w:w="5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0C14F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77</w:t>
            </w:r>
          </w:p>
        </w:tc>
        <w:tc>
          <w:tcPr>
            <w:tcW w:w="6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EA8F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8.20</w:t>
            </w:r>
          </w:p>
        </w:tc>
        <w:tc>
          <w:tcPr>
            <w:tcW w:w="70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FD471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0.03</w:t>
            </w:r>
          </w:p>
        </w:tc>
        <w:tc>
          <w:tcPr>
            <w:tcW w:w="7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B34CB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0.06</w:t>
            </w:r>
          </w:p>
        </w:tc>
        <w:tc>
          <w:tcPr>
            <w:tcW w:w="763"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455604E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0.85</w:t>
            </w:r>
          </w:p>
        </w:tc>
      </w:tr>
      <w:tr w14:paraId="30832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60"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1FB1DE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甲苯</w:t>
            </w:r>
          </w:p>
        </w:tc>
        <w:tc>
          <w:tcPr>
            <w:tcW w:w="6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B9484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23</w:t>
            </w:r>
          </w:p>
        </w:tc>
        <w:tc>
          <w:tcPr>
            <w:tcW w:w="5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453FC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72</w:t>
            </w:r>
          </w:p>
        </w:tc>
        <w:tc>
          <w:tcPr>
            <w:tcW w:w="6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438D0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14.00</w:t>
            </w:r>
          </w:p>
        </w:tc>
        <w:tc>
          <w:tcPr>
            <w:tcW w:w="70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75CF9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0.15</w:t>
            </w:r>
          </w:p>
        </w:tc>
        <w:tc>
          <w:tcPr>
            <w:tcW w:w="7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852FE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0.42</w:t>
            </w:r>
          </w:p>
        </w:tc>
        <w:tc>
          <w:tcPr>
            <w:tcW w:w="763"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42E61CD">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1.93</w:t>
            </w:r>
          </w:p>
        </w:tc>
      </w:tr>
      <w:tr w14:paraId="2A8A4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60"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14E63A5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二甲苯</w:t>
            </w:r>
          </w:p>
        </w:tc>
        <w:tc>
          <w:tcPr>
            <w:tcW w:w="6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C186F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22</w:t>
            </w:r>
          </w:p>
        </w:tc>
        <w:tc>
          <w:tcPr>
            <w:tcW w:w="5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B14FE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71</w:t>
            </w:r>
          </w:p>
        </w:tc>
        <w:tc>
          <w:tcPr>
            <w:tcW w:w="6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ACDBC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26.70</w:t>
            </w:r>
          </w:p>
        </w:tc>
        <w:tc>
          <w:tcPr>
            <w:tcW w:w="70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A86CB1">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0.25</w:t>
            </w:r>
          </w:p>
        </w:tc>
        <w:tc>
          <w:tcPr>
            <w:tcW w:w="7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6B64F9">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0.42</w:t>
            </w:r>
          </w:p>
        </w:tc>
        <w:tc>
          <w:tcPr>
            <w:tcW w:w="763"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4D0B4410">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2.23</w:t>
            </w:r>
          </w:p>
        </w:tc>
      </w:tr>
      <w:tr w14:paraId="6AFB5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60" w:type="pct"/>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2BFCC29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非甲烷总烃</w:t>
            </w:r>
          </w:p>
        </w:tc>
        <w:tc>
          <w:tcPr>
            <w:tcW w:w="66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7B7EB4">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8</w:t>
            </w:r>
          </w:p>
        </w:tc>
        <w:tc>
          <w:tcPr>
            <w:tcW w:w="5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729468">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22</w:t>
            </w:r>
          </w:p>
        </w:tc>
        <w:tc>
          <w:tcPr>
            <w:tcW w:w="6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DCF43A">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31.35</w:t>
            </w:r>
          </w:p>
        </w:tc>
        <w:tc>
          <w:tcPr>
            <w:tcW w:w="70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F8F47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3.61</w:t>
            </w:r>
          </w:p>
        </w:tc>
        <w:tc>
          <w:tcPr>
            <w:tcW w:w="7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39CA7B">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7.19</w:t>
            </w:r>
          </w:p>
        </w:tc>
        <w:tc>
          <w:tcPr>
            <w:tcW w:w="763" w:type="pct"/>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731401A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9.06</w:t>
            </w:r>
          </w:p>
        </w:tc>
      </w:tr>
      <w:tr w14:paraId="7818E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60" w:type="pct"/>
            <w:tcBorders>
              <w:top w:val="single" w:color="000000" w:sz="4" w:space="0"/>
              <w:left w:val="single" w:color="000000" w:sz="12" w:space="0"/>
              <w:bottom w:val="single" w:color="000000" w:sz="12" w:space="0"/>
              <w:right w:val="single" w:color="000000" w:sz="4" w:space="0"/>
            </w:tcBorders>
            <w:shd w:val="clear" w:color="auto" w:fill="FFFFFF"/>
            <w:noWrap/>
            <w:vAlign w:val="center"/>
          </w:tcPr>
          <w:p w14:paraId="2130D3C6">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挥发性有机物</w:t>
            </w:r>
          </w:p>
        </w:tc>
        <w:tc>
          <w:tcPr>
            <w:tcW w:w="662"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03CBBE2C">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25</w:t>
            </w:r>
          </w:p>
        </w:tc>
        <w:tc>
          <w:tcPr>
            <w:tcW w:w="519"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3811420E">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89</w:t>
            </w:r>
          </w:p>
        </w:tc>
        <w:tc>
          <w:tcPr>
            <w:tcW w:w="614"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2D6BCE7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eastAsia" w:cs="Times New Roman"/>
                <w:b w:val="0"/>
                <w:i w:val="0"/>
                <w:iCs w:val="0"/>
                <w:color w:val="auto"/>
                <w:kern w:val="0"/>
                <w:sz w:val="18"/>
                <w:szCs w:val="18"/>
                <w:highlight w:val="none"/>
                <w:u w:val="none"/>
                <w:lang w:val="en-US" w:eastAsia="zh-CN" w:bidi="ar"/>
              </w:rPr>
              <w:t>≤</w:t>
            </w:r>
            <w:r>
              <w:rPr>
                <w:rFonts w:hint="default" w:ascii="Times New Roman" w:hAnsi="Times New Roman" w:eastAsia="宋体" w:cs="Times New Roman"/>
                <w:b w:val="0"/>
                <w:i w:val="0"/>
                <w:iCs w:val="0"/>
                <w:color w:val="auto"/>
                <w:kern w:val="0"/>
                <w:sz w:val="18"/>
                <w:szCs w:val="18"/>
                <w:highlight w:val="none"/>
                <w:u w:val="none"/>
                <w:lang w:val="en-US" w:eastAsia="zh-CN" w:bidi="ar"/>
              </w:rPr>
              <w:t>85.33</w:t>
            </w:r>
          </w:p>
        </w:tc>
        <w:tc>
          <w:tcPr>
            <w:tcW w:w="704"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29FC74F2">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3.54</w:t>
            </w:r>
          </w:p>
        </w:tc>
        <w:tc>
          <w:tcPr>
            <w:tcW w:w="775" w:type="pct"/>
            <w:tcBorders>
              <w:top w:val="single" w:color="000000" w:sz="4" w:space="0"/>
              <w:left w:val="single" w:color="000000" w:sz="4" w:space="0"/>
              <w:bottom w:val="single" w:color="000000" w:sz="12" w:space="0"/>
              <w:right w:val="single" w:color="000000" w:sz="4" w:space="0"/>
            </w:tcBorders>
            <w:shd w:val="clear" w:color="auto" w:fill="FFFFFF"/>
            <w:noWrap/>
            <w:vAlign w:val="center"/>
          </w:tcPr>
          <w:p w14:paraId="78C34E67">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5.65</w:t>
            </w:r>
          </w:p>
        </w:tc>
        <w:tc>
          <w:tcPr>
            <w:tcW w:w="763" w:type="pct"/>
            <w:tcBorders>
              <w:top w:val="single" w:color="000000" w:sz="4" w:space="0"/>
              <w:left w:val="single" w:color="000000" w:sz="4" w:space="0"/>
              <w:bottom w:val="single" w:color="000000" w:sz="12" w:space="0"/>
              <w:right w:val="single" w:color="000000" w:sz="12" w:space="0"/>
            </w:tcBorders>
            <w:shd w:val="clear" w:color="auto" w:fill="FFFFFF"/>
            <w:noWrap/>
            <w:vAlign w:val="center"/>
          </w:tcPr>
          <w:p w14:paraId="26037665">
            <w:pPr>
              <w:keepNext w:val="0"/>
              <w:keepLines w:val="0"/>
              <w:pageBreakBefore w:val="0"/>
              <w:widowControl/>
              <w:suppressLineNumbers w:val="0"/>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auto"/>
                <w:kern w:val="0"/>
                <w:sz w:val="18"/>
                <w:szCs w:val="18"/>
                <w:highlight w:val="none"/>
                <w:u w:val="none"/>
                <w:lang w:val="en-US" w:eastAsia="zh-CN" w:bidi="ar"/>
              </w:rPr>
            </w:pPr>
            <w:r>
              <w:rPr>
                <w:rFonts w:hint="default" w:ascii="Times New Roman" w:hAnsi="Times New Roman" w:eastAsia="宋体" w:cs="Times New Roman"/>
                <w:b w:val="0"/>
                <w:i w:val="0"/>
                <w:iCs w:val="0"/>
                <w:color w:val="auto"/>
                <w:kern w:val="0"/>
                <w:sz w:val="18"/>
                <w:szCs w:val="18"/>
                <w:highlight w:val="none"/>
                <w:u w:val="none"/>
                <w:lang w:val="en-US" w:eastAsia="zh-CN" w:bidi="ar"/>
              </w:rPr>
              <w:t>23.55</w:t>
            </w:r>
          </w:p>
        </w:tc>
      </w:tr>
    </w:tbl>
    <w:p w14:paraId="0F7826AA">
      <w:pPr>
        <w:shd w:val="clear"/>
        <w:jc w:val="left"/>
        <w:rPr>
          <w:rFonts w:hint="eastAsia"/>
          <w:color w:val="auto"/>
          <w:highlight w:val="none"/>
          <w:lang w:val="en-US" w:eastAsia="zh-CN"/>
        </w:rPr>
      </w:pPr>
    </w:p>
    <w:bookmarkEnd w:id="162"/>
    <w:bookmarkEnd w:id="163"/>
    <w:p w14:paraId="3E6F53C2">
      <w:pPr>
        <w:pStyle w:val="3"/>
        <w:shd w:val="clear"/>
        <w:bidi w:val="0"/>
        <w:ind w:left="575" w:leftChars="0" w:hanging="575" w:firstLineChars="0"/>
        <w:rPr>
          <w:rFonts w:hint="eastAsia"/>
          <w:color w:val="auto"/>
          <w:highlight w:val="none"/>
          <w:lang w:val="en-US" w:eastAsia="zh-CN"/>
        </w:rPr>
      </w:pPr>
      <w:bookmarkStart w:id="262" w:name="_Toc13117"/>
      <w:bookmarkStart w:id="263" w:name="_Toc21050"/>
      <w:bookmarkStart w:id="264" w:name="_Toc3755"/>
      <w:bookmarkStart w:id="265" w:name="_Toc27296"/>
      <w:bookmarkStart w:id="266" w:name="_Toc1022"/>
      <w:bookmarkStart w:id="267" w:name="_Toc3278"/>
      <w:r>
        <w:rPr>
          <w:rFonts w:hint="eastAsia"/>
          <w:color w:val="auto"/>
          <w:highlight w:val="none"/>
          <w:lang w:val="en-US" w:eastAsia="zh-CN"/>
        </w:rPr>
        <w:t>其他行业</w:t>
      </w:r>
      <w:bookmarkEnd w:id="262"/>
      <w:bookmarkEnd w:id="263"/>
      <w:bookmarkEnd w:id="264"/>
      <w:bookmarkEnd w:id="265"/>
      <w:bookmarkEnd w:id="266"/>
      <w:bookmarkEnd w:id="267"/>
    </w:p>
    <w:p w14:paraId="4304F7C7">
      <w:pPr>
        <w:shd w:val="clear"/>
        <w:rPr>
          <w:rFonts w:hint="eastAsia"/>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本文件中的其他行业主要是指其他涉及有机溶剂使用且目前执行国家大气污染物综合排放标准的行业，例如，文教、工美、体育和娱乐用品制造业，电气机械和器材制造业，仪器仪表制造业、金属制品、机械和设备修理业等行业。本档控制限值作为湖南省工业涂装行业最宽松控制限值，处于较为宽松水平。与目前执行的国家大气污染物综合排放标准相比，非甲烷总烃控制限值加严33%。</w:t>
      </w:r>
    </w:p>
    <w:p w14:paraId="4D7BF44E">
      <w:pPr>
        <w:pStyle w:val="3"/>
        <w:shd w:val="clear"/>
        <w:bidi w:val="0"/>
        <w:ind w:left="575" w:leftChars="0" w:hanging="575" w:firstLineChars="0"/>
        <w:rPr>
          <w:rFonts w:hint="eastAsia"/>
          <w:color w:val="auto"/>
          <w:highlight w:val="none"/>
          <w:lang w:eastAsia="zh-CN"/>
        </w:rPr>
      </w:pPr>
      <w:bookmarkStart w:id="268" w:name="_Toc28077"/>
      <w:bookmarkStart w:id="269" w:name="_Toc26763"/>
      <w:bookmarkStart w:id="270" w:name="_Toc19164"/>
      <w:bookmarkStart w:id="271" w:name="_Toc29815"/>
      <w:bookmarkStart w:id="272" w:name="_Toc21901"/>
      <w:bookmarkStart w:id="273" w:name="_Toc12820"/>
      <w:r>
        <w:rPr>
          <w:rFonts w:hint="eastAsia"/>
          <w:color w:val="auto"/>
          <w:highlight w:val="none"/>
          <w:lang w:val="en-US" w:eastAsia="zh-CN"/>
        </w:rPr>
        <w:t>无组织控制要求</w:t>
      </w:r>
      <w:bookmarkEnd w:id="268"/>
      <w:bookmarkEnd w:id="269"/>
      <w:bookmarkEnd w:id="270"/>
      <w:bookmarkEnd w:id="271"/>
      <w:bookmarkEnd w:id="272"/>
      <w:bookmarkEnd w:id="273"/>
    </w:p>
    <w:p w14:paraId="027416D0">
      <w:pPr>
        <w:shd w:val="clea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w:t>
      </w:r>
      <w:r>
        <w:rPr>
          <w:rFonts w:hint="default" w:ascii="Times New Roman" w:hAnsi="Times New Roman" w:eastAsia="宋体" w:cs="Times New Roman"/>
          <w:color w:val="auto"/>
          <w:highlight w:val="none"/>
          <w:lang w:val="en-US" w:eastAsia="zh-CN"/>
        </w:rPr>
        <w:t>挥发性有机物无组织排放控制标准</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GB</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37822</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2019</w:t>
      </w:r>
      <w:r>
        <w:rPr>
          <w:rFonts w:hint="default" w:ascii="Times New Roman" w:hAnsi="Times New Roman" w:cs="Times New Roman"/>
          <w:color w:val="auto"/>
          <w:highlight w:val="none"/>
          <w:lang w:val="en-US" w:eastAsia="zh-CN"/>
        </w:rPr>
        <w:t>），本标准规定和细化了VOCs物料储存无组织排放控制要求、VOCs物料转移和输送无组织排放控制要求、工艺过程VOCs无组织排放控制要求、设施与管线组件VOCs泄漏控制要求、敞开液面VOCs无组织排放控制要求以及VOCs无组织排放废气收集处理系统要求，</w:t>
      </w:r>
      <w:r>
        <w:rPr>
          <w:rFonts w:hint="eastAsia" w:cs="Times New Roman"/>
          <w:color w:val="auto"/>
          <w:highlight w:val="none"/>
          <w:lang w:val="en-US" w:eastAsia="zh-CN"/>
        </w:rPr>
        <w:t>同时要求标准中其他无</w:t>
      </w:r>
      <w:r>
        <w:rPr>
          <w:rFonts w:hint="default" w:ascii="Times New Roman" w:hAnsi="Times New Roman" w:cs="Times New Roman"/>
          <w:color w:val="auto"/>
          <w:highlight w:val="none"/>
          <w:lang w:val="en-US" w:eastAsia="zh-CN"/>
        </w:rPr>
        <w:t>组织排放</w:t>
      </w:r>
      <w:r>
        <w:rPr>
          <w:rFonts w:hint="eastAsia" w:cs="Times New Roman"/>
          <w:color w:val="auto"/>
          <w:highlight w:val="none"/>
          <w:lang w:val="en-US" w:eastAsia="zh-CN"/>
        </w:rPr>
        <w:t>控制要求</w:t>
      </w:r>
      <w:r>
        <w:rPr>
          <w:rFonts w:hint="default" w:ascii="Times New Roman" w:hAnsi="Times New Roman" w:cs="Times New Roman"/>
          <w:color w:val="auto"/>
          <w:highlight w:val="none"/>
          <w:lang w:val="en-US" w:eastAsia="zh-CN"/>
        </w:rPr>
        <w:t>与GB</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lang w:val="en-US" w:eastAsia="zh-CN"/>
        </w:rPr>
        <w:t>37822的控制要求持平。</w:t>
      </w:r>
    </w:p>
    <w:p w14:paraId="21540350">
      <w:pPr>
        <w:shd w:val="clear"/>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本文本规定的厂区内无组织排放监控限值与GB 37822的特别排放限值一致。</w:t>
      </w:r>
    </w:p>
    <w:p w14:paraId="50A8D9BF">
      <w:pPr>
        <w:pStyle w:val="3"/>
        <w:shd w:val="clear"/>
        <w:bidi w:val="0"/>
        <w:ind w:left="575" w:leftChars="0" w:hanging="575" w:firstLineChars="0"/>
        <w:rPr>
          <w:rFonts w:hint="eastAsia"/>
          <w:color w:val="auto"/>
          <w:highlight w:val="none"/>
          <w:lang w:eastAsia="zh-CN"/>
        </w:rPr>
      </w:pPr>
      <w:bookmarkStart w:id="274" w:name="_Toc26193"/>
      <w:bookmarkStart w:id="275" w:name="_Toc10631"/>
      <w:bookmarkStart w:id="276" w:name="_Toc17982"/>
      <w:bookmarkStart w:id="277" w:name="_Toc9386"/>
      <w:bookmarkStart w:id="278" w:name="_Toc3033"/>
      <w:bookmarkStart w:id="279" w:name="_Toc15436"/>
      <w:r>
        <w:rPr>
          <w:rFonts w:hint="eastAsia"/>
          <w:color w:val="auto"/>
          <w:highlight w:val="none"/>
          <w:lang w:val="en-US" w:eastAsia="zh-CN"/>
        </w:rPr>
        <w:t>企业边界监控要求</w:t>
      </w:r>
      <w:bookmarkEnd w:id="274"/>
      <w:bookmarkEnd w:id="275"/>
      <w:bookmarkEnd w:id="276"/>
      <w:bookmarkEnd w:id="277"/>
      <w:bookmarkEnd w:id="278"/>
      <w:bookmarkEnd w:id="279"/>
    </w:p>
    <w:p w14:paraId="517283EA">
      <w:pPr>
        <w:rPr>
          <w:rFonts w:hint="default"/>
          <w:lang w:val="en-US" w:eastAsia="zh-CN"/>
        </w:rPr>
      </w:pPr>
      <w:r>
        <w:rPr>
          <w:rFonts w:hint="eastAsia"/>
          <w:lang w:val="en-US" w:eastAsia="zh-CN"/>
        </w:rPr>
        <w:t>企业边界监控污染物主要选取有毒有害大气污染物进行监控，选择原《家具制造行业挥发性有机物排放标准》（DB43/ 1355—2017）《表面涂装(汽车制造及维修)挥发性有机物、镍排放标准》（DB43/ 1356—2017）中已规定的苯和苯系物，并新增了甲醛控制要求。根据湖南省工业企业无组织排放自行监测数据，本文件适用范围各</w:t>
      </w:r>
      <w:r>
        <w:rPr>
          <w:rFonts w:hint="default"/>
          <w:lang w:val="en-US" w:eastAsia="zh-CN"/>
        </w:rPr>
        <w:t>行业</w:t>
      </w:r>
      <w:r>
        <w:rPr>
          <w:rFonts w:hint="eastAsia"/>
          <w:lang w:val="en-US" w:eastAsia="zh-CN"/>
        </w:rPr>
        <w:t>，企业边界甲醛监控浓度的</w:t>
      </w:r>
      <w:r>
        <w:rPr>
          <w:rFonts w:hint="default"/>
          <w:lang w:val="en-US" w:eastAsia="zh-CN"/>
        </w:rPr>
        <w:t>90%分位数总体低于0.2 mg/m</w:t>
      </w:r>
      <w:r>
        <w:rPr>
          <w:rFonts w:hint="default"/>
          <w:vertAlign w:val="superscript"/>
          <w:lang w:val="en-US" w:eastAsia="zh-CN"/>
        </w:rPr>
        <w:t>3</w:t>
      </w:r>
      <w:r>
        <w:rPr>
          <w:rFonts w:hint="default"/>
          <w:lang w:val="en-US" w:eastAsia="zh-CN"/>
        </w:rPr>
        <w:t>。</w:t>
      </w:r>
    </w:p>
    <w:p w14:paraId="63ECF740">
      <w:pPr>
        <w:pStyle w:val="3"/>
        <w:shd w:val="clear"/>
        <w:bidi w:val="0"/>
        <w:ind w:left="575" w:leftChars="0" w:hanging="575" w:firstLineChars="0"/>
        <w:rPr>
          <w:rFonts w:hint="eastAsia"/>
          <w:color w:val="auto"/>
          <w:highlight w:val="none"/>
          <w:lang w:eastAsia="zh-CN"/>
        </w:rPr>
      </w:pPr>
      <w:bookmarkStart w:id="280" w:name="_Toc3103"/>
      <w:bookmarkStart w:id="281" w:name="_Toc12070"/>
      <w:bookmarkStart w:id="282" w:name="_Toc26598"/>
      <w:bookmarkStart w:id="283" w:name="_Toc24683"/>
      <w:bookmarkStart w:id="284" w:name="_Toc15223"/>
      <w:bookmarkStart w:id="285" w:name="_Toc21721"/>
      <w:r>
        <w:rPr>
          <w:rFonts w:hint="eastAsia"/>
          <w:color w:val="auto"/>
          <w:highlight w:val="none"/>
          <w:lang w:val="en-US" w:eastAsia="zh-CN"/>
        </w:rPr>
        <w:t>台账和监测要求</w:t>
      </w:r>
      <w:bookmarkEnd w:id="280"/>
      <w:bookmarkEnd w:id="281"/>
      <w:bookmarkEnd w:id="282"/>
      <w:bookmarkEnd w:id="283"/>
      <w:bookmarkEnd w:id="284"/>
      <w:bookmarkEnd w:id="285"/>
    </w:p>
    <w:p w14:paraId="48C710E1">
      <w:pPr>
        <w:shd w:val="clear"/>
        <w:bidi w:val="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根据《排污许可管理条例》《排污单位环境管理台账及排污许可证执行报告技术规范总则（试行）》（</w:t>
      </w:r>
      <w:r>
        <w:rPr>
          <w:rFonts w:hint="default" w:ascii="Times New Roman" w:hAnsi="Times New Roman" w:eastAsia="宋体"/>
          <w:color w:val="auto"/>
          <w:highlight w:val="none"/>
          <w:lang w:val="en-US" w:eastAsia="zh-CN"/>
        </w:rPr>
        <w:t>HJ</w:t>
      </w:r>
      <w:r>
        <w:rPr>
          <w:rFonts w:hint="eastAsia"/>
          <w:color w:val="auto"/>
          <w:highlight w:val="none"/>
          <w:lang w:val="en-US" w:eastAsia="zh-CN"/>
        </w:rPr>
        <w:t xml:space="preserve"> </w:t>
      </w:r>
      <w:r>
        <w:rPr>
          <w:rFonts w:hint="default" w:ascii="Times New Roman" w:hAnsi="Times New Roman" w:eastAsia="宋体"/>
          <w:color w:val="auto"/>
          <w:highlight w:val="none"/>
          <w:lang w:val="en-US" w:eastAsia="zh-CN"/>
        </w:rPr>
        <w:t>9</w:t>
      </w:r>
      <w:r>
        <w:rPr>
          <w:rFonts w:hint="eastAsia" w:ascii="Times New Roman" w:hAnsi="Times New Roman" w:eastAsia="宋体"/>
          <w:color w:val="auto"/>
          <w:highlight w:val="none"/>
          <w:lang w:val="en-US" w:eastAsia="zh-CN"/>
        </w:rPr>
        <w:t>44—2018）、《排污许可证申请与核发技术规范汽车制造业》（HJ</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971—2018）、《</w:t>
      </w:r>
      <w:r>
        <w:rPr>
          <w:rFonts w:hint="default" w:cs="宋体"/>
          <w:color w:val="auto"/>
          <w:highlight w:val="none"/>
          <w:lang w:val="en-US" w:eastAsia="zh-CN"/>
        </w:rPr>
        <w:t>排污许可证申请与核发技术规范家具制造工业</w:t>
      </w:r>
      <w:r>
        <w:rPr>
          <w:rFonts w:hint="eastAsia" w:ascii="Times New Roman" w:hAnsi="Times New Roman" w:eastAsia="宋体"/>
          <w:color w:val="auto"/>
          <w:highlight w:val="none"/>
          <w:lang w:val="en-US" w:eastAsia="zh-CN"/>
        </w:rPr>
        <w:t>》（HJ</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1027—2019）、《排污许可证申请与核发技术规范印刷工业》（HJ</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1066—2019）等相关行业排污许可规范的要求制定了工业企业挥发性有机物台账要求。</w:t>
      </w:r>
    </w:p>
    <w:p w14:paraId="4CF81892">
      <w:pPr>
        <w:shd w:val="clear"/>
        <w:bidi w:val="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根据《</w:t>
      </w:r>
      <w:r>
        <w:rPr>
          <w:rFonts w:hint="eastAsia" w:ascii="宋体" w:hAnsi="宋体" w:eastAsia="宋体" w:cs="宋体"/>
          <w:color w:val="auto"/>
          <w:highlight w:val="none"/>
          <w:lang w:val="en-US" w:eastAsia="zh-CN"/>
        </w:rPr>
        <w:t>固定源废气监测技术规范</w:t>
      </w:r>
      <w:r>
        <w:rPr>
          <w:rFonts w:hint="eastAsia" w:ascii="Times New Roman" w:hAnsi="Times New Roman" w:eastAsia="宋体"/>
          <w:color w:val="auto"/>
          <w:highlight w:val="none"/>
          <w:lang w:val="en-US" w:eastAsia="zh-CN"/>
        </w:rPr>
        <w:t>》（HJ</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397—2007）、《</w:t>
      </w:r>
      <w:r>
        <w:rPr>
          <w:rFonts w:hint="eastAsia" w:ascii="宋体" w:hAnsi="宋体" w:eastAsia="宋体" w:cs="宋体"/>
          <w:color w:val="auto"/>
          <w:highlight w:val="none"/>
          <w:lang w:val="en-US" w:eastAsia="zh-CN"/>
        </w:rPr>
        <w:t>大气污染物无组织排放监测技术导则</w:t>
      </w:r>
      <w:r>
        <w:rPr>
          <w:rFonts w:hint="eastAsia" w:ascii="Times New Roman" w:hAnsi="Times New Roman" w:eastAsia="宋体"/>
          <w:color w:val="auto"/>
          <w:highlight w:val="none"/>
          <w:lang w:val="en-US" w:eastAsia="zh-CN"/>
        </w:rPr>
        <w:t>》（HJ/T</w:t>
      </w:r>
      <w:r>
        <w:rPr>
          <w:rFonts w:hint="eastAsia"/>
          <w:color w:val="auto"/>
          <w:highlight w:val="none"/>
          <w:lang w:val="en-US" w:eastAsia="zh-CN"/>
        </w:rPr>
        <w:t xml:space="preserve"> </w:t>
      </w:r>
      <w:r>
        <w:rPr>
          <w:rFonts w:hint="eastAsia" w:ascii="Times New Roman" w:hAnsi="Times New Roman" w:eastAsia="宋体"/>
          <w:color w:val="auto"/>
          <w:highlight w:val="none"/>
          <w:lang w:val="en-US" w:eastAsia="zh-CN"/>
        </w:rPr>
        <w:t>55—2001）以及现行生态环境监测分析方法标准，确定了监测要求。</w:t>
      </w:r>
    </w:p>
    <w:p w14:paraId="24FE4330">
      <w:pPr>
        <w:pStyle w:val="2"/>
        <w:shd w:val="clear"/>
        <w:bidi w:val="0"/>
        <w:ind w:left="432" w:leftChars="0" w:hanging="432" w:firstLineChars="0"/>
        <w:rPr>
          <w:color w:val="auto"/>
          <w:highlight w:val="none"/>
        </w:rPr>
      </w:pPr>
      <w:bookmarkStart w:id="286" w:name="_Toc2034"/>
      <w:bookmarkStart w:id="287" w:name="_Toc12338"/>
      <w:bookmarkStart w:id="288" w:name="_Toc28993"/>
      <w:bookmarkStart w:id="289" w:name="_Toc22693"/>
      <w:bookmarkStart w:id="290" w:name="_Toc4123"/>
      <w:bookmarkStart w:id="291" w:name="_Toc16033"/>
      <w:r>
        <w:rPr>
          <w:rFonts w:hint="eastAsia"/>
          <w:color w:val="auto"/>
          <w:highlight w:val="none"/>
        </w:rPr>
        <w:t>主要国家、地区、国际组织和其他省份</w:t>
      </w:r>
      <w:r>
        <w:rPr>
          <w:rFonts w:hint="eastAsia"/>
          <w:color w:val="auto"/>
          <w:highlight w:val="none"/>
          <w:lang w:val="en-US" w:eastAsia="zh-CN"/>
        </w:rPr>
        <w:t>相关标准研究</w:t>
      </w:r>
      <w:bookmarkEnd w:id="286"/>
      <w:bookmarkEnd w:id="287"/>
      <w:bookmarkEnd w:id="288"/>
      <w:bookmarkEnd w:id="289"/>
      <w:bookmarkEnd w:id="290"/>
      <w:bookmarkEnd w:id="291"/>
    </w:p>
    <w:p w14:paraId="7759A9C6">
      <w:pPr>
        <w:pStyle w:val="3"/>
        <w:shd w:val="clear"/>
        <w:bidi w:val="0"/>
        <w:ind w:left="575" w:leftChars="0" w:hanging="575" w:firstLineChars="0"/>
        <w:rPr>
          <w:rFonts w:hint="default"/>
          <w:color w:val="auto"/>
          <w:highlight w:val="none"/>
          <w:lang w:eastAsia="zh-CN"/>
        </w:rPr>
      </w:pPr>
      <w:bookmarkStart w:id="292" w:name="_Toc4057"/>
      <w:bookmarkStart w:id="293" w:name="_Toc2277"/>
      <w:bookmarkStart w:id="294" w:name="_Toc9198"/>
      <w:bookmarkStart w:id="295" w:name="_Toc8833"/>
      <w:bookmarkStart w:id="296" w:name="_Toc21233"/>
      <w:bookmarkStart w:id="297" w:name="_Toc30018"/>
      <w:r>
        <w:rPr>
          <w:rFonts w:hint="default"/>
          <w:color w:val="auto"/>
          <w:highlight w:val="none"/>
          <w:lang w:eastAsia="zh-CN"/>
        </w:rPr>
        <w:t>美国EPA相关标准法规</w:t>
      </w:r>
      <w:bookmarkEnd w:id="292"/>
      <w:bookmarkEnd w:id="293"/>
      <w:bookmarkEnd w:id="294"/>
      <w:bookmarkEnd w:id="295"/>
      <w:bookmarkEnd w:id="296"/>
      <w:bookmarkEnd w:id="297"/>
    </w:p>
    <w:p w14:paraId="6D923E9B">
      <w:pPr>
        <w:shd w:val="clear"/>
        <w:bidi w:val="0"/>
        <w:rPr>
          <w:rFonts w:hint="default"/>
          <w:color w:val="auto"/>
          <w:highlight w:val="none"/>
        </w:rPr>
      </w:pPr>
      <w:r>
        <w:rPr>
          <w:rFonts w:hint="default"/>
          <w:color w:val="auto"/>
          <w:highlight w:val="none"/>
        </w:rPr>
        <w:t>美国在上世纪70年代就开始制定VOCs的控制标准，先后颁布了《国家环境政策法》（National</w:t>
      </w:r>
      <w:r>
        <w:rPr>
          <w:rFonts w:hint="eastAsia"/>
          <w:color w:val="auto"/>
          <w:highlight w:val="none"/>
          <w:lang w:val="en-US" w:eastAsia="zh-CN"/>
        </w:rPr>
        <w:t xml:space="preserve"> </w:t>
      </w:r>
      <w:r>
        <w:rPr>
          <w:rFonts w:hint="default"/>
          <w:color w:val="auto"/>
          <w:highlight w:val="none"/>
        </w:rPr>
        <w:t>Environmental</w:t>
      </w:r>
      <w:r>
        <w:rPr>
          <w:rFonts w:hint="eastAsia"/>
          <w:color w:val="auto"/>
          <w:highlight w:val="none"/>
          <w:lang w:val="en-US" w:eastAsia="zh-CN"/>
        </w:rPr>
        <w:t xml:space="preserve"> </w:t>
      </w:r>
      <w:r>
        <w:rPr>
          <w:rFonts w:hint="default"/>
          <w:color w:val="auto"/>
          <w:highlight w:val="none"/>
        </w:rPr>
        <w:t>Policy</w:t>
      </w:r>
      <w:r>
        <w:rPr>
          <w:rFonts w:hint="eastAsia"/>
          <w:color w:val="auto"/>
          <w:highlight w:val="none"/>
          <w:lang w:val="en-US" w:eastAsia="zh-CN"/>
        </w:rPr>
        <w:t xml:space="preserve"> </w:t>
      </w:r>
      <w:r>
        <w:rPr>
          <w:rFonts w:hint="default"/>
          <w:color w:val="auto"/>
          <w:highlight w:val="none"/>
        </w:rPr>
        <w:t>Act</w:t>
      </w:r>
      <w:r>
        <w:rPr>
          <w:rFonts w:hint="eastAsia"/>
          <w:color w:val="auto"/>
          <w:highlight w:val="none"/>
          <w:lang w:val="en-US" w:eastAsia="zh-CN"/>
        </w:rPr>
        <w:t xml:space="preserve"> </w:t>
      </w:r>
      <w:r>
        <w:rPr>
          <w:rFonts w:hint="default"/>
          <w:color w:val="auto"/>
          <w:highlight w:val="none"/>
        </w:rPr>
        <w:t>of</w:t>
      </w:r>
      <w:r>
        <w:rPr>
          <w:rFonts w:hint="eastAsia"/>
          <w:color w:val="auto"/>
          <w:highlight w:val="none"/>
          <w:lang w:val="en-US" w:eastAsia="zh-CN"/>
        </w:rPr>
        <w:t xml:space="preserve"> </w:t>
      </w:r>
      <w:r>
        <w:rPr>
          <w:rFonts w:hint="default"/>
          <w:color w:val="auto"/>
          <w:highlight w:val="none"/>
        </w:rPr>
        <w:t>United</w:t>
      </w:r>
      <w:r>
        <w:rPr>
          <w:rFonts w:hint="eastAsia"/>
          <w:color w:val="auto"/>
          <w:highlight w:val="none"/>
          <w:lang w:val="en-US" w:eastAsia="zh-CN"/>
        </w:rPr>
        <w:t xml:space="preserve"> </w:t>
      </w:r>
      <w:r>
        <w:rPr>
          <w:rFonts w:hint="default"/>
          <w:color w:val="auto"/>
          <w:highlight w:val="none"/>
        </w:rPr>
        <w:t>States，NEPA）、《清洁空气法案》（Clean</w:t>
      </w:r>
      <w:r>
        <w:rPr>
          <w:rFonts w:hint="eastAsia"/>
          <w:color w:val="auto"/>
          <w:highlight w:val="none"/>
          <w:lang w:val="en-US" w:eastAsia="zh-CN"/>
        </w:rPr>
        <w:t xml:space="preserve"> </w:t>
      </w:r>
      <w:r>
        <w:rPr>
          <w:rFonts w:hint="default"/>
          <w:color w:val="auto"/>
          <w:highlight w:val="none"/>
        </w:rPr>
        <w:t>Air</w:t>
      </w:r>
      <w:r>
        <w:rPr>
          <w:rFonts w:hint="eastAsia"/>
          <w:color w:val="auto"/>
          <w:highlight w:val="none"/>
          <w:lang w:val="en-US" w:eastAsia="zh-CN"/>
        </w:rPr>
        <w:t xml:space="preserve"> </w:t>
      </w:r>
      <w:r>
        <w:rPr>
          <w:rFonts w:hint="default"/>
          <w:color w:val="auto"/>
          <w:highlight w:val="none"/>
        </w:rPr>
        <w:t>Act，CAA）、《清洁空气州际法规》（CAIR）和《环境空气质量标准》（Ambient</w:t>
      </w:r>
      <w:r>
        <w:rPr>
          <w:rFonts w:hint="eastAsia"/>
          <w:color w:val="auto"/>
          <w:highlight w:val="none"/>
          <w:lang w:val="en-US" w:eastAsia="zh-CN"/>
        </w:rPr>
        <w:t xml:space="preserve"> </w:t>
      </w:r>
      <w:r>
        <w:rPr>
          <w:rFonts w:hint="default"/>
          <w:color w:val="auto"/>
          <w:highlight w:val="none"/>
        </w:rPr>
        <w:t>Air</w:t>
      </w:r>
      <w:r>
        <w:rPr>
          <w:rFonts w:hint="eastAsia"/>
          <w:color w:val="auto"/>
          <w:highlight w:val="none"/>
          <w:lang w:val="en-US" w:eastAsia="zh-CN"/>
        </w:rPr>
        <w:t xml:space="preserve"> </w:t>
      </w:r>
      <w:r>
        <w:rPr>
          <w:rFonts w:hint="default"/>
          <w:color w:val="auto"/>
          <w:highlight w:val="none"/>
        </w:rPr>
        <w:t>Quality</w:t>
      </w:r>
      <w:r>
        <w:rPr>
          <w:rFonts w:hint="eastAsia"/>
          <w:color w:val="auto"/>
          <w:highlight w:val="none"/>
          <w:lang w:val="en-US" w:eastAsia="zh-CN"/>
        </w:rPr>
        <w:t xml:space="preserve"> </w:t>
      </w:r>
      <w:r>
        <w:rPr>
          <w:rFonts w:hint="default"/>
          <w:color w:val="auto"/>
          <w:highlight w:val="none"/>
        </w:rPr>
        <w:t>Standard，NAAQS）等，最开始是为防治臭氧污染而对VOCs进行管控，之后便逐步加强各行业对VOCs排放的要求。</w:t>
      </w:r>
    </w:p>
    <w:p w14:paraId="56190C87">
      <w:pPr>
        <w:shd w:val="clear"/>
        <w:bidi w:val="0"/>
        <w:rPr>
          <w:rFonts w:hint="default" w:eastAsia="宋体"/>
          <w:color w:val="auto"/>
          <w:highlight w:val="none"/>
          <w:lang w:val="en-US" w:eastAsia="zh-CN"/>
        </w:rPr>
      </w:pPr>
      <w:r>
        <w:rPr>
          <w:rFonts w:hint="default"/>
          <w:color w:val="auto"/>
          <w:highlight w:val="none"/>
        </w:rPr>
        <w:t>美国环保署在新建固定源常规污染物排放标准中，对于不同的行业的总VOCs排放限值都分别做出规定，其中对有机溶剂使用行业十分重视，相关的标准有：金属家具表面涂装排放标准（40</w:t>
      </w:r>
      <w:r>
        <w:rPr>
          <w:rFonts w:hint="eastAsia"/>
          <w:color w:val="auto"/>
          <w:highlight w:val="none"/>
          <w:lang w:val="en-US" w:eastAsia="zh-CN"/>
        </w:rPr>
        <w:t xml:space="preserve"> </w:t>
      </w:r>
      <w:r>
        <w:rPr>
          <w:rFonts w:hint="default"/>
          <w:color w:val="auto"/>
          <w:highlight w:val="none"/>
        </w:rPr>
        <w:t>CFR</w:t>
      </w:r>
      <w:r>
        <w:rPr>
          <w:rFonts w:hint="eastAsia"/>
          <w:color w:val="auto"/>
          <w:highlight w:val="none"/>
          <w:lang w:val="en-US" w:eastAsia="zh-CN"/>
        </w:rPr>
        <w:t xml:space="preserve"> </w:t>
      </w:r>
      <w:r>
        <w:rPr>
          <w:rFonts w:hint="default"/>
          <w:color w:val="auto"/>
          <w:highlight w:val="none"/>
        </w:rPr>
        <w:t>60</w:t>
      </w:r>
      <w:r>
        <w:rPr>
          <w:rFonts w:hint="eastAsia"/>
          <w:color w:val="auto"/>
          <w:highlight w:val="none"/>
          <w:lang w:val="en-US" w:eastAsia="zh-CN"/>
        </w:rPr>
        <w:t xml:space="preserve"> </w:t>
      </w:r>
      <w:r>
        <w:rPr>
          <w:rFonts w:hint="default"/>
          <w:color w:val="auto"/>
          <w:highlight w:val="none"/>
        </w:rPr>
        <w:t>Subpart</w:t>
      </w:r>
      <w:r>
        <w:rPr>
          <w:rFonts w:hint="eastAsia"/>
          <w:color w:val="auto"/>
          <w:highlight w:val="none"/>
          <w:lang w:val="en-US" w:eastAsia="zh-CN"/>
        </w:rPr>
        <w:t xml:space="preserve"> </w:t>
      </w:r>
      <w:r>
        <w:rPr>
          <w:rFonts w:hint="default"/>
          <w:color w:val="auto"/>
          <w:highlight w:val="none"/>
        </w:rPr>
        <w:t>EE）、金属家具表面涂装有毒有害物质限量标准（40</w:t>
      </w:r>
      <w:r>
        <w:rPr>
          <w:rFonts w:hint="eastAsia"/>
          <w:color w:val="auto"/>
          <w:highlight w:val="none"/>
          <w:lang w:val="en-US" w:eastAsia="zh-CN"/>
        </w:rPr>
        <w:t xml:space="preserve"> </w:t>
      </w:r>
      <w:r>
        <w:rPr>
          <w:rFonts w:hint="default"/>
          <w:color w:val="auto"/>
          <w:highlight w:val="none"/>
        </w:rPr>
        <w:t>CFR</w:t>
      </w:r>
      <w:r>
        <w:rPr>
          <w:rFonts w:hint="eastAsia"/>
          <w:color w:val="auto"/>
          <w:highlight w:val="none"/>
          <w:lang w:val="en-US" w:eastAsia="zh-CN"/>
        </w:rPr>
        <w:t xml:space="preserve"> </w:t>
      </w:r>
      <w:r>
        <w:rPr>
          <w:rFonts w:hint="default"/>
          <w:color w:val="auto"/>
          <w:highlight w:val="none"/>
        </w:rPr>
        <w:t>63</w:t>
      </w:r>
      <w:r>
        <w:rPr>
          <w:rFonts w:hint="eastAsia"/>
          <w:color w:val="auto"/>
          <w:highlight w:val="none"/>
          <w:lang w:val="en-US" w:eastAsia="zh-CN"/>
        </w:rPr>
        <w:t xml:space="preserve"> </w:t>
      </w:r>
      <w:r>
        <w:rPr>
          <w:rFonts w:hint="default"/>
          <w:color w:val="auto"/>
          <w:highlight w:val="none"/>
        </w:rPr>
        <w:t>Subpart</w:t>
      </w:r>
      <w:r>
        <w:rPr>
          <w:rFonts w:hint="eastAsia"/>
          <w:color w:val="auto"/>
          <w:highlight w:val="none"/>
          <w:lang w:val="en-US" w:eastAsia="zh-CN"/>
        </w:rPr>
        <w:t xml:space="preserve"> </w:t>
      </w:r>
      <w:r>
        <w:rPr>
          <w:rFonts w:hint="default"/>
          <w:color w:val="auto"/>
          <w:highlight w:val="none"/>
        </w:rPr>
        <w:t>RRRR）、木制家具制有毒有害物质限量（40</w:t>
      </w:r>
      <w:r>
        <w:rPr>
          <w:rFonts w:hint="eastAsia"/>
          <w:color w:val="auto"/>
          <w:highlight w:val="none"/>
          <w:lang w:val="en-US" w:eastAsia="zh-CN"/>
        </w:rPr>
        <w:t xml:space="preserve"> </w:t>
      </w:r>
      <w:r>
        <w:rPr>
          <w:rFonts w:hint="default"/>
          <w:color w:val="auto"/>
          <w:highlight w:val="none"/>
        </w:rPr>
        <w:t>CFR</w:t>
      </w:r>
      <w:r>
        <w:rPr>
          <w:rFonts w:hint="eastAsia"/>
          <w:color w:val="auto"/>
          <w:highlight w:val="none"/>
          <w:lang w:val="en-US" w:eastAsia="zh-CN"/>
        </w:rPr>
        <w:t xml:space="preserve"> </w:t>
      </w:r>
      <w:r>
        <w:rPr>
          <w:rFonts w:hint="default"/>
          <w:color w:val="auto"/>
          <w:highlight w:val="none"/>
        </w:rPr>
        <w:t>63</w:t>
      </w:r>
      <w:r>
        <w:rPr>
          <w:rFonts w:hint="eastAsia"/>
          <w:color w:val="auto"/>
          <w:highlight w:val="none"/>
          <w:lang w:val="en-US" w:eastAsia="zh-CN"/>
        </w:rPr>
        <w:t xml:space="preserve"> </w:t>
      </w:r>
      <w:r>
        <w:rPr>
          <w:rFonts w:hint="default"/>
          <w:color w:val="auto"/>
          <w:highlight w:val="none"/>
        </w:rPr>
        <w:t>Subpart</w:t>
      </w:r>
      <w:r>
        <w:rPr>
          <w:rFonts w:hint="eastAsia"/>
          <w:color w:val="auto"/>
          <w:highlight w:val="none"/>
          <w:lang w:val="en-US" w:eastAsia="zh-CN"/>
        </w:rPr>
        <w:t xml:space="preserve"> </w:t>
      </w:r>
      <w:r>
        <w:rPr>
          <w:rFonts w:hint="default"/>
          <w:color w:val="auto"/>
          <w:highlight w:val="none"/>
        </w:rPr>
        <w:t>JJ）、汽车和卡车表面喷涂排放标准（40</w:t>
      </w:r>
      <w:r>
        <w:rPr>
          <w:rFonts w:hint="eastAsia"/>
          <w:color w:val="auto"/>
          <w:highlight w:val="none"/>
          <w:lang w:val="en-US" w:eastAsia="zh-CN"/>
        </w:rPr>
        <w:t xml:space="preserve"> </w:t>
      </w:r>
      <w:r>
        <w:rPr>
          <w:rFonts w:hint="default"/>
          <w:color w:val="auto"/>
          <w:highlight w:val="none"/>
        </w:rPr>
        <w:t>CFR</w:t>
      </w:r>
      <w:r>
        <w:rPr>
          <w:rFonts w:hint="eastAsia"/>
          <w:color w:val="auto"/>
          <w:highlight w:val="none"/>
          <w:lang w:val="en-US" w:eastAsia="zh-CN"/>
        </w:rPr>
        <w:t xml:space="preserve"> </w:t>
      </w:r>
      <w:r>
        <w:rPr>
          <w:rFonts w:hint="default"/>
          <w:color w:val="auto"/>
          <w:highlight w:val="none"/>
        </w:rPr>
        <w:t>60</w:t>
      </w:r>
      <w:r>
        <w:rPr>
          <w:rFonts w:hint="eastAsia"/>
          <w:color w:val="auto"/>
          <w:highlight w:val="none"/>
          <w:lang w:val="en-US" w:eastAsia="zh-CN"/>
        </w:rPr>
        <w:t xml:space="preserve"> </w:t>
      </w:r>
      <w:r>
        <w:rPr>
          <w:rFonts w:hint="default"/>
          <w:color w:val="auto"/>
          <w:highlight w:val="none"/>
        </w:rPr>
        <w:t>Subpart</w:t>
      </w:r>
      <w:r>
        <w:rPr>
          <w:rFonts w:hint="eastAsia"/>
          <w:color w:val="auto"/>
          <w:highlight w:val="none"/>
          <w:lang w:val="en-US" w:eastAsia="zh-CN"/>
        </w:rPr>
        <w:t xml:space="preserve"> </w:t>
      </w:r>
      <w:r>
        <w:rPr>
          <w:rFonts w:hint="default"/>
          <w:color w:val="auto"/>
          <w:highlight w:val="none"/>
        </w:rPr>
        <w:t>MM）；印刷行业排放标准：出版凹版印刷（40</w:t>
      </w:r>
      <w:r>
        <w:rPr>
          <w:rFonts w:hint="eastAsia"/>
          <w:color w:val="auto"/>
          <w:highlight w:val="none"/>
          <w:lang w:val="en-US" w:eastAsia="zh-CN"/>
        </w:rPr>
        <w:t xml:space="preserve"> </w:t>
      </w:r>
      <w:r>
        <w:rPr>
          <w:rFonts w:hint="default"/>
          <w:color w:val="auto"/>
          <w:highlight w:val="none"/>
        </w:rPr>
        <w:t>CFR</w:t>
      </w:r>
      <w:r>
        <w:rPr>
          <w:rFonts w:hint="eastAsia"/>
          <w:color w:val="auto"/>
          <w:highlight w:val="none"/>
          <w:lang w:val="en-US" w:eastAsia="zh-CN"/>
        </w:rPr>
        <w:t xml:space="preserve"> </w:t>
      </w:r>
      <w:r>
        <w:rPr>
          <w:rFonts w:hint="default"/>
          <w:color w:val="auto"/>
          <w:highlight w:val="none"/>
        </w:rPr>
        <w:t>60</w:t>
      </w:r>
      <w:r>
        <w:rPr>
          <w:rFonts w:hint="eastAsia"/>
          <w:color w:val="auto"/>
          <w:highlight w:val="none"/>
          <w:lang w:val="en-US" w:eastAsia="zh-CN"/>
        </w:rPr>
        <w:t xml:space="preserve"> </w:t>
      </w:r>
      <w:r>
        <w:rPr>
          <w:rFonts w:hint="default"/>
          <w:color w:val="auto"/>
          <w:highlight w:val="none"/>
        </w:rPr>
        <w:t>Subpart</w:t>
      </w:r>
      <w:r>
        <w:rPr>
          <w:rFonts w:hint="eastAsia"/>
          <w:color w:val="auto"/>
          <w:highlight w:val="none"/>
          <w:lang w:val="en-US" w:eastAsia="zh-CN"/>
        </w:rPr>
        <w:t xml:space="preserve"> </w:t>
      </w:r>
      <w:r>
        <w:rPr>
          <w:rFonts w:hint="default"/>
          <w:color w:val="auto"/>
          <w:highlight w:val="none"/>
        </w:rPr>
        <w:t>QQ）；工业表面涂层排放标准：大家电（40</w:t>
      </w:r>
      <w:r>
        <w:rPr>
          <w:rFonts w:hint="eastAsia"/>
          <w:color w:val="auto"/>
          <w:highlight w:val="none"/>
          <w:lang w:val="en-US" w:eastAsia="zh-CN"/>
        </w:rPr>
        <w:t xml:space="preserve"> </w:t>
      </w:r>
      <w:r>
        <w:rPr>
          <w:rFonts w:hint="default"/>
          <w:color w:val="auto"/>
          <w:highlight w:val="none"/>
        </w:rPr>
        <w:t>CFR</w:t>
      </w:r>
      <w:r>
        <w:rPr>
          <w:rFonts w:hint="eastAsia"/>
          <w:color w:val="auto"/>
          <w:highlight w:val="none"/>
          <w:lang w:val="en-US" w:eastAsia="zh-CN"/>
        </w:rPr>
        <w:t xml:space="preserve"> </w:t>
      </w:r>
      <w:r>
        <w:rPr>
          <w:rFonts w:hint="default"/>
          <w:color w:val="auto"/>
          <w:highlight w:val="none"/>
        </w:rPr>
        <w:t>60</w:t>
      </w:r>
      <w:r>
        <w:rPr>
          <w:rFonts w:hint="eastAsia"/>
          <w:color w:val="auto"/>
          <w:highlight w:val="none"/>
          <w:lang w:val="en-US" w:eastAsia="zh-CN"/>
        </w:rPr>
        <w:t xml:space="preserve"> </w:t>
      </w:r>
      <w:r>
        <w:rPr>
          <w:rFonts w:hint="default"/>
          <w:color w:val="auto"/>
          <w:highlight w:val="none"/>
        </w:rPr>
        <w:t>Subpart</w:t>
      </w:r>
      <w:r>
        <w:rPr>
          <w:rFonts w:hint="eastAsia"/>
          <w:color w:val="auto"/>
          <w:highlight w:val="none"/>
          <w:lang w:val="en-US" w:eastAsia="zh-CN"/>
        </w:rPr>
        <w:t xml:space="preserve"> </w:t>
      </w:r>
      <w:r>
        <w:rPr>
          <w:rFonts w:hint="default"/>
          <w:color w:val="auto"/>
          <w:highlight w:val="none"/>
        </w:rPr>
        <w:t>SS）、饮料罐表面喷涂排放标准（40</w:t>
      </w:r>
      <w:r>
        <w:rPr>
          <w:rFonts w:hint="eastAsia"/>
          <w:color w:val="auto"/>
          <w:highlight w:val="none"/>
          <w:lang w:val="en-US" w:eastAsia="zh-CN"/>
        </w:rPr>
        <w:t xml:space="preserve"> </w:t>
      </w:r>
      <w:r>
        <w:rPr>
          <w:rFonts w:hint="default"/>
          <w:color w:val="auto"/>
          <w:highlight w:val="none"/>
        </w:rPr>
        <w:t>CFR</w:t>
      </w:r>
      <w:r>
        <w:rPr>
          <w:rFonts w:hint="eastAsia"/>
          <w:color w:val="auto"/>
          <w:highlight w:val="none"/>
          <w:lang w:val="en-US" w:eastAsia="zh-CN"/>
        </w:rPr>
        <w:t xml:space="preserve"> </w:t>
      </w:r>
      <w:r>
        <w:rPr>
          <w:rFonts w:hint="default"/>
          <w:color w:val="auto"/>
          <w:highlight w:val="none"/>
        </w:rPr>
        <w:t>60</w:t>
      </w:r>
      <w:r>
        <w:rPr>
          <w:rFonts w:hint="eastAsia"/>
          <w:color w:val="auto"/>
          <w:highlight w:val="none"/>
          <w:lang w:val="en-US" w:eastAsia="zh-CN"/>
        </w:rPr>
        <w:t xml:space="preserve"> </w:t>
      </w:r>
      <w:r>
        <w:rPr>
          <w:rFonts w:hint="default"/>
          <w:color w:val="auto"/>
          <w:highlight w:val="none"/>
        </w:rPr>
        <w:t>Subpart</w:t>
      </w:r>
      <w:r>
        <w:rPr>
          <w:rFonts w:hint="eastAsia"/>
          <w:color w:val="auto"/>
          <w:highlight w:val="none"/>
          <w:lang w:val="en-US" w:eastAsia="zh-CN"/>
        </w:rPr>
        <w:t xml:space="preserve"> </w:t>
      </w:r>
      <w:r>
        <w:rPr>
          <w:rFonts w:hint="default"/>
          <w:color w:val="auto"/>
          <w:highlight w:val="none"/>
        </w:rPr>
        <w:t>WW）等等。</w:t>
      </w:r>
    </w:p>
    <w:p w14:paraId="16FD8835">
      <w:pPr>
        <w:shd w:val="clear"/>
        <w:jc w:val="both"/>
        <w:rPr>
          <w:rFonts w:hint="eastAsia"/>
          <w:color w:val="auto"/>
          <w:highlight w:val="none"/>
          <w:lang w:val="en-US" w:eastAsia="zh-CN"/>
        </w:rPr>
      </w:pPr>
      <w:r>
        <w:rPr>
          <w:rFonts w:hint="eastAsia"/>
          <w:color w:val="auto"/>
          <w:highlight w:val="none"/>
          <w:lang w:val="en-US" w:eastAsia="zh-CN"/>
        </w:rPr>
        <w:t xml:space="preserve">美国固定源大气污染物排放标准将常规污染物与有毒有害污染物分开进行规定，VOCs在常规污染物和有毒有害污染物中都有涉及。常规污染物根据美国1967年修订的《清洁空气法案》（Clean Air Act，CAA），在A部分“空气质量和排放限值”第111节“新建固定污染源标准”中要求执行《新污染源执行标准》（New Source Performance Standards，NSPS）。美国EPA规定的新源排放标准中，部分子系列对金属线圈、金属家具、线圈、汽车制造等的表面涂装提出了挥发性有机物排放控制要求，相应监测要求以单位重量涂料使用量的挥发性有机物排放控制为主，采用的测试方法包括现场测试和估算等2种方法。一般在设施正式投入运营60天到180天之间，由企业所有权人完成合规性测试，将完整的测试报告结果报送到环保主管部门即可，环保主管部门可采用相关测试方法对测试结果进行测定。采用的测试方法为Method24，表面涂层中挥发性有机物、水分的含量、密度、固体体积和溶剂重量测定（Method 24 </w:t>
      </w:r>
      <w:r>
        <w:rPr>
          <w:rFonts w:hint="default"/>
          <w:color w:val="auto"/>
          <w:highlight w:val="none"/>
          <w:lang w:val="en-US" w:eastAsia="zh-CN"/>
        </w:rPr>
        <w:t>Determination</w:t>
      </w:r>
      <w:r>
        <w:rPr>
          <w:rFonts w:hint="eastAsia"/>
          <w:color w:val="auto"/>
          <w:highlight w:val="none"/>
          <w:lang w:val="en-US" w:eastAsia="zh-CN"/>
        </w:rPr>
        <w:t xml:space="preserve"> </w:t>
      </w:r>
      <w:r>
        <w:rPr>
          <w:rFonts w:hint="default"/>
          <w:color w:val="auto"/>
          <w:highlight w:val="none"/>
          <w:lang w:val="en-US" w:eastAsia="zh-CN"/>
        </w:rPr>
        <w:t>Of</w:t>
      </w:r>
      <w:r>
        <w:rPr>
          <w:rFonts w:hint="eastAsia"/>
          <w:color w:val="auto"/>
          <w:highlight w:val="none"/>
          <w:lang w:val="en-US" w:eastAsia="zh-CN"/>
        </w:rPr>
        <w:t xml:space="preserve"> </w:t>
      </w:r>
      <w:r>
        <w:rPr>
          <w:rFonts w:hint="default"/>
          <w:color w:val="auto"/>
          <w:highlight w:val="none"/>
          <w:lang w:val="en-US" w:eastAsia="zh-CN"/>
        </w:rPr>
        <w:t>Volatile</w:t>
      </w:r>
      <w:r>
        <w:rPr>
          <w:rFonts w:hint="eastAsia"/>
          <w:color w:val="auto"/>
          <w:highlight w:val="none"/>
          <w:lang w:val="en-US" w:eastAsia="zh-CN"/>
        </w:rPr>
        <w:t xml:space="preserve"> </w:t>
      </w:r>
      <w:r>
        <w:rPr>
          <w:rFonts w:hint="default"/>
          <w:color w:val="auto"/>
          <w:highlight w:val="none"/>
          <w:lang w:val="en-US" w:eastAsia="zh-CN"/>
        </w:rPr>
        <w:t>Matter</w:t>
      </w:r>
      <w:r>
        <w:rPr>
          <w:rFonts w:hint="eastAsia"/>
          <w:color w:val="auto"/>
          <w:highlight w:val="none"/>
          <w:lang w:val="en-US" w:eastAsia="zh-CN"/>
        </w:rPr>
        <w:t xml:space="preserve"> </w:t>
      </w:r>
      <w:r>
        <w:rPr>
          <w:rFonts w:hint="default"/>
          <w:color w:val="auto"/>
          <w:highlight w:val="none"/>
          <w:lang w:val="en-US" w:eastAsia="zh-CN"/>
        </w:rPr>
        <w:t>Content,</w:t>
      </w:r>
      <w:r>
        <w:rPr>
          <w:rFonts w:hint="eastAsia"/>
          <w:color w:val="auto"/>
          <w:highlight w:val="none"/>
          <w:lang w:val="en-US" w:eastAsia="zh-CN"/>
        </w:rPr>
        <w:t xml:space="preserve"> </w:t>
      </w:r>
      <w:r>
        <w:rPr>
          <w:rFonts w:hint="default"/>
          <w:color w:val="auto"/>
          <w:highlight w:val="none"/>
          <w:lang w:val="en-US" w:eastAsia="zh-CN"/>
        </w:rPr>
        <w:t>Water</w:t>
      </w:r>
      <w:r>
        <w:rPr>
          <w:rFonts w:hint="eastAsia"/>
          <w:color w:val="auto"/>
          <w:highlight w:val="none"/>
          <w:lang w:val="en-US" w:eastAsia="zh-CN"/>
        </w:rPr>
        <w:t xml:space="preserve"> </w:t>
      </w:r>
      <w:r>
        <w:rPr>
          <w:rFonts w:hint="default"/>
          <w:color w:val="auto"/>
          <w:highlight w:val="none"/>
          <w:lang w:val="en-US" w:eastAsia="zh-CN"/>
        </w:rPr>
        <w:t>Content,</w:t>
      </w:r>
      <w:r>
        <w:rPr>
          <w:rFonts w:hint="eastAsia"/>
          <w:color w:val="auto"/>
          <w:highlight w:val="none"/>
          <w:lang w:val="en-US" w:eastAsia="zh-CN"/>
        </w:rPr>
        <w:t xml:space="preserve"> </w:t>
      </w:r>
      <w:r>
        <w:rPr>
          <w:rFonts w:hint="default"/>
          <w:color w:val="auto"/>
          <w:highlight w:val="none"/>
          <w:lang w:val="en-US" w:eastAsia="zh-CN"/>
        </w:rPr>
        <w:t>Density,</w:t>
      </w:r>
      <w:r>
        <w:rPr>
          <w:rFonts w:hint="eastAsia"/>
          <w:color w:val="auto"/>
          <w:highlight w:val="none"/>
          <w:lang w:val="en-US" w:eastAsia="zh-CN"/>
        </w:rPr>
        <w:t xml:space="preserve"> </w:t>
      </w:r>
      <w:r>
        <w:rPr>
          <w:rFonts w:hint="default"/>
          <w:color w:val="auto"/>
          <w:highlight w:val="none"/>
          <w:lang w:val="en-US" w:eastAsia="zh-CN"/>
        </w:rPr>
        <w:t>Volume</w:t>
      </w:r>
      <w:r>
        <w:rPr>
          <w:rFonts w:hint="eastAsia"/>
          <w:color w:val="auto"/>
          <w:highlight w:val="none"/>
          <w:lang w:val="en-US" w:eastAsia="zh-CN"/>
        </w:rPr>
        <w:t xml:space="preserve"> </w:t>
      </w:r>
      <w:r>
        <w:rPr>
          <w:rFonts w:hint="default"/>
          <w:color w:val="auto"/>
          <w:highlight w:val="none"/>
          <w:lang w:val="en-US" w:eastAsia="zh-CN"/>
        </w:rPr>
        <w:t>Solids,</w:t>
      </w:r>
      <w:r>
        <w:rPr>
          <w:rFonts w:hint="eastAsia"/>
          <w:color w:val="auto"/>
          <w:highlight w:val="none"/>
          <w:lang w:val="en-US" w:eastAsia="zh-CN"/>
        </w:rPr>
        <w:t xml:space="preserve"> </w:t>
      </w:r>
      <w:r>
        <w:rPr>
          <w:rFonts w:hint="default"/>
          <w:color w:val="auto"/>
          <w:highlight w:val="none"/>
          <w:lang w:val="en-US" w:eastAsia="zh-CN"/>
        </w:rPr>
        <w:t>And</w:t>
      </w:r>
      <w:r>
        <w:rPr>
          <w:rFonts w:hint="eastAsia"/>
          <w:color w:val="auto"/>
          <w:highlight w:val="none"/>
          <w:lang w:val="en-US" w:eastAsia="zh-CN"/>
        </w:rPr>
        <w:t xml:space="preserve"> </w:t>
      </w:r>
      <w:r>
        <w:rPr>
          <w:rFonts w:hint="default"/>
          <w:color w:val="auto"/>
          <w:highlight w:val="none"/>
          <w:lang w:val="en-US" w:eastAsia="zh-CN"/>
        </w:rPr>
        <w:t>Weight</w:t>
      </w:r>
      <w:r>
        <w:rPr>
          <w:rFonts w:hint="eastAsia"/>
          <w:color w:val="auto"/>
          <w:highlight w:val="none"/>
          <w:lang w:val="en-US" w:eastAsia="zh-CN"/>
        </w:rPr>
        <w:t xml:space="preserve"> </w:t>
      </w:r>
      <w:r>
        <w:rPr>
          <w:rFonts w:hint="default"/>
          <w:color w:val="auto"/>
          <w:highlight w:val="none"/>
          <w:lang w:val="en-US" w:eastAsia="zh-CN"/>
        </w:rPr>
        <w:t>Solids</w:t>
      </w:r>
      <w:r>
        <w:rPr>
          <w:rFonts w:hint="eastAsia"/>
          <w:color w:val="auto"/>
          <w:highlight w:val="none"/>
          <w:lang w:val="en-US" w:eastAsia="zh-CN"/>
        </w:rPr>
        <w:t xml:space="preserve"> </w:t>
      </w:r>
      <w:r>
        <w:rPr>
          <w:rFonts w:hint="default"/>
          <w:color w:val="auto"/>
          <w:highlight w:val="none"/>
          <w:lang w:val="en-US" w:eastAsia="zh-CN"/>
        </w:rPr>
        <w:t>Of</w:t>
      </w:r>
      <w:r>
        <w:rPr>
          <w:rFonts w:hint="eastAsia"/>
          <w:color w:val="auto"/>
          <w:highlight w:val="none"/>
          <w:lang w:val="en-US" w:eastAsia="zh-CN"/>
        </w:rPr>
        <w:t xml:space="preserve"> </w:t>
      </w:r>
      <w:r>
        <w:rPr>
          <w:rFonts w:hint="default"/>
          <w:color w:val="auto"/>
          <w:highlight w:val="none"/>
          <w:lang w:val="en-US" w:eastAsia="zh-CN"/>
        </w:rPr>
        <w:t>Surface</w:t>
      </w:r>
      <w:r>
        <w:rPr>
          <w:rFonts w:hint="eastAsia"/>
          <w:color w:val="auto"/>
          <w:highlight w:val="none"/>
          <w:lang w:val="en-US" w:eastAsia="zh-CN"/>
        </w:rPr>
        <w:t xml:space="preserve"> </w:t>
      </w:r>
      <w:r>
        <w:rPr>
          <w:rFonts w:hint="default"/>
          <w:color w:val="auto"/>
          <w:highlight w:val="none"/>
          <w:lang w:val="en-US" w:eastAsia="zh-CN"/>
        </w:rPr>
        <w:t>Coatings</w:t>
      </w:r>
      <w:r>
        <w:rPr>
          <w:rFonts w:hint="eastAsia"/>
          <w:color w:val="auto"/>
          <w:highlight w:val="none"/>
          <w:lang w:val="en-US" w:eastAsia="zh-CN"/>
        </w:rPr>
        <w:t>）。</w:t>
      </w:r>
    </w:p>
    <w:p w14:paraId="6DA5FBF9">
      <w:pPr>
        <w:shd w:val="clear"/>
        <w:rPr>
          <w:rFonts w:hint="default"/>
          <w:color w:val="auto"/>
          <w:highlight w:val="none"/>
          <w:lang w:val="en-US" w:eastAsia="zh-CN"/>
        </w:rPr>
      </w:pPr>
      <w:r>
        <w:rPr>
          <w:rFonts w:hint="eastAsia"/>
          <w:color w:val="auto"/>
          <w:highlight w:val="none"/>
        </w:rPr>
        <w:t>对CAA提出的相关VOCs减排要求，美国环保署（EPA）基于污染控制技术制定了不同行业/污染源VOCs排放标准，其中涉及工业涂装VOCs排放的主要有《</w:t>
      </w:r>
      <w:r>
        <w:rPr>
          <w:color w:val="auto"/>
          <w:highlight w:val="none"/>
        </w:rPr>
        <w:t>有害</w:t>
      </w:r>
      <w:r>
        <w:rPr>
          <w:rFonts w:hint="eastAsia"/>
          <w:color w:val="auto"/>
          <w:highlight w:val="none"/>
        </w:rPr>
        <w:t>大</w:t>
      </w:r>
      <w:r>
        <w:rPr>
          <w:color w:val="auto"/>
          <w:highlight w:val="none"/>
        </w:rPr>
        <w:t>气污染物国家排放标准：金属部件及产品的表面涂装》</w:t>
      </w:r>
      <w:r>
        <w:rPr>
          <w:rFonts w:hint="eastAsia"/>
          <w:color w:val="auto"/>
          <w:highlight w:val="none"/>
        </w:rPr>
        <w:t>。</w:t>
      </w:r>
    </w:p>
    <w:p w14:paraId="235FE23C">
      <w:pPr>
        <w:pStyle w:val="3"/>
        <w:shd w:val="clear"/>
        <w:bidi w:val="0"/>
        <w:rPr>
          <w:color w:val="auto"/>
          <w:highlight w:val="none"/>
        </w:rPr>
      </w:pPr>
      <w:bookmarkStart w:id="298" w:name="_Toc11646"/>
      <w:bookmarkStart w:id="299" w:name="_Toc27100"/>
      <w:bookmarkStart w:id="300" w:name="_Toc58590548"/>
      <w:bookmarkStart w:id="301" w:name="_Toc3896"/>
      <w:bookmarkStart w:id="302" w:name="_Toc14412"/>
      <w:bookmarkStart w:id="303" w:name="_Toc14376"/>
      <w:bookmarkStart w:id="304" w:name="_Toc3646"/>
      <w:bookmarkStart w:id="305" w:name="_Toc58593034"/>
      <w:bookmarkStart w:id="306" w:name="_Toc58593032"/>
      <w:bookmarkStart w:id="307" w:name="_Toc58590546"/>
      <w:r>
        <w:rPr>
          <w:rFonts w:hint="eastAsia"/>
          <w:color w:val="auto"/>
          <w:highlight w:val="none"/>
        </w:rPr>
        <w:t>欧盟</w:t>
      </w:r>
      <w:bookmarkEnd w:id="298"/>
      <w:bookmarkEnd w:id="299"/>
      <w:bookmarkEnd w:id="300"/>
      <w:bookmarkEnd w:id="301"/>
      <w:bookmarkEnd w:id="302"/>
      <w:bookmarkEnd w:id="303"/>
      <w:bookmarkEnd w:id="304"/>
      <w:bookmarkEnd w:id="305"/>
    </w:p>
    <w:p w14:paraId="7A3EE7E7">
      <w:pPr>
        <w:shd w:val="clear"/>
        <w:bidi w:val="0"/>
        <w:rPr>
          <w:rFonts w:hint="eastAsia" w:eastAsia="宋体"/>
          <w:color w:val="auto"/>
          <w:highlight w:val="none"/>
          <w:lang w:eastAsia="zh-CN"/>
        </w:rPr>
      </w:pPr>
      <w:r>
        <w:rPr>
          <w:rFonts w:hint="eastAsia"/>
          <w:color w:val="auto"/>
          <w:highlight w:val="none"/>
        </w:rPr>
        <w:t>欧盟在</w:t>
      </w:r>
      <w:r>
        <w:rPr>
          <w:rFonts w:hint="eastAsia"/>
          <w:b/>
          <w:bCs/>
          <w:color w:val="auto"/>
          <w:highlight w:val="none"/>
        </w:rPr>
        <w:t>1999/13/EC有机溶剂使用指令</w:t>
      </w:r>
      <w:r>
        <w:rPr>
          <w:rFonts w:hint="eastAsia"/>
          <w:color w:val="auto"/>
          <w:highlight w:val="none"/>
        </w:rPr>
        <w:t>中规定了20种有机溶剂使用装置在使用中的VOCs排放限值。为减少VOCs的排放，欧盟通过制订大量使用有机溶剂的生产行业的VOCs有组织排放和无组织排放限值，来控制有机溶剂使用中的VOCs排放。对于涂料油墨制造、汽车制造涂装、印刷等不同行业溶剂使用的不同，固定源排气筒VOCs排放限值从20</w:t>
      </w:r>
      <w:r>
        <w:rPr>
          <w:rFonts w:hint="eastAsia"/>
          <w:color w:val="auto"/>
          <w:highlight w:val="none"/>
          <w:lang w:eastAsia="zh-CN"/>
        </w:rPr>
        <w:t>～</w:t>
      </w:r>
      <w:r>
        <w:rPr>
          <w:rFonts w:hint="eastAsia"/>
          <w:color w:val="auto"/>
          <w:highlight w:val="none"/>
        </w:rPr>
        <w:t>150mg/m</w:t>
      </w:r>
      <w:r>
        <w:rPr>
          <w:rFonts w:hint="eastAsia"/>
          <w:color w:val="auto"/>
          <w:highlight w:val="none"/>
          <w:vertAlign w:val="superscript"/>
        </w:rPr>
        <w:t>3</w:t>
      </w:r>
      <w:r>
        <w:rPr>
          <w:rFonts w:hint="eastAsia"/>
          <w:color w:val="auto"/>
          <w:highlight w:val="none"/>
        </w:rPr>
        <w:t>不等。2010年，欧盟颁布了IED</w:t>
      </w:r>
      <w:r>
        <w:rPr>
          <w:rFonts w:hint="eastAsia"/>
          <w:color w:val="auto"/>
          <w:highlight w:val="none"/>
          <w:lang w:eastAsia="zh-CN"/>
        </w:rPr>
        <w:t>（</w:t>
      </w:r>
      <w:r>
        <w:rPr>
          <w:rFonts w:hint="eastAsia"/>
          <w:color w:val="auto"/>
          <w:highlight w:val="none"/>
        </w:rPr>
        <w:t>工业排放指令，DIRECTIVE2010/75/EU</w:t>
      </w:r>
      <w:r>
        <w:rPr>
          <w:rFonts w:hint="eastAsia"/>
          <w:color w:val="auto"/>
          <w:highlight w:val="none"/>
          <w:lang w:eastAsia="zh-CN"/>
        </w:rPr>
        <w:t>）</w:t>
      </w:r>
      <w:r>
        <w:rPr>
          <w:rFonts w:hint="eastAsia"/>
          <w:color w:val="auto"/>
          <w:highlight w:val="none"/>
        </w:rPr>
        <w:t>，将1999年颁布的《关于生产活动和装置中VOCs溶剂控制指令》</w:t>
      </w:r>
      <w:r>
        <w:rPr>
          <w:rFonts w:hint="eastAsia"/>
          <w:color w:val="auto"/>
          <w:highlight w:val="none"/>
          <w:lang w:eastAsia="zh-CN"/>
        </w:rPr>
        <w:t>（</w:t>
      </w:r>
      <w:r>
        <w:rPr>
          <w:rFonts w:hint="eastAsia"/>
          <w:color w:val="auto"/>
          <w:highlight w:val="none"/>
        </w:rPr>
        <w:t>1999/13/EC</w:t>
      </w:r>
      <w:r>
        <w:rPr>
          <w:rFonts w:hint="eastAsia"/>
          <w:color w:val="auto"/>
          <w:highlight w:val="none"/>
          <w:lang w:eastAsia="zh-CN"/>
        </w:rPr>
        <w:t>）</w:t>
      </w:r>
      <w:r>
        <w:rPr>
          <w:rFonts w:hint="eastAsia"/>
          <w:color w:val="auto"/>
          <w:highlight w:val="none"/>
        </w:rPr>
        <w:t>收录在附录中并加以更新，规定了20种有机溶剂在特定使用装置和活动中的VOCs排放限值，包括有组织排放、无组织排放和总量排放</w:t>
      </w:r>
      <w:r>
        <w:rPr>
          <w:rFonts w:hint="eastAsia"/>
          <w:color w:val="auto"/>
          <w:highlight w:val="none"/>
          <w:lang w:eastAsia="zh-CN"/>
        </w:rPr>
        <w:t>。</w:t>
      </w:r>
      <w:r>
        <w:rPr>
          <w:rFonts w:hint="eastAsia"/>
          <w:color w:val="auto"/>
          <w:highlight w:val="none"/>
        </w:rPr>
        <w:t>DIRECTIVE2010/75/EU</w:t>
      </w:r>
      <w:r>
        <w:rPr>
          <w:rFonts w:hint="eastAsia"/>
          <w:b/>
          <w:bCs/>
          <w:color w:val="auto"/>
          <w:highlight w:val="none"/>
        </w:rPr>
        <w:t>工业排放指令（IED）</w:t>
      </w:r>
      <w:r>
        <w:rPr>
          <w:rFonts w:hint="eastAsia"/>
          <w:color w:val="auto"/>
          <w:highlight w:val="none"/>
        </w:rPr>
        <w:t>，并自2014年1月7日起，取代IPPC（2008/1/EC）、VOC控制指令（1999/13/EC）、废物焚烧指令（2000/76/EC）、钛白工业指令（78/176/EEC、82/883/EEC、92/112/EEC）。2015年11月25日又公布了针对中型燃烧源的排放限值</w:t>
      </w:r>
      <w:r>
        <w:rPr>
          <w:rFonts w:hint="eastAsia"/>
          <w:color w:val="auto"/>
          <w:highlight w:val="none"/>
          <w:lang w:eastAsia="zh-CN"/>
        </w:rPr>
        <w:t>。</w:t>
      </w:r>
    </w:p>
    <w:p w14:paraId="0657CC3A">
      <w:pPr>
        <w:shd w:val="clear"/>
        <w:bidi w:val="0"/>
        <w:rPr>
          <w:color w:val="auto"/>
          <w:highlight w:val="none"/>
        </w:rPr>
      </w:pPr>
      <w:r>
        <w:rPr>
          <w:rFonts w:hint="eastAsia"/>
          <w:color w:val="auto"/>
          <w:highlight w:val="none"/>
        </w:rPr>
        <w:t>欧盟环保标准大多以指令的形式发布，涉及工业涂装涂装VOCs排放的相关指令主要有1996年发布的</w:t>
      </w:r>
      <w:r>
        <w:rPr>
          <w:rFonts w:hint="eastAsia"/>
          <w:b/>
          <w:bCs/>
          <w:color w:val="auto"/>
          <w:highlight w:val="none"/>
        </w:rPr>
        <w:t>综合污染预防与控制指令</w:t>
      </w:r>
      <w:r>
        <w:rPr>
          <w:rFonts w:hint="eastAsia"/>
          <w:color w:val="auto"/>
          <w:highlight w:val="none"/>
        </w:rPr>
        <w:t>（1996/61/EC）、1999年发布的有机溶剂使用指令（1999/13/EC）和2004年发布的涂料指令（2004/42/EC）。综合污染预防与控制指令（1996/61/EC）在最佳可行技术的基础上，制定了各类污染源/污染装置的相关污染物排放基准。有机溶剂使用指令（1999/13/EC）规定了20种有机溶剂使用装置和活动的VOCs排放限值，包括有组织排放限值（废气中VOCs的浓度）和无组织排放限值（使用溶剂量的百分比），控制有机溶剂使用过程中的VOCs排放是欧盟减少VOCs排放的主要手段。</w:t>
      </w:r>
      <w:r>
        <w:rPr>
          <w:color w:val="auto"/>
          <w:highlight w:val="none"/>
        </w:rPr>
        <w:t>2010/75/EC是对1993/13/EC的修订</w:t>
      </w:r>
      <w:r>
        <w:rPr>
          <w:rFonts w:hint="eastAsia"/>
          <w:color w:val="auto"/>
          <w:highlight w:val="none"/>
        </w:rPr>
        <w:t>，与工业涂装企业相关的相关</w:t>
      </w:r>
      <w:r>
        <w:rPr>
          <w:color w:val="auto"/>
          <w:highlight w:val="none"/>
        </w:rPr>
        <w:t>标准</w:t>
      </w:r>
      <w:r>
        <w:rPr>
          <w:rFonts w:hint="eastAsia"/>
          <w:color w:val="auto"/>
          <w:highlight w:val="none"/>
        </w:rPr>
        <w:t>限值</w:t>
      </w:r>
      <w:r>
        <w:rPr>
          <w:color w:val="auto"/>
          <w:highlight w:val="none"/>
        </w:rPr>
        <w:t>见</w:t>
      </w:r>
      <w:r>
        <w:rPr>
          <w:rFonts w:hint="eastAsia"/>
          <w:color w:val="auto"/>
          <w:highlight w:val="none"/>
          <w:lang w:val="en-US" w:eastAsia="zh-CN"/>
        </w:rPr>
        <w:t>表64。</w:t>
      </w:r>
    </w:p>
    <w:p w14:paraId="1E9F3D52">
      <w:pPr>
        <w:shd w:val="clear"/>
        <w:spacing w:after="0" w:afterLines="0"/>
        <w:ind w:firstLine="480"/>
        <w:rPr>
          <w:color w:val="auto"/>
          <w:highlight w:val="none"/>
        </w:rPr>
      </w:pPr>
      <w:r>
        <w:rPr>
          <w:rFonts w:hint="eastAsia"/>
          <w:b/>
          <w:bCs/>
          <w:color w:val="auto"/>
          <w:highlight w:val="none"/>
        </w:rPr>
        <w:t>欧盟工业排放指令（D</w:t>
      </w:r>
      <w:r>
        <w:rPr>
          <w:b/>
          <w:bCs/>
          <w:color w:val="auto"/>
          <w:highlight w:val="none"/>
        </w:rPr>
        <w:t>irective</w:t>
      </w:r>
      <w:r>
        <w:rPr>
          <w:rFonts w:hint="eastAsia"/>
          <w:b/>
          <w:bCs/>
          <w:color w:val="auto"/>
          <w:highlight w:val="none"/>
        </w:rPr>
        <w:t>2</w:t>
      </w:r>
      <w:r>
        <w:rPr>
          <w:b/>
          <w:bCs/>
          <w:color w:val="auto"/>
          <w:highlight w:val="none"/>
        </w:rPr>
        <w:t>010</w:t>
      </w:r>
      <w:r>
        <w:rPr>
          <w:rFonts w:hint="eastAsia"/>
          <w:b/>
          <w:bCs/>
          <w:color w:val="auto"/>
          <w:highlight w:val="none"/>
        </w:rPr>
        <w:t>/</w:t>
      </w:r>
      <w:r>
        <w:rPr>
          <w:b/>
          <w:bCs/>
          <w:color w:val="auto"/>
          <w:highlight w:val="none"/>
        </w:rPr>
        <w:t>75EU</w:t>
      </w:r>
      <w:r>
        <w:rPr>
          <w:rFonts w:hint="eastAsia"/>
          <w:b/>
          <w:bCs/>
          <w:color w:val="auto"/>
          <w:highlight w:val="none"/>
        </w:rPr>
        <w:t>，综合污染预防和控制指令）</w:t>
      </w:r>
      <w:r>
        <w:rPr>
          <w:rFonts w:hint="eastAsia"/>
          <w:color w:val="auto"/>
          <w:highlight w:val="none"/>
        </w:rPr>
        <w:t>，针对能源工业、金属冶炼、采矿、化学工业、废物处理以及其他行业等6类工业制定了通用污染物排放控制要求，并特别针对燃煤电厂、废物焚烧装置、有机溶剂使用、氧化钛行业等制定了污染物排放及在线监测等要求</w:t>
      </w:r>
      <w:r>
        <w:rPr>
          <w:color w:val="auto"/>
          <w:highlight w:val="none"/>
        </w:rPr>
        <w:t>，</w:t>
      </w:r>
      <w:r>
        <w:rPr>
          <w:rFonts w:hint="eastAsia"/>
          <w:color w:val="auto"/>
          <w:highlight w:val="none"/>
        </w:rPr>
        <w:t>成员国根据I</w:t>
      </w:r>
      <w:r>
        <w:rPr>
          <w:color w:val="auto"/>
          <w:highlight w:val="none"/>
        </w:rPr>
        <w:t>PPC</w:t>
      </w:r>
      <w:r>
        <w:rPr>
          <w:rFonts w:hint="eastAsia"/>
          <w:color w:val="auto"/>
          <w:highlight w:val="none"/>
        </w:rPr>
        <w:t>指令，制定行业排污许可要求。根据I</w:t>
      </w:r>
      <w:r>
        <w:rPr>
          <w:color w:val="auto"/>
          <w:highlight w:val="none"/>
        </w:rPr>
        <w:t>PPC</w:t>
      </w:r>
      <w:r>
        <w:rPr>
          <w:rFonts w:hint="eastAsia"/>
          <w:color w:val="auto"/>
          <w:highlight w:val="none"/>
        </w:rPr>
        <w:t>指令，针对不同行业的污染控制要求，欧盟定期发布最佳可行技术指南。</w:t>
      </w:r>
    </w:p>
    <w:p w14:paraId="2D951F78">
      <w:pPr>
        <w:shd w:val="clear"/>
        <w:bidi w:val="0"/>
        <w:rPr>
          <w:color w:val="auto"/>
          <w:highlight w:val="none"/>
        </w:rPr>
      </w:pPr>
      <w:r>
        <w:rPr>
          <w:rFonts w:hint="eastAsia"/>
          <w:color w:val="auto"/>
          <w:highlight w:val="none"/>
        </w:rPr>
        <w:t>欧盟BAT根据不同生产工艺，给出相应的控制限值。值得注意的是，尽管IED法规中将VOC定义为293.15K时，蒸气压在0.01kPa及以上的有机化合物，或是在特定使用条件下，具备相应挥发性的有机物。在测量废气中有机物含量时，不能评估或测量有机物的挥发性，因此在BAT文件中，VOC是指废气中所有非固相的有机物，不考虑其挥发性。据美国环保署评估，在印刷、毛纺、染整行业中大约有135种主要设施会产生污染物，主要污染物包括：甲苯、甲基乙基酮、甲醇、二甲苯，甲基异丁基酮、二氯甲烷、三氯乙烯、正乙烷、乙二醇醚以及甲醛。标准的目的是减少当前HAPs（有害气体污染物）排放量60%。</w:t>
      </w:r>
    </w:p>
    <w:bookmarkEnd w:id="306"/>
    <w:bookmarkEnd w:id="307"/>
    <w:p w14:paraId="34118A68">
      <w:pPr>
        <w:pStyle w:val="3"/>
        <w:shd w:val="clear"/>
        <w:bidi w:val="0"/>
        <w:ind w:left="575" w:leftChars="0" w:hanging="575" w:firstLineChars="0"/>
        <w:rPr>
          <w:color w:val="auto"/>
          <w:highlight w:val="none"/>
        </w:rPr>
      </w:pPr>
      <w:bookmarkStart w:id="308" w:name="_Toc9143"/>
      <w:bookmarkStart w:id="309" w:name="_Toc12704"/>
      <w:bookmarkStart w:id="310" w:name="_Toc30762"/>
      <w:bookmarkStart w:id="311" w:name="_Toc2542"/>
      <w:bookmarkStart w:id="312" w:name="_Toc13372"/>
      <w:bookmarkStart w:id="313" w:name="_Toc7869"/>
      <w:r>
        <w:rPr>
          <w:rFonts w:hint="eastAsia"/>
          <w:color w:val="auto"/>
          <w:highlight w:val="none"/>
        </w:rPr>
        <w:t>世界银行相关标准法规</w:t>
      </w:r>
      <w:bookmarkEnd w:id="308"/>
      <w:bookmarkEnd w:id="309"/>
      <w:bookmarkEnd w:id="310"/>
      <w:bookmarkEnd w:id="311"/>
      <w:bookmarkEnd w:id="312"/>
      <w:bookmarkEnd w:id="313"/>
    </w:p>
    <w:p w14:paraId="6E0D122F">
      <w:pPr>
        <w:pStyle w:val="4"/>
        <w:shd w:val="clear"/>
        <w:bidi w:val="0"/>
        <w:rPr>
          <w:rFonts w:hint="eastAsia"/>
          <w:color w:val="auto"/>
          <w:highlight w:val="none"/>
          <w:lang w:val="en-US" w:eastAsia="zh-CN"/>
        </w:rPr>
      </w:pPr>
      <w:r>
        <w:rPr>
          <w:rFonts w:hint="eastAsia"/>
          <w:color w:val="auto"/>
          <w:highlight w:val="none"/>
          <w:lang w:val="en-US" w:eastAsia="zh-CN"/>
        </w:rPr>
        <w:t>有组织排放控制指导值</w:t>
      </w:r>
    </w:p>
    <w:p w14:paraId="4989F2AC">
      <w:pPr>
        <w:shd w:val="clear"/>
        <w:rPr>
          <w:rFonts w:hint="eastAsia"/>
          <w:color w:val="auto"/>
          <w:highlight w:val="none"/>
          <w:lang w:val="en-US" w:eastAsia="zh-CN"/>
        </w:rPr>
      </w:pPr>
      <w:r>
        <w:rPr>
          <w:rFonts w:hint="eastAsia"/>
          <w:color w:val="auto"/>
          <w:highlight w:val="none"/>
          <w:lang w:val="en-US" w:eastAsia="zh-CN"/>
        </w:rPr>
        <w:t>世界银行发布了针对不同行业的“环境、健康与安全指南”系列（简称“ESH”指南），提出了不同行业固定污染物排放源的控制项目及控制限值，涉及行业主要包括金属、塑料和橡胶产品制造业，铸造业，印刷业，半导体和其他电子产品制造业，纺织业等，控制项目主要为挥发性有机物。此外，对于有色金属冶炼业，世界银行ESH通用指南规定了溶剂的VOC排放日均值为5～15mg/Nm</w:t>
      </w:r>
      <w:r>
        <w:rPr>
          <w:rFonts w:hint="eastAsia"/>
          <w:color w:val="auto"/>
          <w:highlight w:val="none"/>
          <w:vertAlign w:val="superscript"/>
          <w:lang w:val="en-US" w:eastAsia="zh-CN"/>
        </w:rPr>
        <w:t>3</w:t>
      </w:r>
      <w:r>
        <w:rPr>
          <w:rFonts w:hint="eastAsia"/>
          <w:color w:val="auto"/>
          <w:highlight w:val="none"/>
          <w:lang w:val="en-US" w:eastAsia="zh-CN"/>
        </w:rPr>
        <w:t>；对于皮革行业，则参考美国联邦法规（CFR）第40卷第63章TTTT部分，规定了每加工100平方米皮革的</w:t>
      </w:r>
      <w:r>
        <w:rPr>
          <w:rFonts w:hint="default"/>
          <w:color w:val="auto"/>
          <w:highlight w:val="none"/>
          <w:lang w:val="en-US" w:eastAsia="zh-CN"/>
        </w:rPr>
        <w:t>HAP</w:t>
      </w:r>
      <w:r>
        <w:rPr>
          <w:rFonts w:hint="eastAsia"/>
          <w:color w:val="auto"/>
          <w:highlight w:val="none"/>
          <w:lang w:val="en-US" w:eastAsia="zh-CN"/>
        </w:rPr>
        <w:t>损失量，大致在0.3～3.3 g之间。</w:t>
      </w:r>
    </w:p>
    <w:p w14:paraId="7705FD08">
      <w:pPr>
        <w:shd w:val="clear"/>
        <w:rPr>
          <w:rFonts w:hint="eastAsia"/>
          <w:color w:val="auto"/>
          <w:highlight w:val="none"/>
          <w:lang w:val="en-US" w:eastAsia="zh-CN"/>
        </w:rPr>
      </w:pPr>
      <w:r>
        <w:rPr>
          <w:rFonts w:hint="eastAsia"/>
          <w:color w:val="auto"/>
          <w:highlight w:val="none"/>
          <w:lang w:val="en-US" w:eastAsia="zh-CN"/>
        </w:rPr>
        <w:t>世界银行ESH指南同时给出了不同行业所采用的污染防治技术主要包括：湿式洗涤器（包括添加氧化剂氧化去除甲醛的洗涤器）、活性炭吸附技术、生物滤池（去除异味）、冷冻处理及催化氧化或热氧化。</w:t>
      </w:r>
    </w:p>
    <w:p w14:paraId="5394506F">
      <w:pPr>
        <w:pStyle w:val="4"/>
        <w:shd w:val="clear"/>
        <w:bidi w:val="0"/>
        <w:rPr>
          <w:rFonts w:hint="eastAsia"/>
          <w:color w:val="auto"/>
          <w:highlight w:val="none"/>
          <w:lang w:val="en-US" w:eastAsia="zh-CN"/>
        </w:rPr>
      </w:pPr>
      <w:r>
        <w:rPr>
          <w:rFonts w:hint="eastAsia"/>
          <w:color w:val="auto"/>
          <w:highlight w:val="none"/>
          <w:lang w:val="en-US" w:eastAsia="zh-CN"/>
        </w:rPr>
        <w:t>无组织排放管理</w:t>
      </w:r>
    </w:p>
    <w:p w14:paraId="3FF3E6C6">
      <w:pPr>
        <w:shd w:val="clear"/>
        <w:bidi w:val="0"/>
        <w:rPr>
          <w:rFonts w:hint="eastAsia" w:ascii="Times New Roman" w:hAnsi="Times New Roman" w:eastAsia="宋体"/>
          <w:color w:val="auto"/>
          <w:highlight w:val="none"/>
        </w:rPr>
      </w:pPr>
      <w:r>
        <w:rPr>
          <w:rFonts w:hint="eastAsia"/>
          <w:color w:val="auto"/>
          <w:highlight w:val="none"/>
          <w:lang w:val="en-US" w:eastAsia="zh-CN"/>
        </w:rPr>
        <w:t>世界银行《环境、健康与安全通用指南》规定了挥发性有机物的无组织排放管理，适用于生产、储存和使用包含VOC的液体或气体材料的工业活动。其中，材料处于高压状态、接触蒸汽压较低的环境、或从封闭空间移出，是最常见的无组织VOC排放物来源。典型的无组织排放源还包括设备泄漏、敞口的桶和混合罐、储罐、废水处理系统的单元操作和意外泄漏。设备泄漏包括高压下会发生泄漏的阀门、接头和弯头。</w:t>
      </w:r>
      <w:bookmarkStart w:id="314" w:name="_Toc13146"/>
      <w:bookmarkStart w:id="315" w:name="_Toc559"/>
    </w:p>
    <w:p w14:paraId="25973AAE">
      <w:pPr>
        <w:pStyle w:val="3"/>
        <w:shd w:val="clear"/>
        <w:bidi w:val="0"/>
        <w:ind w:left="575" w:leftChars="0" w:hanging="575" w:firstLineChars="0"/>
        <w:rPr>
          <w:color w:val="auto"/>
          <w:highlight w:val="none"/>
        </w:rPr>
      </w:pPr>
      <w:bookmarkStart w:id="316" w:name="_Toc30852"/>
      <w:bookmarkStart w:id="317" w:name="_Toc21285"/>
      <w:bookmarkStart w:id="318" w:name="_Toc12446"/>
      <w:bookmarkStart w:id="319" w:name="_Toc24855"/>
      <w:r>
        <w:rPr>
          <w:rFonts w:hint="eastAsia"/>
          <w:color w:val="auto"/>
          <w:highlight w:val="none"/>
        </w:rPr>
        <w:t>日本相关标准法规</w:t>
      </w:r>
      <w:bookmarkEnd w:id="314"/>
      <w:bookmarkEnd w:id="315"/>
      <w:bookmarkEnd w:id="316"/>
      <w:bookmarkEnd w:id="317"/>
      <w:bookmarkEnd w:id="318"/>
      <w:bookmarkEnd w:id="319"/>
    </w:p>
    <w:p w14:paraId="265EE123">
      <w:pPr>
        <w:shd w:val="clear"/>
        <w:bidi w:val="0"/>
        <w:rPr>
          <w:color w:val="auto"/>
          <w:highlight w:val="none"/>
        </w:rPr>
      </w:pPr>
      <w:r>
        <w:rPr>
          <w:rFonts w:hint="eastAsia"/>
          <w:color w:val="auto"/>
          <w:highlight w:val="none"/>
        </w:rPr>
        <w:t>日本《大气污染防治法》将固定源大气污染物分为5类，即烟气、挥发性有机物（VOC）、颗粒物、特定物质（28种）和有害大气污染物（234种，其中优先污染物22种）规定了工厂和作业场所（固定源）排放的大气污染物控制要求。日本</w:t>
      </w:r>
      <w:r>
        <w:rPr>
          <w:rFonts w:hint="eastAsia"/>
          <w:color w:val="auto"/>
          <w:highlight w:val="none"/>
          <w:lang w:eastAsia="zh-CN"/>
        </w:rPr>
        <w:t>《</w:t>
      </w:r>
      <w:r>
        <w:rPr>
          <w:rFonts w:hint="eastAsia"/>
          <w:color w:val="auto"/>
          <w:highlight w:val="none"/>
        </w:rPr>
        <w:t>挥发性有机物排放控制制度</w:t>
      </w:r>
      <w:r>
        <w:rPr>
          <w:rFonts w:hint="eastAsia"/>
          <w:color w:val="auto"/>
          <w:highlight w:val="none"/>
          <w:lang w:eastAsia="zh-CN"/>
        </w:rPr>
        <w:t>》</w:t>
      </w:r>
      <w:r>
        <w:rPr>
          <w:rFonts w:hint="eastAsia"/>
          <w:color w:val="auto"/>
          <w:highlight w:val="none"/>
        </w:rPr>
        <w:t>于2005年发布实施令、实施规则和VOCs测定方法，对涂装、印刷等6类9种设施提出VOCs排放</w:t>
      </w:r>
      <w:r>
        <w:rPr>
          <w:rFonts w:hint="eastAsia"/>
          <w:color w:val="auto"/>
          <w:highlight w:val="none"/>
          <w:lang w:eastAsia="zh-CN"/>
        </w:rPr>
        <w:t>控制要求</w:t>
      </w:r>
      <w:r>
        <w:rPr>
          <w:rFonts w:hint="eastAsia"/>
          <w:color w:val="auto"/>
          <w:highlight w:val="none"/>
        </w:rPr>
        <w:t>。</w:t>
      </w:r>
    </w:p>
    <w:p w14:paraId="758C9179">
      <w:pPr>
        <w:shd w:val="clear"/>
        <w:bidi w:val="0"/>
        <w:rPr>
          <w:rFonts w:hint="eastAsia"/>
          <w:color w:val="auto"/>
          <w:highlight w:val="none"/>
        </w:rPr>
      </w:pPr>
      <w:r>
        <w:rPr>
          <w:rFonts w:hint="eastAsia"/>
          <w:color w:val="auto"/>
          <w:highlight w:val="none"/>
        </w:rPr>
        <w:t>在日本，涂料、油墨和工业用清洗剂行业是有机溶剂使用最多的行业。甲苯与二甲苯在烃类有机溶剂中使用量最大。对高毒性、高产生量的废有机溶剂分别制定了相关法规。PRTR制度是对有可能伤害人体健康和生态系统的化学物质企业应掌握其向环境的排放量，包括苯、甲苯、二甲苯等有机物。开展大气污染物排放量综合调查，每三年对大气污染防治法的控制企业的排放量进行调查。开展VOCs排放清单调查，每年推算固定发生源的VOCs排放量。</w:t>
      </w:r>
    </w:p>
    <w:p w14:paraId="51B122E6">
      <w:pPr>
        <w:pStyle w:val="3"/>
        <w:shd w:val="clear"/>
        <w:bidi w:val="0"/>
        <w:ind w:left="575" w:leftChars="0" w:hanging="575" w:firstLineChars="0"/>
        <w:rPr>
          <w:color w:val="auto"/>
          <w:highlight w:val="none"/>
        </w:rPr>
      </w:pPr>
      <w:bookmarkStart w:id="320" w:name="_Toc945"/>
      <w:bookmarkStart w:id="321" w:name="_Toc29191"/>
      <w:bookmarkStart w:id="322" w:name="_Toc30836"/>
      <w:bookmarkStart w:id="323" w:name="_Toc9444"/>
      <w:bookmarkStart w:id="324" w:name="_Toc24642"/>
      <w:bookmarkStart w:id="325" w:name="_Toc8501"/>
      <w:r>
        <w:rPr>
          <w:rFonts w:hint="eastAsia"/>
          <w:color w:val="auto"/>
          <w:highlight w:val="none"/>
          <w:lang w:eastAsia="zh-CN"/>
        </w:rPr>
        <w:t>国内标准</w:t>
      </w:r>
      <w:bookmarkEnd w:id="320"/>
      <w:bookmarkEnd w:id="321"/>
      <w:bookmarkEnd w:id="322"/>
      <w:bookmarkEnd w:id="323"/>
      <w:bookmarkEnd w:id="324"/>
      <w:bookmarkEnd w:id="325"/>
    </w:p>
    <w:p w14:paraId="0E030085">
      <w:pPr>
        <w:pStyle w:val="4"/>
        <w:shd w:val="clear"/>
        <w:bidi w:val="0"/>
        <w:ind w:left="0" w:leftChars="0" w:firstLine="0" w:firstLineChars="0"/>
        <w:rPr>
          <w:color w:val="auto"/>
          <w:highlight w:val="none"/>
        </w:rPr>
      </w:pPr>
      <w:bookmarkStart w:id="326" w:name="_Toc59640122"/>
      <w:bookmarkStart w:id="327" w:name="_Toc73450414"/>
      <w:bookmarkStart w:id="328" w:name="_Toc68700924"/>
      <w:bookmarkStart w:id="329" w:name="_Toc72915037"/>
      <w:r>
        <w:rPr>
          <w:rFonts w:hint="eastAsia"/>
          <w:color w:val="auto"/>
          <w:highlight w:val="none"/>
          <w:lang w:val="en-US" w:eastAsia="zh-CN"/>
        </w:rPr>
        <w:t>国家挥发性有机物排放标准</w:t>
      </w:r>
    </w:p>
    <w:p w14:paraId="0C6EAB61">
      <w:pPr>
        <w:shd w:val="clear"/>
        <w:rPr>
          <w:rFonts w:hint="eastAsia"/>
          <w:color w:val="auto"/>
          <w:highlight w:val="none"/>
        </w:rPr>
      </w:pPr>
      <w:r>
        <w:rPr>
          <w:rFonts w:hint="eastAsia"/>
          <w:color w:val="auto"/>
          <w:highlight w:val="none"/>
        </w:rPr>
        <w:t>目前国家已构建1+N的国家VOCs排放控制标准体系，涵盖</w:t>
      </w:r>
      <w:r>
        <w:rPr>
          <w:rFonts w:hint="eastAsia"/>
          <w:color w:val="auto"/>
          <w:highlight w:val="none"/>
          <w:lang w:val="en-US" w:eastAsia="zh-CN"/>
        </w:rPr>
        <w:t>挥发性有机物的</w:t>
      </w:r>
      <w:r>
        <w:rPr>
          <w:rFonts w:hint="eastAsia"/>
          <w:color w:val="auto"/>
          <w:highlight w:val="none"/>
        </w:rPr>
        <w:t>生产、输送、转运、使用全流程控制。自2017年家具、印刷、汽车制造等三项地方标准发布实施以来，国家在VOCs生产、输送、转运、使用全流程等4个方面共发布了</w:t>
      </w:r>
      <w:r>
        <w:rPr>
          <w:rFonts w:hint="eastAsia"/>
          <w:color w:val="auto"/>
          <w:highlight w:val="none"/>
          <w:lang w:val="en-US" w:eastAsia="zh-CN"/>
        </w:rPr>
        <w:t>12</w:t>
      </w:r>
      <w:r>
        <w:rPr>
          <w:rFonts w:hint="eastAsia"/>
          <w:color w:val="auto"/>
          <w:highlight w:val="none"/>
        </w:rPr>
        <w:t>项大气污染物排放控制标准</w:t>
      </w:r>
      <w:r>
        <w:rPr>
          <w:rFonts w:hint="eastAsia"/>
          <w:color w:val="auto"/>
          <w:highlight w:val="none"/>
          <w:lang w:eastAsia="zh-CN"/>
        </w:rPr>
        <w:t>，</w:t>
      </w:r>
      <w:r>
        <w:rPr>
          <w:rFonts w:hint="eastAsia"/>
          <w:color w:val="auto"/>
          <w:highlight w:val="none"/>
          <w:lang w:val="en-US" w:eastAsia="zh-CN"/>
        </w:rPr>
        <w:t>见</w:t>
      </w:r>
      <w:r>
        <w:rPr>
          <w:rFonts w:hint="eastAsia"/>
          <w:color w:val="auto"/>
          <w:highlight w:val="none"/>
          <w:lang w:val="en-US" w:eastAsia="zh-CN"/>
        </w:rPr>
        <w:fldChar w:fldCharType="begin"/>
      </w:r>
      <w:r>
        <w:rPr>
          <w:rFonts w:hint="eastAsia"/>
          <w:color w:val="auto"/>
          <w:highlight w:val="none"/>
          <w:lang w:val="en-US" w:eastAsia="zh-CN"/>
        </w:rPr>
        <w:instrText xml:space="preserve"> REF _Ref8824 \h </w:instrText>
      </w:r>
      <w:r>
        <w:rPr>
          <w:rFonts w:hint="eastAsia"/>
          <w:color w:val="auto"/>
          <w:highlight w:val="none"/>
          <w:lang w:val="en-US" w:eastAsia="zh-CN"/>
        </w:rPr>
        <w:fldChar w:fldCharType="separate"/>
      </w:r>
      <w:r>
        <w:t>表32</w:t>
      </w:r>
      <w:r>
        <w:rPr>
          <w:rFonts w:hint="eastAsia"/>
          <w:color w:val="auto"/>
          <w:highlight w:val="none"/>
          <w:lang w:val="en-US" w:eastAsia="zh-CN"/>
        </w:rPr>
        <w:fldChar w:fldCharType="end"/>
      </w:r>
      <w:r>
        <w:rPr>
          <w:rFonts w:hint="eastAsia"/>
          <w:color w:val="auto"/>
          <w:highlight w:val="none"/>
        </w:rPr>
        <w:t>。增加了对挥发性有机物的管理和控制要求，标准体系发生了变化。在VOCs原辅材料含量限值方面，发布了胶黏剂、油墨、清洗剂、木器涂料、车辆涂料等5项含量限值标准，以及低挥发性有机物含量涂料产品技术要求。</w:t>
      </w:r>
    </w:p>
    <w:p w14:paraId="61BF8C14">
      <w:pPr>
        <w:pStyle w:val="129"/>
        <w:shd w:val="clear"/>
        <w:bidi w:val="0"/>
        <w:ind w:left="0" w:leftChars="0"/>
        <w:jc w:val="center"/>
        <w:outlineLvl w:val="4"/>
        <w:rPr>
          <w:rFonts w:hint="eastAsia"/>
          <w:lang w:val="en-US" w:eastAsia="zh-CN"/>
        </w:rPr>
      </w:pPr>
      <w:bookmarkStart w:id="330" w:name="_Ref8824"/>
      <w:r>
        <w:t>表</w:t>
      </w:r>
      <w:r>
        <w:fldChar w:fldCharType="begin"/>
      </w:r>
      <w:r>
        <w:instrText xml:space="preserve"> SEQ 表 \* ARABIC </w:instrText>
      </w:r>
      <w:r>
        <w:fldChar w:fldCharType="separate"/>
      </w:r>
      <w:r>
        <w:t>32</w:t>
      </w:r>
      <w:r>
        <w:fldChar w:fldCharType="end"/>
      </w:r>
      <w:bookmarkEnd w:id="330"/>
      <w:r>
        <w:rPr>
          <w:rFonts w:hint="eastAsia"/>
          <w:lang w:val="en-US" w:eastAsia="zh-CN"/>
        </w:rPr>
        <w:t xml:space="preserve"> 国家挥发性有机物排放标准及原料限值标准清单</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6013"/>
        <w:gridCol w:w="2531"/>
      </w:tblGrid>
      <w:tr w14:paraId="7494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blHeader/>
        </w:trPr>
        <w:tc>
          <w:tcPr>
            <w:tcW w:w="698" w:type="dxa"/>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6C508668">
            <w:pPr>
              <w:keepNext w:val="0"/>
              <w:keepLines w:val="0"/>
              <w:pageBreakBefore w:val="0"/>
              <w:widowControl w:val="0"/>
              <w:numPr>
                <w:ilvl w:val="-1"/>
                <w:numId w:val="0"/>
              </w:numPr>
              <w:shd w:val="clear"/>
              <w:kinsoku/>
              <w:wordWrap/>
              <w:overflowPunct/>
              <w:topLinePunct w:val="0"/>
              <w:autoSpaceDE/>
              <w:autoSpaceDN/>
              <w:bidi w:val="0"/>
              <w:adjustRightInd/>
              <w:snapToGrid/>
              <w:spacing w:line="240" w:lineRule="auto"/>
              <w:ind w:leftChars="0" w:firstLine="0" w:firstLineChars="0"/>
              <w:jc w:val="both"/>
              <w:textAlignment w:val="auto"/>
              <w:rPr>
                <w:rFonts w:hint="eastAsia" w:eastAsia="宋体"/>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序号</w:t>
            </w:r>
          </w:p>
        </w:tc>
        <w:tc>
          <w:tcPr>
            <w:tcW w:w="6013" w:type="dxa"/>
            <w:tcBorders>
              <w:top w:val="single" w:color="000000" w:sz="12" w:space="0"/>
              <w:left w:val="single" w:color="000000" w:sz="4" w:space="0"/>
              <w:bottom w:val="single" w:color="000000" w:sz="4" w:space="0"/>
              <w:right w:val="single" w:color="000000" w:sz="4" w:space="0"/>
            </w:tcBorders>
            <w:shd w:val="clear" w:color="auto" w:fill="FFFFFF"/>
            <w:vAlign w:val="center"/>
          </w:tcPr>
          <w:p w14:paraId="5C0A4E5F">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eastAsia" w:eastAsia="宋体"/>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标准名称及编号</w:t>
            </w:r>
          </w:p>
        </w:tc>
        <w:tc>
          <w:tcPr>
            <w:tcW w:w="2531" w:type="dxa"/>
            <w:tcBorders>
              <w:top w:val="single" w:color="000000" w:sz="12" w:space="0"/>
              <w:left w:val="single" w:color="000000" w:sz="4" w:space="0"/>
              <w:bottom w:val="single" w:color="000000" w:sz="4" w:space="0"/>
              <w:right w:val="single" w:color="000000" w:sz="12" w:space="0"/>
            </w:tcBorders>
            <w:shd w:val="clear" w:color="auto" w:fill="FFFFFF"/>
            <w:vAlign w:val="center"/>
          </w:tcPr>
          <w:p w14:paraId="5F19848F">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涵盖范围</w:t>
            </w:r>
          </w:p>
        </w:tc>
      </w:tr>
      <w:tr w14:paraId="48C1F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56B46559">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1C9FC">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eastAsia" w:ascii="宋体" w:hAnsi="宋体" w:eastAsia="宋体" w:cs="宋体"/>
                <w:b w:val="0"/>
                <w:color w:val="auto"/>
                <w:kern w:val="0"/>
                <w:sz w:val="18"/>
                <w:szCs w:val="18"/>
                <w:highlight w:val="none"/>
                <w:lang w:val="en-US" w:eastAsia="zh-CN" w:bidi="ar-SA"/>
              </w:rPr>
            </w:pPr>
            <w:r>
              <w:rPr>
                <w:rFonts w:hint="default" w:ascii="Times New Roman" w:hAnsi="Times New Roman" w:cs="Times New Roman"/>
                <w:b w:val="0"/>
                <w:color w:val="auto"/>
                <w:sz w:val="18"/>
                <w:szCs w:val="18"/>
                <w:highlight w:val="none"/>
              </w:rPr>
              <w:t>大气污染物综合排放标准（GB 16297</w:t>
            </w:r>
            <w:r>
              <w:rPr>
                <w:rFonts w:hint="eastAsia" w:ascii="Times New Roman" w:hAnsi="Times New Roman" w:cs="Times New Roman"/>
                <w:b w:val="0"/>
                <w:color w:val="auto"/>
                <w:sz w:val="18"/>
                <w:szCs w:val="18"/>
                <w:highlight w:val="none"/>
                <w:lang w:eastAsia="zh-CN"/>
              </w:rPr>
              <w:t>—</w:t>
            </w:r>
            <w:r>
              <w:rPr>
                <w:rFonts w:hint="default" w:ascii="Times New Roman" w:hAnsi="Times New Roman" w:cs="Times New Roman"/>
                <w:b w:val="0"/>
                <w:color w:val="auto"/>
                <w:sz w:val="18"/>
                <w:szCs w:val="18"/>
                <w:highlight w:val="none"/>
              </w:rPr>
              <w:t>1996）</w:t>
            </w:r>
          </w:p>
        </w:tc>
        <w:tc>
          <w:tcPr>
            <w:tcW w:w="2531"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6398C512">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综合标准</w:t>
            </w:r>
          </w:p>
        </w:tc>
      </w:tr>
      <w:tr w14:paraId="0FF9C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094E49DE">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FE3A60">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eastAsia" w:ascii="宋体" w:hAnsi="宋体" w:eastAsia="宋体" w:cs="宋体"/>
                <w:b w:val="0"/>
                <w:color w:val="auto"/>
                <w:kern w:val="0"/>
                <w:sz w:val="18"/>
                <w:szCs w:val="18"/>
                <w:highlight w:val="none"/>
                <w:lang w:val="en-US" w:eastAsia="zh-CN" w:bidi="ar-SA"/>
              </w:rPr>
            </w:pPr>
            <w:r>
              <w:rPr>
                <w:rFonts w:hint="default" w:ascii="Times New Roman" w:hAnsi="Times New Roman" w:cs="Times New Roman"/>
                <w:b w:val="0"/>
                <w:color w:val="auto"/>
                <w:sz w:val="18"/>
                <w:szCs w:val="18"/>
                <w:highlight w:val="none"/>
              </w:rPr>
              <w:t>恶臭污染物排放标准（GB 14554</w:t>
            </w:r>
            <w:r>
              <w:rPr>
                <w:rFonts w:hint="eastAsia" w:ascii="Times New Roman" w:hAnsi="Times New Roman" w:cs="Times New Roman"/>
                <w:b w:val="0"/>
                <w:color w:val="auto"/>
                <w:sz w:val="18"/>
                <w:szCs w:val="18"/>
                <w:highlight w:val="none"/>
                <w:lang w:eastAsia="zh-CN"/>
              </w:rPr>
              <w:t>—</w:t>
            </w:r>
            <w:r>
              <w:rPr>
                <w:rFonts w:hint="default" w:ascii="Times New Roman" w:hAnsi="Times New Roman" w:cs="Times New Roman"/>
                <w:b w:val="0"/>
                <w:color w:val="auto"/>
                <w:sz w:val="18"/>
                <w:szCs w:val="18"/>
                <w:highlight w:val="none"/>
              </w:rPr>
              <w:t>1993）</w:t>
            </w:r>
          </w:p>
        </w:tc>
        <w:tc>
          <w:tcPr>
            <w:tcW w:w="2531"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3B277D6C">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通用标准</w:t>
            </w:r>
          </w:p>
        </w:tc>
      </w:tr>
      <w:tr w14:paraId="61770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6595269E">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79E5A7">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eastAsia" w:ascii="宋体" w:hAnsi="宋体" w:eastAsia="宋体" w:cs="宋体"/>
                <w:b w:val="0"/>
                <w:color w:val="auto"/>
                <w:kern w:val="0"/>
                <w:sz w:val="18"/>
                <w:szCs w:val="18"/>
                <w:highlight w:val="none"/>
                <w:lang w:val="en-US" w:eastAsia="zh-CN" w:bidi="ar-SA"/>
              </w:rPr>
            </w:pPr>
            <w:r>
              <w:rPr>
                <w:rFonts w:hint="default" w:ascii="Times New Roman" w:hAnsi="Times New Roman" w:cs="Times New Roman"/>
                <w:b/>
                <w:bCs/>
                <w:color w:val="auto"/>
                <w:sz w:val="18"/>
                <w:szCs w:val="18"/>
                <w:highlight w:val="none"/>
              </w:rPr>
              <w:t>挥发性有机物无组织排放控制标准（GB</w:t>
            </w:r>
            <w:r>
              <w:rPr>
                <w:rFonts w:hint="eastAsia" w:ascii="Times New Roman" w:hAnsi="Times New Roman" w:cs="Times New Roman"/>
                <w:b/>
                <w:bCs/>
                <w:color w:val="auto"/>
                <w:sz w:val="18"/>
                <w:szCs w:val="18"/>
                <w:highlight w:val="none"/>
                <w:lang w:val="en-US" w:eastAsia="zh-CN"/>
              </w:rPr>
              <w:t xml:space="preserve"> </w:t>
            </w:r>
            <w:r>
              <w:rPr>
                <w:rFonts w:hint="default" w:ascii="Times New Roman" w:hAnsi="Times New Roman" w:cs="Times New Roman"/>
                <w:b/>
                <w:bCs/>
                <w:color w:val="auto"/>
                <w:sz w:val="18"/>
                <w:szCs w:val="18"/>
                <w:highlight w:val="none"/>
              </w:rPr>
              <w:t>37822</w:t>
            </w:r>
            <w:r>
              <w:rPr>
                <w:rFonts w:hint="eastAsia"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2019）</w:t>
            </w:r>
          </w:p>
        </w:tc>
        <w:tc>
          <w:tcPr>
            <w:tcW w:w="2531"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6AC1D969">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通用标准</w:t>
            </w:r>
          </w:p>
        </w:tc>
      </w:tr>
      <w:tr w14:paraId="3E98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268583C9">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6032ED">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eastAsia"/>
                <w:b w:val="0"/>
                <w:color w:val="auto"/>
                <w:sz w:val="18"/>
                <w:szCs w:val="18"/>
                <w:highlight w:val="none"/>
                <w:vertAlign w:val="baseline"/>
              </w:rPr>
            </w:pPr>
            <w:r>
              <w:rPr>
                <w:rFonts w:hint="default" w:ascii="Times New Roman" w:hAnsi="Times New Roman" w:cs="Times New Roman"/>
                <w:b w:val="0"/>
                <w:color w:val="auto"/>
                <w:sz w:val="18"/>
                <w:szCs w:val="18"/>
                <w:highlight w:val="none"/>
              </w:rPr>
              <w:t>石油炼制工业污染物排放标准（GB 31570</w:t>
            </w:r>
            <w:r>
              <w:rPr>
                <w:rFonts w:hint="eastAsia" w:ascii="Times New Roman" w:hAnsi="Times New Roman" w:cs="Times New Roman"/>
                <w:b w:val="0"/>
                <w:color w:val="auto"/>
                <w:sz w:val="18"/>
                <w:szCs w:val="18"/>
                <w:highlight w:val="none"/>
                <w:lang w:eastAsia="zh-CN"/>
              </w:rPr>
              <w:t>—</w:t>
            </w:r>
            <w:r>
              <w:rPr>
                <w:rFonts w:hint="default" w:ascii="Times New Roman" w:hAnsi="Times New Roman" w:cs="Times New Roman"/>
                <w:b w:val="0"/>
                <w:color w:val="auto"/>
                <w:sz w:val="18"/>
                <w:szCs w:val="18"/>
                <w:highlight w:val="none"/>
              </w:rPr>
              <w:t>2015）</w:t>
            </w:r>
          </w:p>
        </w:tc>
        <w:tc>
          <w:tcPr>
            <w:tcW w:w="2531" w:type="dxa"/>
            <w:vMerge w:val="restart"/>
            <w:tcBorders>
              <w:top w:val="single" w:color="000000" w:sz="4" w:space="0"/>
              <w:left w:val="single" w:color="000000" w:sz="4" w:space="0"/>
              <w:right w:val="single" w:color="000000" w:sz="12" w:space="0"/>
            </w:tcBorders>
            <w:shd w:val="clear" w:color="auto" w:fill="FFFFFF"/>
            <w:vAlign w:val="center"/>
          </w:tcPr>
          <w:p w14:paraId="2B5C956B">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lang w:val="en-US" w:eastAsia="zh-CN"/>
              </w:rPr>
            </w:pPr>
            <w:r>
              <w:rPr>
                <w:rFonts w:hint="eastAsia" w:cs="Times New Roman"/>
                <w:b w:val="0"/>
                <w:bCs/>
                <w:color w:val="auto"/>
                <w:sz w:val="18"/>
                <w:szCs w:val="18"/>
                <w:highlight w:val="none"/>
                <w:lang w:val="en-US" w:eastAsia="zh-CN"/>
              </w:rPr>
              <w:t>行业标准，适用于</w:t>
            </w:r>
            <w:r>
              <w:rPr>
                <w:rFonts w:hint="default" w:ascii="Times New Roman" w:hAnsi="Times New Roman" w:cs="Times New Roman"/>
                <w:b w:val="0"/>
                <w:bCs/>
                <w:color w:val="auto"/>
                <w:sz w:val="18"/>
                <w:szCs w:val="18"/>
                <w:highlight w:val="none"/>
              </w:rPr>
              <w:t>VOCs基础化工原料生产过程</w:t>
            </w:r>
          </w:p>
        </w:tc>
      </w:tr>
      <w:tr w14:paraId="1A42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0041624E">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8A7280">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eastAsia"/>
                <w:b w:val="0"/>
                <w:color w:val="auto"/>
                <w:sz w:val="18"/>
                <w:szCs w:val="18"/>
                <w:highlight w:val="none"/>
                <w:vertAlign w:val="baseline"/>
              </w:rPr>
            </w:pPr>
            <w:r>
              <w:rPr>
                <w:rFonts w:hint="default" w:ascii="Times New Roman" w:hAnsi="Times New Roman" w:cs="Times New Roman"/>
                <w:b w:val="0"/>
                <w:color w:val="auto"/>
                <w:sz w:val="18"/>
                <w:szCs w:val="18"/>
                <w:highlight w:val="none"/>
              </w:rPr>
              <w:t>石油化学工业污染物排放标准（GB 31571</w:t>
            </w:r>
            <w:r>
              <w:rPr>
                <w:rFonts w:hint="eastAsia" w:ascii="Times New Roman" w:hAnsi="Times New Roman" w:cs="Times New Roman"/>
                <w:b w:val="0"/>
                <w:color w:val="auto"/>
                <w:sz w:val="18"/>
                <w:szCs w:val="18"/>
                <w:highlight w:val="none"/>
                <w:lang w:eastAsia="zh-CN"/>
              </w:rPr>
              <w:t>—</w:t>
            </w:r>
            <w:r>
              <w:rPr>
                <w:rFonts w:hint="default" w:ascii="Times New Roman" w:hAnsi="Times New Roman" w:cs="Times New Roman"/>
                <w:b w:val="0"/>
                <w:color w:val="auto"/>
                <w:sz w:val="18"/>
                <w:szCs w:val="18"/>
                <w:highlight w:val="none"/>
              </w:rPr>
              <w:t>2015）</w:t>
            </w:r>
          </w:p>
        </w:tc>
        <w:tc>
          <w:tcPr>
            <w:tcW w:w="2531" w:type="dxa"/>
            <w:vMerge w:val="continue"/>
            <w:tcBorders>
              <w:left w:val="single" w:color="000000" w:sz="4" w:space="0"/>
              <w:right w:val="single" w:color="000000" w:sz="12" w:space="0"/>
            </w:tcBorders>
            <w:shd w:val="clear" w:color="auto" w:fill="FFFFFF"/>
            <w:vAlign w:val="center"/>
          </w:tcPr>
          <w:p w14:paraId="7F89C204">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rPr>
            </w:pPr>
          </w:p>
        </w:tc>
      </w:tr>
      <w:tr w14:paraId="33CC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210EC743">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37B675">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eastAsia"/>
                <w:b w:val="0"/>
                <w:color w:val="auto"/>
                <w:sz w:val="18"/>
                <w:szCs w:val="18"/>
                <w:highlight w:val="none"/>
                <w:vertAlign w:val="baseline"/>
              </w:rPr>
            </w:pPr>
            <w:r>
              <w:rPr>
                <w:rFonts w:hint="eastAsia"/>
                <w:b w:val="0"/>
                <w:color w:val="auto"/>
                <w:sz w:val="18"/>
                <w:szCs w:val="18"/>
                <w:highlight w:val="none"/>
                <w:vertAlign w:val="baseline"/>
              </w:rPr>
              <w:t>炼焦化学工业大气污染物排放标准</w:t>
            </w:r>
            <w:r>
              <w:rPr>
                <w:rFonts w:hint="default" w:ascii="Times New Roman" w:hAnsi="Times New Roman" w:cs="Times New Roman"/>
                <w:b w:val="0"/>
                <w:color w:val="auto"/>
                <w:sz w:val="18"/>
                <w:szCs w:val="18"/>
                <w:highlight w:val="none"/>
                <w:vertAlign w:val="baseline"/>
              </w:rPr>
              <w:t>（GB 16171.1</w:t>
            </w:r>
            <w:r>
              <w:rPr>
                <w:rFonts w:hint="eastAsia" w:ascii="Times New Roman" w:hAnsi="Times New Roman" w:cs="Times New Roman"/>
                <w:b w:val="0"/>
                <w:color w:val="auto"/>
                <w:sz w:val="18"/>
                <w:szCs w:val="18"/>
                <w:highlight w:val="none"/>
                <w:vertAlign w:val="baseline"/>
                <w:lang w:eastAsia="zh-CN"/>
              </w:rPr>
              <w:t>—</w:t>
            </w:r>
            <w:r>
              <w:rPr>
                <w:rFonts w:hint="default" w:ascii="Times New Roman" w:hAnsi="Times New Roman" w:cs="Times New Roman"/>
                <w:b w:val="0"/>
                <w:color w:val="auto"/>
                <w:sz w:val="18"/>
                <w:szCs w:val="18"/>
                <w:highlight w:val="none"/>
                <w:vertAlign w:val="baseline"/>
              </w:rPr>
              <w:t>2024）</w:t>
            </w:r>
          </w:p>
        </w:tc>
        <w:tc>
          <w:tcPr>
            <w:tcW w:w="2531" w:type="dxa"/>
            <w:vMerge w:val="continue"/>
            <w:tcBorders>
              <w:left w:val="single" w:color="000000" w:sz="4" w:space="0"/>
              <w:right w:val="single" w:color="000000" w:sz="12" w:space="0"/>
            </w:tcBorders>
            <w:shd w:val="clear" w:color="auto" w:fill="FFFFFF"/>
            <w:vAlign w:val="center"/>
          </w:tcPr>
          <w:p w14:paraId="7B190E9A">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rPr>
            </w:pPr>
          </w:p>
        </w:tc>
      </w:tr>
      <w:tr w14:paraId="525A2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181D3C54">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87D647">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eastAsia"/>
                <w:b w:val="0"/>
                <w:color w:val="auto"/>
                <w:sz w:val="18"/>
                <w:szCs w:val="18"/>
                <w:highlight w:val="none"/>
                <w:vertAlign w:val="baseline"/>
              </w:rPr>
            </w:pPr>
            <w:r>
              <w:rPr>
                <w:rFonts w:hint="default" w:ascii="Times New Roman" w:hAnsi="Times New Roman" w:cs="Times New Roman"/>
                <w:b/>
                <w:bCs/>
                <w:color w:val="auto"/>
                <w:sz w:val="18"/>
                <w:szCs w:val="18"/>
                <w:highlight w:val="none"/>
              </w:rPr>
              <w:t>陆上石油天然气开采工业大气污染物排放标准（GB 39728</w:t>
            </w:r>
            <w:r>
              <w:rPr>
                <w:rFonts w:hint="eastAsia"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2020）</w:t>
            </w:r>
          </w:p>
        </w:tc>
        <w:tc>
          <w:tcPr>
            <w:tcW w:w="2531" w:type="dxa"/>
            <w:vMerge w:val="continue"/>
            <w:tcBorders>
              <w:left w:val="single" w:color="000000" w:sz="4" w:space="0"/>
              <w:bottom w:val="single" w:color="000000" w:sz="4" w:space="0"/>
              <w:right w:val="single" w:color="000000" w:sz="12" w:space="0"/>
            </w:tcBorders>
            <w:shd w:val="clear" w:color="auto" w:fill="FFFFFF"/>
            <w:vAlign w:val="center"/>
          </w:tcPr>
          <w:p w14:paraId="625D7571">
            <w:pPr>
              <w:keepNext w:val="0"/>
              <w:keepLines w:val="0"/>
              <w:pageBreakBefore w:val="0"/>
              <w:widowControl w:val="0"/>
              <w:shd w:val="clear"/>
              <w:kinsoku/>
              <w:wordWrap/>
              <w:overflowPunct/>
              <w:topLinePunct w:val="0"/>
              <w:autoSpaceDE/>
              <w:autoSpaceDN/>
              <w:bidi w:val="0"/>
              <w:adjustRightInd/>
              <w:snapToGrid/>
              <w:spacing w:line="240" w:lineRule="auto"/>
              <w:ind w:firstLine="360" w:firstLineChars="200"/>
              <w:jc w:val="both"/>
              <w:textAlignment w:val="auto"/>
              <w:rPr>
                <w:rFonts w:hint="eastAsia"/>
                <w:b w:val="0"/>
                <w:color w:val="auto"/>
                <w:sz w:val="18"/>
                <w:szCs w:val="18"/>
                <w:highlight w:val="none"/>
                <w:vertAlign w:val="baseline"/>
              </w:rPr>
            </w:pPr>
          </w:p>
        </w:tc>
      </w:tr>
      <w:tr w14:paraId="32D0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20EDC50D">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5998DC">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rPr>
              <w:t>储油库大气污染物排放标准（GB 20950</w:t>
            </w:r>
            <w:r>
              <w:rPr>
                <w:rFonts w:hint="eastAsia"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2020）</w:t>
            </w:r>
          </w:p>
        </w:tc>
        <w:tc>
          <w:tcPr>
            <w:tcW w:w="2531" w:type="dxa"/>
            <w:vMerge w:val="restart"/>
            <w:tcBorders>
              <w:top w:val="single" w:color="000000" w:sz="4" w:space="0"/>
              <w:left w:val="single" w:color="000000" w:sz="4" w:space="0"/>
              <w:right w:val="single" w:color="000000" w:sz="12" w:space="0"/>
            </w:tcBorders>
            <w:shd w:val="clear" w:color="auto" w:fill="FFFFFF"/>
            <w:vAlign w:val="center"/>
          </w:tcPr>
          <w:p w14:paraId="3FD5A976">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both"/>
              <w:textAlignment w:val="auto"/>
              <w:rPr>
                <w:rFonts w:hint="eastAsia"/>
                <w:b w:val="0"/>
                <w:color w:val="auto"/>
                <w:sz w:val="18"/>
                <w:szCs w:val="18"/>
                <w:highlight w:val="none"/>
                <w:vertAlign w:val="baseline"/>
              </w:rPr>
            </w:pPr>
            <w:r>
              <w:rPr>
                <w:rFonts w:hint="eastAsia" w:cs="Times New Roman"/>
                <w:b w:val="0"/>
                <w:bCs/>
                <w:color w:val="auto"/>
                <w:sz w:val="18"/>
                <w:szCs w:val="18"/>
                <w:highlight w:val="none"/>
                <w:lang w:val="en-US" w:eastAsia="zh-CN"/>
              </w:rPr>
              <w:t>行业标准，</w:t>
            </w:r>
            <w:r>
              <w:rPr>
                <w:rFonts w:hint="default" w:ascii="Times New Roman" w:hAnsi="Times New Roman" w:cs="Times New Roman"/>
                <w:b w:val="0"/>
                <w:bCs/>
                <w:color w:val="auto"/>
                <w:sz w:val="18"/>
                <w:szCs w:val="18"/>
                <w:highlight w:val="none"/>
              </w:rPr>
              <w:t>VOCs物料的流通环节</w:t>
            </w:r>
          </w:p>
        </w:tc>
      </w:tr>
      <w:tr w14:paraId="664D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1AA6D955">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722833">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rPr>
              <w:t>汽油运输大气污染物排放标准（GB 20951</w:t>
            </w:r>
            <w:r>
              <w:rPr>
                <w:rFonts w:hint="eastAsia"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2020）</w:t>
            </w:r>
          </w:p>
        </w:tc>
        <w:tc>
          <w:tcPr>
            <w:tcW w:w="2531" w:type="dxa"/>
            <w:vMerge w:val="continue"/>
            <w:tcBorders>
              <w:left w:val="single" w:color="000000" w:sz="4" w:space="0"/>
              <w:right w:val="single" w:color="000000" w:sz="12" w:space="0"/>
            </w:tcBorders>
            <w:shd w:val="clear" w:color="auto" w:fill="FFFFFF"/>
            <w:vAlign w:val="center"/>
          </w:tcPr>
          <w:p w14:paraId="6ABF402C">
            <w:pPr>
              <w:keepNext w:val="0"/>
              <w:keepLines w:val="0"/>
              <w:pageBreakBefore w:val="0"/>
              <w:widowControl w:val="0"/>
              <w:shd w:val="clear"/>
              <w:kinsoku/>
              <w:wordWrap/>
              <w:overflowPunct/>
              <w:topLinePunct w:val="0"/>
              <w:autoSpaceDE/>
              <w:autoSpaceDN/>
              <w:bidi w:val="0"/>
              <w:adjustRightInd/>
              <w:snapToGrid/>
              <w:spacing w:line="240" w:lineRule="auto"/>
              <w:ind w:firstLine="360" w:firstLineChars="200"/>
              <w:jc w:val="both"/>
              <w:textAlignment w:val="auto"/>
              <w:rPr>
                <w:rFonts w:hint="eastAsia"/>
                <w:b w:val="0"/>
                <w:color w:val="auto"/>
                <w:sz w:val="18"/>
                <w:szCs w:val="18"/>
                <w:highlight w:val="none"/>
                <w:vertAlign w:val="baseline"/>
              </w:rPr>
            </w:pPr>
          </w:p>
        </w:tc>
      </w:tr>
      <w:tr w14:paraId="1FCE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7B1610B8">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9F7F45">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default" w:ascii="宋体" w:hAnsi="宋体" w:eastAsia="宋体" w:cs="宋体"/>
                <w:b w:val="0"/>
                <w:color w:val="auto"/>
                <w:kern w:val="0"/>
                <w:sz w:val="18"/>
                <w:szCs w:val="18"/>
                <w:highlight w:val="none"/>
                <w:lang w:val="en-US" w:eastAsia="zh-CN" w:bidi="ar-SA"/>
              </w:rPr>
            </w:pPr>
            <w:r>
              <w:rPr>
                <w:rFonts w:hint="default" w:ascii="Times New Roman" w:hAnsi="Times New Roman" w:cs="Times New Roman"/>
                <w:b/>
                <w:bCs/>
                <w:color w:val="auto"/>
                <w:sz w:val="18"/>
                <w:szCs w:val="18"/>
                <w:highlight w:val="none"/>
              </w:rPr>
              <w:t>加油站大气污染物排放标准（GB 20952</w:t>
            </w:r>
            <w:r>
              <w:rPr>
                <w:rFonts w:hint="eastAsia"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2020）</w:t>
            </w:r>
          </w:p>
        </w:tc>
        <w:tc>
          <w:tcPr>
            <w:tcW w:w="2531" w:type="dxa"/>
            <w:vMerge w:val="continue"/>
            <w:tcBorders>
              <w:left w:val="single" w:color="000000" w:sz="4" w:space="0"/>
              <w:bottom w:val="single" w:color="000000" w:sz="4" w:space="0"/>
              <w:right w:val="single" w:color="000000" w:sz="12" w:space="0"/>
            </w:tcBorders>
            <w:shd w:val="clear" w:color="auto" w:fill="FFFFFF"/>
            <w:vAlign w:val="center"/>
          </w:tcPr>
          <w:p w14:paraId="55C159AD">
            <w:pPr>
              <w:keepNext w:val="0"/>
              <w:keepLines w:val="0"/>
              <w:pageBreakBefore w:val="0"/>
              <w:widowControl w:val="0"/>
              <w:shd w:val="clear"/>
              <w:kinsoku/>
              <w:wordWrap/>
              <w:overflowPunct/>
              <w:topLinePunct w:val="0"/>
              <w:autoSpaceDE/>
              <w:autoSpaceDN/>
              <w:bidi w:val="0"/>
              <w:adjustRightInd/>
              <w:snapToGrid/>
              <w:spacing w:line="240" w:lineRule="auto"/>
              <w:ind w:firstLine="360" w:firstLineChars="200"/>
              <w:jc w:val="both"/>
              <w:textAlignment w:val="auto"/>
              <w:rPr>
                <w:rFonts w:hint="eastAsia"/>
                <w:b w:val="0"/>
                <w:color w:val="auto"/>
                <w:sz w:val="18"/>
                <w:szCs w:val="18"/>
                <w:highlight w:val="none"/>
                <w:vertAlign w:val="baseline"/>
              </w:rPr>
            </w:pPr>
          </w:p>
        </w:tc>
      </w:tr>
      <w:tr w14:paraId="16B5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12D00312">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6FE304">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default" w:ascii="宋体" w:hAnsi="宋体" w:eastAsia="宋体" w:cs="宋体"/>
                <w:b w:val="0"/>
                <w:color w:val="auto"/>
                <w:kern w:val="0"/>
                <w:sz w:val="18"/>
                <w:szCs w:val="18"/>
                <w:highlight w:val="none"/>
                <w:lang w:val="en-US" w:eastAsia="zh-CN" w:bidi="ar-SA"/>
              </w:rPr>
            </w:pPr>
            <w:r>
              <w:rPr>
                <w:rFonts w:hint="default" w:ascii="Times New Roman" w:hAnsi="Times New Roman" w:cs="Times New Roman"/>
                <w:b w:val="0"/>
                <w:color w:val="auto"/>
                <w:sz w:val="18"/>
                <w:szCs w:val="18"/>
                <w:highlight w:val="none"/>
              </w:rPr>
              <w:t>合成树脂工业污染物排放标准（GB31572</w:t>
            </w:r>
            <w:r>
              <w:rPr>
                <w:rFonts w:hint="eastAsia" w:ascii="Times New Roman" w:hAnsi="Times New Roman" w:cs="Times New Roman"/>
                <w:b w:val="0"/>
                <w:color w:val="auto"/>
                <w:sz w:val="18"/>
                <w:szCs w:val="18"/>
                <w:highlight w:val="none"/>
                <w:lang w:eastAsia="zh-CN"/>
              </w:rPr>
              <w:t>—</w:t>
            </w:r>
            <w:r>
              <w:rPr>
                <w:rFonts w:hint="default" w:ascii="Times New Roman" w:hAnsi="Times New Roman" w:cs="Times New Roman"/>
                <w:b w:val="0"/>
                <w:color w:val="auto"/>
                <w:sz w:val="18"/>
                <w:szCs w:val="18"/>
                <w:highlight w:val="none"/>
              </w:rPr>
              <w:t>2015）</w:t>
            </w:r>
          </w:p>
        </w:tc>
        <w:tc>
          <w:tcPr>
            <w:tcW w:w="2531" w:type="dxa"/>
            <w:vMerge w:val="restart"/>
            <w:tcBorders>
              <w:top w:val="single" w:color="000000" w:sz="4" w:space="0"/>
              <w:left w:val="single" w:color="000000" w:sz="4" w:space="0"/>
              <w:right w:val="single" w:color="000000" w:sz="12" w:space="0"/>
            </w:tcBorders>
            <w:shd w:val="clear" w:color="auto" w:fill="FFFFFF"/>
            <w:vAlign w:val="center"/>
          </w:tcPr>
          <w:p w14:paraId="3E457398">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rPr>
            </w:pPr>
            <w:r>
              <w:rPr>
                <w:rFonts w:hint="eastAsia" w:cs="Times New Roman"/>
                <w:b w:val="0"/>
                <w:bCs/>
                <w:color w:val="auto"/>
                <w:sz w:val="18"/>
                <w:szCs w:val="18"/>
                <w:highlight w:val="none"/>
                <w:lang w:val="en-US" w:eastAsia="zh-CN"/>
              </w:rPr>
              <w:t>行业标准，</w:t>
            </w:r>
            <w:r>
              <w:rPr>
                <w:rFonts w:hint="default" w:ascii="Times New Roman" w:hAnsi="Times New Roman" w:cs="Times New Roman"/>
                <w:b w:val="0"/>
                <w:bCs/>
                <w:color w:val="auto"/>
                <w:sz w:val="18"/>
                <w:szCs w:val="18"/>
                <w:highlight w:val="none"/>
              </w:rPr>
              <w:t>以VOCs为原料的生产过程</w:t>
            </w:r>
          </w:p>
        </w:tc>
      </w:tr>
      <w:tr w14:paraId="7E3D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2A729457">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7B4BFE">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default" w:ascii="宋体" w:hAnsi="宋体" w:eastAsia="宋体" w:cs="宋体"/>
                <w:b w:val="0"/>
                <w:color w:val="auto"/>
                <w:kern w:val="0"/>
                <w:sz w:val="18"/>
                <w:szCs w:val="18"/>
                <w:highlight w:val="none"/>
                <w:lang w:val="en-US" w:eastAsia="zh-CN" w:bidi="ar-SA"/>
              </w:rPr>
            </w:pPr>
            <w:r>
              <w:rPr>
                <w:rFonts w:hint="default" w:ascii="Times New Roman" w:hAnsi="Times New Roman" w:cs="Times New Roman"/>
                <w:b w:val="0"/>
                <w:color w:val="auto"/>
                <w:sz w:val="18"/>
                <w:szCs w:val="18"/>
                <w:highlight w:val="none"/>
              </w:rPr>
              <w:t>烧碱、聚氯乙烯工业污染物排放标准(GB 30484</w:t>
            </w:r>
            <w:r>
              <w:rPr>
                <w:rFonts w:hint="eastAsia" w:ascii="Times New Roman" w:hAnsi="Times New Roman" w:cs="Times New Roman"/>
                <w:b w:val="0"/>
                <w:color w:val="auto"/>
                <w:sz w:val="18"/>
                <w:szCs w:val="18"/>
                <w:highlight w:val="none"/>
                <w:lang w:eastAsia="zh-CN"/>
              </w:rPr>
              <w:t>—</w:t>
            </w:r>
            <w:r>
              <w:rPr>
                <w:rFonts w:hint="default" w:ascii="Times New Roman" w:hAnsi="Times New Roman" w:cs="Times New Roman"/>
                <w:b w:val="0"/>
                <w:color w:val="auto"/>
                <w:sz w:val="18"/>
                <w:szCs w:val="18"/>
                <w:highlight w:val="none"/>
              </w:rPr>
              <w:t>2014)</w:t>
            </w:r>
          </w:p>
        </w:tc>
        <w:tc>
          <w:tcPr>
            <w:tcW w:w="2531" w:type="dxa"/>
            <w:vMerge w:val="continue"/>
            <w:tcBorders>
              <w:left w:val="single" w:color="000000" w:sz="4" w:space="0"/>
              <w:right w:val="single" w:color="000000" w:sz="12" w:space="0"/>
            </w:tcBorders>
            <w:shd w:val="clear" w:color="auto" w:fill="FFFFFF"/>
            <w:vAlign w:val="center"/>
          </w:tcPr>
          <w:p w14:paraId="5E48BA4D">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rPr>
            </w:pPr>
          </w:p>
        </w:tc>
      </w:tr>
      <w:tr w14:paraId="0204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5B790550">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B891B2">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rPr>
              <w:t>制药工业大气污染物排放标准（GB 37823</w:t>
            </w:r>
            <w:r>
              <w:rPr>
                <w:rFonts w:hint="eastAsia"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2019）</w:t>
            </w:r>
          </w:p>
        </w:tc>
        <w:tc>
          <w:tcPr>
            <w:tcW w:w="2531" w:type="dxa"/>
            <w:vMerge w:val="continue"/>
            <w:tcBorders>
              <w:left w:val="single" w:color="000000" w:sz="4" w:space="0"/>
              <w:right w:val="single" w:color="000000" w:sz="12" w:space="0"/>
            </w:tcBorders>
            <w:shd w:val="clear" w:color="auto" w:fill="FFFFFF"/>
            <w:vAlign w:val="center"/>
          </w:tcPr>
          <w:p w14:paraId="5681E9ED">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rPr>
            </w:pPr>
          </w:p>
        </w:tc>
      </w:tr>
      <w:tr w14:paraId="2E46A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41E5E67C">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600281">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rPr>
              <w:t>涂料、油墨和胶粘剂工业大气污染物排放标准(GB 37824</w:t>
            </w:r>
            <w:r>
              <w:rPr>
                <w:rFonts w:hint="eastAsia"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2019）</w:t>
            </w:r>
          </w:p>
        </w:tc>
        <w:tc>
          <w:tcPr>
            <w:tcW w:w="2531" w:type="dxa"/>
            <w:vMerge w:val="continue"/>
            <w:tcBorders>
              <w:left w:val="single" w:color="000000" w:sz="4" w:space="0"/>
              <w:right w:val="single" w:color="000000" w:sz="12" w:space="0"/>
            </w:tcBorders>
            <w:shd w:val="clear" w:color="auto" w:fill="FFFFFF"/>
            <w:vAlign w:val="center"/>
          </w:tcPr>
          <w:p w14:paraId="7BE6AF7A">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rPr>
            </w:pPr>
          </w:p>
        </w:tc>
      </w:tr>
      <w:tr w14:paraId="0DBA9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7566B6C7">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EADF86">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rPr>
              <w:t>农药制造工业大气污染物排放标准（GB 39727</w:t>
            </w:r>
            <w:r>
              <w:rPr>
                <w:rFonts w:hint="eastAsia"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2020）</w:t>
            </w:r>
          </w:p>
        </w:tc>
        <w:tc>
          <w:tcPr>
            <w:tcW w:w="2531" w:type="dxa"/>
            <w:vMerge w:val="continue"/>
            <w:tcBorders>
              <w:left w:val="single" w:color="000000" w:sz="4" w:space="0"/>
              <w:bottom w:val="single" w:color="000000" w:sz="4" w:space="0"/>
              <w:right w:val="single" w:color="000000" w:sz="12" w:space="0"/>
            </w:tcBorders>
            <w:shd w:val="clear" w:color="auto" w:fill="FFFFFF"/>
            <w:vAlign w:val="center"/>
          </w:tcPr>
          <w:p w14:paraId="07E174E5">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rPr>
            </w:pPr>
          </w:p>
        </w:tc>
      </w:tr>
      <w:tr w14:paraId="5359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04951088">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C837CF">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default" w:ascii="宋体" w:hAnsi="宋体" w:eastAsia="宋体" w:cs="宋体"/>
                <w:b w:val="0"/>
                <w:color w:val="auto"/>
                <w:kern w:val="0"/>
                <w:sz w:val="18"/>
                <w:szCs w:val="18"/>
                <w:highlight w:val="none"/>
                <w:lang w:val="en-US" w:eastAsia="zh-CN" w:bidi="ar-SA"/>
              </w:rPr>
            </w:pPr>
            <w:r>
              <w:rPr>
                <w:rFonts w:hint="default" w:ascii="Times New Roman" w:hAnsi="Times New Roman" w:cs="Times New Roman"/>
                <w:b w:val="0"/>
                <w:color w:val="auto"/>
                <w:sz w:val="18"/>
                <w:szCs w:val="18"/>
                <w:highlight w:val="none"/>
              </w:rPr>
              <w:t>轧钢工业大气污染物排放标准（GB 28665</w:t>
            </w:r>
            <w:r>
              <w:rPr>
                <w:rFonts w:hint="eastAsia" w:ascii="Times New Roman" w:hAnsi="Times New Roman" w:cs="Times New Roman"/>
                <w:b w:val="0"/>
                <w:color w:val="auto"/>
                <w:sz w:val="18"/>
                <w:szCs w:val="18"/>
                <w:highlight w:val="none"/>
                <w:lang w:eastAsia="zh-CN"/>
              </w:rPr>
              <w:t>—</w:t>
            </w:r>
            <w:r>
              <w:rPr>
                <w:rFonts w:hint="default" w:ascii="Times New Roman" w:hAnsi="Times New Roman" w:cs="Times New Roman"/>
                <w:b w:val="0"/>
                <w:color w:val="auto"/>
                <w:sz w:val="18"/>
                <w:szCs w:val="18"/>
                <w:highlight w:val="none"/>
              </w:rPr>
              <w:t>2012）</w:t>
            </w:r>
          </w:p>
        </w:tc>
        <w:tc>
          <w:tcPr>
            <w:tcW w:w="2531" w:type="dxa"/>
            <w:vMerge w:val="restart"/>
            <w:tcBorders>
              <w:top w:val="single" w:color="000000" w:sz="4" w:space="0"/>
              <w:left w:val="single" w:color="000000" w:sz="4" w:space="0"/>
              <w:right w:val="single" w:color="000000" w:sz="12" w:space="0"/>
            </w:tcBorders>
            <w:shd w:val="clear" w:color="auto" w:fill="FFFFFF"/>
            <w:vAlign w:val="center"/>
          </w:tcPr>
          <w:p w14:paraId="65EE6A49">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rPr>
            </w:pPr>
            <w:r>
              <w:rPr>
                <w:rFonts w:hint="eastAsia" w:cs="Times New Roman"/>
                <w:b w:val="0"/>
                <w:bCs/>
                <w:color w:val="auto"/>
                <w:sz w:val="18"/>
                <w:szCs w:val="18"/>
                <w:highlight w:val="none"/>
                <w:lang w:val="en-US" w:eastAsia="zh-CN"/>
              </w:rPr>
              <w:t>行业标准，</w:t>
            </w:r>
            <w:r>
              <w:rPr>
                <w:rFonts w:hint="default" w:ascii="Times New Roman" w:hAnsi="Times New Roman" w:cs="Times New Roman"/>
                <w:b w:val="0"/>
                <w:bCs/>
                <w:color w:val="auto"/>
                <w:sz w:val="18"/>
                <w:szCs w:val="18"/>
                <w:highlight w:val="none"/>
              </w:rPr>
              <w:t>含VOCs产品的使用过程</w:t>
            </w:r>
          </w:p>
        </w:tc>
      </w:tr>
      <w:tr w14:paraId="5E37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499C08C4">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D7DA5A">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default" w:ascii="宋体" w:hAnsi="宋体" w:eastAsia="宋体" w:cs="宋体"/>
                <w:b w:val="0"/>
                <w:color w:val="auto"/>
                <w:kern w:val="0"/>
                <w:sz w:val="18"/>
                <w:szCs w:val="18"/>
                <w:highlight w:val="none"/>
                <w:lang w:val="en-US" w:eastAsia="zh-CN" w:bidi="ar-SA"/>
              </w:rPr>
            </w:pPr>
            <w:r>
              <w:rPr>
                <w:rFonts w:hint="default" w:ascii="Times New Roman" w:hAnsi="Times New Roman" w:cs="Times New Roman"/>
                <w:b w:val="0"/>
                <w:color w:val="auto"/>
                <w:sz w:val="18"/>
                <w:szCs w:val="18"/>
                <w:highlight w:val="none"/>
              </w:rPr>
              <w:t>橡胶制品业大气污染物排放标准（GB 27632</w:t>
            </w:r>
            <w:r>
              <w:rPr>
                <w:rFonts w:hint="eastAsia" w:ascii="Times New Roman" w:hAnsi="Times New Roman" w:cs="Times New Roman"/>
                <w:b w:val="0"/>
                <w:color w:val="auto"/>
                <w:sz w:val="18"/>
                <w:szCs w:val="18"/>
                <w:highlight w:val="none"/>
                <w:lang w:eastAsia="zh-CN"/>
              </w:rPr>
              <w:t>—</w:t>
            </w:r>
            <w:r>
              <w:rPr>
                <w:rFonts w:hint="default" w:ascii="Times New Roman" w:hAnsi="Times New Roman" w:cs="Times New Roman"/>
                <w:b w:val="0"/>
                <w:color w:val="auto"/>
                <w:sz w:val="18"/>
                <w:szCs w:val="18"/>
                <w:highlight w:val="none"/>
              </w:rPr>
              <w:t>2011）</w:t>
            </w:r>
          </w:p>
        </w:tc>
        <w:tc>
          <w:tcPr>
            <w:tcW w:w="2531" w:type="dxa"/>
            <w:vMerge w:val="continue"/>
            <w:tcBorders>
              <w:left w:val="single" w:color="000000" w:sz="4" w:space="0"/>
              <w:right w:val="single" w:color="000000" w:sz="12" w:space="0"/>
            </w:tcBorders>
            <w:shd w:val="clear" w:color="auto" w:fill="FFFFFF"/>
            <w:vAlign w:val="center"/>
          </w:tcPr>
          <w:p w14:paraId="7CEF27A8">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rPr>
            </w:pPr>
          </w:p>
        </w:tc>
      </w:tr>
      <w:tr w14:paraId="084F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3D0E856E">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AB1F3E">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default" w:ascii="宋体" w:hAnsi="宋体" w:eastAsia="宋体" w:cs="宋体"/>
                <w:b w:val="0"/>
                <w:color w:val="auto"/>
                <w:kern w:val="0"/>
                <w:sz w:val="18"/>
                <w:szCs w:val="18"/>
                <w:highlight w:val="none"/>
                <w:lang w:val="en-US" w:eastAsia="zh-CN" w:bidi="ar-SA"/>
              </w:rPr>
            </w:pPr>
            <w:r>
              <w:rPr>
                <w:rFonts w:hint="default" w:ascii="Times New Roman" w:hAnsi="Times New Roman" w:cs="Times New Roman"/>
                <w:b w:val="0"/>
                <w:color w:val="auto"/>
                <w:sz w:val="18"/>
                <w:szCs w:val="18"/>
                <w:highlight w:val="none"/>
              </w:rPr>
              <w:t>合成革与人造革工业大气污染物排放标准（GB 21902</w:t>
            </w:r>
            <w:r>
              <w:rPr>
                <w:rFonts w:hint="eastAsia" w:ascii="Times New Roman" w:hAnsi="Times New Roman" w:cs="Times New Roman"/>
                <w:b w:val="0"/>
                <w:color w:val="auto"/>
                <w:sz w:val="18"/>
                <w:szCs w:val="18"/>
                <w:highlight w:val="none"/>
                <w:lang w:eastAsia="zh-CN"/>
              </w:rPr>
              <w:t>—</w:t>
            </w:r>
            <w:r>
              <w:rPr>
                <w:rFonts w:hint="default" w:ascii="Times New Roman" w:hAnsi="Times New Roman" w:cs="Times New Roman"/>
                <w:b w:val="0"/>
                <w:color w:val="auto"/>
                <w:sz w:val="18"/>
                <w:szCs w:val="18"/>
                <w:highlight w:val="none"/>
              </w:rPr>
              <w:t>2008）</w:t>
            </w:r>
          </w:p>
        </w:tc>
        <w:tc>
          <w:tcPr>
            <w:tcW w:w="2531" w:type="dxa"/>
            <w:vMerge w:val="continue"/>
            <w:tcBorders>
              <w:left w:val="single" w:color="000000" w:sz="4" w:space="0"/>
              <w:right w:val="single" w:color="000000" w:sz="12" w:space="0"/>
            </w:tcBorders>
            <w:shd w:val="clear" w:color="auto" w:fill="FFFFFF"/>
            <w:vAlign w:val="center"/>
          </w:tcPr>
          <w:p w14:paraId="76533A47">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rPr>
            </w:pPr>
          </w:p>
        </w:tc>
      </w:tr>
      <w:tr w14:paraId="794C1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3A080428">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86A0DB">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default" w:ascii="宋体" w:hAnsi="宋体" w:eastAsia="宋体" w:cs="宋体"/>
                <w:b w:val="0"/>
                <w:color w:val="auto"/>
                <w:kern w:val="0"/>
                <w:sz w:val="18"/>
                <w:szCs w:val="18"/>
                <w:highlight w:val="none"/>
                <w:lang w:val="en-US" w:eastAsia="zh-CN" w:bidi="ar-SA"/>
              </w:rPr>
            </w:pPr>
            <w:r>
              <w:rPr>
                <w:rFonts w:hint="default" w:ascii="宋体" w:hAnsi="宋体" w:eastAsia="宋体" w:cs="宋体"/>
                <w:b w:val="0"/>
                <w:color w:val="auto"/>
                <w:kern w:val="0"/>
                <w:sz w:val="18"/>
                <w:szCs w:val="18"/>
                <w:highlight w:val="none"/>
                <w:lang w:val="en-US" w:eastAsia="zh-CN" w:bidi="ar-SA"/>
              </w:rPr>
              <w:t>电池工业污染物排放标准</w:t>
            </w:r>
            <w:r>
              <w:rPr>
                <w:rFonts w:hint="default" w:ascii="Times New Roman" w:hAnsi="Times New Roman" w:eastAsia="宋体" w:cs="Times New Roman"/>
                <w:b w:val="0"/>
                <w:color w:val="auto"/>
                <w:sz w:val="18"/>
                <w:szCs w:val="18"/>
                <w:highlight w:val="none"/>
                <w:lang w:val="en-US" w:eastAsia="zh-CN"/>
              </w:rPr>
              <w:t>(GB 30484</w:t>
            </w:r>
            <w:r>
              <w:rPr>
                <w:rFonts w:hint="eastAsia" w:ascii="Times New Roman" w:hAnsi="Times New Roman" w:cs="Times New Roman"/>
                <w:b w:val="0"/>
                <w:color w:val="auto"/>
                <w:sz w:val="18"/>
                <w:szCs w:val="18"/>
                <w:highlight w:val="none"/>
                <w:lang w:val="en-US" w:eastAsia="zh-CN"/>
              </w:rPr>
              <w:t>—</w:t>
            </w:r>
            <w:r>
              <w:rPr>
                <w:rFonts w:hint="default" w:ascii="Times New Roman" w:hAnsi="Times New Roman" w:eastAsia="宋体" w:cs="Times New Roman"/>
                <w:b w:val="0"/>
                <w:color w:val="auto"/>
                <w:sz w:val="18"/>
                <w:szCs w:val="18"/>
                <w:highlight w:val="none"/>
                <w:lang w:val="en-US" w:eastAsia="zh-CN"/>
              </w:rPr>
              <w:t>2013)</w:t>
            </w:r>
          </w:p>
        </w:tc>
        <w:tc>
          <w:tcPr>
            <w:tcW w:w="2531" w:type="dxa"/>
            <w:vMerge w:val="continue"/>
            <w:tcBorders>
              <w:left w:val="single" w:color="000000" w:sz="4" w:space="0"/>
              <w:right w:val="single" w:color="000000" w:sz="12" w:space="0"/>
            </w:tcBorders>
            <w:shd w:val="clear" w:color="auto" w:fill="FFFFFF"/>
            <w:vAlign w:val="center"/>
          </w:tcPr>
          <w:p w14:paraId="242863DA">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rPr>
            </w:pPr>
          </w:p>
        </w:tc>
      </w:tr>
      <w:tr w14:paraId="1AFC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09DB1E27">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602266">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rPr>
              <w:t>铸造工业大气污染物排放标准（GB 39726</w:t>
            </w:r>
            <w:r>
              <w:rPr>
                <w:rFonts w:hint="eastAsia"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2020）</w:t>
            </w:r>
          </w:p>
        </w:tc>
        <w:tc>
          <w:tcPr>
            <w:tcW w:w="2531" w:type="dxa"/>
            <w:vMerge w:val="continue"/>
            <w:tcBorders>
              <w:left w:val="single" w:color="000000" w:sz="4" w:space="0"/>
              <w:right w:val="single" w:color="000000" w:sz="12" w:space="0"/>
            </w:tcBorders>
            <w:shd w:val="clear" w:color="auto" w:fill="FFFFFF"/>
            <w:vAlign w:val="center"/>
          </w:tcPr>
          <w:p w14:paraId="6F111389">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rPr>
            </w:pPr>
          </w:p>
        </w:tc>
      </w:tr>
      <w:tr w14:paraId="6DC2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17F4DCCB">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910E5D">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rPr>
              <w:t>印刷工业大气污染物排放标准（GB 41616</w:t>
            </w:r>
            <w:r>
              <w:rPr>
                <w:rFonts w:hint="eastAsia"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2022）</w:t>
            </w:r>
          </w:p>
        </w:tc>
        <w:tc>
          <w:tcPr>
            <w:tcW w:w="2531" w:type="dxa"/>
            <w:vMerge w:val="continue"/>
            <w:tcBorders>
              <w:left w:val="single" w:color="000000" w:sz="4" w:space="0"/>
              <w:right w:val="single" w:color="000000" w:sz="12" w:space="0"/>
            </w:tcBorders>
            <w:shd w:val="clear" w:color="auto" w:fill="FFFFFF"/>
            <w:vAlign w:val="center"/>
          </w:tcPr>
          <w:p w14:paraId="63DEE68C">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rPr>
            </w:pPr>
          </w:p>
        </w:tc>
      </w:tr>
      <w:tr w14:paraId="7BD1F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7319A2EB">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78D90">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rPr>
              <w:t>玻璃工业大气污染物排放标准（GB 26453</w:t>
            </w:r>
            <w:r>
              <w:rPr>
                <w:rFonts w:hint="eastAsia"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2022）</w:t>
            </w:r>
          </w:p>
        </w:tc>
        <w:tc>
          <w:tcPr>
            <w:tcW w:w="2531" w:type="dxa"/>
            <w:vMerge w:val="continue"/>
            <w:tcBorders>
              <w:left w:val="single" w:color="000000" w:sz="4" w:space="0"/>
              <w:right w:val="single" w:color="000000" w:sz="12" w:space="0"/>
            </w:tcBorders>
            <w:shd w:val="clear" w:color="auto" w:fill="FFFFFF"/>
            <w:vAlign w:val="center"/>
          </w:tcPr>
          <w:p w14:paraId="2FA47CA0">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rPr>
            </w:pPr>
          </w:p>
        </w:tc>
      </w:tr>
      <w:tr w14:paraId="2214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786093F6">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AC6704">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rPr>
              <w:t>矿物棉工业大气污染物排放标准（GB 41617</w:t>
            </w:r>
            <w:r>
              <w:rPr>
                <w:rFonts w:hint="eastAsia"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2022）</w:t>
            </w:r>
          </w:p>
        </w:tc>
        <w:tc>
          <w:tcPr>
            <w:tcW w:w="2531" w:type="dxa"/>
            <w:vMerge w:val="continue"/>
            <w:tcBorders>
              <w:left w:val="single" w:color="000000" w:sz="4" w:space="0"/>
              <w:bottom w:val="single" w:color="000000" w:sz="4" w:space="0"/>
              <w:right w:val="single" w:color="000000" w:sz="12" w:space="0"/>
            </w:tcBorders>
            <w:shd w:val="clear" w:color="auto" w:fill="FFFFFF"/>
            <w:vAlign w:val="center"/>
          </w:tcPr>
          <w:p w14:paraId="2DFE0E4C">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rPr>
            </w:pPr>
          </w:p>
        </w:tc>
      </w:tr>
      <w:tr w14:paraId="0320F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0A9464B6">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2F278B">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胶粘剂挥发性有机化合物限量（GB 33372</w:t>
            </w:r>
            <w:r>
              <w:rPr>
                <w:rFonts w:hint="eastAsia"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2020）</w:t>
            </w:r>
          </w:p>
        </w:tc>
        <w:tc>
          <w:tcPr>
            <w:tcW w:w="2531" w:type="dxa"/>
            <w:vMerge w:val="restart"/>
            <w:tcBorders>
              <w:top w:val="single" w:color="000000" w:sz="4" w:space="0"/>
              <w:left w:val="single" w:color="000000" w:sz="4" w:space="0"/>
              <w:right w:val="single" w:color="000000" w:sz="12" w:space="0"/>
            </w:tcBorders>
            <w:shd w:val="clear" w:color="auto" w:fill="FFFFFF"/>
            <w:vAlign w:val="center"/>
          </w:tcPr>
          <w:p w14:paraId="32042118">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rPr>
            </w:pPr>
            <w:r>
              <w:rPr>
                <w:rFonts w:hint="eastAsia" w:cs="Times New Roman"/>
                <w:b w:val="0"/>
                <w:bCs/>
                <w:color w:val="auto"/>
                <w:sz w:val="18"/>
                <w:szCs w:val="18"/>
                <w:highlight w:val="none"/>
                <w:lang w:val="en-US" w:eastAsia="zh-CN"/>
              </w:rPr>
              <w:t>行业标准，</w:t>
            </w:r>
            <w:r>
              <w:rPr>
                <w:rFonts w:hint="default" w:ascii="Times New Roman" w:hAnsi="Times New Roman" w:cs="Times New Roman"/>
                <w:b w:val="0"/>
                <w:bCs/>
                <w:color w:val="auto"/>
                <w:sz w:val="18"/>
                <w:szCs w:val="18"/>
                <w:highlight w:val="none"/>
              </w:rPr>
              <w:t>VOCs含量限值标准</w:t>
            </w:r>
          </w:p>
        </w:tc>
      </w:tr>
      <w:tr w14:paraId="68CA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4E768C18">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EAB5F">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油墨中可挥发性有机化合物(VOCs)含量的限值（GB 38507</w:t>
            </w:r>
            <w:r>
              <w:rPr>
                <w:rFonts w:hint="eastAsia"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2020）</w:t>
            </w:r>
          </w:p>
        </w:tc>
        <w:tc>
          <w:tcPr>
            <w:tcW w:w="2531" w:type="dxa"/>
            <w:vMerge w:val="continue"/>
            <w:tcBorders>
              <w:left w:val="single" w:color="000000" w:sz="4" w:space="0"/>
              <w:right w:val="single" w:color="000000" w:sz="12" w:space="0"/>
            </w:tcBorders>
            <w:shd w:val="clear" w:color="auto" w:fill="FFFFFF"/>
            <w:vAlign w:val="center"/>
          </w:tcPr>
          <w:p w14:paraId="3D9A53BE">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rPr>
            </w:pPr>
          </w:p>
        </w:tc>
      </w:tr>
      <w:tr w14:paraId="0135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42312EB8">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648643">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清洗剂挥发性有机化合物含量限值（GB 38508</w:t>
            </w:r>
            <w:r>
              <w:rPr>
                <w:rFonts w:hint="eastAsia"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2020）</w:t>
            </w:r>
          </w:p>
        </w:tc>
        <w:tc>
          <w:tcPr>
            <w:tcW w:w="2531" w:type="dxa"/>
            <w:vMerge w:val="continue"/>
            <w:tcBorders>
              <w:left w:val="single" w:color="000000" w:sz="4" w:space="0"/>
              <w:right w:val="single" w:color="000000" w:sz="12" w:space="0"/>
            </w:tcBorders>
            <w:shd w:val="clear" w:color="auto" w:fill="FFFFFF"/>
            <w:vAlign w:val="center"/>
          </w:tcPr>
          <w:p w14:paraId="16479C4D">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rPr>
            </w:pPr>
          </w:p>
        </w:tc>
      </w:tr>
      <w:tr w14:paraId="5ABD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3E469422">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139F15">
            <w:pPr>
              <w:pStyle w:val="31"/>
              <w:keepNext w:val="0"/>
              <w:keepLines w:val="0"/>
              <w:widowControl/>
              <w:suppressLineNumbers w:val="0"/>
              <w:shd w:val="clear"/>
              <w:kinsoku/>
              <w:wordWrap/>
              <w:overflowPunct/>
              <w:spacing w:before="0" w:beforeAutospacing="0" w:after="0" w:afterAutospacing="0" w:line="240" w:lineRule="auto"/>
              <w:ind w:firstLine="0" w:firstLineChars="0"/>
              <w:jc w:val="left"/>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低挥发性有机化合物含量涂料产品技术要求（GB/T 38597</w:t>
            </w:r>
            <w:r>
              <w:rPr>
                <w:rFonts w:hint="eastAsia"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2020）</w:t>
            </w:r>
          </w:p>
        </w:tc>
        <w:tc>
          <w:tcPr>
            <w:tcW w:w="2531" w:type="dxa"/>
            <w:vMerge w:val="continue"/>
            <w:tcBorders>
              <w:left w:val="single" w:color="000000" w:sz="4" w:space="0"/>
              <w:right w:val="single" w:color="000000" w:sz="12" w:space="0"/>
            </w:tcBorders>
            <w:shd w:val="clear" w:color="auto" w:fill="FFFFFF"/>
            <w:vAlign w:val="center"/>
          </w:tcPr>
          <w:p w14:paraId="2AFB5A55">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rPr>
            </w:pPr>
          </w:p>
        </w:tc>
      </w:tr>
      <w:tr w14:paraId="29B02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12BF0F7A">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3ED264">
            <w:pPr>
              <w:pStyle w:val="31"/>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firstLine="0" w:firstLineChars="0"/>
              <w:jc w:val="left"/>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木器涂料中有害物质限量（GB 18581</w:t>
            </w:r>
            <w:r>
              <w:rPr>
                <w:rFonts w:hint="eastAsia"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2020）</w:t>
            </w:r>
          </w:p>
        </w:tc>
        <w:tc>
          <w:tcPr>
            <w:tcW w:w="2531" w:type="dxa"/>
            <w:vMerge w:val="continue"/>
            <w:tcBorders>
              <w:left w:val="single" w:color="000000" w:sz="4" w:space="0"/>
              <w:right w:val="single" w:color="000000" w:sz="12" w:space="0"/>
            </w:tcBorders>
            <w:shd w:val="clear" w:color="auto" w:fill="FFFFFF"/>
            <w:vAlign w:val="center"/>
          </w:tcPr>
          <w:p w14:paraId="723A6C41">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rPr>
            </w:pPr>
          </w:p>
        </w:tc>
      </w:tr>
      <w:tr w14:paraId="4F33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Borders>
              <w:top w:val="single" w:color="000000" w:sz="4" w:space="0"/>
              <w:left w:val="single" w:color="000000" w:sz="12" w:space="0"/>
              <w:bottom w:val="single" w:color="000000" w:sz="4" w:space="0"/>
              <w:right w:val="single" w:color="000000" w:sz="4" w:space="0"/>
            </w:tcBorders>
            <w:shd w:val="clear" w:color="auto" w:fill="FFFFFF"/>
          </w:tcPr>
          <w:p w14:paraId="1127EA61">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color w:val="auto"/>
                <w:sz w:val="18"/>
                <w:szCs w:val="18"/>
                <w:highlight w:val="none"/>
                <w:vertAlign w:val="baseline"/>
              </w:rPr>
            </w:pPr>
          </w:p>
        </w:tc>
        <w:tc>
          <w:tcPr>
            <w:tcW w:w="6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01CB51">
            <w:pPr>
              <w:pStyle w:val="31"/>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firstLine="0" w:firstLineChars="0"/>
              <w:jc w:val="left"/>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车辆涂料中有害物质限量（GB 24409</w:t>
            </w:r>
            <w:r>
              <w:rPr>
                <w:rFonts w:hint="eastAsia"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2020）</w:t>
            </w:r>
          </w:p>
        </w:tc>
        <w:tc>
          <w:tcPr>
            <w:tcW w:w="2531" w:type="dxa"/>
            <w:vMerge w:val="continue"/>
            <w:tcBorders>
              <w:left w:val="single" w:color="000000" w:sz="4" w:space="0"/>
              <w:right w:val="single" w:color="000000" w:sz="12" w:space="0"/>
            </w:tcBorders>
            <w:shd w:val="clear" w:color="auto" w:fill="FFFFFF"/>
            <w:vAlign w:val="center"/>
          </w:tcPr>
          <w:p w14:paraId="40C070A6">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b w:val="0"/>
                <w:color w:val="auto"/>
                <w:sz w:val="18"/>
                <w:szCs w:val="18"/>
                <w:highlight w:val="none"/>
                <w:vertAlign w:val="baseline"/>
              </w:rPr>
            </w:pPr>
          </w:p>
        </w:tc>
      </w:tr>
      <w:tr w14:paraId="76F9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3"/>
            <w:tcBorders>
              <w:top w:val="single" w:color="000000" w:sz="4" w:space="0"/>
              <w:left w:val="single" w:color="000000" w:sz="12" w:space="0"/>
              <w:bottom w:val="single" w:color="000000" w:sz="12" w:space="0"/>
              <w:right w:val="single" w:color="000000" w:sz="12" w:space="0"/>
            </w:tcBorders>
            <w:shd w:val="clear" w:color="auto" w:fill="FFFFFF"/>
          </w:tcPr>
          <w:p w14:paraId="356248BC">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eastAsia="宋体"/>
                <w:b w:val="0"/>
                <w:color w:val="auto"/>
                <w:sz w:val="18"/>
                <w:szCs w:val="18"/>
                <w:highlight w:val="none"/>
                <w:vertAlign w:val="baseline"/>
                <w:lang w:val="en-US" w:eastAsia="zh-CN"/>
              </w:rPr>
            </w:pPr>
            <w:r>
              <w:rPr>
                <w:rFonts w:hint="eastAsia"/>
                <w:b w:val="0"/>
                <w:color w:val="auto"/>
                <w:sz w:val="18"/>
                <w:szCs w:val="18"/>
                <w:highlight w:val="none"/>
                <w:vertAlign w:val="baseline"/>
                <w:lang w:val="en-US" w:eastAsia="zh-CN"/>
              </w:rPr>
              <w:t>注：带*标准为2017年以后发布的标准。</w:t>
            </w:r>
          </w:p>
        </w:tc>
      </w:tr>
    </w:tbl>
    <w:p w14:paraId="63424746">
      <w:pPr>
        <w:shd w:val="clear"/>
        <w:rPr>
          <w:rFonts w:hint="eastAsia"/>
          <w:color w:val="auto"/>
          <w:highlight w:val="none"/>
        </w:rPr>
      </w:pPr>
    </w:p>
    <w:p w14:paraId="1E744D55">
      <w:pPr>
        <w:pStyle w:val="4"/>
        <w:shd w:val="clear"/>
        <w:bidi w:val="0"/>
        <w:ind w:left="0" w:leftChars="0" w:firstLine="0" w:firstLineChars="0"/>
        <w:rPr>
          <w:color w:val="auto"/>
          <w:highlight w:val="none"/>
        </w:rPr>
      </w:pPr>
      <w:r>
        <w:rPr>
          <w:rFonts w:hint="eastAsia"/>
          <w:color w:val="auto"/>
          <w:highlight w:val="none"/>
          <w:lang w:eastAsia="zh-CN"/>
        </w:rPr>
        <w:t>涂料相关标准</w:t>
      </w:r>
    </w:p>
    <w:p w14:paraId="5A1EB37B">
      <w:pPr>
        <w:shd w:val="clear"/>
        <w:jc w:val="both"/>
        <w:rPr>
          <w:rFonts w:hint="default"/>
          <w:color w:val="auto"/>
          <w:highlight w:val="none"/>
          <w:lang w:val="en-US" w:eastAsia="zh-CN"/>
        </w:rPr>
      </w:pPr>
      <w:r>
        <w:rPr>
          <w:rFonts w:hint="eastAsia"/>
          <w:color w:val="auto"/>
          <w:highlight w:val="none"/>
          <w:lang w:eastAsia="zh-CN"/>
        </w:rPr>
        <w:t>工业涂料中挥发性有机物的种类和含量决定了喷涂工序排放的挥发性有机物种类。国家标准《工业防护涂料中有害物质限量》（GB</w:t>
      </w:r>
      <w:r>
        <w:rPr>
          <w:rFonts w:hint="eastAsia"/>
          <w:color w:val="auto"/>
          <w:highlight w:val="none"/>
          <w:lang w:val="en-US" w:eastAsia="zh-CN"/>
        </w:rPr>
        <w:t xml:space="preserve"> </w:t>
      </w:r>
      <w:r>
        <w:rPr>
          <w:rFonts w:hint="eastAsia"/>
          <w:color w:val="auto"/>
          <w:highlight w:val="none"/>
          <w:lang w:eastAsia="zh-CN"/>
        </w:rPr>
        <w:t>30981—2020）规定了除腻子以外的对金属、混凝土、塑胶等表面进行防护的各类工业防护涂料（船舶涂料除外）中挥发性有机物和有害物质含量限值。根据涂料的用途（底漆、中漆、面漆、清漆）及适用行业，水性涂料</w:t>
      </w:r>
      <w:r>
        <w:rPr>
          <w:rFonts w:hint="eastAsia"/>
          <w:color w:val="auto"/>
          <w:highlight w:val="none"/>
          <w:lang w:val="en-US" w:eastAsia="zh-CN"/>
        </w:rPr>
        <w:t>VOCs的限值在250～480 g/L之间，溶剂型涂料VOCs的限值在480～780 g/L之间。无溶剂型涂料VOCs限值则为100g/L。《木器涂料中有害物质限量》（GB 18581—2020）、《车辆涂料中有害物质限量》（GB 24409—2020）规定了各类产品中挥发性有机物及有害物质限量。此外，《胶粘剂挥发性有机化合物限量》（GB 33372—2020）、《油墨中可挥发性有机化合物(VOCs)含量的限值》（GB 38507—2020）、《清洗剂挥发性有机化合物含量限值》（GB 38508—2020）《低挥发性有机化合物含量涂料产品技术要求》（GB/T 38597—2020）规定了低挥发性有机化合物涂料产品技术要求。</w:t>
      </w:r>
    </w:p>
    <w:p w14:paraId="42D86A0B">
      <w:pPr>
        <w:pStyle w:val="4"/>
        <w:shd w:val="clear"/>
        <w:bidi w:val="0"/>
        <w:ind w:left="0" w:leftChars="0" w:firstLine="0" w:firstLineChars="0"/>
        <w:rPr>
          <w:rFonts w:hint="eastAsia"/>
          <w:color w:val="auto"/>
          <w:highlight w:val="none"/>
          <w:lang w:val="en-US" w:eastAsia="zh-CN"/>
        </w:rPr>
      </w:pPr>
      <w:r>
        <w:rPr>
          <w:rFonts w:hint="eastAsia"/>
          <w:color w:val="auto"/>
          <w:highlight w:val="none"/>
          <w:lang w:val="en-US" w:eastAsia="zh-CN"/>
        </w:rPr>
        <w:t>地方标准</w:t>
      </w:r>
    </w:p>
    <w:p w14:paraId="1028F32D">
      <w:pPr>
        <w:shd w:val="clear"/>
        <w:rPr>
          <w:rFonts w:hint="default" w:eastAsia="宋体"/>
          <w:color w:val="auto"/>
          <w:highlight w:val="none"/>
          <w:lang w:val="en-US" w:eastAsia="zh-CN"/>
        </w:rPr>
      </w:pPr>
      <w:r>
        <w:rPr>
          <w:rFonts w:hint="eastAsia"/>
          <w:color w:val="auto"/>
          <w:highlight w:val="none"/>
          <w:lang w:val="en-US" w:eastAsia="zh-CN"/>
        </w:rPr>
        <w:t>截至2025年7月，</w:t>
      </w:r>
      <w:r>
        <w:rPr>
          <w:rFonts w:hint="eastAsia"/>
          <w:color w:val="auto"/>
          <w:highlight w:val="none"/>
          <w:lang w:eastAsia="zh-CN"/>
        </w:rPr>
        <w:t>全国已有</w:t>
      </w:r>
      <w:r>
        <w:rPr>
          <w:rFonts w:hint="eastAsia"/>
          <w:color w:val="auto"/>
          <w:highlight w:val="none"/>
          <w:lang w:val="en-US" w:eastAsia="zh-CN"/>
        </w:rPr>
        <w:t>26个省级行政区</w:t>
      </w:r>
      <w:r>
        <w:rPr>
          <w:rFonts w:hint="eastAsia"/>
          <w:color w:val="auto"/>
          <w:highlight w:val="none"/>
        </w:rPr>
        <w:t>发布了</w:t>
      </w:r>
      <w:r>
        <w:rPr>
          <w:rFonts w:hint="eastAsia"/>
          <w:color w:val="auto"/>
          <w:highlight w:val="none"/>
          <w:lang w:val="en-US" w:eastAsia="zh-CN"/>
        </w:rPr>
        <w:t>99项涉及</w:t>
      </w:r>
      <w:r>
        <w:rPr>
          <w:rFonts w:hint="eastAsia"/>
          <w:color w:val="auto"/>
          <w:highlight w:val="none"/>
          <w:lang w:eastAsia="zh-CN"/>
        </w:rPr>
        <w:t>挥发性有机物排放控制的</w:t>
      </w:r>
      <w:r>
        <w:rPr>
          <w:rFonts w:hint="eastAsia"/>
          <w:color w:val="auto"/>
          <w:highlight w:val="none"/>
        </w:rPr>
        <w:t>地方标准。</w:t>
      </w:r>
      <w:r>
        <w:rPr>
          <w:rFonts w:hint="eastAsia"/>
          <w:color w:val="auto"/>
          <w:highlight w:val="none"/>
          <w:lang w:eastAsia="zh-CN"/>
        </w:rPr>
        <w:t>总体来看，</w:t>
      </w:r>
      <w:r>
        <w:rPr>
          <w:rFonts w:hint="eastAsia"/>
          <w:color w:val="auto"/>
          <w:highlight w:val="none"/>
          <w:lang w:val="en-US" w:eastAsia="zh-CN"/>
        </w:rPr>
        <w:t>18省共计发布了81项特定行业的大气污染物排放标准，主要包括家具制造业、</w:t>
      </w:r>
      <w:r>
        <w:rPr>
          <w:rFonts w:hint="eastAsia"/>
          <w:color w:val="auto"/>
          <w:highlight w:val="none"/>
        </w:rPr>
        <w:t>汽车制造业、印刷工业、电子工业、</w:t>
      </w:r>
      <w:r>
        <w:rPr>
          <w:rFonts w:hint="eastAsia"/>
          <w:color w:val="auto"/>
          <w:highlight w:val="none"/>
          <w:lang w:eastAsia="zh-CN"/>
        </w:rPr>
        <w:t>农药、制药、</w:t>
      </w:r>
      <w:r>
        <w:rPr>
          <w:rFonts w:hint="eastAsia"/>
          <w:color w:val="auto"/>
          <w:highlight w:val="none"/>
        </w:rPr>
        <w:t>有机化学品制造业</w:t>
      </w:r>
      <w:r>
        <w:rPr>
          <w:rFonts w:hint="eastAsia"/>
          <w:color w:val="auto"/>
          <w:highlight w:val="none"/>
          <w:lang w:eastAsia="zh-CN"/>
        </w:rPr>
        <w:t>等行业</w:t>
      </w:r>
      <w:r>
        <w:rPr>
          <w:rFonts w:hint="eastAsia"/>
          <w:color w:val="auto"/>
          <w:highlight w:val="none"/>
          <w:lang w:val="en-US" w:eastAsia="zh-CN"/>
        </w:rPr>
        <w:t>。</w:t>
      </w:r>
      <w:r>
        <w:rPr>
          <w:rFonts w:hint="eastAsia"/>
          <w:color w:val="auto"/>
          <w:highlight w:val="none"/>
          <w:lang w:eastAsia="zh-CN"/>
        </w:rPr>
        <w:t>关于挥发性有机物的通用控制标准或关于涂装工序挥发性有机物排放控制的通用型标准分别有</w:t>
      </w:r>
      <w:r>
        <w:rPr>
          <w:rFonts w:hint="eastAsia"/>
          <w:color w:val="auto"/>
          <w:highlight w:val="none"/>
          <w:lang w:val="en-US" w:eastAsia="zh-CN"/>
        </w:rPr>
        <w:t>6项和7项，</w:t>
      </w:r>
      <w:r>
        <w:rPr>
          <w:rFonts w:hint="eastAsia"/>
          <w:color w:val="auto"/>
          <w:highlight w:val="none"/>
          <w:lang w:eastAsia="zh-CN"/>
        </w:rPr>
        <w:t>在标准体系中发挥了重要作用</w:t>
      </w:r>
      <w:r>
        <w:rPr>
          <w:rFonts w:hint="eastAsia"/>
          <w:color w:val="auto"/>
          <w:highlight w:val="none"/>
          <w:lang w:val="en-US" w:eastAsia="zh-CN"/>
        </w:rPr>
        <w:t>。北京、上海、江苏、山东、重庆等5省（市）发布的大气综合排放标准，涉及部分挥发性有机污染物的排放。</w:t>
      </w:r>
    </w:p>
    <w:p w14:paraId="5502673D">
      <w:pPr>
        <w:shd w:val="clear"/>
        <w:rPr>
          <w:rFonts w:hint="eastAsia"/>
          <w:color w:val="auto"/>
          <w:highlight w:val="none"/>
        </w:rPr>
      </w:pPr>
      <w:r>
        <w:rPr>
          <w:rFonts w:hint="eastAsia"/>
          <w:color w:val="auto"/>
          <w:highlight w:val="none"/>
        </w:rPr>
        <w:t>在污染物控制项目上，均有苯和挥发性有机物，综合指标表征方面，北京、河北、陕西和福建四省市以非甲烷总烃来表征，天津市标准用非甲烷总烃和总反应活性挥发性有机物（TRVOC）来表征，浙江省用NMHC和TVOC来表征，其余标准以TVOC的形式来表征。除苯之外，各地标准对苯系物中的其他物种也设置了相应的控制因子。北京、浙江和福建除甲苯外，将苯系物列为了控制因子，其余省市标准将甲苯和二甲苯列为了控制因子。有所不同的是，山东、陕西和四川三省对甲苯和二甲苯分别设置了浓度限值，而河北和天津两省市仅对两者之和设置了浓度限值。浙江省标准设置的控制因子相对较多，增加了甲醛、臭气和乙酸乙酯三种控制因子。在浓度限值设置方面，北京、河北、天津和四川四省市标准针对现有企业和新建企业设置了不同的排放限值，浙江省标准设置了一般限值和特别排放限值，其余标准没有区分。综合来看，浙江省标准限值相对较为宽松，北京、天津和陕西标准限值相对较严。</w:t>
      </w:r>
    </w:p>
    <w:p w14:paraId="5D32BD0F">
      <w:pPr>
        <w:shd w:val="clear"/>
        <w:rPr>
          <w:rFonts w:hint="default"/>
          <w:b w:val="0"/>
          <w:color w:val="auto"/>
          <w:sz w:val="24"/>
          <w:szCs w:val="24"/>
          <w:highlight w:val="none"/>
          <w:lang w:val="en-US" w:eastAsia="zh-CN"/>
        </w:rPr>
      </w:pPr>
      <w:r>
        <w:rPr>
          <w:rFonts w:hint="eastAsia"/>
          <w:color w:val="auto"/>
          <w:sz w:val="24"/>
          <w:szCs w:val="24"/>
          <w:highlight w:val="none"/>
          <w:lang w:val="en-US" w:eastAsia="zh-CN"/>
        </w:rPr>
        <w:t>值得注意的是，</w:t>
      </w:r>
      <w:r>
        <w:rPr>
          <w:rFonts w:hint="eastAsia" w:eastAsia="宋体"/>
          <w:color w:val="auto"/>
          <w:sz w:val="24"/>
          <w:szCs w:val="24"/>
          <w:highlight w:val="none"/>
          <w:lang w:val="en-US" w:eastAsia="zh-CN"/>
        </w:rPr>
        <w:t>浙江省工业涂装工序大气污染物排放标准（</w:t>
      </w:r>
      <w:r>
        <w:rPr>
          <w:rFonts w:hint="default" w:eastAsia="宋体"/>
          <w:color w:val="auto"/>
          <w:sz w:val="24"/>
          <w:szCs w:val="24"/>
          <w:highlight w:val="none"/>
          <w:lang w:val="en-US" w:eastAsia="zh-CN"/>
        </w:rPr>
        <w:t>DB33/</w:t>
      </w:r>
      <w:r>
        <w:rPr>
          <w:rFonts w:hint="eastAsia"/>
          <w:color w:val="auto"/>
          <w:sz w:val="24"/>
          <w:szCs w:val="24"/>
          <w:highlight w:val="none"/>
          <w:lang w:val="en-US" w:eastAsia="zh-CN"/>
        </w:rPr>
        <w:t xml:space="preserve"> </w:t>
      </w:r>
      <w:r>
        <w:rPr>
          <w:rFonts w:hint="default" w:eastAsia="宋体"/>
          <w:color w:val="auto"/>
          <w:sz w:val="24"/>
          <w:szCs w:val="24"/>
          <w:highlight w:val="none"/>
          <w:lang w:val="en-US" w:eastAsia="zh-CN"/>
        </w:rPr>
        <w:t>2146—2018</w:t>
      </w:r>
      <w:r>
        <w:rPr>
          <w:rFonts w:hint="eastAsia" w:eastAsia="宋体"/>
          <w:color w:val="auto"/>
          <w:sz w:val="24"/>
          <w:szCs w:val="24"/>
          <w:highlight w:val="none"/>
          <w:lang w:val="en-US" w:eastAsia="zh-CN"/>
        </w:rPr>
        <w:t>）规定了</w:t>
      </w:r>
      <w:r>
        <w:rPr>
          <w:rFonts w:hint="eastAsia"/>
          <w:color w:val="auto"/>
          <w:sz w:val="24"/>
          <w:szCs w:val="24"/>
          <w:highlight w:val="none"/>
          <w:lang w:val="en-US" w:eastAsia="zh-CN"/>
        </w:rPr>
        <w:t>涉</w:t>
      </w:r>
      <w:r>
        <w:rPr>
          <w:rFonts w:hint="eastAsia" w:eastAsia="宋体"/>
          <w:color w:val="auto"/>
          <w:sz w:val="24"/>
          <w:szCs w:val="24"/>
          <w:highlight w:val="none"/>
          <w:lang w:val="en-US" w:eastAsia="zh-CN"/>
        </w:rPr>
        <w:t>甲醛</w:t>
      </w:r>
      <w:r>
        <w:rPr>
          <w:rFonts w:hint="eastAsia"/>
          <w:color w:val="auto"/>
          <w:sz w:val="24"/>
          <w:szCs w:val="24"/>
          <w:highlight w:val="none"/>
          <w:lang w:val="en-US" w:eastAsia="zh-CN"/>
        </w:rPr>
        <w:t>、</w:t>
      </w:r>
      <w:r>
        <w:rPr>
          <w:rFonts w:hint="eastAsia" w:eastAsia="宋体"/>
          <w:color w:val="auto"/>
          <w:sz w:val="24"/>
          <w:szCs w:val="24"/>
          <w:highlight w:val="none"/>
          <w:lang w:val="en-US" w:eastAsia="zh-CN"/>
        </w:rPr>
        <w:t>苯乙烯</w:t>
      </w:r>
      <w:r>
        <w:rPr>
          <w:rFonts w:hint="eastAsia"/>
          <w:color w:val="auto"/>
          <w:sz w:val="24"/>
          <w:szCs w:val="24"/>
          <w:highlight w:val="none"/>
          <w:lang w:val="en-US" w:eastAsia="zh-CN"/>
        </w:rPr>
        <w:t>和</w:t>
      </w:r>
      <w:r>
        <w:rPr>
          <w:rFonts w:hint="eastAsia" w:eastAsia="宋体"/>
          <w:color w:val="auto"/>
          <w:sz w:val="24"/>
          <w:szCs w:val="24"/>
          <w:highlight w:val="none"/>
          <w:lang w:val="en-US" w:eastAsia="zh-CN"/>
        </w:rPr>
        <w:t>乙酸酯</w:t>
      </w:r>
      <w:r>
        <w:rPr>
          <w:rFonts w:hint="eastAsia"/>
          <w:color w:val="auto"/>
          <w:sz w:val="24"/>
          <w:szCs w:val="24"/>
          <w:highlight w:val="none"/>
          <w:lang w:val="en-US" w:eastAsia="zh-CN"/>
        </w:rPr>
        <w:t>类的</w:t>
      </w:r>
      <w:r>
        <w:rPr>
          <w:rFonts w:hint="eastAsia" w:eastAsia="宋体"/>
          <w:color w:val="auto"/>
          <w:sz w:val="24"/>
          <w:szCs w:val="24"/>
          <w:highlight w:val="none"/>
          <w:lang w:val="en-US" w:eastAsia="zh-CN"/>
        </w:rPr>
        <w:t>控制限值</w:t>
      </w:r>
      <w:r>
        <w:rPr>
          <w:rFonts w:hint="eastAsia"/>
          <w:b w:val="0"/>
          <w:color w:val="auto"/>
          <w:sz w:val="24"/>
          <w:szCs w:val="24"/>
          <w:highlight w:val="none"/>
          <w:lang w:val="en-US" w:eastAsia="zh-CN"/>
        </w:rPr>
        <w:t>。安徽省</w:t>
      </w:r>
      <w:r>
        <w:rPr>
          <w:rFonts w:hint="default"/>
          <w:b w:val="0"/>
          <w:color w:val="auto"/>
          <w:sz w:val="24"/>
          <w:szCs w:val="24"/>
          <w:highlight w:val="none"/>
          <w:lang w:val="en-US" w:eastAsia="zh-CN"/>
        </w:rPr>
        <w:t>《固定源挥发性有机物综合排放标准第6部分其他行业》（DB34/</w:t>
      </w:r>
      <w:r>
        <w:rPr>
          <w:rFonts w:hint="eastAsia"/>
          <w:b w:val="0"/>
          <w:color w:val="auto"/>
          <w:sz w:val="24"/>
          <w:szCs w:val="24"/>
          <w:highlight w:val="none"/>
          <w:lang w:val="en-US" w:eastAsia="zh-CN"/>
        </w:rPr>
        <w:t xml:space="preserve"> </w:t>
      </w:r>
      <w:r>
        <w:rPr>
          <w:rFonts w:hint="default"/>
          <w:b w:val="0"/>
          <w:color w:val="auto"/>
          <w:sz w:val="24"/>
          <w:szCs w:val="24"/>
          <w:highlight w:val="none"/>
          <w:lang w:val="en-US" w:eastAsia="zh-CN"/>
        </w:rPr>
        <w:t>4812.6—2024)</w:t>
      </w:r>
      <w:r>
        <w:rPr>
          <w:rFonts w:hint="eastAsia"/>
          <w:b w:val="0"/>
          <w:color w:val="auto"/>
          <w:sz w:val="24"/>
          <w:szCs w:val="24"/>
          <w:highlight w:val="none"/>
          <w:lang w:val="en-US" w:eastAsia="zh-CN"/>
        </w:rPr>
        <w:t>（</w:t>
      </w:r>
      <w:r>
        <w:rPr>
          <w:rFonts w:hint="default"/>
          <w:b w:val="0"/>
          <w:color w:val="auto"/>
          <w:sz w:val="24"/>
          <w:szCs w:val="24"/>
          <w:highlight w:val="none"/>
          <w:lang w:val="en-US" w:eastAsia="zh-CN"/>
        </w:rPr>
        <w:t>其他涉表面涂装工序的工业）</w:t>
      </w:r>
      <w:r>
        <w:rPr>
          <w:rFonts w:hint="eastAsia"/>
          <w:b w:val="0"/>
          <w:color w:val="auto"/>
          <w:sz w:val="24"/>
          <w:szCs w:val="24"/>
          <w:highlight w:val="none"/>
          <w:lang w:val="en-US" w:eastAsia="zh-CN"/>
        </w:rPr>
        <w:t>还规定了乙酸乙酯和乙酸丁酯的排放浓度，均为50 mg/m</w:t>
      </w:r>
      <w:r>
        <w:rPr>
          <w:rFonts w:hint="eastAsia"/>
          <w:b w:val="0"/>
          <w:color w:val="auto"/>
          <w:sz w:val="24"/>
          <w:szCs w:val="24"/>
          <w:highlight w:val="none"/>
          <w:vertAlign w:val="superscript"/>
          <w:lang w:val="en-US" w:eastAsia="zh-CN"/>
        </w:rPr>
        <w:t>3</w:t>
      </w:r>
      <w:r>
        <w:rPr>
          <w:rFonts w:hint="eastAsia"/>
          <w:b w:val="0"/>
          <w:color w:val="auto"/>
          <w:sz w:val="24"/>
          <w:szCs w:val="24"/>
          <w:highlight w:val="none"/>
          <w:lang w:val="en-US" w:eastAsia="zh-CN"/>
        </w:rPr>
        <w:t>；标准中总挥发性有机物是采用规定的监测方法，对废气中的单项VOCs物质进行测量，加和得到VOCs物质的总量，即单项VOCs物质的质量浓度之和，实际工作中，应按预期分析结果，对占总量90%以上的单项VOCs物质进行测量，加和得出。福建省《工业涂装工序挥发性有机物排放标准》（DB35/ 1783—2018）（涉涂装工序的其他行业）未规定TVOC控制限值，规定了乙酸乙酯与乙酸丁酯合计限值，为50 mg/m</w:t>
      </w:r>
      <w:r>
        <w:rPr>
          <w:rFonts w:hint="eastAsia"/>
          <w:b w:val="0"/>
          <w:color w:val="auto"/>
          <w:sz w:val="24"/>
          <w:szCs w:val="24"/>
          <w:highlight w:val="none"/>
          <w:vertAlign w:val="superscript"/>
          <w:lang w:val="en-US" w:eastAsia="zh-CN"/>
        </w:rPr>
        <w:t>3</w:t>
      </w:r>
      <w:r>
        <w:rPr>
          <w:rFonts w:hint="eastAsia"/>
          <w:b w:val="0"/>
          <w:color w:val="auto"/>
          <w:sz w:val="24"/>
          <w:szCs w:val="24"/>
          <w:highlight w:val="none"/>
          <w:lang w:val="en-US" w:eastAsia="zh-CN"/>
        </w:rPr>
        <w:t>。</w:t>
      </w:r>
    </w:p>
    <w:p w14:paraId="39809EFA">
      <w:pPr>
        <w:shd w:val="clear"/>
        <w:rPr>
          <w:rFonts w:hint="eastAsia"/>
          <w:color w:val="auto"/>
          <w:highlight w:val="none"/>
          <w:vertAlign w:val="baseline"/>
          <w:lang w:val="en-US" w:eastAsia="zh-CN"/>
        </w:rPr>
      </w:pPr>
      <w:r>
        <w:rPr>
          <w:rFonts w:hint="eastAsia"/>
          <w:color w:val="auto"/>
          <w:highlight w:val="none"/>
          <w:vertAlign w:val="baseline"/>
          <w:lang w:val="en-US" w:eastAsia="zh-CN"/>
        </w:rPr>
        <w:t>山东省挥发性有机物系列排放标准（DB37/ 2801.1～7）、四川省固定污染源大气挥发性有机物排放标准（DB51/ 2377—2017）规定的VOCs排放限值采用HJ 38的方法测量，实质上等同于非甲烷总烃。</w:t>
      </w:r>
    </w:p>
    <w:p w14:paraId="39F2F139">
      <w:pPr>
        <w:shd w:val="clear"/>
        <w:rPr>
          <w:rFonts w:hint="eastAsia"/>
          <w:color w:val="auto"/>
          <w:highlight w:val="none"/>
          <w:vertAlign w:val="baseline"/>
          <w:lang w:val="en-US" w:eastAsia="zh-CN"/>
        </w:rPr>
      </w:pPr>
      <w:r>
        <w:rPr>
          <w:rFonts w:hint="eastAsia"/>
          <w:color w:val="auto"/>
          <w:highlight w:val="none"/>
          <w:vertAlign w:val="baseline"/>
          <w:lang w:val="en-US" w:eastAsia="zh-CN"/>
        </w:rPr>
        <w:t>河南省《工业涂装工序挥发性有机物排放标准》（DB41/ 1951—2020）仅规定了苯、甲苯与二甲苯合计、非甲烷总烃等3项控制项目。广东省《固定污染源挥发性有机物综合排放标准》（DB44/ 2367—2022）规定了苯、苯系物、非甲烷总烃和TVOC的排放限值，其中，TVOC“根据企业使用的原料、生产工艺过程和有关环境管理要求，筛选确定计入TVOC的物质；待国家污染物监测方法标准发布后实施”。</w:t>
      </w:r>
    </w:p>
    <w:bookmarkEnd w:id="326"/>
    <w:bookmarkEnd w:id="327"/>
    <w:bookmarkEnd w:id="328"/>
    <w:bookmarkEnd w:id="329"/>
    <w:p w14:paraId="4C421DD8">
      <w:pPr>
        <w:pStyle w:val="2"/>
        <w:shd w:val="clear"/>
        <w:rPr>
          <w:color w:val="auto"/>
          <w:highlight w:val="none"/>
        </w:rPr>
      </w:pPr>
      <w:bookmarkStart w:id="331" w:name="_Toc86759987"/>
      <w:bookmarkEnd w:id="331"/>
      <w:bookmarkStart w:id="332" w:name="_Toc86766954"/>
      <w:bookmarkEnd w:id="332"/>
      <w:bookmarkStart w:id="333" w:name="_Toc86766953"/>
      <w:bookmarkEnd w:id="333"/>
      <w:bookmarkStart w:id="334" w:name="_Toc86766952"/>
      <w:bookmarkEnd w:id="334"/>
      <w:bookmarkStart w:id="335" w:name="_Toc86759991"/>
      <w:bookmarkEnd w:id="335"/>
      <w:bookmarkStart w:id="336" w:name="_Toc86766946"/>
      <w:bookmarkEnd w:id="336"/>
      <w:bookmarkStart w:id="337" w:name="_Toc86759992"/>
      <w:bookmarkEnd w:id="337"/>
      <w:bookmarkStart w:id="338" w:name="_Toc86759994"/>
      <w:bookmarkEnd w:id="338"/>
      <w:bookmarkStart w:id="339" w:name="_Toc86759986"/>
      <w:bookmarkEnd w:id="339"/>
      <w:bookmarkStart w:id="340" w:name="_Toc86759993"/>
      <w:bookmarkEnd w:id="340"/>
      <w:bookmarkStart w:id="341" w:name="_Toc86766951"/>
      <w:bookmarkEnd w:id="341"/>
      <w:bookmarkStart w:id="342" w:name="_Toc86759995"/>
      <w:bookmarkEnd w:id="342"/>
      <w:bookmarkStart w:id="343" w:name="_Toc86766955"/>
      <w:bookmarkEnd w:id="343"/>
      <w:bookmarkStart w:id="344" w:name="_Toc86766947"/>
      <w:bookmarkEnd w:id="344"/>
      <w:bookmarkStart w:id="345" w:name="_Toc6964"/>
      <w:bookmarkStart w:id="346" w:name="_Toc15777"/>
      <w:bookmarkStart w:id="347" w:name="_Toc30871"/>
      <w:bookmarkStart w:id="348" w:name="_Toc1720"/>
      <w:bookmarkStart w:id="349" w:name="_Toc32113"/>
      <w:bookmarkStart w:id="350" w:name="_Toc8218"/>
      <w:r>
        <w:rPr>
          <w:rFonts w:hint="eastAsia"/>
          <w:color w:val="auto"/>
          <w:highlight w:val="none"/>
          <w:lang w:val="en-US" w:eastAsia="zh-CN"/>
        </w:rPr>
        <w:t>实施本文件的成本效益分析</w:t>
      </w:r>
      <w:bookmarkEnd w:id="345"/>
      <w:bookmarkEnd w:id="346"/>
      <w:bookmarkEnd w:id="347"/>
      <w:bookmarkEnd w:id="348"/>
      <w:bookmarkEnd w:id="349"/>
      <w:bookmarkEnd w:id="350"/>
    </w:p>
    <w:p w14:paraId="111D6C36">
      <w:pPr>
        <w:pStyle w:val="3"/>
        <w:shd w:val="clear"/>
        <w:bidi w:val="0"/>
        <w:ind w:left="575" w:leftChars="0" w:hanging="575" w:firstLineChars="0"/>
        <w:rPr>
          <w:rFonts w:hint="eastAsia"/>
          <w:color w:val="auto"/>
          <w:highlight w:val="none"/>
          <w:lang w:val="en-US" w:eastAsia="zh-CN"/>
        </w:rPr>
      </w:pPr>
      <w:bookmarkStart w:id="351" w:name="bookmark95"/>
      <w:bookmarkEnd w:id="351"/>
      <w:bookmarkStart w:id="352" w:name="_Toc2662"/>
      <w:bookmarkStart w:id="353" w:name="_Toc20579"/>
      <w:bookmarkStart w:id="354" w:name="_Toc18428"/>
      <w:bookmarkStart w:id="355" w:name="_Toc27492"/>
      <w:bookmarkStart w:id="356" w:name="_Toc25453"/>
      <w:bookmarkStart w:id="357" w:name="_Toc26738"/>
      <w:r>
        <w:rPr>
          <w:rFonts w:hint="eastAsia"/>
          <w:color w:val="auto"/>
          <w:highlight w:val="none"/>
          <w:lang w:val="en-US" w:eastAsia="zh-CN"/>
        </w:rPr>
        <w:t>实施本文件的环境效益</w:t>
      </w:r>
      <w:bookmarkEnd w:id="352"/>
      <w:bookmarkEnd w:id="353"/>
      <w:bookmarkEnd w:id="354"/>
      <w:bookmarkEnd w:id="355"/>
      <w:bookmarkEnd w:id="356"/>
      <w:bookmarkEnd w:id="357"/>
    </w:p>
    <w:p w14:paraId="7130126B">
      <w:pPr>
        <w:shd w:val="clear"/>
        <w:ind w:firstLine="420"/>
        <w:rPr>
          <w:rFonts w:hint="eastAsia"/>
          <w:color w:val="auto"/>
          <w:highlight w:val="none"/>
        </w:rPr>
      </w:pPr>
      <w:r>
        <w:rPr>
          <w:rFonts w:hint="eastAsia"/>
          <w:color w:val="auto"/>
          <w:highlight w:val="none"/>
          <w:lang w:val="en-US" w:eastAsia="zh-CN"/>
        </w:rPr>
        <w:t>本标准实施后的</w:t>
      </w:r>
      <w:r>
        <w:rPr>
          <w:rFonts w:hint="eastAsia"/>
          <w:color w:val="auto"/>
          <w:highlight w:val="none"/>
        </w:rPr>
        <w:t>污染物减排效益显著，</w:t>
      </w:r>
      <w:r>
        <w:rPr>
          <w:rFonts w:hint="eastAsia"/>
          <w:color w:val="auto"/>
          <w:highlight w:val="none"/>
          <w:lang w:val="en-US" w:eastAsia="zh-CN"/>
        </w:rPr>
        <w:t>根据污染物控制要求</w:t>
      </w:r>
      <w:r>
        <w:rPr>
          <w:rFonts w:hint="eastAsia"/>
          <w:color w:val="auto"/>
          <w:highlight w:val="none"/>
        </w:rPr>
        <w:t>测算，标准全面实施后，</w:t>
      </w:r>
      <w:r>
        <w:rPr>
          <w:rFonts w:hint="eastAsia"/>
          <w:color w:val="auto"/>
          <w:highlight w:val="none"/>
          <w:lang w:val="en-US" w:eastAsia="zh-CN"/>
        </w:rPr>
        <w:t>苯系物、非甲烷总烃、挥发性有机物</w:t>
      </w:r>
      <w:r>
        <w:rPr>
          <w:rFonts w:hint="eastAsia"/>
          <w:color w:val="auto"/>
          <w:highlight w:val="none"/>
        </w:rPr>
        <w:t>预计将分别减少30</w:t>
      </w:r>
      <w:r>
        <w:rPr>
          <w:rFonts w:hint="eastAsia"/>
          <w:color w:val="auto"/>
          <w:highlight w:val="none"/>
          <w:lang w:val="en-US" w:eastAsia="zh-CN"/>
        </w:rPr>
        <w:t>%</w:t>
      </w:r>
      <w:r>
        <w:rPr>
          <w:rFonts w:hint="eastAsia"/>
          <w:color w:val="auto"/>
          <w:highlight w:val="none"/>
        </w:rPr>
        <w:t>左右。本文件实施后，将有效控制我省</w:t>
      </w:r>
      <w:r>
        <w:rPr>
          <w:rFonts w:hint="eastAsia"/>
          <w:color w:val="auto"/>
          <w:highlight w:val="none"/>
          <w:lang w:val="en-US" w:eastAsia="zh-CN"/>
        </w:rPr>
        <w:t>工业企业挥发性有机物</w:t>
      </w:r>
      <w:r>
        <w:rPr>
          <w:rFonts w:hint="eastAsia"/>
          <w:color w:val="auto"/>
          <w:highlight w:val="none"/>
        </w:rPr>
        <w:t>排放，促进工业</w:t>
      </w:r>
      <w:r>
        <w:rPr>
          <w:rFonts w:hint="eastAsia"/>
          <w:color w:val="auto"/>
          <w:highlight w:val="none"/>
          <w:lang w:val="en-US" w:eastAsia="zh-CN"/>
        </w:rPr>
        <w:t>企业</w:t>
      </w:r>
      <w:r>
        <w:rPr>
          <w:rFonts w:hint="eastAsia"/>
          <w:color w:val="auto"/>
          <w:highlight w:val="none"/>
        </w:rPr>
        <w:t>科技进步和清洁生产，</w:t>
      </w:r>
      <w:r>
        <w:rPr>
          <w:rFonts w:hint="eastAsia"/>
          <w:color w:val="auto"/>
          <w:highlight w:val="none"/>
          <w:lang w:val="en-US" w:eastAsia="zh-CN"/>
        </w:rPr>
        <w:t>对</w:t>
      </w:r>
      <w:r>
        <w:rPr>
          <w:rFonts w:hint="eastAsia"/>
          <w:color w:val="auto"/>
          <w:highlight w:val="none"/>
        </w:rPr>
        <w:t>持续改善我省环境空气质量具有重要作用。</w:t>
      </w:r>
    </w:p>
    <w:p w14:paraId="17BA2EB1">
      <w:pPr>
        <w:pStyle w:val="3"/>
        <w:shd w:val="clear"/>
        <w:bidi w:val="0"/>
        <w:ind w:left="575" w:leftChars="0" w:hanging="575" w:firstLineChars="0"/>
        <w:rPr>
          <w:rFonts w:hint="eastAsia"/>
          <w:color w:val="auto"/>
          <w:highlight w:val="none"/>
          <w:lang w:val="en-US" w:eastAsia="zh-CN"/>
        </w:rPr>
      </w:pPr>
      <w:bookmarkStart w:id="358" w:name="bookmark38"/>
      <w:bookmarkEnd w:id="358"/>
      <w:bookmarkStart w:id="359" w:name="_Toc16941"/>
      <w:bookmarkStart w:id="360" w:name="_Toc4256"/>
      <w:bookmarkStart w:id="361" w:name="_Toc28394"/>
      <w:bookmarkStart w:id="362" w:name="_Toc524"/>
      <w:bookmarkStart w:id="363" w:name="_Toc22770"/>
      <w:bookmarkStart w:id="364" w:name="_Toc19251"/>
      <w:r>
        <w:rPr>
          <w:rFonts w:hint="eastAsia"/>
          <w:color w:val="auto"/>
          <w:highlight w:val="none"/>
          <w:lang w:val="en-US" w:eastAsia="zh-CN"/>
        </w:rPr>
        <w:t>本文件的达标情况分析</w:t>
      </w:r>
      <w:bookmarkEnd w:id="359"/>
      <w:bookmarkEnd w:id="360"/>
      <w:bookmarkEnd w:id="361"/>
      <w:bookmarkEnd w:id="362"/>
      <w:bookmarkEnd w:id="363"/>
      <w:bookmarkEnd w:id="364"/>
    </w:p>
    <w:p w14:paraId="5F7E8A8B">
      <w:pPr>
        <w:shd w:val="clear"/>
        <w:ind w:firstLine="420"/>
        <w:rPr>
          <w:rFonts w:hint="eastAsia"/>
          <w:color w:val="auto"/>
          <w:highlight w:val="none"/>
          <w:lang w:val="en-US" w:eastAsia="zh-CN"/>
        </w:rPr>
      </w:pPr>
      <w:r>
        <w:rPr>
          <w:rFonts w:hint="eastAsia" w:ascii="Times New Roman" w:eastAsia="宋体"/>
          <w:color w:val="auto"/>
          <w:highlight w:val="none"/>
          <w:lang w:val="en-US" w:eastAsia="zh-CN"/>
        </w:rPr>
        <w:t>与3项现行地方标准和国家大气综合排放标准</w:t>
      </w:r>
      <w:r>
        <w:rPr>
          <w:rFonts w:hint="eastAsia"/>
          <w:color w:val="auto"/>
          <w:highlight w:val="none"/>
        </w:rPr>
        <w:t>相比，本文件修订</w:t>
      </w:r>
      <w:r>
        <w:rPr>
          <w:rFonts w:hint="eastAsia" w:ascii="Times New Roman" w:eastAsia="宋体"/>
          <w:color w:val="auto"/>
          <w:highlight w:val="none"/>
          <w:lang w:val="en-US" w:eastAsia="zh-CN"/>
        </w:rPr>
        <w:t>对工业企业苯、苯系物、非甲烷总烃和挥发性有机物的</w:t>
      </w:r>
      <w:r>
        <w:rPr>
          <w:rFonts w:hint="eastAsia"/>
          <w:color w:val="auto"/>
          <w:highlight w:val="none"/>
        </w:rPr>
        <w:t>排放限值进行加严，</w:t>
      </w:r>
      <w:r>
        <w:rPr>
          <w:rFonts w:hint="eastAsia" w:ascii="Times New Roman" w:eastAsia="宋体"/>
          <w:color w:val="auto"/>
          <w:highlight w:val="none"/>
          <w:lang w:val="en-US" w:eastAsia="zh-CN"/>
        </w:rPr>
        <w:t>现有企业主要超标风险来自苯系物</w:t>
      </w:r>
      <w:r>
        <w:rPr>
          <w:rFonts w:hint="eastAsia"/>
          <w:color w:val="auto"/>
          <w:highlight w:val="none"/>
          <w:lang w:val="en-US" w:eastAsia="zh-CN"/>
        </w:rPr>
        <w:t>、非甲烷总烃</w:t>
      </w:r>
      <w:r>
        <w:rPr>
          <w:rFonts w:hint="eastAsia" w:ascii="Times New Roman" w:eastAsia="宋体"/>
          <w:color w:val="auto"/>
          <w:highlight w:val="none"/>
          <w:lang w:val="en-US" w:eastAsia="zh-CN"/>
        </w:rPr>
        <w:t>和挥发性有机物，根据自行监测数据测算，大约10%的公开了自行监测数据的企业需要进一步加强对苯系物和挥发性有机物的管控，同时考虑尚有</w:t>
      </w:r>
      <w:r>
        <w:rPr>
          <w:rFonts w:hint="eastAsia"/>
          <w:color w:val="auto"/>
          <w:highlight w:val="none"/>
          <w:lang w:val="en-US" w:eastAsia="zh-CN"/>
        </w:rPr>
        <w:t>约90%的规模以上</w:t>
      </w:r>
      <w:r>
        <w:rPr>
          <w:rFonts w:hint="eastAsia" w:ascii="Times New Roman" w:eastAsia="宋体"/>
          <w:color w:val="auto"/>
          <w:highlight w:val="none"/>
          <w:lang w:val="en-US" w:eastAsia="zh-CN"/>
        </w:rPr>
        <w:t>企业未在排污许可平台公开</w:t>
      </w:r>
      <w:r>
        <w:rPr>
          <w:rFonts w:hint="eastAsia"/>
          <w:color w:val="auto"/>
          <w:highlight w:val="none"/>
          <w:lang w:val="en-US" w:eastAsia="zh-CN"/>
        </w:rPr>
        <w:t>自行监测数据</w:t>
      </w:r>
      <w:r>
        <w:rPr>
          <w:rFonts w:hint="eastAsia" w:ascii="Times New Roman" w:eastAsia="宋体"/>
          <w:color w:val="auto"/>
          <w:highlight w:val="none"/>
          <w:lang w:val="en-US" w:eastAsia="zh-CN"/>
        </w:rPr>
        <w:t>，保守估计全行业大约有20%</w:t>
      </w:r>
      <w:r>
        <w:rPr>
          <w:rFonts w:hint="eastAsia"/>
          <w:color w:val="auto"/>
          <w:highlight w:val="none"/>
          <w:lang w:val="en-US" w:eastAsia="zh-CN"/>
        </w:rPr>
        <w:t>～</w:t>
      </w:r>
      <w:r>
        <w:rPr>
          <w:rFonts w:hint="eastAsia" w:ascii="Times New Roman" w:eastAsia="宋体"/>
          <w:color w:val="auto"/>
          <w:highlight w:val="none"/>
          <w:lang w:val="en-US" w:eastAsia="zh-CN"/>
        </w:rPr>
        <w:t>30%的企业需进一步加强对挥发性有机物的治理。</w:t>
      </w:r>
      <w:r>
        <w:rPr>
          <w:rFonts w:hint="eastAsia"/>
          <w:color w:val="auto"/>
          <w:highlight w:val="none"/>
          <w:lang w:val="en-US" w:eastAsia="zh-CN"/>
        </w:rPr>
        <w:t>部分典型行业污染治理成本分析如下：</w:t>
      </w:r>
    </w:p>
    <w:p w14:paraId="41AE0FA3">
      <w:pPr>
        <w:pStyle w:val="4"/>
        <w:rPr>
          <w:rFonts w:hint="eastAsia"/>
          <w:lang w:val="en-US" w:eastAsia="zh-CN"/>
        </w:rPr>
      </w:pPr>
      <w:r>
        <w:rPr>
          <w:rFonts w:hint="eastAsia"/>
          <w:lang w:val="en-US" w:eastAsia="zh-CN"/>
        </w:rPr>
        <w:t>汽车制造、专用设备制造及汽车维修企业的污染治理技术与成分分析</w:t>
      </w:r>
    </w:p>
    <w:p w14:paraId="3750D683">
      <w:pPr>
        <w:shd w:val="clear"/>
        <w:rPr>
          <w:rFonts w:hint="default"/>
          <w:b w:val="0"/>
          <w:bCs w:val="0"/>
          <w:color w:val="auto"/>
          <w:highlight w:val="none"/>
          <w:lang w:val="en-US" w:eastAsia="zh-CN"/>
        </w:rPr>
      </w:pPr>
      <w:r>
        <w:rPr>
          <w:rFonts w:hint="eastAsia"/>
          <w:b w:val="0"/>
          <w:bCs w:val="0"/>
          <w:color w:val="auto"/>
          <w:highlight w:val="none"/>
          <w:lang w:val="en-US" w:eastAsia="zh-CN"/>
        </w:rPr>
        <w:t>调研了</w:t>
      </w:r>
      <w:r>
        <w:rPr>
          <w:rFonts w:hint="eastAsia"/>
          <w:b w:val="0"/>
          <w:bCs w:val="0"/>
          <w:color w:val="auto"/>
          <w:highlight w:val="none"/>
          <w:lang w:eastAsia="zh-CN"/>
        </w:rPr>
        <w:t>常德市、郴州市、宁乡市、益阳市、长沙市5个市33家企业的</w:t>
      </w:r>
      <w:r>
        <w:rPr>
          <w:rFonts w:hint="eastAsia"/>
          <w:b w:val="0"/>
          <w:bCs w:val="0"/>
          <w:color w:val="auto"/>
          <w:highlight w:val="none"/>
          <w:lang w:val="en-US" w:eastAsia="zh-CN"/>
        </w:rPr>
        <w:t>生产工艺与污染物排放及治理情况。其中，</w:t>
      </w:r>
      <w:r>
        <w:rPr>
          <w:rFonts w:hint="eastAsia"/>
          <w:b w:val="0"/>
          <w:bCs w:val="0"/>
          <w:color w:val="auto"/>
          <w:highlight w:val="none"/>
          <w:lang w:eastAsia="zh-CN"/>
        </w:rPr>
        <w:t>汽车</w:t>
      </w:r>
      <w:r>
        <w:rPr>
          <w:rFonts w:hint="eastAsia"/>
          <w:b w:val="0"/>
          <w:bCs w:val="0"/>
          <w:color w:val="auto"/>
          <w:highlight w:val="none"/>
          <w:lang w:val="en-US" w:eastAsia="zh-CN"/>
        </w:rPr>
        <w:t>和零部件</w:t>
      </w:r>
      <w:r>
        <w:rPr>
          <w:rFonts w:hint="eastAsia"/>
          <w:b w:val="0"/>
          <w:bCs w:val="0"/>
          <w:color w:val="auto"/>
          <w:highlight w:val="none"/>
          <w:lang w:eastAsia="zh-CN"/>
        </w:rPr>
        <w:t>制造企业</w:t>
      </w:r>
      <w:r>
        <w:rPr>
          <w:rFonts w:hint="eastAsia"/>
          <w:b w:val="0"/>
          <w:bCs w:val="0"/>
          <w:color w:val="auto"/>
          <w:highlight w:val="none"/>
          <w:lang w:val="en-US" w:eastAsia="zh-CN"/>
        </w:rPr>
        <w:t>17</w:t>
      </w:r>
      <w:r>
        <w:rPr>
          <w:rFonts w:hint="eastAsia"/>
          <w:b w:val="0"/>
          <w:bCs w:val="0"/>
          <w:color w:val="auto"/>
          <w:highlight w:val="none"/>
          <w:lang w:eastAsia="zh-CN"/>
        </w:rPr>
        <w:t>家、</w:t>
      </w:r>
      <w:r>
        <w:rPr>
          <w:rFonts w:hint="eastAsia"/>
          <w:b w:val="0"/>
          <w:bCs w:val="0"/>
          <w:color w:val="auto"/>
          <w:highlight w:val="none"/>
          <w:lang w:val="en-US" w:eastAsia="zh-CN"/>
        </w:rPr>
        <w:t>专用设备制造企业3家、</w:t>
      </w:r>
      <w:r>
        <w:rPr>
          <w:rFonts w:hint="eastAsia"/>
          <w:b w:val="0"/>
          <w:bCs w:val="0"/>
          <w:color w:val="auto"/>
          <w:highlight w:val="none"/>
          <w:lang w:eastAsia="zh-CN"/>
        </w:rPr>
        <w:t>汽车销售维修企业</w:t>
      </w:r>
      <w:r>
        <w:rPr>
          <w:rFonts w:hint="eastAsia"/>
          <w:b w:val="0"/>
          <w:bCs w:val="0"/>
          <w:color w:val="auto"/>
          <w:highlight w:val="none"/>
          <w:lang w:val="en-US" w:eastAsia="zh-CN"/>
        </w:rPr>
        <w:t>13</w:t>
      </w:r>
      <w:r>
        <w:rPr>
          <w:rFonts w:hint="eastAsia"/>
          <w:b w:val="0"/>
          <w:bCs w:val="0"/>
          <w:color w:val="auto"/>
          <w:highlight w:val="none"/>
          <w:lang w:eastAsia="zh-CN"/>
        </w:rPr>
        <w:t>家。生产总值规模小于2000万元/年15家、2000万元/年～4000万元/年5家、6000万元/年～8000万元/年2家、8000万元/年～1亿元/年3家、以及1亿元以上/年8家。33家企业中执行地放排放标准企业24家，同时执行国家排放标准企业9家。30企业排放烟囱高度均达到15</w:t>
      </w:r>
      <w:r>
        <w:rPr>
          <w:rFonts w:hint="eastAsia"/>
          <w:b w:val="0"/>
          <w:bCs w:val="0"/>
          <w:color w:val="auto"/>
          <w:highlight w:val="none"/>
          <w:lang w:val="en-US" w:eastAsia="zh-CN"/>
        </w:rPr>
        <w:t xml:space="preserve"> </w:t>
      </w:r>
      <w:r>
        <w:rPr>
          <w:rFonts w:hint="eastAsia"/>
          <w:b w:val="0"/>
          <w:bCs w:val="0"/>
          <w:color w:val="auto"/>
          <w:highlight w:val="none"/>
          <w:lang w:eastAsia="zh-CN"/>
        </w:rPr>
        <w:t>m以上，</w:t>
      </w:r>
      <w:r>
        <w:rPr>
          <w:rFonts w:hint="eastAsia"/>
          <w:b w:val="0"/>
          <w:bCs w:val="0"/>
          <w:color w:val="auto"/>
          <w:highlight w:val="none"/>
          <w:lang w:val="en-US" w:eastAsia="zh-CN"/>
        </w:rPr>
        <w:t>2</w:t>
      </w:r>
      <w:r>
        <w:rPr>
          <w:rFonts w:hint="eastAsia"/>
          <w:b w:val="0"/>
          <w:bCs w:val="0"/>
          <w:color w:val="auto"/>
          <w:highlight w:val="none"/>
          <w:lang w:eastAsia="zh-CN"/>
        </w:rPr>
        <w:t>家汽车销售、维修烟囱低于15米，1家未填报数据。</w:t>
      </w:r>
    </w:p>
    <w:p w14:paraId="1EB0CFFE">
      <w:pPr>
        <w:shd w:val="clear"/>
        <w:rPr>
          <w:rFonts w:hint="eastAsia"/>
          <w:b w:val="0"/>
          <w:bCs w:val="0"/>
          <w:color w:val="auto"/>
          <w:highlight w:val="none"/>
          <w:lang w:eastAsia="zh-CN"/>
        </w:rPr>
      </w:pPr>
      <w:r>
        <w:rPr>
          <w:rFonts w:hint="eastAsia"/>
          <w:b w:val="0"/>
          <w:bCs w:val="0"/>
          <w:color w:val="auto"/>
          <w:highlight w:val="none"/>
          <w:lang w:val="en-US" w:eastAsia="zh-CN"/>
        </w:rPr>
        <w:t>7</w:t>
      </w:r>
      <w:r>
        <w:rPr>
          <w:rFonts w:hint="eastAsia"/>
          <w:b w:val="0"/>
          <w:bCs w:val="0"/>
          <w:color w:val="auto"/>
          <w:highlight w:val="none"/>
          <w:lang w:eastAsia="zh-CN"/>
        </w:rPr>
        <w:t>家汽车制造</w:t>
      </w:r>
      <w:r>
        <w:rPr>
          <w:rFonts w:hint="eastAsia"/>
          <w:b w:val="0"/>
          <w:bCs w:val="0"/>
          <w:color w:val="auto"/>
          <w:highlight w:val="none"/>
          <w:lang w:val="en-US" w:eastAsia="zh-CN"/>
        </w:rPr>
        <w:t>和2家专用设备制造</w:t>
      </w:r>
      <w:r>
        <w:rPr>
          <w:rFonts w:hint="eastAsia"/>
          <w:b w:val="0"/>
          <w:bCs w:val="0"/>
          <w:color w:val="auto"/>
          <w:highlight w:val="none"/>
          <w:lang w:eastAsia="zh-CN"/>
        </w:rPr>
        <w:t>企业生产规模1亿元以上/年。主体生产工艺均涉及喷涂-烘干，处理工艺主要为过滤、喷淋等预处理+活性炭、转轮吸附+RTO、RCO、CO，其中</w:t>
      </w:r>
      <w:r>
        <w:rPr>
          <w:rFonts w:hint="eastAsia"/>
          <w:b w:val="0"/>
          <w:bCs w:val="0"/>
          <w:color w:val="auto"/>
          <w:highlight w:val="none"/>
          <w:lang w:val="en-US" w:eastAsia="zh-CN"/>
        </w:rPr>
        <w:t>某汽车制造企业</w:t>
      </w:r>
      <w:r>
        <w:rPr>
          <w:rFonts w:hint="eastAsia"/>
          <w:b w:val="0"/>
          <w:bCs w:val="0"/>
          <w:color w:val="auto"/>
          <w:highlight w:val="none"/>
          <w:lang w:eastAsia="zh-CN"/>
        </w:rPr>
        <w:t>（生产规模1亿元以上/年）汽车车身喷漆排口复合工艺最多为纸盒过滤+转轮吸附+三室RTO燃烧+二级喷淋+三级喷雾。9家汽车零部件制造企业生产工艺均涉及喷涂-烘干，有4家涉及RTO、RCO、CO处理工艺，2家使用了UV光解+活性炭吸附。14家汽车销售维修企业生产工艺为打磨-喷涂，主要治理工艺为活性炭吸附+UV光解。</w:t>
      </w:r>
    </w:p>
    <w:p w14:paraId="71D992BD">
      <w:pPr>
        <w:shd w:val="clear"/>
        <w:rPr>
          <w:rFonts w:hint="eastAsia"/>
          <w:b w:val="0"/>
          <w:bCs w:val="0"/>
          <w:color w:val="auto"/>
          <w:highlight w:val="none"/>
          <w:lang w:eastAsia="zh-CN"/>
        </w:rPr>
      </w:pPr>
      <w:r>
        <w:rPr>
          <w:rFonts w:hint="eastAsia"/>
          <w:b w:val="0"/>
          <w:bCs w:val="0"/>
          <w:color w:val="auto"/>
          <w:highlight w:val="none"/>
          <w:lang w:eastAsia="zh-CN"/>
        </w:rPr>
        <w:t>33家企业具有盛放含有VOCs物料的容器采取密闭化措施、产生含VOCs废气的生产活动是否在密闭空间或设备中进行等清洁生产措施，9家采用集中供料系统，19家有专门的调漆室。</w:t>
      </w:r>
    </w:p>
    <w:p w14:paraId="7D0779EE">
      <w:pPr>
        <w:shd w:val="clear"/>
        <w:rPr>
          <w:rFonts w:hint="eastAsia"/>
          <w:b w:val="0"/>
          <w:bCs w:val="0"/>
          <w:color w:val="auto"/>
          <w:highlight w:val="none"/>
          <w:lang w:eastAsia="zh-CN"/>
        </w:rPr>
      </w:pPr>
      <w:r>
        <w:rPr>
          <w:rFonts w:hint="eastAsia"/>
          <w:b w:val="0"/>
          <w:bCs w:val="0"/>
          <w:color w:val="auto"/>
          <w:highlight w:val="none"/>
          <w:lang w:eastAsia="zh-CN"/>
        </w:rPr>
        <w:t>23家企业填报使用了环保原料，其中22家填报了涂装原料种类，13家部分使用了水性漆和高固分漆，12家企业填报了</w:t>
      </w:r>
      <w:r>
        <w:rPr>
          <w:rFonts w:hint="eastAsia"/>
          <w:b w:val="0"/>
          <w:bCs w:val="0"/>
          <w:color w:val="auto"/>
          <w:highlight w:val="none"/>
          <w:lang w:val="en-US" w:eastAsia="zh-CN"/>
        </w:rPr>
        <w:t>VOCs</w:t>
      </w:r>
      <w:r>
        <w:rPr>
          <w:rFonts w:hint="eastAsia"/>
          <w:b w:val="0"/>
          <w:bCs w:val="0"/>
          <w:color w:val="auto"/>
          <w:highlight w:val="none"/>
          <w:lang w:eastAsia="zh-CN"/>
        </w:rPr>
        <w:t>含量主要为2%～39.4%。</w:t>
      </w:r>
    </w:p>
    <w:p w14:paraId="7EEE36B9">
      <w:pPr>
        <w:shd w:val="clear"/>
        <w:rPr>
          <w:rFonts w:hint="eastAsia"/>
          <w:b w:val="0"/>
          <w:bCs w:val="0"/>
          <w:color w:val="auto"/>
          <w:highlight w:val="none"/>
          <w:lang w:eastAsia="zh-CN"/>
        </w:rPr>
      </w:pPr>
      <w:r>
        <w:rPr>
          <w:rFonts w:hint="eastAsia"/>
          <w:b w:val="0"/>
          <w:bCs w:val="0"/>
          <w:color w:val="auto"/>
          <w:highlight w:val="none"/>
          <w:lang w:eastAsia="zh-CN"/>
        </w:rPr>
        <w:t>调研企业处理设施安装成本为6万元～</w:t>
      </w:r>
      <w:r>
        <w:rPr>
          <w:rFonts w:hint="eastAsia"/>
          <w:b w:val="0"/>
          <w:bCs w:val="0"/>
          <w:color w:val="auto"/>
          <w:highlight w:val="none"/>
          <w:lang w:val="en-US" w:eastAsia="zh-CN"/>
        </w:rPr>
        <w:t>700</w:t>
      </w:r>
      <w:r>
        <w:rPr>
          <w:rFonts w:hint="eastAsia"/>
          <w:b w:val="0"/>
          <w:bCs w:val="0"/>
          <w:color w:val="auto"/>
          <w:highlight w:val="none"/>
          <w:lang w:eastAsia="zh-CN"/>
        </w:rPr>
        <w:t>万元，占企业年生产总值的0.3%～</w:t>
      </w:r>
      <w:r>
        <w:rPr>
          <w:rFonts w:hint="eastAsia"/>
          <w:b w:val="0"/>
          <w:bCs w:val="0"/>
          <w:color w:val="auto"/>
          <w:highlight w:val="none"/>
          <w:lang w:val="en-US" w:eastAsia="zh-CN"/>
        </w:rPr>
        <w:t>0.7</w:t>
      </w:r>
      <w:r>
        <w:rPr>
          <w:rFonts w:hint="eastAsia"/>
          <w:b w:val="0"/>
          <w:bCs w:val="0"/>
          <w:color w:val="auto"/>
          <w:highlight w:val="none"/>
          <w:lang w:eastAsia="zh-CN"/>
        </w:rPr>
        <w:t>%。年处理成本为3万元～3</w:t>
      </w:r>
      <w:r>
        <w:rPr>
          <w:rFonts w:hint="eastAsia"/>
          <w:b w:val="0"/>
          <w:bCs w:val="0"/>
          <w:color w:val="auto"/>
          <w:highlight w:val="none"/>
          <w:lang w:val="en-US" w:eastAsia="zh-CN"/>
        </w:rPr>
        <w:t>2</w:t>
      </w:r>
      <w:r>
        <w:rPr>
          <w:rFonts w:hint="eastAsia"/>
          <w:b w:val="0"/>
          <w:bCs w:val="0"/>
          <w:color w:val="auto"/>
          <w:highlight w:val="none"/>
          <w:lang w:eastAsia="zh-CN"/>
        </w:rPr>
        <w:t>万元，占企业年生产总值的0.06%～</w:t>
      </w:r>
      <w:r>
        <w:rPr>
          <w:rFonts w:hint="eastAsia"/>
          <w:b w:val="0"/>
          <w:bCs w:val="0"/>
          <w:color w:val="auto"/>
          <w:highlight w:val="none"/>
          <w:lang w:val="en-US" w:eastAsia="zh-CN"/>
        </w:rPr>
        <w:t xml:space="preserve">0.3 </w:t>
      </w:r>
      <w:r>
        <w:rPr>
          <w:rFonts w:hint="eastAsia"/>
          <w:b w:val="0"/>
          <w:bCs w:val="0"/>
          <w:color w:val="auto"/>
          <w:highlight w:val="none"/>
          <w:lang w:eastAsia="zh-CN"/>
        </w:rPr>
        <w:t>%。</w:t>
      </w:r>
    </w:p>
    <w:p w14:paraId="56ABB552">
      <w:pPr>
        <w:pStyle w:val="4"/>
        <w:rPr>
          <w:rFonts w:hint="eastAsia" w:ascii="Arial Unicode MS" w:hAnsi="Arial Unicode MS"/>
          <w:color w:val="000000" w:themeColor="text1"/>
          <w:lang w:val="en-US" w:eastAsia="zh-CN"/>
          <w14:textFill>
            <w14:solidFill>
              <w14:schemeClr w14:val="tx1"/>
            </w14:solidFill>
          </w14:textFill>
        </w:rPr>
      </w:pPr>
      <w:r>
        <w:rPr>
          <w:rFonts w:hint="eastAsia" w:ascii="Arial Unicode MS" w:hAnsi="Arial Unicode MS"/>
          <w:color w:val="000000" w:themeColor="text1"/>
          <w:lang w:val="en-US" w:eastAsia="zh-CN"/>
          <w14:textFill>
            <w14:solidFill>
              <w14:schemeClr w14:val="tx1"/>
            </w14:solidFill>
          </w14:textFill>
        </w:rPr>
        <w:t>印刷企业的污染治理技术与成分分析</w:t>
      </w:r>
    </w:p>
    <w:p w14:paraId="3A5F6368">
      <w:pPr>
        <w:shd w:val="clear"/>
        <w:rPr>
          <w:rFonts w:hint="eastAsia"/>
          <w:b w:val="0"/>
          <w:bCs w:val="0"/>
          <w:color w:val="auto"/>
          <w:highlight w:val="none"/>
          <w:lang w:eastAsia="zh-CN"/>
        </w:rPr>
      </w:pPr>
      <w:r>
        <w:rPr>
          <w:rFonts w:hint="eastAsia"/>
          <w:b w:val="0"/>
          <w:bCs w:val="0"/>
          <w:color w:val="auto"/>
          <w:highlight w:val="none"/>
          <w:lang w:val="en-US" w:eastAsia="zh-CN"/>
        </w:rPr>
        <w:t>调研了长沙市、</w:t>
      </w:r>
      <w:r>
        <w:rPr>
          <w:rFonts w:hint="eastAsia"/>
          <w:b w:val="0"/>
          <w:bCs w:val="0"/>
          <w:color w:val="auto"/>
          <w:highlight w:val="none"/>
          <w:lang w:eastAsia="zh-CN"/>
        </w:rPr>
        <w:t>岳阳市、湘潭市印刷</w:t>
      </w:r>
      <w:r>
        <w:rPr>
          <w:rFonts w:hint="eastAsia"/>
          <w:b w:val="0"/>
          <w:bCs w:val="0"/>
          <w:color w:val="auto"/>
          <w:highlight w:val="none"/>
          <w:lang w:val="en-US" w:eastAsia="zh-CN"/>
        </w:rPr>
        <w:t>企业11家。企业</w:t>
      </w:r>
      <w:r>
        <w:rPr>
          <w:rFonts w:hint="eastAsia"/>
          <w:b w:val="0"/>
          <w:bCs w:val="0"/>
          <w:color w:val="auto"/>
          <w:highlight w:val="none"/>
          <w:lang w:eastAsia="zh-CN"/>
        </w:rPr>
        <w:t>生产总值规模2000万元/年</w:t>
      </w:r>
      <w:r>
        <w:rPr>
          <w:rFonts w:hint="eastAsia"/>
          <w:b w:val="0"/>
          <w:bCs w:val="0"/>
          <w:color w:val="auto"/>
          <w:highlight w:val="none"/>
          <w:lang w:val="en-US" w:eastAsia="zh-CN"/>
        </w:rPr>
        <w:t>～</w:t>
      </w:r>
      <w:r>
        <w:rPr>
          <w:rFonts w:hint="eastAsia"/>
          <w:b w:val="0"/>
          <w:bCs w:val="0"/>
          <w:color w:val="auto"/>
          <w:highlight w:val="none"/>
          <w:lang w:eastAsia="zh-CN"/>
        </w:rPr>
        <w:t>4000万元/年</w:t>
      </w:r>
      <w:r>
        <w:rPr>
          <w:rFonts w:hint="eastAsia"/>
          <w:b w:val="0"/>
          <w:bCs w:val="0"/>
          <w:color w:val="auto"/>
          <w:highlight w:val="none"/>
          <w:lang w:val="en-US" w:eastAsia="zh-CN"/>
        </w:rPr>
        <w:t>4</w:t>
      </w:r>
      <w:r>
        <w:rPr>
          <w:rFonts w:hint="eastAsia"/>
          <w:b w:val="0"/>
          <w:bCs w:val="0"/>
          <w:color w:val="auto"/>
          <w:highlight w:val="none"/>
          <w:lang w:eastAsia="zh-CN"/>
        </w:rPr>
        <w:t>家、4000万元/年</w:t>
      </w:r>
      <w:r>
        <w:rPr>
          <w:rFonts w:hint="eastAsia"/>
          <w:b w:val="0"/>
          <w:bCs w:val="0"/>
          <w:color w:val="auto"/>
          <w:highlight w:val="none"/>
          <w:lang w:val="en-US" w:eastAsia="zh-CN"/>
        </w:rPr>
        <w:t>～</w:t>
      </w:r>
      <w:r>
        <w:rPr>
          <w:rFonts w:hint="eastAsia"/>
          <w:b w:val="0"/>
          <w:bCs w:val="0"/>
          <w:color w:val="auto"/>
          <w:highlight w:val="none"/>
          <w:lang w:eastAsia="zh-CN"/>
        </w:rPr>
        <w:t>6000万元/年1家、6000万元/年</w:t>
      </w:r>
      <w:r>
        <w:rPr>
          <w:rFonts w:hint="eastAsia"/>
          <w:b w:val="0"/>
          <w:bCs w:val="0"/>
          <w:color w:val="auto"/>
          <w:highlight w:val="none"/>
          <w:lang w:val="en-US" w:eastAsia="zh-CN"/>
        </w:rPr>
        <w:t>～</w:t>
      </w:r>
      <w:r>
        <w:rPr>
          <w:rFonts w:hint="eastAsia"/>
          <w:b w:val="0"/>
          <w:bCs w:val="0"/>
          <w:color w:val="auto"/>
          <w:highlight w:val="none"/>
          <w:lang w:eastAsia="zh-CN"/>
        </w:rPr>
        <w:t>8000万元/年2家、8000万元/年</w:t>
      </w:r>
      <w:r>
        <w:rPr>
          <w:rFonts w:hint="eastAsia"/>
          <w:b w:val="0"/>
          <w:bCs w:val="0"/>
          <w:color w:val="auto"/>
          <w:highlight w:val="none"/>
          <w:lang w:val="en-US" w:eastAsia="zh-CN"/>
        </w:rPr>
        <w:t>～</w:t>
      </w:r>
      <w:r>
        <w:rPr>
          <w:rFonts w:hint="eastAsia"/>
          <w:b w:val="0"/>
          <w:bCs w:val="0"/>
          <w:color w:val="auto"/>
          <w:highlight w:val="none"/>
          <w:lang w:eastAsia="zh-CN"/>
        </w:rPr>
        <w:t>1亿元/年</w:t>
      </w:r>
      <w:r>
        <w:rPr>
          <w:rFonts w:hint="eastAsia"/>
          <w:b w:val="0"/>
          <w:bCs w:val="0"/>
          <w:color w:val="auto"/>
          <w:highlight w:val="none"/>
          <w:lang w:val="en-US" w:eastAsia="zh-CN"/>
        </w:rPr>
        <w:t>2</w:t>
      </w:r>
      <w:r>
        <w:rPr>
          <w:rFonts w:hint="eastAsia"/>
          <w:b w:val="0"/>
          <w:bCs w:val="0"/>
          <w:color w:val="auto"/>
          <w:highlight w:val="none"/>
          <w:lang w:eastAsia="zh-CN"/>
        </w:rPr>
        <w:t>家、1亿元以上/年2家。</w:t>
      </w:r>
      <w:r>
        <w:rPr>
          <w:rFonts w:hint="eastAsia"/>
          <w:b w:val="0"/>
          <w:bCs w:val="0"/>
          <w:color w:val="auto"/>
          <w:highlight w:val="none"/>
          <w:lang w:val="en-US" w:eastAsia="zh-CN"/>
        </w:rPr>
        <w:t>8</w:t>
      </w:r>
      <w:r>
        <w:rPr>
          <w:rFonts w:hint="eastAsia"/>
          <w:b w:val="0"/>
          <w:bCs w:val="0"/>
          <w:color w:val="auto"/>
          <w:highlight w:val="none"/>
          <w:lang w:eastAsia="zh-CN"/>
        </w:rPr>
        <w:t>家企业产品为包装（塑料）、1家企业产品为包装（塑料）和包装（纸质）。8家企业工艺为凹版印刷7家，平板印刷</w:t>
      </w:r>
      <w:r>
        <w:rPr>
          <w:rFonts w:hint="eastAsia"/>
          <w:b w:val="0"/>
          <w:bCs w:val="0"/>
          <w:color w:val="auto"/>
          <w:highlight w:val="none"/>
          <w:lang w:val="en-US" w:eastAsia="zh-CN"/>
        </w:rPr>
        <w:t>3</w:t>
      </w:r>
      <w:r>
        <w:rPr>
          <w:rFonts w:hint="eastAsia"/>
          <w:b w:val="0"/>
          <w:bCs w:val="0"/>
          <w:color w:val="auto"/>
          <w:highlight w:val="none"/>
          <w:lang w:eastAsia="zh-CN"/>
        </w:rPr>
        <w:t>家，生产装置均涉及印刷机、复合机，其中1家企业同时涉及烘干机。</w:t>
      </w:r>
    </w:p>
    <w:p w14:paraId="299ED9B5">
      <w:pPr>
        <w:shd w:val="clear"/>
        <w:rPr>
          <w:rFonts w:hint="eastAsia"/>
          <w:b w:val="0"/>
          <w:bCs w:val="0"/>
          <w:color w:val="auto"/>
          <w:highlight w:val="none"/>
          <w:lang w:eastAsia="zh-CN"/>
        </w:rPr>
      </w:pPr>
      <w:r>
        <w:rPr>
          <w:rFonts w:hint="eastAsia"/>
          <w:b w:val="0"/>
          <w:bCs w:val="0"/>
          <w:color w:val="auto"/>
          <w:highlight w:val="none"/>
          <w:lang w:val="en-US" w:eastAsia="zh-CN"/>
        </w:rPr>
        <w:t>11</w:t>
      </w:r>
      <w:r>
        <w:rPr>
          <w:rFonts w:hint="eastAsia"/>
          <w:b w:val="0"/>
          <w:bCs w:val="0"/>
          <w:color w:val="auto"/>
          <w:highlight w:val="none"/>
          <w:lang w:eastAsia="zh-CN"/>
        </w:rPr>
        <w:t>家企业中</w:t>
      </w:r>
      <w:r>
        <w:rPr>
          <w:rFonts w:hint="eastAsia"/>
          <w:b w:val="0"/>
          <w:bCs w:val="0"/>
          <w:color w:val="auto"/>
          <w:highlight w:val="none"/>
          <w:lang w:val="en-US" w:eastAsia="zh-CN"/>
        </w:rPr>
        <w:t>10</w:t>
      </w:r>
      <w:r>
        <w:rPr>
          <w:rFonts w:hint="eastAsia"/>
          <w:b w:val="0"/>
          <w:bCs w:val="0"/>
          <w:color w:val="auto"/>
          <w:highlight w:val="none"/>
          <w:lang w:eastAsia="zh-CN"/>
        </w:rPr>
        <w:t>家使用环保型油墨，1家未使用环保型油墨VOC含量为58%。</w:t>
      </w:r>
      <w:r>
        <w:rPr>
          <w:rFonts w:hint="eastAsia"/>
          <w:b w:val="0"/>
          <w:bCs w:val="0"/>
          <w:color w:val="auto"/>
          <w:highlight w:val="none"/>
          <w:lang w:val="en-US" w:eastAsia="zh-CN"/>
        </w:rPr>
        <w:t>11</w:t>
      </w:r>
      <w:r>
        <w:rPr>
          <w:rFonts w:hint="eastAsia"/>
          <w:b w:val="0"/>
          <w:bCs w:val="0"/>
          <w:color w:val="auto"/>
          <w:highlight w:val="none"/>
          <w:lang w:eastAsia="zh-CN"/>
        </w:rPr>
        <w:t>家企业中</w:t>
      </w:r>
      <w:r>
        <w:rPr>
          <w:rFonts w:hint="eastAsia"/>
          <w:b w:val="0"/>
          <w:bCs w:val="0"/>
          <w:color w:val="auto"/>
          <w:highlight w:val="none"/>
          <w:lang w:val="en-US" w:eastAsia="zh-CN"/>
        </w:rPr>
        <w:t>7</w:t>
      </w:r>
      <w:r>
        <w:rPr>
          <w:rFonts w:hint="eastAsia"/>
          <w:b w:val="0"/>
          <w:bCs w:val="0"/>
          <w:color w:val="auto"/>
          <w:highlight w:val="none"/>
          <w:lang w:eastAsia="zh-CN"/>
        </w:rPr>
        <w:t>家使用溶剂基油墨，VOC含量40%～70%、</w:t>
      </w:r>
      <w:r>
        <w:rPr>
          <w:rFonts w:hint="eastAsia"/>
          <w:b w:val="0"/>
          <w:bCs w:val="0"/>
          <w:color w:val="auto"/>
          <w:highlight w:val="none"/>
          <w:lang w:val="en-US" w:eastAsia="zh-CN"/>
        </w:rPr>
        <w:t>3</w:t>
      </w:r>
      <w:r>
        <w:rPr>
          <w:rFonts w:hint="eastAsia"/>
          <w:b w:val="0"/>
          <w:bCs w:val="0"/>
          <w:color w:val="auto"/>
          <w:highlight w:val="none"/>
          <w:lang w:eastAsia="zh-CN"/>
        </w:rPr>
        <w:t>家使用水基型油墨，1家使用水基油墨和溶剂基油墨VOC含量12.8。</w:t>
      </w:r>
    </w:p>
    <w:p w14:paraId="5F5161CF">
      <w:pPr>
        <w:shd w:val="clear"/>
        <w:rPr>
          <w:rFonts w:hint="eastAsia"/>
          <w:b w:val="0"/>
          <w:bCs w:val="0"/>
          <w:color w:val="auto"/>
          <w:highlight w:val="none"/>
          <w:lang w:eastAsia="zh-CN"/>
        </w:rPr>
      </w:pPr>
      <w:r>
        <w:rPr>
          <w:rFonts w:hint="eastAsia"/>
          <w:b w:val="0"/>
          <w:bCs w:val="0"/>
          <w:color w:val="auto"/>
          <w:highlight w:val="none"/>
          <w:lang w:eastAsia="zh-CN"/>
        </w:rPr>
        <w:t>调研企业中VOC废气处理技术涉及减风增浓+RTO蓄热燃烧、吸附浓缩+RTO、等离子UV光氧催化+活性炭吸附、负压收集系统+UV光氧+活性炭吸附、活性炭吸附+催化燃烧、蓄热氧化装置（RTO）、催化氧化（CO）。其中两种以上处理技术复合工艺占75%，单一处理技术为蓄热氧化装置（RTO）、催化氧化（CO）。处理设施安装成本为60万元～800万元，占企业年生产总值的</w:t>
      </w:r>
      <w:r>
        <w:rPr>
          <w:rFonts w:hint="eastAsia"/>
          <w:b w:val="0"/>
          <w:bCs w:val="0"/>
          <w:color w:val="auto"/>
          <w:highlight w:val="none"/>
          <w:lang w:val="en-US" w:eastAsia="zh-CN"/>
        </w:rPr>
        <w:t xml:space="preserve">0.6 </w:t>
      </w:r>
      <w:r>
        <w:rPr>
          <w:rFonts w:hint="eastAsia"/>
          <w:b w:val="0"/>
          <w:bCs w:val="0"/>
          <w:color w:val="auto"/>
          <w:highlight w:val="none"/>
          <w:lang w:eastAsia="zh-CN"/>
        </w:rPr>
        <w:t>%～</w:t>
      </w:r>
      <w:r>
        <w:rPr>
          <w:rFonts w:hint="eastAsia"/>
          <w:b w:val="0"/>
          <w:bCs w:val="0"/>
          <w:color w:val="auto"/>
          <w:highlight w:val="none"/>
          <w:lang w:val="en-US" w:eastAsia="zh-CN"/>
        </w:rPr>
        <w:t xml:space="preserve">3 </w:t>
      </w:r>
      <w:r>
        <w:rPr>
          <w:rFonts w:hint="eastAsia"/>
          <w:b w:val="0"/>
          <w:bCs w:val="0"/>
          <w:color w:val="auto"/>
          <w:highlight w:val="none"/>
          <w:lang w:eastAsia="zh-CN"/>
        </w:rPr>
        <w:t>%。年处理成本为3万元～8万元，占企业年生产总值的0.</w:t>
      </w:r>
      <w:r>
        <w:rPr>
          <w:rFonts w:hint="eastAsia"/>
          <w:b w:val="0"/>
          <w:bCs w:val="0"/>
          <w:color w:val="auto"/>
          <w:highlight w:val="none"/>
          <w:lang w:val="en-US" w:eastAsia="zh-CN"/>
        </w:rPr>
        <w:t>2</w:t>
      </w:r>
      <w:r>
        <w:rPr>
          <w:rFonts w:hint="eastAsia"/>
          <w:b w:val="0"/>
          <w:bCs w:val="0"/>
          <w:color w:val="auto"/>
          <w:highlight w:val="none"/>
          <w:lang w:eastAsia="zh-CN"/>
        </w:rPr>
        <w:t>%～</w:t>
      </w:r>
      <w:r>
        <w:rPr>
          <w:rFonts w:hint="eastAsia"/>
          <w:b w:val="0"/>
          <w:bCs w:val="0"/>
          <w:color w:val="auto"/>
          <w:highlight w:val="none"/>
          <w:lang w:val="en-US" w:eastAsia="zh-CN"/>
        </w:rPr>
        <w:t>0.3</w:t>
      </w:r>
      <w:r>
        <w:rPr>
          <w:rFonts w:hint="eastAsia"/>
          <w:b w:val="0"/>
          <w:bCs w:val="0"/>
          <w:color w:val="auto"/>
          <w:highlight w:val="none"/>
          <w:lang w:eastAsia="zh-CN"/>
        </w:rPr>
        <w:t>%。基本与企业生产规模相匹配，处于企业可接受的范围之内。</w:t>
      </w:r>
    </w:p>
    <w:p w14:paraId="2F5B8A54">
      <w:pPr>
        <w:pStyle w:val="4"/>
        <w:shd w:val="clear"/>
        <w:bidi w:val="0"/>
        <w:ind w:left="0" w:leftChars="0" w:firstLine="0" w:firstLineChars="0"/>
        <w:rPr>
          <w:rFonts w:hint="eastAsia"/>
          <w:color w:val="auto"/>
          <w:highlight w:val="none"/>
          <w:lang w:val="en-US" w:eastAsia="zh-CN"/>
        </w:rPr>
      </w:pPr>
      <w:bookmarkStart w:id="365" w:name="_Toc68700893"/>
      <w:bookmarkStart w:id="366" w:name="_Toc73450371"/>
      <w:bookmarkStart w:id="367" w:name="_Toc59640092"/>
      <w:bookmarkStart w:id="368" w:name="_Toc72915001"/>
      <w:r>
        <w:rPr>
          <w:rFonts w:hint="eastAsia"/>
          <w:color w:val="auto"/>
          <w:highlight w:val="none"/>
          <w:lang w:val="en-US" w:eastAsia="zh-CN"/>
        </w:rPr>
        <w:t>其他工业涂装行业的污染治理技术与成本分析</w:t>
      </w:r>
    </w:p>
    <w:p w14:paraId="03F8FA87">
      <w:pPr>
        <w:shd w:val="clear"/>
        <w:rPr>
          <w:rFonts w:hint="eastAsia"/>
          <w:color w:val="auto"/>
          <w:highlight w:val="none"/>
          <w:lang w:val="en-US" w:eastAsia="zh-CN"/>
        </w:rPr>
      </w:pPr>
      <w:r>
        <w:rPr>
          <w:rFonts w:hint="eastAsia"/>
          <w:color w:val="auto"/>
          <w:highlight w:val="none"/>
          <w:lang w:val="en-US" w:eastAsia="zh-CN"/>
        </w:rPr>
        <w:t>调研了10家典型工业涂装企业。其中，生产总值规模2000万元/年以下7家、2000万元/年～4000万元/年2家、6000万元/年～8000万元/年1家。废气处理工艺废气处理率达到80%以上。7家企业填报了VOC废气处理技术，包括活性炭吸附2家、UV光氧+活性炭吸附1家、水帘+活性炭吸附2家、吸附浓缩+催化燃烧1家、活性炭吸附+喷淋塔1家。其中3企业使用了单一活性炭吸附技术，包括1家生产规模6000万元（含）～8000万元/年企业和1家生产规模2000万元/年～4000万元/年。</w:t>
      </w:r>
    </w:p>
    <w:p w14:paraId="00455AAB">
      <w:pPr>
        <w:shd w:val="clear"/>
        <w:rPr>
          <w:rFonts w:hint="eastAsia"/>
          <w:color w:val="auto"/>
          <w:highlight w:val="none"/>
          <w:lang w:val="en-US" w:eastAsia="zh-CN"/>
        </w:rPr>
      </w:pPr>
      <w:r>
        <w:rPr>
          <w:rFonts w:hint="eastAsia"/>
          <w:color w:val="auto"/>
          <w:highlight w:val="none"/>
          <w:lang w:val="en-US" w:eastAsia="zh-CN"/>
        </w:rPr>
        <w:t>6家企业填报了使用的涂料种类，其中3家为水性涂料、水性胶黏剂、固性涂料，2家为溶剂型涂料，1家为水性涂料和溶剂型涂料。6家企业中4家企业填报使用了环保型原料。3家企业填报了VOC含量为10%～33%。</w:t>
      </w:r>
    </w:p>
    <w:p w14:paraId="38217954">
      <w:pPr>
        <w:shd w:val="clear"/>
        <w:rPr>
          <w:rFonts w:hint="eastAsia"/>
          <w:color w:val="auto"/>
          <w:highlight w:val="none"/>
          <w:lang w:val="en-US" w:eastAsia="zh-CN"/>
        </w:rPr>
      </w:pPr>
      <w:r>
        <w:rPr>
          <w:rFonts w:hint="eastAsia"/>
          <w:color w:val="auto"/>
          <w:highlight w:val="none"/>
          <w:lang w:val="en-US" w:eastAsia="zh-CN"/>
        </w:rPr>
        <w:t>3家企业填报了处理成本。处理设施安装成本为10万元～30万元，占企业年生产总值的0.1%～1.5%。年处理成本为2万元～9.5万元，占企业年生产总值的0.1%～0.3%。基本与企业生产规模相匹配，处于企业可接受的范围之内。</w:t>
      </w:r>
    </w:p>
    <w:bookmarkEnd w:id="365"/>
    <w:bookmarkEnd w:id="366"/>
    <w:bookmarkEnd w:id="367"/>
    <w:bookmarkEnd w:id="368"/>
    <w:p w14:paraId="777F5C87">
      <w:pPr>
        <w:pStyle w:val="2"/>
        <w:shd w:val="clear"/>
        <w:rPr>
          <w:rFonts w:hint="eastAsia"/>
          <w:color w:val="auto"/>
          <w:highlight w:val="none"/>
          <w:lang w:val="en-US" w:eastAsia="zh-CN"/>
        </w:rPr>
      </w:pPr>
      <w:bookmarkStart w:id="369" w:name="bookmark40"/>
      <w:bookmarkEnd w:id="369"/>
      <w:bookmarkStart w:id="370" w:name="bookmark39"/>
      <w:bookmarkEnd w:id="370"/>
      <w:bookmarkStart w:id="371" w:name="_Toc20340"/>
      <w:bookmarkStart w:id="372" w:name="_Toc19366"/>
      <w:bookmarkStart w:id="373" w:name="_Toc17040"/>
      <w:bookmarkStart w:id="374" w:name="_Toc31528"/>
      <w:bookmarkStart w:id="375" w:name="_Toc30657"/>
      <w:bookmarkStart w:id="376" w:name="_Toc17872"/>
      <w:r>
        <w:rPr>
          <w:rFonts w:hint="eastAsia"/>
          <w:color w:val="auto"/>
          <w:highlight w:val="none"/>
          <w:lang w:val="en-US" w:eastAsia="zh-CN"/>
        </w:rPr>
        <w:t>标准实施建议</w:t>
      </w:r>
      <w:bookmarkEnd w:id="371"/>
      <w:bookmarkEnd w:id="372"/>
      <w:bookmarkEnd w:id="373"/>
      <w:bookmarkEnd w:id="374"/>
      <w:bookmarkEnd w:id="375"/>
      <w:bookmarkEnd w:id="376"/>
    </w:p>
    <w:p w14:paraId="1CE91EC0">
      <w:pPr>
        <w:shd w:val="clear"/>
        <w:ind w:firstLine="420"/>
        <w:rPr>
          <w:rFonts w:hint="eastAsia"/>
          <w:color w:val="auto"/>
          <w:highlight w:val="none"/>
        </w:rPr>
      </w:pPr>
      <w:bookmarkStart w:id="377" w:name="bookmark96"/>
      <w:bookmarkEnd w:id="377"/>
      <w:bookmarkStart w:id="378" w:name="bookmark41"/>
      <w:bookmarkEnd w:id="378"/>
      <w:r>
        <w:rPr>
          <w:rFonts w:hint="eastAsia"/>
          <w:color w:val="auto"/>
          <w:highlight w:val="none"/>
        </w:rPr>
        <w:t>本</w:t>
      </w:r>
      <w:r>
        <w:rPr>
          <w:rFonts w:hint="eastAsia"/>
          <w:color w:val="auto"/>
          <w:highlight w:val="none"/>
          <w:lang w:val="en-US" w:eastAsia="zh-CN"/>
        </w:rPr>
        <w:t>标准</w:t>
      </w:r>
      <w:r>
        <w:rPr>
          <w:rFonts w:hint="eastAsia"/>
          <w:color w:val="auto"/>
          <w:highlight w:val="none"/>
        </w:rPr>
        <w:t>为挥发性有机物排放控制标准，建议不包括水污染物的排放控制要求。</w:t>
      </w:r>
    </w:p>
    <w:p w14:paraId="582165F9">
      <w:pPr>
        <w:shd w:val="clear"/>
        <w:ind w:firstLine="420"/>
        <w:rPr>
          <w:rFonts w:hint="eastAsia"/>
          <w:color w:val="auto"/>
          <w:highlight w:val="none"/>
        </w:rPr>
      </w:pPr>
      <w:r>
        <w:rPr>
          <w:rFonts w:hint="eastAsia"/>
          <w:color w:val="auto"/>
          <w:highlight w:val="none"/>
          <w:lang w:val="en-US" w:eastAsia="zh-CN"/>
        </w:rPr>
        <w:t>建议</w:t>
      </w:r>
      <w:r>
        <w:rPr>
          <w:rFonts w:hint="eastAsia"/>
          <w:color w:val="auto"/>
          <w:highlight w:val="none"/>
        </w:rPr>
        <w:t>自本标准实施之日起，DB43/</w:t>
      </w:r>
      <w:r>
        <w:rPr>
          <w:rFonts w:hint="eastAsia"/>
          <w:color w:val="auto"/>
          <w:highlight w:val="none"/>
          <w:lang w:val="en-US" w:eastAsia="zh-CN"/>
        </w:rPr>
        <w:t xml:space="preserve"> </w:t>
      </w:r>
      <w:r>
        <w:rPr>
          <w:rFonts w:hint="eastAsia"/>
          <w:color w:val="auto"/>
          <w:highlight w:val="none"/>
        </w:rPr>
        <w:t>1355—2017《家具制造行业挥发性有机物排放标准》、DB43/</w:t>
      </w:r>
      <w:r>
        <w:rPr>
          <w:rFonts w:hint="eastAsia"/>
          <w:color w:val="auto"/>
          <w:highlight w:val="none"/>
          <w:lang w:val="en-US" w:eastAsia="zh-CN"/>
        </w:rPr>
        <w:t xml:space="preserve"> </w:t>
      </w:r>
      <w:r>
        <w:rPr>
          <w:rFonts w:hint="eastAsia"/>
          <w:color w:val="auto"/>
          <w:highlight w:val="none"/>
        </w:rPr>
        <w:t>1357—2017《印刷业挥发性有机物排放标准》废止，DB43/</w:t>
      </w:r>
      <w:r>
        <w:rPr>
          <w:rFonts w:hint="eastAsia"/>
          <w:color w:val="auto"/>
          <w:highlight w:val="none"/>
          <w:lang w:val="en-US" w:eastAsia="zh-CN"/>
        </w:rPr>
        <w:t xml:space="preserve"> </w:t>
      </w:r>
      <w:r>
        <w:rPr>
          <w:rFonts w:hint="eastAsia"/>
          <w:color w:val="auto"/>
          <w:highlight w:val="none"/>
        </w:rPr>
        <w:t>1356—2017《表面涂装（汽车制造及维修）挥发性有机物、镍排放标准》中挥发性有机物排放控制要求停止执行。</w:t>
      </w:r>
    </w:p>
    <w:p w14:paraId="174C2060">
      <w:pPr>
        <w:shd w:val="clear"/>
        <w:tabs>
          <w:tab w:val="left" w:pos="2835"/>
        </w:tabs>
        <w:ind w:firstLine="420"/>
        <w:rPr>
          <w:rFonts w:hint="default" w:eastAsia="宋体"/>
          <w:color w:val="auto"/>
          <w:highlight w:val="none"/>
          <w:lang w:val="en-US" w:eastAsia="zh-CN"/>
        </w:rPr>
      </w:pPr>
      <w:r>
        <w:rPr>
          <w:rFonts w:hint="eastAsia"/>
          <w:color w:val="auto"/>
          <w:highlight w:val="none"/>
          <w:lang w:val="en-US" w:eastAsia="zh-CN"/>
        </w:rPr>
        <w:tab/>
      </w:r>
    </w:p>
    <w:sectPr>
      <w:headerReference r:id="rId16" w:type="default"/>
      <w:footerReference r:id="rId17" w:type="default"/>
      <w:pgSz w:w="11906" w:h="16838"/>
      <w:pgMar w:top="1080" w:right="1440" w:bottom="108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DA31F78-DCAB-4D3B-8ABE-23B9E6AB6D69}"/>
  </w:font>
  <w:font w:name="黑体">
    <w:panose1 w:val="02010609060101010101"/>
    <w:charset w:val="86"/>
    <w:family w:val="auto"/>
    <w:pitch w:val="default"/>
    <w:sig w:usb0="800002BF" w:usb1="38CF7CFA" w:usb2="00000016" w:usb3="00000000" w:csb0="00040001" w:csb1="00000000"/>
    <w:embedRegular r:id="rId2" w:fontKey="{9816939B-8C6C-4377-B6E2-2B64C954D37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embedRegular r:id="rId3" w:fontKey="{15651CE1-B23D-4D6E-A6C7-BB2D70F3236B}"/>
  </w:font>
  <w:font w:name="Cambria">
    <w:panose1 w:val="02040503050406030204"/>
    <w:charset w:val="00"/>
    <w:family w:val="roman"/>
    <w:pitch w:val="default"/>
    <w:sig w:usb0="E00006FF" w:usb1="420024FF" w:usb2="02000000" w:usb3="00000000" w:csb0="2000019F" w:csb1="00000000"/>
  </w:font>
  <w:font w:name="Times">
    <w:altName w:val="Times New Roman"/>
    <w:panose1 w:val="00000500000000020000"/>
    <w:charset w:val="00"/>
    <w:family w:val="roman"/>
    <w:pitch w:val="default"/>
    <w:sig w:usb0="00000000" w:usb1="00000000" w:usb2="00000000" w:usb3="00000000" w:csb0="2000019F" w:csb1="4F010000"/>
    <w:embedRegular r:id="rId4" w:fontKey="{0BCEBFB9-F41F-4B42-905B-A36162B3BB35}"/>
  </w:font>
  <w:font w:name="方正仿宋_GBK">
    <w:panose1 w:val="02000000000000000000"/>
    <w:charset w:val="86"/>
    <w:family w:val="script"/>
    <w:pitch w:val="default"/>
    <w:sig w:usb0="A00002BF" w:usb1="38CF7CFA" w:usb2="00082016" w:usb3="00000000" w:csb0="00040001"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helvetica">
    <w:altName w:val="Segoe Print"/>
    <w:panose1 w:val="00000000000000000000"/>
    <w:charset w:val="00"/>
    <w:family w:val="auto"/>
    <w:pitch w:val="default"/>
    <w:sig w:usb0="00000000" w:usb1="00000000" w:usb2="00000000" w:usb3="00000000" w:csb0="2000019F" w:csb1="4F010000"/>
  </w:font>
  <w:font w:name="Segoe Print">
    <w:panose1 w:val="02000600000000000000"/>
    <w:charset w:val="00"/>
    <w:family w:val="auto"/>
    <w:pitch w:val="default"/>
    <w:sig w:usb0="0000028F" w:usb1="00000000" w:usb2="00000000" w:usb3="00000000" w:csb0="2000009F" w:csb1="47010000"/>
  </w:font>
  <w:font w:name="方正小标宋_GBK">
    <w:panose1 w:val="02000000000000000000"/>
    <w:charset w:val="86"/>
    <w:family w:val="script"/>
    <w:pitch w:val="default"/>
    <w:sig w:usb0="00000001" w:usb1="080E0000" w:usb2="00000000" w:usb3="00000000" w:csb0="00040000" w:csb1="00000000"/>
    <w:embedRegular r:id="rId5" w:fontKey="{8DE70CFF-EA8B-453F-977F-6EBFE25C00F4}"/>
  </w:font>
  <w:font w:name="微软雅黑">
    <w:panose1 w:val="020B0503020204020204"/>
    <w:charset w:val="86"/>
    <w:family w:val="auto"/>
    <w:pitch w:val="default"/>
    <w:sig w:usb0="80000287" w:usb1="2ACF3C50" w:usb2="00000016" w:usb3="00000000" w:csb0="0004001F" w:csb1="00000000"/>
    <w:embedRegular r:id="rId6" w:fontKey="{CC619CA4-2326-4D07-974A-94DEE3B69A92}"/>
  </w:font>
  <w:font w:name="Segoe UI">
    <w:panose1 w:val="020B0502040204020203"/>
    <w:charset w:val="00"/>
    <w:family w:val="auto"/>
    <w:pitch w:val="default"/>
    <w:sig w:usb0="E4002EFF" w:usb1="C000E47F" w:usb2="00000009" w:usb3="00000000" w:csb0="200001FF" w:csb1="00000000"/>
    <w:embedRegular r:id="rId7" w:fontKey="{56D1934B-8185-430E-938D-5726170738AB}"/>
  </w:font>
  <w:font w:name="FangSong_GB2312">
    <w:altName w:val="仿宋_GB2312"/>
    <w:panose1 w:val="00020600040101010101"/>
    <w:charset w:val="86"/>
    <w:family w:val="auto"/>
    <w:pitch w:val="default"/>
    <w:sig w:usb0="00000000" w:usb1="00000000" w:usb2="00000016" w:usb3="00000000" w:csb0="0004009F" w:csb1="DFD70000"/>
    <w:embedRegular r:id="rId8" w:fontKey="{6E599E41-E9E8-4589-A216-FD79CD9F5E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E7C31">
    <w:pPr>
      <w:pStyle w:val="22"/>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
                          </w:sdtPr>
                          <w:sdtContent>
                            <w:p w14:paraId="18EC60AA">
                              <w:pPr>
                                <w:pStyle w:val="22"/>
                                <w:ind w:firstLine="360"/>
                              </w:pPr>
                              <w:r>
                                <w:fldChar w:fldCharType="begin"/>
                              </w:r>
                              <w:r>
                                <w:instrText xml:space="preserve">PAGE   \* MERGEFORMAT</w:instrText>
                              </w:r>
                              <w:r>
                                <w:fldChar w:fldCharType="separate"/>
                              </w:r>
                              <w:r>
                                <w:rPr>
                                  <w:lang w:val="zh-CN"/>
                                </w:rPr>
                                <w:t>2</w:t>
                              </w:r>
                              <w:r>
                                <w:fldChar w:fldCharType="end"/>
                              </w:r>
                            </w:p>
                          </w:sdtContent>
                        </w:sdt>
                        <w:p w14:paraId="42C26CB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sdt>
                    <w:sdtPr>
                      <w:id w:val="-1"/>
                    </w:sdtPr>
                    <w:sdtContent>
                      <w:p w14:paraId="18EC60AA">
                        <w:pPr>
                          <w:pStyle w:val="22"/>
                          <w:ind w:firstLine="360"/>
                        </w:pPr>
                        <w:r>
                          <w:fldChar w:fldCharType="begin"/>
                        </w:r>
                        <w:r>
                          <w:instrText xml:space="preserve">PAGE   \* MERGEFORMAT</w:instrText>
                        </w:r>
                        <w:r>
                          <w:fldChar w:fldCharType="separate"/>
                        </w:r>
                        <w:r>
                          <w:rPr>
                            <w:lang w:val="zh-CN"/>
                          </w:rPr>
                          <w:t>2</w:t>
                        </w:r>
                        <w:r>
                          <w:fldChar w:fldCharType="end"/>
                        </w:r>
                      </w:p>
                    </w:sdtContent>
                  </w:sdt>
                  <w:p w14:paraId="42C26CB8"/>
                </w:txbxContent>
              </v:textbox>
            </v:shape>
          </w:pict>
        </mc:Fallback>
      </mc:AlternateContent>
    </w:r>
  </w:p>
  <w:p w14:paraId="6C846D61">
    <w:pPr>
      <w:pStyle w:val="2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D4608">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FF8E6">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9B1FA">
    <w:pPr>
      <w:pStyle w:val="2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A0FE9">
    <w:pPr>
      <w:pStyle w:val="22"/>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889CF">
    <w:pPr>
      <w:pStyle w:val="22"/>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6330"/>
                          </w:sdtPr>
                          <w:sdtContent>
                            <w:p w14:paraId="165960C7">
                              <w:pPr>
                                <w:pStyle w:val="22"/>
                                <w:ind w:firstLine="360"/>
                              </w:pPr>
                              <w:r>
                                <w:fldChar w:fldCharType="begin"/>
                              </w:r>
                              <w:r>
                                <w:instrText xml:space="preserve">PAGE   \* MERGEFORMAT</w:instrText>
                              </w:r>
                              <w:r>
                                <w:fldChar w:fldCharType="separate"/>
                              </w:r>
                              <w:r>
                                <w:rPr>
                                  <w:lang w:val="zh-CN"/>
                                </w:rPr>
                                <w:t>2</w:t>
                              </w:r>
                              <w:r>
                                <w:fldChar w:fldCharType="end"/>
                              </w:r>
                            </w:p>
                          </w:sdtContent>
                        </w:sdt>
                        <w:p w14:paraId="4EBDCC3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sdt>
                    <w:sdtPr>
                      <w:id w:val="147476330"/>
                    </w:sdtPr>
                    <w:sdtContent>
                      <w:p w14:paraId="165960C7">
                        <w:pPr>
                          <w:pStyle w:val="22"/>
                          <w:ind w:firstLine="360"/>
                        </w:pPr>
                        <w:r>
                          <w:fldChar w:fldCharType="begin"/>
                        </w:r>
                        <w:r>
                          <w:instrText xml:space="preserve">PAGE   \* MERGEFORMAT</w:instrText>
                        </w:r>
                        <w:r>
                          <w:fldChar w:fldCharType="separate"/>
                        </w:r>
                        <w:r>
                          <w:rPr>
                            <w:lang w:val="zh-CN"/>
                          </w:rPr>
                          <w:t>2</w:t>
                        </w:r>
                        <w:r>
                          <w:fldChar w:fldCharType="end"/>
                        </w:r>
                      </w:p>
                    </w:sdtContent>
                  </w:sdt>
                  <w:p w14:paraId="4EBDCC3E"/>
                </w:txbxContent>
              </v:textbox>
            </v:shape>
          </w:pict>
        </mc:Fallback>
      </mc:AlternateContent>
    </w:r>
  </w:p>
  <w:p w14:paraId="6503D95F">
    <w:pPr>
      <w:pStyle w:val="22"/>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30391">
    <w:pPr>
      <w:pStyle w:val="22"/>
      <w:ind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F4FE19">
                          <w:pPr>
                            <w:pStyle w:val="2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EF4FE19">
                    <w:pPr>
                      <w:pStyle w:val="22"/>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2A2AC">
    <w:pPr>
      <w:pStyle w:val="22"/>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053580">
                          <w:pPr>
                            <w:pStyle w:val="2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A053580">
                    <w:pPr>
                      <w:pStyle w:val="22"/>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pPr>
        <w:spacing w:line="240" w:lineRule="auto"/>
        <w:ind w:firstLine="480"/>
      </w:pPr>
      <w:r>
        <w:separator/>
      </w:r>
    </w:p>
  </w:footnote>
  <w:footnote w:type="continuationSeparator" w:id="9">
    <w:p>
      <w:pPr>
        <w:spacing w:line="240" w:lineRule="auto"/>
        <w:ind w:firstLine="480"/>
      </w:pPr>
      <w:r>
        <w:continuationSeparator/>
      </w:r>
    </w:p>
  </w:footnote>
  <w:footnote w:id="0">
    <w:p w14:paraId="17E0E2C5">
      <w:pPr>
        <w:pStyle w:val="27"/>
        <w:snapToGrid w:val="0"/>
      </w:pPr>
      <w:r>
        <w:rPr>
          <w:rStyle w:val="42"/>
        </w:rPr>
        <w:footnoteRef/>
      </w:r>
      <w:r>
        <w:rPr>
          <w:rFonts w:hint="eastAsia"/>
        </w:rPr>
        <w:t>莫梓伟,邵敏,陆思华.中国挥发性有机物(VOCs)排放源成分谱研究进展[J].环境科学学报,2014,34(09):2179-2189.DOI:10.13671/j.hjkxxb.2014.0801.</w:t>
      </w:r>
    </w:p>
  </w:footnote>
  <w:footnote w:id="1">
    <w:p w14:paraId="300473EE">
      <w:pPr>
        <w:pStyle w:val="27"/>
        <w:snapToGrid w:val="0"/>
      </w:pPr>
      <w:r>
        <w:rPr>
          <w:rStyle w:val="42"/>
        </w:rPr>
        <w:footnoteRef/>
      </w:r>
      <w:r>
        <w:rPr>
          <w:rFonts w:hint="eastAsia"/>
        </w:rPr>
        <w:t>徐彬.长沙市城市中心区大气挥发性有机物污染特征及来源解析[D].湖南农业大学,2020.DOI:10.27136/d.cnki.ghunu.2020.001214.</w:t>
      </w:r>
    </w:p>
  </w:footnote>
  <w:footnote w:id="2">
    <w:p w14:paraId="58F2F742">
      <w:pPr>
        <w:pStyle w:val="27"/>
        <w:snapToGrid w:val="0"/>
      </w:pPr>
      <w:r>
        <w:rPr>
          <w:rStyle w:val="42"/>
        </w:rPr>
        <w:footnoteRef/>
      </w:r>
      <w:r>
        <w:rPr>
          <w:rFonts w:hint="eastAsia"/>
        </w:rPr>
        <w:t>范茂清,伍乔,赵芳等.近三年长沙市臭氧污染形势分析及污染成因和防治对策研究[J/OL].环境工程:1-10[2024-03-06].http://kns.cnki.net/kcms/detail/11.2097.X.20230811.1107.002.html.</w:t>
      </w:r>
    </w:p>
  </w:footnote>
  <w:footnote w:id="3">
    <w:p w14:paraId="538CC7A3">
      <w:pPr>
        <w:pStyle w:val="27"/>
        <w:snapToGrid w:val="0"/>
      </w:pPr>
      <w:r>
        <w:rPr>
          <w:rStyle w:val="42"/>
        </w:rPr>
        <w:footnoteRef/>
      </w:r>
      <w:r>
        <w:rPr>
          <w:rFonts w:hint="eastAsia"/>
        </w:rPr>
        <w:t>刘欣,李晟,马杰利等.长株潭地区大气芳香烃特征、来源及健康风险[J].环境科学与技术,2023,46(06):145-157.DOI:10.19672/j.cnki.1003-6504.2660.22.338.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2F748">
    <w:pPr>
      <w:pStyle w:val="2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DD660">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ABF45">
    <w:pPr>
      <w:pStyle w:val="23"/>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E5C64">
    <w:pPr>
      <w:pStyle w:val="23"/>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01D69">
    <w:pPr>
      <w:pStyle w:val="23"/>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01D3C5"/>
    <w:multiLevelType w:val="singleLevel"/>
    <w:tmpl w:val="8701D3C5"/>
    <w:lvl w:ilvl="0" w:tentative="0">
      <w:start w:val="1"/>
      <w:numFmt w:val="decimal"/>
      <w:suff w:val="space"/>
      <w:lvlText w:val="%1."/>
      <w:lvlJc w:val="left"/>
      <w:pPr>
        <w:ind w:left="0" w:leftChars="0" w:firstLine="0" w:firstLineChars="0"/>
      </w:pPr>
      <w:rPr>
        <w:rFonts w:hint="default"/>
      </w:rPr>
    </w:lvl>
  </w:abstractNum>
  <w:abstractNum w:abstractNumId="1">
    <w:nsid w:val="8B11998A"/>
    <w:multiLevelType w:val="singleLevel"/>
    <w:tmpl w:val="8B11998A"/>
    <w:lvl w:ilvl="0" w:tentative="0">
      <w:start w:val="1"/>
      <w:numFmt w:val="decimal"/>
      <w:suff w:val="nothing"/>
      <w:lvlText w:val="（%1）"/>
      <w:lvlJc w:val="left"/>
    </w:lvl>
  </w:abstractNum>
  <w:abstractNum w:abstractNumId="2">
    <w:nsid w:val="A44765E9"/>
    <w:multiLevelType w:val="singleLevel"/>
    <w:tmpl w:val="A44765E9"/>
    <w:lvl w:ilvl="0" w:tentative="0">
      <w:start w:val="1"/>
      <w:numFmt w:val="decimal"/>
      <w:suff w:val="nothing"/>
      <w:lvlText w:val="（%1）"/>
      <w:lvlJc w:val="left"/>
    </w:lvl>
  </w:abstractNum>
  <w:abstractNum w:abstractNumId="3">
    <w:nsid w:val="D082DFEE"/>
    <w:multiLevelType w:val="singleLevel"/>
    <w:tmpl w:val="D082DFEE"/>
    <w:lvl w:ilvl="0" w:tentative="0">
      <w:start w:val="1"/>
      <w:numFmt w:val="decimal"/>
      <w:suff w:val="nothing"/>
      <w:lvlText w:val="（%1）"/>
      <w:lvlJc w:val="left"/>
    </w:lvl>
  </w:abstractNum>
  <w:abstractNum w:abstractNumId="4">
    <w:nsid w:val="DE92F38D"/>
    <w:multiLevelType w:val="singleLevel"/>
    <w:tmpl w:val="DE92F38D"/>
    <w:lvl w:ilvl="0" w:tentative="0">
      <w:start w:val="2"/>
      <w:numFmt w:val="decimal"/>
      <w:suff w:val="nothing"/>
      <w:lvlText w:val="（%1）"/>
      <w:lvlJc w:val="left"/>
    </w:lvl>
  </w:abstractNum>
  <w:abstractNum w:abstractNumId="5">
    <w:nsid w:val="079102AD"/>
    <w:multiLevelType w:val="multilevel"/>
    <w:tmpl w:val="079102AD"/>
    <w:lvl w:ilvl="0" w:tentative="0">
      <w:start w:val="1"/>
      <w:numFmt w:val="decimal"/>
      <w:pStyle w:val="72"/>
      <w:suff w:val="nothing"/>
      <w:lvlText w:val="注%1："/>
      <w:lvlJc w:val="left"/>
      <w:pPr>
        <w:ind w:left="811" w:hanging="448"/>
      </w:pPr>
      <w:rPr>
        <w:rFonts w:hint="eastAsia" w:ascii="黑体" w:eastAsia="黑体" w:cs="Times New Roman"/>
        <w:b w:val="0"/>
        <w:i w:val="0"/>
        <w:sz w:val="18"/>
      </w:rPr>
    </w:lvl>
    <w:lvl w:ilvl="1" w:tentative="0">
      <w:start w:val="1"/>
      <w:numFmt w:val="lowerLetter"/>
      <w:lvlText w:val="%2)"/>
      <w:lvlJc w:val="left"/>
      <w:pPr>
        <w:tabs>
          <w:tab w:val="left" w:pos="0"/>
        </w:tabs>
        <w:ind w:left="992" w:hanging="629"/>
      </w:pPr>
      <w:rPr>
        <w:rFonts w:hint="eastAsia" w:cs="Times New Roman"/>
      </w:rPr>
    </w:lvl>
    <w:lvl w:ilvl="2" w:tentative="0">
      <w:start w:val="1"/>
      <w:numFmt w:val="lowerRoman"/>
      <w:lvlText w:val="%3."/>
      <w:lvlJc w:val="right"/>
      <w:pPr>
        <w:tabs>
          <w:tab w:val="left" w:pos="0"/>
        </w:tabs>
        <w:ind w:left="992" w:hanging="629"/>
      </w:pPr>
      <w:rPr>
        <w:rFonts w:hint="eastAsia" w:cs="Times New Roman"/>
      </w:rPr>
    </w:lvl>
    <w:lvl w:ilvl="3" w:tentative="0">
      <w:start w:val="1"/>
      <w:numFmt w:val="decimal"/>
      <w:lvlText w:val="%4."/>
      <w:lvlJc w:val="left"/>
      <w:pPr>
        <w:tabs>
          <w:tab w:val="left" w:pos="0"/>
        </w:tabs>
        <w:ind w:left="992" w:hanging="629"/>
      </w:pPr>
      <w:rPr>
        <w:rFonts w:hint="eastAsia" w:cs="Times New Roman"/>
      </w:rPr>
    </w:lvl>
    <w:lvl w:ilvl="4" w:tentative="0">
      <w:start w:val="1"/>
      <w:numFmt w:val="lowerLetter"/>
      <w:lvlText w:val="%5)"/>
      <w:lvlJc w:val="left"/>
      <w:pPr>
        <w:tabs>
          <w:tab w:val="left" w:pos="0"/>
        </w:tabs>
        <w:ind w:left="992" w:hanging="629"/>
      </w:pPr>
      <w:rPr>
        <w:rFonts w:hint="eastAsia" w:cs="Times New Roman"/>
      </w:rPr>
    </w:lvl>
    <w:lvl w:ilvl="5" w:tentative="0">
      <w:start w:val="1"/>
      <w:numFmt w:val="lowerRoman"/>
      <w:lvlText w:val="%6."/>
      <w:lvlJc w:val="right"/>
      <w:pPr>
        <w:tabs>
          <w:tab w:val="left" w:pos="0"/>
        </w:tabs>
        <w:ind w:left="992" w:hanging="629"/>
      </w:pPr>
      <w:rPr>
        <w:rFonts w:hint="eastAsia" w:cs="Times New Roman"/>
      </w:rPr>
    </w:lvl>
    <w:lvl w:ilvl="6" w:tentative="0">
      <w:start w:val="1"/>
      <w:numFmt w:val="decimal"/>
      <w:lvlText w:val="%7."/>
      <w:lvlJc w:val="left"/>
      <w:pPr>
        <w:tabs>
          <w:tab w:val="left" w:pos="0"/>
        </w:tabs>
        <w:ind w:left="992" w:hanging="629"/>
      </w:pPr>
      <w:rPr>
        <w:rFonts w:hint="eastAsia" w:cs="Times New Roman"/>
      </w:rPr>
    </w:lvl>
    <w:lvl w:ilvl="7" w:tentative="0">
      <w:start w:val="1"/>
      <w:numFmt w:val="lowerLetter"/>
      <w:lvlText w:val="%8)"/>
      <w:lvlJc w:val="left"/>
      <w:pPr>
        <w:tabs>
          <w:tab w:val="left" w:pos="0"/>
        </w:tabs>
        <w:ind w:left="992" w:hanging="629"/>
      </w:pPr>
      <w:rPr>
        <w:rFonts w:hint="eastAsia" w:cs="Times New Roman"/>
      </w:rPr>
    </w:lvl>
    <w:lvl w:ilvl="8" w:tentative="0">
      <w:start w:val="1"/>
      <w:numFmt w:val="lowerRoman"/>
      <w:lvlText w:val="%9."/>
      <w:lvlJc w:val="right"/>
      <w:pPr>
        <w:tabs>
          <w:tab w:val="left" w:pos="0"/>
        </w:tabs>
        <w:ind w:left="992" w:hanging="629"/>
      </w:pPr>
      <w:rPr>
        <w:rFonts w:hint="eastAsia" w:cs="Times New Roman"/>
      </w:rPr>
    </w:lvl>
  </w:abstractNum>
  <w:abstractNum w:abstractNumId="6">
    <w:nsid w:val="0AE367E9"/>
    <w:multiLevelType w:val="multilevel"/>
    <w:tmpl w:val="0AE367E9"/>
    <w:lvl w:ilvl="0" w:tentative="0">
      <w:start w:val="1"/>
      <w:numFmt w:val="none"/>
      <w:pStyle w:val="109"/>
      <w:suff w:val="nothing"/>
      <w:lvlText w:val="%1示例："/>
      <w:lvlJc w:val="left"/>
      <w:pPr>
        <w:ind w:firstLine="363"/>
      </w:pPr>
      <w:rPr>
        <w:rFonts w:hint="eastAsia" w:ascii="黑体" w:eastAsia="黑体" w:cs="Times New Roman"/>
        <w:b w:val="0"/>
        <w:i w:val="0"/>
        <w:sz w:val="18"/>
        <w:szCs w:val="18"/>
      </w:rPr>
    </w:lvl>
    <w:lvl w:ilvl="1" w:tentative="0">
      <w:start w:val="1"/>
      <w:numFmt w:val="lowerLetter"/>
      <w:lvlText w:val="%2)"/>
      <w:lvlJc w:val="left"/>
      <w:pPr>
        <w:tabs>
          <w:tab w:val="left" w:pos="363"/>
        </w:tabs>
        <w:ind w:firstLine="363"/>
      </w:pPr>
      <w:rPr>
        <w:rFonts w:hint="eastAsia" w:cs="Times New Roman"/>
      </w:rPr>
    </w:lvl>
    <w:lvl w:ilvl="2" w:tentative="0">
      <w:start w:val="1"/>
      <w:numFmt w:val="lowerRoman"/>
      <w:lvlText w:val="%3."/>
      <w:lvlJc w:val="right"/>
      <w:pPr>
        <w:tabs>
          <w:tab w:val="left" w:pos="363"/>
        </w:tabs>
        <w:ind w:firstLine="363"/>
      </w:pPr>
      <w:rPr>
        <w:rFonts w:hint="eastAsia" w:cs="Times New Roman"/>
      </w:rPr>
    </w:lvl>
    <w:lvl w:ilvl="3" w:tentative="0">
      <w:start w:val="1"/>
      <w:numFmt w:val="decimal"/>
      <w:lvlText w:val="%4."/>
      <w:lvlJc w:val="left"/>
      <w:pPr>
        <w:tabs>
          <w:tab w:val="left" w:pos="363"/>
        </w:tabs>
        <w:ind w:firstLine="363"/>
      </w:pPr>
      <w:rPr>
        <w:rFonts w:hint="eastAsia" w:cs="Times New Roman"/>
      </w:rPr>
    </w:lvl>
    <w:lvl w:ilvl="4" w:tentative="0">
      <w:start w:val="1"/>
      <w:numFmt w:val="lowerLetter"/>
      <w:lvlText w:val="%5)"/>
      <w:lvlJc w:val="left"/>
      <w:pPr>
        <w:tabs>
          <w:tab w:val="left" w:pos="363"/>
        </w:tabs>
        <w:ind w:firstLine="363"/>
      </w:pPr>
      <w:rPr>
        <w:rFonts w:hint="eastAsia" w:cs="Times New Roman"/>
      </w:rPr>
    </w:lvl>
    <w:lvl w:ilvl="5" w:tentative="0">
      <w:start w:val="1"/>
      <w:numFmt w:val="lowerRoman"/>
      <w:lvlText w:val="%6."/>
      <w:lvlJc w:val="right"/>
      <w:pPr>
        <w:tabs>
          <w:tab w:val="left" w:pos="363"/>
        </w:tabs>
        <w:ind w:firstLine="363"/>
      </w:pPr>
      <w:rPr>
        <w:rFonts w:hint="eastAsia" w:cs="Times New Roman"/>
      </w:rPr>
    </w:lvl>
    <w:lvl w:ilvl="6" w:tentative="0">
      <w:start w:val="1"/>
      <w:numFmt w:val="decimal"/>
      <w:lvlText w:val="%7."/>
      <w:lvlJc w:val="left"/>
      <w:pPr>
        <w:tabs>
          <w:tab w:val="left" w:pos="363"/>
        </w:tabs>
        <w:ind w:firstLine="363"/>
      </w:pPr>
      <w:rPr>
        <w:rFonts w:hint="eastAsia" w:cs="Times New Roman"/>
      </w:rPr>
    </w:lvl>
    <w:lvl w:ilvl="7" w:tentative="0">
      <w:start w:val="1"/>
      <w:numFmt w:val="lowerLetter"/>
      <w:lvlText w:val="%8)"/>
      <w:lvlJc w:val="left"/>
      <w:pPr>
        <w:tabs>
          <w:tab w:val="left" w:pos="363"/>
        </w:tabs>
        <w:ind w:firstLine="363"/>
      </w:pPr>
      <w:rPr>
        <w:rFonts w:hint="eastAsia" w:cs="Times New Roman"/>
      </w:rPr>
    </w:lvl>
    <w:lvl w:ilvl="8" w:tentative="0">
      <w:start w:val="1"/>
      <w:numFmt w:val="lowerRoman"/>
      <w:lvlText w:val="%9."/>
      <w:lvlJc w:val="right"/>
      <w:pPr>
        <w:tabs>
          <w:tab w:val="left" w:pos="363"/>
        </w:tabs>
        <w:ind w:firstLine="363"/>
      </w:pPr>
      <w:rPr>
        <w:rFonts w:hint="eastAsia" w:cs="Times New Roman"/>
      </w:rPr>
    </w:lvl>
  </w:abstractNum>
  <w:abstractNum w:abstractNumId="7">
    <w:nsid w:val="1FC91163"/>
    <w:multiLevelType w:val="multilevel"/>
    <w:tmpl w:val="1FC91163"/>
    <w:lvl w:ilvl="0" w:tentative="0">
      <w:start w:val="1"/>
      <w:numFmt w:val="decimal"/>
      <w:pStyle w:val="74"/>
      <w:suff w:val="nothing"/>
      <w:lvlText w:val="%1　"/>
      <w:lvlJc w:val="left"/>
      <w:rPr>
        <w:rFonts w:hint="eastAsia" w:ascii="黑体" w:hAnsi="Times New Roman" w:eastAsia="黑体" w:cs="Times New Roman"/>
        <w:b w:val="0"/>
        <w:i w:val="0"/>
        <w:sz w:val="21"/>
        <w:szCs w:val="21"/>
      </w:rPr>
    </w:lvl>
    <w:lvl w:ilvl="1" w:tentative="0">
      <w:start w:val="1"/>
      <w:numFmt w:val="decimal"/>
      <w:pStyle w:val="73"/>
      <w:suff w:val="nothing"/>
      <w:lvlText w:val="%1.%2　"/>
      <w:lvlJc w:val="left"/>
      <w:pPr>
        <w:ind w:left="105"/>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75"/>
      <w:suff w:val="nothing"/>
      <w:lvlText w:val="%1.%2.%3　"/>
      <w:lvlJc w:val="left"/>
      <w:rPr>
        <w:rFonts w:hint="eastAsia" w:ascii="黑体" w:hAnsi="Times New Roman" w:eastAsia="黑体" w:cs="Times New Roman"/>
        <w:b w:val="0"/>
        <w:i w:val="0"/>
        <w:sz w:val="21"/>
      </w:rPr>
    </w:lvl>
    <w:lvl w:ilvl="3" w:tentative="0">
      <w:start w:val="1"/>
      <w:numFmt w:val="decimal"/>
      <w:pStyle w:val="76"/>
      <w:suff w:val="nothing"/>
      <w:lvlText w:val="%1.%2.%3.%4　"/>
      <w:lvlJc w:val="left"/>
      <w:rPr>
        <w:rFonts w:hint="eastAsia" w:ascii="黑体" w:hAnsi="Times New Roman" w:eastAsia="黑体" w:cs="Times New Roman"/>
        <w:b w:val="0"/>
        <w:i w:val="0"/>
        <w:sz w:val="21"/>
      </w:rPr>
    </w:lvl>
    <w:lvl w:ilvl="4" w:tentative="0">
      <w:start w:val="1"/>
      <w:numFmt w:val="decimal"/>
      <w:pStyle w:val="77"/>
      <w:suff w:val="nothing"/>
      <w:lvlText w:val="%1.%2.%3.%4.%5　"/>
      <w:lvlJc w:val="left"/>
      <w:rPr>
        <w:rFonts w:hint="eastAsia" w:ascii="黑体" w:hAnsi="Times New Roman" w:eastAsia="黑体" w:cs="Times New Roman"/>
        <w:b w:val="0"/>
        <w:i w:val="0"/>
        <w:sz w:val="21"/>
      </w:rPr>
    </w:lvl>
    <w:lvl w:ilvl="5" w:tentative="0">
      <w:start w:val="1"/>
      <w:numFmt w:val="decimal"/>
      <w:pStyle w:val="78"/>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8">
    <w:nsid w:val="5B7218D3"/>
    <w:multiLevelType w:val="multilevel"/>
    <w:tmpl w:val="5B7218D3"/>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ascii="Times New Roman" w:hAnsi="Times New Roman" w:cs="Times New Roman"/>
      </w:rPr>
    </w:lvl>
    <w:lvl w:ilvl="2" w:tentative="0">
      <w:start w:val="1"/>
      <w:numFmt w:val="decimal"/>
      <w:pStyle w:val="4"/>
      <w:lvlText w:val="%1.%2.%3."/>
      <w:lvlJc w:val="left"/>
      <w:pPr>
        <w:ind w:left="0" w:leftChars="0" w:firstLine="0" w:firstLineChars="0"/>
      </w:pPr>
      <w:rPr>
        <w:rFonts w:hint="default" w:ascii="Times New Roman" w:hAnsi="Times New Roman" w:cs="Times New Roman"/>
      </w:rPr>
    </w:lvl>
    <w:lvl w:ilvl="3" w:tentative="0">
      <w:start w:val="1"/>
      <w:numFmt w:val="decimal"/>
      <w:pStyle w:val="5"/>
      <w:suff w:val="nothing"/>
      <w:lvlText w:val="%1.%2.%3.%4."/>
      <w:lvlJc w:val="left"/>
      <w:pPr>
        <w:ind w:left="0" w:leftChars="0" w:firstLine="0" w:firstLineChars="0"/>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9">
    <w:nsid w:val="646260FA"/>
    <w:multiLevelType w:val="multilevel"/>
    <w:tmpl w:val="646260FA"/>
    <w:lvl w:ilvl="0" w:tentative="0">
      <w:start w:val="1"/>
      <w:numFmt w:val="decimal"/>
      <w:pStyle w:val="95"/>
      <w:suff w:val="nothing"/>
      <w:lvlText w:val="表%1　"/>
      <w:lvlJc w:val="left"/>
      <w:pPr>
        <w:ind w:left="2694" w:firstLine="0"/>
      </w:pPr>
      <w:rPr>
        <w:rFonts w:hint="eastAsia" w:ascii="黑体" w:hAnsi="Times New Roman" w:eastAsia="黑体"/>
        <w:b w:val="0"/>
        <w:i w:val="0"/>
        <w:sz w:val="21"/>
      </w:rPr>
    </w:lvl>
    <w:lvl w:ilvl="1" w:tentative="0">
      <w:start w:val="1"/>
      <w:numFmt w:val="decimal"/>
      <w:lvlText w:val="%1.%2"/>
      <w:lvlJc w:val="left"/>
      <w:pPr>
        <w:tabs>
          <w:tab w:val="left" w:pos="3686"/>
        </w:tabs>
        <w:ind w:left="3686" w:hanging="567"/>
      </w:pPr>
      <w:rPr>
        <w:rFonts w:hint="eastAsia"/>
      </w:rPr>
    </w:lvl>
    <w:lvl w:ilvl="2" w:tentative="0">
      <w:start w:val="1"/>
      <w:numFmt w:val="decimal"/>
      <w:lvlText w:val="%1.%2.%3"/>
      <w:lvlJc w:val="left"/>
      <w:pPr>
        <w:tabs>
          <w:tab w:val="left" w:pos="4112"/>
        </w:tabs>
        <w:ind w:left="4112" w:hanging="567"/>
      </w:pPr>
      <w:rPr>
        <w:rFonts w:hint="eastAsia"/>
      </w:rPr>
    </w:lvl>
    <w:lvl w:ilvl="3" w:tentative="0">
      <w:start w:val="1"/>
      <w:numFmt w:val="decimal"/>
      <w:lvlText w:val="%1.%2.%3.%4"/>
      <w:lvlJc w:val="left"/>
      <w:pPr>
        <w:tabs>
          <w:tab w:val="left" w:pos="4678"/>
        </w:tabs>
        <w:ind w:left="4678" w:hanging="708"/>
      </w:pPr>
      <w:rPr>
        <w:rFonts w:hint="eastAsia"/>
      </w:rPr>
    </w:lvl>
    <w:lvl w:ilvl="4" w:tentative="0">
      <w:start w:val="1"/>
      <w:numFmt w:val="decimal"/>
      <w:lvlText w:val="%1.%2.%3.%4.%5"/>
      <w:lvlJc w:val="left"/>
      <w:pPr>
        <w:tabs>
          <w:tab w:val="left" w:pos="5245"/>
        </w:tabs>
        <w:ind w:left="5245" w:hanging="850"/>
      </w:pPr>
      <w:rPr>
        <w:rFonts w:hint="eastAsia"/>
      </w:rPr>
    </w:lvl>
    <w:lvl w:ilvl="5" w:tentative="0">
      <w:start w:val="1"/>
      <w:numFmt w:val="decimal"/>
      <w:lvlText w:val="%1.%2.%3.%4.%5.%6"/>
      <w:lvlJc w:val="left"/>
      <w:pPr>
        <w:tabs>
          <w:tab w:val="left" w:pos="5954"/>
        </w:tabs>
        <w:ind w:left="5954" w:hanging="1134"/>
      </w:pPr>
      <w:rPr>
        <w:rFonts w:hint="eastAsia"/>
      </w:rPr>
    </w:lvl>
    <w:lvl w:ilvl="6" w:tentative="0">
      <w:start w:val="1"/>
      <w:numFmt w:val="decimal"/>
      <w:lvlText w:val="%1.%2.%3.%4.%5.%6.%7"/>
      <w:lvlJc w:val="left"/>
      <w:pPr>
        <w:tabs>
          <w:tab w:val="left" w:pos="6521"/>
        </w:tabs>
        <w:ind w:left="6521" w:hanging="1276"/>
      </w:pPr>
      <w:rPr>
        <w:rFonts w:hint="eastAsia"/>
      </w:rPr>
    </w:lvl>
    <w:lvl w:ilvl="7" w:tentative="0">
      <w:start w:val="1"/>
      <w:numFmt w:val="decimal"/>
      <w:lvlText w:val="%1.%2.%3.%4.%5.%6.%7.%8"/>
      <w:lvlJc w:val="left"/>
      <w:pPr>
        <w:tabs>
          <w:tab w:val="left" w:pos="7088"/>
        </w:tabs>
        <w:ind w:left="7088" w:hanging="1418"/>
      </w:pPr>
      <w:rPr>
        <w:rFonts w:hint="eastAsia"/>
      </w:rPr>
    </w:lvl>
    <w:lvl w:ilvl="8" w:tentative="0">
      <w:start w:val="1"/>
      <w:numFmt w:val="decimal"/>
      <w:lvlText w:val="%1.%2.%3.%4.%5.%6.%7.%8.%9"/>
      <w:lvlJc w:val="left"/>
      <w:pPr>
        <w:tabs>
          <w:tab w:val="left" w:pos="7796"/>
        </w:tabs>
        <w:ind w:left="7796" w:hanging="1700"/>
      </w:pPr>
      <w:rPr>
        <w:rFonts w:hint="eastAsia"/>
      </w:rPr>
    </w:lvl>
  </w:abstractNum>
  <w:abstractNum w:abstractNumId="10">
    <w:nsid w:val="657D3FBC"/>
    <w:multiLevelType w:val="multilevel"/>
    <w:tmpl w:val="657D3FBC"/>
    <w:lvl w:ilvl="0" w:tentative="0">
      <w:start w:val="1"/>
      <w:numFmt w:val="upperLetter"/>
      <w:pStyle w:val="98"/>
      <w:suff w:val="nothing"/>
      <w:lvlText w:val="附　录　%1"/>
      <w:lvlJc w:val="left"/>
      <w:rPr>
        <w:rFonts w:hint="eastAsia" w:ascii="黑体" w:hAnsi="Times New Roman" w:eastAsia="黑体" w:cs="Times New Roman"/>
        <w:b w:val="0"/>
        <w:i w:val="0"/>
        <w:spacing w:val="0"/>
        <w:w w:val="100"/>
        <w:sz w:val="21"/>
      </w:rPr>
    </w:lvl>
    <w:lvl w:ilvl="1" w:tentative="0">
      <w:start w:val="1"/>
      <w:numFmt w:val="decimal"/>
      <w:pStyle w:val="103"/>
      <w:suff w:val="nothing"/>
      <w:lvlText w:val="%1.%2　"/>
      <w:lvlJc w:val="left"/>
      <w:rPr>
        <w:rFonts w:hint="eastAsia" w:ascii="黑体" w:hAnsi="Times New Roman" w:eastAsia="黑体" w:cs="Times New Roman"/>
        <w:b w:val="0"/>
        <w:i w:val="0"/>
        <w:snapToGrid/>
        <w:spacing w:val="0"/>
        <w:w w:val="100"/>
        <w:kern w:val="21"/>
        <w:sz w:val="21"/>
      </w:rPr>
    </w:lvl>
    <w:lvl w:ilvl="2" w:tentative="0">
      <w:start w:val="1"/>
      <w:numFmt w:val="decimal"/>
      <w:pStyle w:val="104"/>
      <w:suff w:val="nothing"/>
      <w:lvlText w:val="%1.%2.%3　"/>
      <w:lvlJc w:val="left"/>
      <w:rPr>
        <w:rFonts w:hint="eastAsia" w:ascii="黑体" w:hAnsi="Times New Roman" w:eastAsia="黑体" w:cs="Times New Roman"/>
        <w:b w:val="0"/>
        <w:i w:val="0"/>
        <w:sz w:val="21"/>
      </w:rPr>
    </w:lvl>
    <w:lvl w:ilvl="3" w:tentative="0">
      <w:start w:val="1"/>
      <w:numFmt w:val="decimal"/>
      <w:pStyle w:val="99"/>
      <w:suff w:val="nothing"/>
      <w:lvlText w:val="%1.%2.%3.%4　"/>
      <w:lvlJc w:val="left"/>
      <w:rPr>
        <w:rFonts w:hint="eastAsia" w:ascii="黑体" w:hAnsi="Times New Roman" w:eastAsia="黑体" w:cs="Times New Roman"/>
        <w:b w:val="0"/>
        <w:i w:val="0"/>
        <w:sz w:val="21"/>
      </w:rPr>
    </w:lvl>
    <w:lvl w:ilvl="4" w:tentative="0">
      <w:start w:val="1"/>
      <w:numFmt w:val="decimal"/>
      <w:pStyle w:val="100"/>
      <w:suff w:val="nothing"/>
      <w:lvlText w:val="%1.%2.%3.%4.%5　"/>
      <w:lvlJc w:val="left"/>
      <w:rPr>
        <w:rFonts w:hint="eastAsia" w:ascii="黑体" w:hAnsi="Times New Roman" w:eastAsia="黑体" w:cs="Times New Roman"/>
        <w:b w:val="0"/>
        <w:i w:val="0"/>
        <w:sz w:val="21"/>
      </w:rPr>
    </w:lvl>
    <w:lvl w:ilvl="5" w:tentative="0">
      <w:start w:val="1"/>
      <w:numFmt w:val="decimal"/>
      <w:pStyle w:val="101"/>
      <w:suff w:val="nothing"/>
      <w:lvlText w:val="%1.%2.%3.%4.%5.%6　"/>
      <w:lvlJc w:val="left"/>
      <w:rPr>
        <w:rFonts w:hint="eastAsia" w:ascii="黑体" w:hAnsi="Times New Roman" w:eastAsia="黑体" w:cs="Times New Roman"/>
        <w:b w:val="0"/>
        <w:i w:val="0"/>
        <w:sz w:val="21"/>
      </w:rPr>
    </w:lvl>
    <w:lvl w:ilvl="6" w:tentative="0">
      <w:start w:val="1"/>
      <w:numFmt w:val="decimal"/>
      <w:pStyle w:val="102"/>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num w:numId="1">
    <w:abstractNumId w:val="8"/>
  </w:num>
  <w:num w:numId="2">
    <w:abstractNumId w:val="5"/>
  </w:num>
  <w:num w:numId="3">
    <w:abstractNumId w:val="7"/>
  </w:num>
  <w:num w:numId="4">
    <w:abstractNumId w:val="9"/>
  </w:num>
  <w:num w:numId="5">
    <w:abstractNumId w:val="10"/>
  </w:num>
  <w:num w:numId="6">
    <w:abstractNumId w:val="6"/>
  </w:num>
  <w:num w:numId="7">
    <w:abstractNumId w:val="2"/>
  </w:num>
  <w:num w:numId="8">
    <w:abstractNumId w:val="1"/>
  </w:num>
  <w:num w:numId="9">
    <w:abstractNumId w:val="4"/>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cumentProtection w:edit="forms" w:enforcement="0"/>
  <w:defaultTabStop w:val="420"/>
  <w:drawingGridHorizontalSpacing w:val="105"/>
  <w:drawingGridVerticalSpacing w:val="163"/>
  <w:displayHorizontalDrawingGridEvery w:val="1"/>
  <w:displayVerticalDrawingGridEvery w:val="1"/>
  <w:noPunctuationKerning w:val="1"/>
  <w:characterSpacingControl w:val="compressPunctuation"/>
  <w:footnotePr>
    <w:footnote w:id="8"/>
    <w:footnote w:id="9"/>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gyMmU4NTc0MTk2ZjEzMTQzMDg0MTdmMTRhMDdjNGIifQ=="/>
  </w:docVars>
  <w:rsids>
    <w:rsidRoot w:val="00172A27"/>
    <w:rsid w:val="000002F2"/>
    <w:rsid w:val="00000F66"/>
    <w:rsid w:val="00001CF4"/>
    <w:rsid w:val="000021A9"/>
    <w:rsid w:val="00002229"/>
    <w:rsid w:val="00003DD6"/>
    <w:rsid w:val="00004D94"/>
    <w:rsid w:val="00006D4B"/>
    <w:rsid w:val="00010095"/>
    <w:rsid w:val="00010807"/>
    <w:rsid w:val="000111FE"/>
    <w:rsid w:val="00012F51"/>
    <w:rsid w:val="0001367B"/>
    <w:rsid w:val="000139AE"/>
    <w:rsid w:val="00013EBB"/>
    <w:rsid w:val="000140C6"/>
    <w:rsid w:val="000140E3"/>
    <w:rsid w:val="00014937"/>
    <w:rsid w:val="0001531E"/>
    <w:rsid w:val="00015F1D"/>
    <w:rsid w:val="0001656D"/>
    <w:rsid w:val="00016F8F"/>
    <w:rsid w:val="00017214"/>
    <w:rsid w:val="0001734F"/>
    <w:rsid w:val="00017FC4"/>
    <w:rsid w:val="00020001"/>
    <w:rsid w:val="00020412"/>
    <w:rsid w:val="000205DC"/>
    <w:rsid w:val="00021A22"/>
    <w:rsid w:val="00021FE0"/>
    <w:rsid w:val="000221D7"/>
    <w:rsid w:val="00022C1C"/>
    <w:rsid w:val="000251F8"/>
    <w:rsid w:val="0002698C"/>
    <w:rsid w:val="00027ACB"/>
    <w:rsid w:val="00027C38"/>
    <w:rsid w:val="00030BB7"/>
    <w:rsid w:val="00031197"/>
    <w:rsid w:val="0003150C"/>
    <w:rsid w:val="000316CE"/>
    <w:rsid w:val="0003261B"/>
    <w:rsid w:val="00034F3E"/>
    <w:rsid w:val="000367E6"/>
    <w:rsid w:val="00036E4E"/>
    <w:rsid w:val="00040EA9"/>
    <w:rsid w:val="00041E16"/>
    <w:rsid w:val="00042123"/>
    <w:rsid w:val="00042857"/>
    <w:rsid w:val="00042CAC"/>
    <w:rsid w:val="000430AB"/>
    <w:rsid w:val="0004362E"/>
    <w:rsid w:val="00043865"/>
    <w:rsid w:val="00043B2D"/>
    <w:rsid w:val="000460D3"/>
    <w:rsid w:val="00046558"/>
    <w:rsid w:val="00050011"/>
    <w:rsid w:val="000518D2"/>
    <w:rsid w:val="00052C66"/>
    <w:rsid w:val="00053B8F"/>
    <w:rsid w:val="00055184"/>
    <w:rsid w:val="0005618B"/>
    <w:rsid w:val="00056F7F"/>
    <w:rsid w:val="00057D2D"/>
    <w:rsid w:val="00057D71"/>
    <w:rsid w:val="00061078"/>
    <w:rsid w:val="000612FD"/>
    <w:rsid w:val="000617DD"/>
    <w:rsid w:val="00061A78"/>
    <w:rsid w:val="00062A69"/>
    <w:rsid w:val="00064A06"/>
    <w:rsid w:val="00064B27"/>
    <w:rsid w:val="00065F94"/>
    <w:rsid w:val="00066475"/>
    <w:rsid w:val="00066B0A"/>
    <w:rsid w:val="00067268"/>
    <w:rsid w:val="0007028A"/>
    <w:rsid w:val="00070C44"/>
    <w:rsid w:val="000718EA"/>
    <w:rsid w:val="00071BB6"/>
    <w:rsid w:val="00072AA3"/>
    <w:rsid w:val="00073DC3"/>
    <w:rsid w:val="00074362"/>
    <w:rsid w:val="00075304"/>
    <w:rsid w:val="0007616A"/>
    <w:rsid w:val="00076F80"/>
    <w:rsid w:val="000777B3"/>
    <w:rsid w:val="00080046"/>
    <w:rsid w:val="000817FB"/>
    <w:rsid w:val="00083E92"/>
    <w:rsid w:val="00084AC6"/>
    <w:rsid w:val="00085416"/>
    <w:rsid w:val="00085CDC"/>
    <w:rsid w:val="00085F3C"/>
    <w:rsid w:val="00086CB4"/>
    <w:rsid w:val="0008789E"/>
    <w:rsid w:val="00087E7C"/>
    <w:rsid w:val="0009001E"/>
    <w:rsid w:val="0009111C"/>
    <w:rsid w:val="0009198F"/>
    <w:rsid w:val="00091ACF"/>
    <w:rsid w:val="000922FA"/>
    <w:rsid w:val="000925C8"/>
    <w:rsid w:val="00094DD6"/>
    <w:rsid w:val="00095B4E"/>
    <w:rsid w:val="00095C8F"/>
    <w:rsid w:val="00096D9A"/>
    <w:rsid w:val="000A2B00"/>
    <w:rsid w:val="000A3499"/>
    <w:rsid w:val="000A3DD2"/>
    <w:rsid w:val="000A461E"/>
    <w:rsid w:val="000A4E96"/>
    <w:rsid w:val="000A6297"/>
    <w:rsid w:val="000A6E0F"/>
    <w:rsid w:val="000A76C6"/>
    <w:rsid w:val="000A7F8C"/>
    <w:rsid w:val="000B0F1A"/>
    <w:rsid w:val="000B267E"/>
    <w:rsid w:val="000B2EB0"/>
    <w:rsid w:val="000B361D"/>
    <w:rsid w:val="000B4255"/>
    <w:rsid w:val="000B4CA8"/>
    <w:rsid w:val="000B4DF2"/>
    <w:rsid w:val="000B4EB0"/>
    <w:rsid w:val="000B511D"/>
    <w:rsid w:val="000B55A8"/>
    <w:rsid w:val="000B7605"/>
    <w:rsid w:val="000B7ED5"/>
    <w:rsid w:val="000C152A"/>
    <w:rsid w:val="000C1773"/>
    <w:rsid w:val="000C1BD8"/>
    <w:rsid w:val="000C1CB3"/>
    <w:rsid w:val="000C1F78"/>
    <w:rsid w:val="000C2A8E"/>
    <w:rsid w:val="000C2B5D"/>
    <w:rsid w:val="000C34D6"/>
    <w:rsid w:val="000C4A52"/>
    <w:rsid w:val="000C50CF"/>
    <w:rsid w:val="000C53FD"/>
    <w:rsid w:val="000C62DB"/>
    <w:rsid w:val="000C633F"/>
    <w:rsid w:val="000C638E"/>
    <w:rsid w:val="000C6533"/>
    <w:rsid w:val="000C6865"/>
    <w:rsid w:val="000C6AC3"/>
    <w:rsid w:val="000C7DE3"/>
    <w:rsid w:val="000D094C"/>
    <w:rsid w:val="000D0BC8"/>
    <w:rsid w:val="000D0CAA"/>
    <w:rsid w:val="000D2562"/>
    <w:rsid w:val="000D2633"/>
    <w:rsid w:val="000D2A5A"/>
    <w:rsid w:val="000D3048"/>
    <w:rsid w:val="000D3D8E"/>
    <w:rsid w:val="000D4C7A"/>
    <w:rsid w:val="000D5F88"/>
    <w:rsid w:val="000D64F2"/>
    <w:rsid w:val="000D6F82"/>
    <w:rsid w:val="000E14B6"/>
    <w:rsid w:val="000E2040"/>
    <w:rsid w:val="000E295F"/>
    <w:rsid w:val="000E37B7"/>
    <w:rsid w:val="000E4167"/>
    <w:rsid w:val="000E4677"/>
    <w:rsid w:val="000E4987"/>
    <w:rsid w:val="000E637F"/>
    <w:rsid w:val="000E66D2"/>
    <w:rsid w:val="000E7047"/>
    <w:rsid w:val="000E7AE7"/>
    <w:rsid w:val="000F06F5"/>
    <w:rsid w:val="000F1619"/>
    <w:rsid w:val="000F163F"/>
    <w:rsid w:val="000F29E6"/>
    <w:rsid w:val="000F3389"/>
    <w:rsid w:val="000F572E"/>
    <w:rsid w:val="000F5DFA"/>
    <w:rsid w:val="000F603F"/>
    <w:rsid w:val="000F62DA"/>
    <w:rsid w:val="000F661C"/>
    <w:rsid w:val="000F7111"/>
    <w:rsid w:val="000F73FD"/>
    <w:rsid w:val="00100848"/>
    <w:rsid w:val="00100CC7"/>
    <w:rsid w:val="00103217"/>
    <w:rsid w:val="0010621F"/>
    <w:rsid w:val="00106B30"/>
    <w:rsid w:val="001072AF"/>
    <w:rsid w:val="0010736A"/>
    <w:rsid w:val="001105D2"/>
    <w:rsid w:val="001116EB"/>
    <w:rsid w:val="001117BF"/>
    <w:rsid w:val="0011188F"/>
    <w:rsid w:val="00111F98"/>
    <w:rsid w:val="00116BF9"/>
    <w:rsid w:val="0011747A"/>
    <w:rsid w:val="00117F14"/>
    <w:rsid w:val="0012030B"/>
    <w:rsid w:val="00120943"/>
    <w:rsid w:val="00120B81"/>
    <w:rsid w:val="00122282"/>
    <w:rsid w:val="0012336C"/>
    <w:rsid w:val="00123885"/>
    <w:rsid w:val="00124240"/>
    <w:rsid w:val="00124355"/>
    <w:rsid w:val="00124B8C"/>
    <w:rsid w:val="00125C6C"/>
    <w:rsid w:val="0012648A"/>
    <w:rsid w:val="00126581"/>
    <w:rsid w:val="0012751C"/>
    <w:rsid w:val="00130569"/>
    <w:rsid w:val="00130AB6"/>
    <w:rsid w:val="001315C8"/>
    <w:rsid w:val="00131FE7"/>
    <w:rsid w:val="00133074"/>
    <w:rsid w:val="001340E0"/>
    <w:rsid w:val="001347D5"/>
    <w:rsid w:val="001351AB"/>
    <w:rsid w:val="00135ECE"/>
    <w:rsid w:val="00135EDE"/>
    <w:rsid w:val="001362FD"/>
    <w:rsid w:val="0013677F"/>
    <w:rsid w:val="00136C14"/>
    <w:rsid w:val="00136D49"/>
    <w:rsid w:val="00136F6B"/>
    <w:rsid w:val="0014010E"/>
    <w:rsid w:val="00141CC6"/>
    <w:rsid w:val="00144526"/>
    <w:rsid w:val="00145185"/>
    <w:rsid w:val="0014545C"/>
    <w:rsid w:val="00145659"/>
    <w:rsid w:val="00145771"/>
    <w:rsid w:val="00145A67"/>
    <w:rsid w:val="00147132"/>
    <w:rsid w:val="0014722F"/>
    <w:rsid w:val="001473E9"/>
    <w:rsid w:val="0015039B"/>
    <w:rsid w:val="00150B00"/>
    <w:rsid w:val="00150BE7"/>
    <w:rsid w:val="00150E95"/>
    <w:rsid w:val="00153591"/>
    <w:rsid w:val="001542A0"/>
    <w:rsid w:val="001548C1"/>
    <w:rsid w:val="00154E98"/>
    <w:rsid w:val="00155682"/>
    <w:rsid w:val="0015579E"/>
    <w:rsid w:val="0015635D"/>
    <w:rsid w:val="00156D6F"/>
    <w:rsid w:val="00157047"/>
    <w:rsid w:val="00160885"/>
    <w:rsid w:val="001613DC"/>
    <w:rsid w:val="0016152A"/>
    <w:rsid w:val="0016182D"/>
    <w:rsid w:val="00162FB6"/>
    <w:rsid w:val="001631F7"/>
    <w:rsid w:val="00163ED5"/>
    <w:rsid w:val="00164270"/>
    <w:rsid w:val="00164F24"/>
    <w:rsid w:val="00165B20"/>
    <w:rsid w:val="0016611B"/>
    <w:rsid w:val="0016635D"/>
    <w:rsid w:val="00167731"/>
    <w:rsid w:val="001678B6"/>
    <w:rsid w:val="00167AD5"/>
    <w:rsid w:val="001715C8"/>
    <w:rsid w:val="00171A02"/>
    <w:rsid w:val="00176395"/>
    <w:rsid w:val="00176792"/>
    <w:rsid w:val="00177A6F"/>
    <w:rsid w:val="00177AB5"/>
    <w:rsid w:val="0018021C"/>
    <w:rsid w:val="00180A75"/>
    <w:rsid w:val="0018150B"/>
    <w:rsid w:val="00182241"/>
    <w:rsid w:val="001822CD"/>
    <w:rsid w:val="0018256D"/>
    <w:rsid w:val="001825CD"/>
    <w:rsid w:val="001830C5"/>
    <w:rsid w:val="00184CA2"/>
    <w:rsid w:val="00185885"/>
    <w:rsid w:val="00185A47"/>
    <w:rsid w:val="00186417"/>
    <w:rsid w:val="001870C0"/>
    <w:rsid w:val="00187112"/>
    <w:rsid w:val="00190BA8"/>
    <w:rsid w:val="00190D1A"/>
    <w:rsid w:val="00190E16"/>
    <w:rsid w:val="00191631"/>
    <w:rsid w:val="001922C6"/>
    <w:rsid w:val="001929D7"/>
    <w:rsid w:val="00192B1C"/>
    <w:rsid w:val="00192F9B"/>
    <w:rsid w:val="00192FA0"/>
    <w:rsid w:val="001932DA"/>
    <w:rsid w:val="001938B7"/>
    <w:rsid w:val="00194E20"/>
    <w:rsid w:val="00197E03"/>
    <w:rsid w:val="001A065E"/>
    <w:rsid w:val="001A06A5"/>
    <w:rsid w:val="001A0E0F"/>
    <w:rsid w:val="001A1BEC"/>
    <w:rsid w:val="001A1F73"/>
    <w:rsid w:val="001A5EB7"/>
    <w:rsid w:val="001A6583"/>
    <w:rsid w:val="001A744D"/>
    <w:rsid w:val="001A79FE"/>
    <w:rsid w:val="001B1853"/>
    <w:rsid w:val="001B1B28"/>
    <w:rsid w:val="001B1C73"/>
    <w:rsid w:val="001B2097"/>
    <w:rsid w:val="001B2E3B"/>
    <w:rsid w:val="001B3194"/>
    <w:rsid w:val="001B4F6A"/>
    <w:rsid w:val="001B6446"/>
    <w:rsid w:val="001B6EF1"/>
    <w:rsid w:val="001B707F"/>
    <w:rsid w:val="001B709B"/>
    <w:rsid w:val="001C171A"/>
    <w:rsid w:val="001C265C"/>
    <w:rsid w:val="001C2D1C"/>
    <w:rsid w:val="001C3F18"/>
    <w:rsid w:val="001C45CB"/>
    <w:rsid w:val="001C55FF"/>
    <w:rsid w:val="001C65D9"/>
    <w:rsid w:val="001C6AAB"/>
    <w:rsid w:val="001C7F8E"/>
    <w:rsid w:val="001D0D0A"/>
    <w:rsid w:val="001D10DF"/>
    <w:rsid w:val="001D1555"/>
    <w:rsid w:val="001D1A3F"/>
    <w:rsid w:val="001D1E8E"/>
    <w:rsid w:val="001D403C"/>
    <w:rsid w:val="001D407B"/>
    <w:rsid w:val="001D77C5"/>
    <w:rsid w:val="001D77E9"/>
    <w:rsid w:val="001D7BA3"/>
    <w:rsid w:val="001D7BCB"/>
    <w:rsid w:val="001E041B"/>
    <w:rsid w:val="001E097B"/>
    <w:rsid w:val="001E0F4F"/>
    <w:rsid w:val="001E28F0"/>
    <w:rsid w:val="001E2C05"/>
    <w:rsid w:val="001E3F91"/>
    <w:rsid w:val="001E5A38"/>
    <w:rsid w:val="001E6ADA"/>
    <w:rsid w:val="001E6D7A"/>
    <w:rsid w:val="001F070A"/>
    <w:rsid w:val="001F2A13"/>
    <w:rsid w:val="001F2E4C"/>
    <w:rsid w:val="001F3005"/>
    <w:rsid w:val="001F323C"/>
    <w:rsid w:val="001F3543"/>
    <w:rsid w:val="001F4368"/>
    <w:rsid w:val="001F5493"/>
    <w:rsid w:val="001F630E"/>
    <w:rsid w:val="001F66AF"/>
    <w:rsid w:val="00200142"/>
    <w:rsid w:val="00200AD1"/>
    <w:rsid w:val="00200FB5"/>
    <w:rsid w:val="00201303"/>
    <w:rsid w:val="0020201C"/>
    <w:rsid w:val="00202801"/>
    <w:rsid w:val="00202A69"/>
    <w:rsid w:val="00205002"/>
    <w:rsid w:val="00205114"/>
    <w:rsid w:val="00206217"/>
    <w:rsid w:val="00206288"/>
    <w:rsid w:val="00206537"/>
    <w:rsid w:val="002065A8"/>
    <w:rsid w:val="0021068E"/>
    <w:rsid w:val="002118D8"/>
    <w:rsid w:val="0021248C"/>
    <w:rsid w:val="002132D9"/>
    <w:rsid w:val="002150EA"/>
    <w:rsid w:val="00215209"/>
    <w:rsid w:val="0021660D"/>
    <w:rsid w:val="00216724"/>
    <w:rsid w:val="002167D8"/>
    <w:rsid w:val="00221505"/>
    <w:rsid w:val="00222703"/>
    <w:rsid w:val="00222B85"/>
    <w:rsid w:val="00222D66"/>
    <w:rsid w:val="0022320C"/>
    <w:rsid w:val="00223A28"/>
    <w:rsid w:val="00223B8A"/>
    <w:rsid w:val="00223F26"/>
    <w:rsid w:val="002240A4"/>
    <w:rsid w:val="00224907"/>
    <w:rsid w:val="00225CE8"/>
    <w:rsid w:val="00225E58"/>
    <w:rsid w:val="00227109"/>
    <w:rsid w:val="00227282"/>
    <w:rsid w:val="002272C2"/>
    <w:rsid w:val="002279F7"/>
    <w:rsid w:val="0023061C"/>
    <w:rsid w:val="00230EBD"/>
    <w:rsid w:val="00231F05"/>
    <w:rsid w:val="00231F8D"/>
    <w:rsid w:val="00232E3A"/>
    <w:rsid w:val="00235406"/>
    <w:rsid w:val="002363FD"/>
    <w:rsid w:val="00236EE6"/>
    <w:rsid w:val="00237FCE"/>
    <w:rsid w:val="00240E40"/>
    <w:rsid w:val="00242867"/>
    <w:rsid w:val="00243748"/>
    <w:rsid w:val="00245B1B"/>
    <w:rsid w:val="00245BF7"/>
    <w:rsid w:val="0024753E"/>
    <w:rsid w:val="002475B1"/>
    <w:rsid w:val="00247BDF"/>
    <w:rsid w:val="00247CA4"/>
    <w:rsid w:val="00250A4D"/>
    <w:rsid w:val="00250B19"/>
    <w:rsid w:val="002510B6"/>
    <w:rsid w:val="00251628"/>
    <w:rsid w:val="002527FF"/>
    <w:rsid w:val="002537BB"/>
    <w:rsid w:val="00254A27"/>
    <w:rsid w:val="00254CE0"/>
    <w:rsid w:val="0025507C"/>
    <w:rsid w:val="002562EC"/>
    <w:rsid w:val="002576F1"/>
    <w:rsid w:val="00260A2E"/>
    <w:rsid w:val="002621EB"/>
    <w:rsid w:val="00262E78"/>
    <w:rsid w:val="00263A3A"/>
    <w:rsid w:val="0026400F"/>
    <w:rsid w:val="0026426E"/>
    <w:rsid w:val="0026451C"/>
    <w:rsid w:val="0026483C"/>
    <w:rsid w:val="002649CA"/>
    <w:rsid w:val="002653D3"/>
    <w:rsid w:val="002663D3"/>
    <w:rsid w:val="00267CD3"/>
    <w:rsid w:val="002709B6"/>
    <w:rsid w:val="00271668"/>
    <w:rsid w:val="00271710"/>
    <w:rsid w:val="00271D19"/>
    <w:rsid w:val="002721F6"/>
    <w:rsid w:val="002727A6"/>
    <w:rsid w:val="00273759"/>
    <w:rsid w:val="00275206"/>
    <w:rsid w:val="002755CB"/>
    <w:rsid w:val="00275FCA"/>
    <w:rsid w:val="00276154"/>
    <w:rsid w:val="00277516"/>
    <w:rsid w:val="0028399A"/>
    <w:rsid w:val="0028657A"/>
    <w:rsid w:val="00287D39"/>
    <w:rsid w:val="00287F75"/>
    <w:rsid w:val="00290C55"/>
    <w:rsid w:val="00290E4C"/>
    <w:rsid w:val="00291BB7"/>
    <w:rsid w:val="00293942"/>
    <w:rsid w:val="00293A6D"/>
    <w:rsid w:val="00293D8D"/>
    <w:rsid w:val="0029471E"/>
    <w:rsid w:val="00295BB1"/>
    <w:rsid w:val="00295E30"/>
    <w:rsid w:val="0029695C"/>
    <w:rsid w:val="00296C2F"/>
    <w:rsid w:val="00297D36"/>
    <w:rsid w:val="002A10C1"/>
    <w:rsid w:val="002A1694"/>
    <w:rsid w:val="002A35B0"/>
    <w:rsid w:val="002A3C90"/>
    <w:rsid w:val="002A4710"/>
    <w:rsid w:val="002A4B48"/>
    <w:rsid w:val="002A5337"/>
    <w:rsid w:val="002A672F"/>
    <w:rsid w:val="002A684B"/>
    <w:rsid w:val="002A6B07"/>
    <w:rsid w:val="002A7735"/>
    <w:rsid w:val="002B0820"/>
    <w:rsid w:val="002B0BE3"/>
    <w:rsid w:val="002B1374"/>
    <w:rsid w:val="002B1A92"/>
    <w:rsid w:val="002B3299"/>
    <w:rsid w:val="002B3820"/>
    <w:rsid w:val="002B43B0"/>
    <w:rsid w:val="002B4738"/>
    <w:rsid w:val="002B4D19"/>
    <w:rsid w:val="002B51BA"/>
    <w:rsid w:val="002B635B"/>
    <w:rsid w:val="002B70CF"/>
    <w:rsid w:val="002B7C99"/>
    <w:rsid w:val="002B7E41"/>
    <w:rsid w:val="002B7ED6"/>
    <w:rsid w:val="002C124F"/>
    <w:rsid w:val="002C30AB"/>
    <w:rsid w:val="002C322E"/>
    <w:rsid w:val="002C62AE"/>
    <w:rsid w:val="002D051B"/>
    <w:rsid w:val="002D1126"/>
    <w:rsid w:val="002D1738"/>
    <w:rsid w:val="002D175F"/>
    <w:rsid w:val="002D18F3"/>
    <w:rsid w:val="002D1927"/>
    <w:rsid w:val="002D29DC"/>
    <w:rsid w:val="002D42D4"/>
    <w:rsid w:val="002D5156"/>
    <w:rsid w:val="002D65DE"/>
    <w:rsid w:val="002D68DD"/>
    <w:rsid w:val="002D7ED9"/>
    <w:rsid w:val="002E067F"/>
    <w:rsid w:val="002E0FA2"/>
    <w:rsid w:val="002E1911"/>
    <w:rsid w:val="002E3860"/>
    <w:rsid w:val="002E6034"/>
    <w:rsid w:val="002F086A"/>
    <w:rsid w:val="002F0F43"/>
    <w:rsid w:val="002F1E0B"/>
    <w:rsid w:val="002F2DE9"/>
    <w:rsid w:val="002F36B9"/>
    <w:rsid w:val="002F47FA"/>
    <w:rsid w:val="002F49DF"/>
    <w:rsid w:val="002F4E6F"/>
    <w:rsid w:val="002F51B6"/>
    <w:rsid w:val="002F56A3"/>
    <w:rsid w:val="002F58EA"/>
    <w:rsid w:val="002F5993"/>
    <w:rsid w:val="002F59F7"/>
    <w:rsid w:val="002F638E"/>
    <w:rsid w:val="002F659B"/>
    <w:rsid w:val="002F6D58"/>
    <w:rsid w:val="002F6FB9"/>
    <w:rsid w:val="003009CE"/>
    <w:rsid w:val="00300A24"/>
    <w:rsid w:val="00300F9A"/>
    <w:rsid w:val="003012C7"/>
    <w:rsid w:val="003024FC"/>
    <w:rsid w:val="00303219"/>
    <w:rsid w:val="0030333B"/>
    <w:rsid w:val="00303529"/>
    <w:rsid w:val="00304719"/>
    <w:rsid w:val="0030492D"/>
    <w:rsid w:val="00305600"/>
    <w:rsid w:val="00305C9D"/>
    <w:rsid w:val="00305EBC"/>
    <w:rsid w:val="0030629D"/>
    <w:rsid w:val="00306D8C"/>
    <w:rsid w:val="0031035E"/>
    <w:rsid w:val="003108E9"/>
    <w:rsid w:val="0031093D"/>
    <w:rsid w:val="00310BAA"/>
    <w:rsid w:val="00310D49"/>
    <w:rsid w:val="00310D73"/>
    <w:rsid w:val="003112DC"/>
    <w:rsid w:val="003119A9"/>
    <w:rsid w:val="00312BE9"/>
    <w:rsid w:val="00312DEF"/>
    <w:rsid w:val="0031319A"/>
    <w:rsid w:val="0031383B"/>
    <w:rsid w:val="003144D3"/>
    <w:rsid w:val="00316397"/>
    <w:rsid w:val="0031699A"/>
    <w:rsid w:val="00316AA2"/>
    <w:rsid w:val="00316B94"/>
    <w:rsid w:val="00316EEF"/>
    <w:rsid w:val="00316F5B"/>
    <w:rsid w:val="00317902"/>
    <w:rsid w:val="003207F2"/>
    <w:rsid w:val="0032096D"/>
    <w:rsid w:val="00320989"/>
    <w:rsid w:val="00321B08"/>
    <w:rsid w:val="00322A5E"/>
    <w:rsid w:val="00323235"/>
    <w:rsid w:val="00326265"/>
    <w:rsid w:val="00327CF7"/>
    <w:rsid w:val="00331FCC"/>
    <w:rsid w:val="00332A79"/>
    <w:rsid w:val="00332ED3"/>
    <w:rsid w:val="00333DAD"/>
    <w:rsid w:val="00333F84"/>
    <w:rsid w:val="0033505A"/>
    <w:rsid w:val="0033533A"/>
    <w:rsid w:val="003368B3"/>
    <w:rsid w:val="00336EDA"/>
    <w:rsid w:val="0033762F"/>
    <w:rsid w:val="0033780F"/>
    <w:rsid w:val="00341260"/>
    <w:rsid w:val="00341501"/>
    <w:rsid w:val="003418B8"/>
    <w:rsid w:val="00341FDF"/>
    <w:rsid w:val="00342402"/>
    <w:rsid w:val="0034287B"/>
    <w:rsid w:val="00342F05"/>
    <w:rsid w:val="003431A3"/>
    <w:rsid w:val="003444C1"/>
    <w:rsid w:val="00344D77"/>
    <w:rsid w:val="003456AA"/>
    <w:rsid w:val="00347075"/>
    <w:rsid w:val="0035237B"/>
    <w:rsid w:val="00352647"/>
    <w:rsid w:val="00352ADC"/>
    <w:rsid w:val="0035387C"/>
    <w:rsid w:val="0035481A"/>
    <w:rsid w:val="00354B61"/>
    <w:rsid w:val="0035518D"/>
    <w:rsid w:val="00355917"/>
    <w:rsid w:val="00357C30"/>
    <w:rsid w:val="00357E7D"/>
    <w:rsid w:val="003603A1"/>
    <w:rsid w:val="003617BC"/>
    <w:rsid w:val="003617CD"/>
    <w:rsid w:val="00364866"/>
    <w:rsid w:val="0036520E"/>
    <w:rsid w:val="00365263"/>
    <w:rsid w:val="00366D6C"/>
    <w:rsid w:val="00367770"/>
    <w:rsid w:val="003678C0"/>
    <w:rsid w:val="003708C1"/>
    <w:rsid w:val="00370A96"/>
    <w:rsid w:val="003710D5"/>
    <w:rsid w:val="0037148F"/>
    <w:rsid w:val="00372110"/>
    <w:rsid w:val="00372C84"/>
    <w:rsid w:val="00372E1F"/>
    <w:rsid w:val="003744F7"/>
    <w:rsid w:val="00374A87"/>
    <w:rsid w:val="00375032"/>
    <w:rsid w:val="003770D5"/>
    <w:rsid w:val="003775B2"/>
    <w:rsid w:val="00377877"/>
    <w:rsid w:val="003808CA"/>
    <w:rsid w:val="00381356"/>
    <w:rsid w:val="00382AB0"/>
    <w:rsid w:val="0038319F"/>
    <w:rsid w:val="00383C7D"/>
    <w:rsid w:val="00383CF6"/>
    <w:rsid w:val="0038562F"/>
    <w:rsid w:val="003856C6"/>
    <w:rsid w:val="0039010A"/>
    <w:rsid w:val="00390298"/>
    <w:rsid w:val="00390A2E"/>
    <w:rsid w:val="0039132D"/>
    <w:rsid w:val="00391A9E"/>
    <w:rsid w:val="003922DE"/>
    <w:rsid w:val="0039270B"/>
    <w:rsid w:val="003943DF"/>
    <w:rsid w:val="003947B6"/>
    <w:rsid w:val="0039552F"/>
    <w:rsid w:val="003955B0"/>
    <w:rsid w:val="003965C5"/>
    <w:rsid w:val="00396C8B"/>
    <w:rsid w:val="00397117"/>
    <w:rsid w:val="00397403"/>
    <w:rsid w:val="00397DA8"/>
    <w:rsid w:val="003A1297"/>
    <w:rsid w:val="003A1394"/>
    <w:rsid w:val="003A1AF2"/>
    <w:rsid w:val="003A1F46"/>
    <w:rsid w:val="003A2185"/>
    <w:rsid w:val="003A2D2B"/>
    <w:rsid w:val="003A3AF1"/>
    <w:rsid w:val="003A3D69"/>
    <w:rsid w:val="003A451A"/>
    <w:rsid w:val="003A5790"/>
    <w:rsid w:val="003A62E0"/>
    <w:rsid w:val="003A696B"/>
    <w:rsid w:val="003A7133"/>
    <w:rsid w:val="003A79C7"/>
    <w:rsid w:val="003A79D7"/>
    <w:rsid w:val="003A7CCC"/>
    <w:rsid w:val="003B1D13"/>
    <w:rsid w:val="003B204D"/>
    <w:rsid w:val="003B221A"/>
    <w:rsid w:val="003B3196"/>
    <w:rsid w:val="003B3236"/>
    <w:rsid w:val="003B3731"/>
    <w:rsid w:val="003B3A11"/>
    <w:rsid w:val="003B3B2D"/>
    <w:rsid w:val="003B3D71"/>
    <w:rsid w:val="003B4152"/>
    <w:rsid w:val="003B5BC3"/>
    <w:rsid w:val="003B5C1B"/>
    <w:rsid w:val="003C0063"/>
    <w:rsid w:val="003C09BE"/>
    <w:rsid w:val="003C69A5"/>
    <w:rsid w:val="003C6B52"/>
    <w:rsid w:val="003C6E50"/>
    <w:rsid w:val="003C73DB"/>
    <w:rsid w:val="003C780F"/>
    <w:rsid w:val="003C79FA"/>
    <w:rsid w:val="003D0126"/>
    <w:rsid w:val="003D02E8"/>
    <w:rsid w:val="003D0DF7"/>
    <w:rsid w:val="003D133B"/>
    <w:rsid w:val="003D343C"/>
    <w:rsid w:val="003D7E62"/>
    <w:rsid w:val="003E0089"/>
    <w:rsid w:val="003E1439"/>
    <w:rsid w:val="003E2000"/>
    <w:rsid w:val="003E2351"/>
    <w:rsid w:val="003E253A"/>
    <w:rsid w:val="003E4389"/>
    <w:rsid w:val="003E4769"/>
    <w:rsid w:val="003E4E69"/>
    <w:rsid w:val="003E5306"/>
    <w:rsid w:val="003E712F"/>
    <w:rsid w:val="003E7472"/>
    <w:rsid w:val="003F041D"/>
    <w:rsid w:val="003F0F56"/>
    <w:rsid w:val="003F2B6A"/>
    <w:rsid w:val="003F3454"/>
    <w:rsid w:val="003F36AD"/>
    <w:rsid w:val="003F3D72"/>
    <w:rsid w:val="003F3F1D"/>
    <w:rsid w:val="003F3F7C"/>
    <w:rsid w:val="003F47AF"/>
    <w:rsid w:val="003F47EE"/>
    <w:rsid w:val="003F5F7E"/>
    <w:rsid w:val="003F6A73"/>
    <w:rsid w:val="003F6DF7"/>
    <w:rsid w:val="003F7337"/>
    <w:rsid w:val="003F7A6C"/>
    <w:rsid w:val="004030CB"/>
    <w:rsid w:val="00404214"/>
    <w:rsid w:val="00404A33"/>
    <w:rsid w:val="00405204"/>
    <w:rsid w:val="00405352"/>
    <w:rsid w:val="004068A7"/>
    <w:rsid w:val="00407625"/>
    <w:rsid w:val="00410ABA"/>
    <w:rsid w:val="00410BC8"/>
    <w:rsid w:val="00411213"/>
    <w:rsid w:val="00411ED4"/>
    <w:rsid w:val="004133A4"/>
    <w:rsid w:val="00414626"/>
    <w:rsid w:val="00414AC1"/>
    <w:rsid w:val="00415927"/>
    <w:rsid w:val="00415FEE"/>
    <w:rsid w:val="00416023"/>
    <w:rsid w:val="00422728"/>
    <w:rsid w:val="004229FE"/>
    <w:rsid w:val="00422F24"/>
    <w:rsid w:val="0042378E"/>
    <w:rsid w:val="004237E6"/>
    <w:rsid w:val="00424AE1"/>
    <w:rsid w:val="00424B95"/>
    <w:rsid w:val="00425533"/>
    <w:rsid w:val="004255E9"/>
    <w:rsid w:val="004261D2"/>
    <w:rsid w:val="00427C45"/>
    <w:rsid w:val="00427C55"/>
    <w:rsid w:val="004305BA"/>
    <w:rsid w:val="0043197E"/>
    <w:rsid w:val="004329A1"/>
    <w:rsid w:val="00433490"/>
    <w:rsid w:val="00434C48"/>
    <w:rsid w:val="00434CEF"/>
    <w:rsid w:val="00435860"/>
    <w:rsid w:val="00436527"/>
    <w:rsid w:val="00436D22"/>
    <w:rsid w:val="004377DC"/>
    <w:rsid w:val="00437B91"/>
    <w:rsid w:val="004400BB"/>
    <w:rsid w:val="00440F6A"/>
    <w:rsid w:val="00441139"/>
    <w:rsid w:val="00441715"/>
    <w:rsid w:val="00441FF9"/>
    <w:rsid w:val="00442205"/>
    <w:rsid w:val="004432F1"/>
    <w:rsid w:val="00443BFA"/>
    <w:rsid w:val="00444AD5"/>
    <w:rsid w:val="004454AD"/>
    <w:rsid w:val="00445FB9"/>
    <w:rsid w:val="004477F1"/>
    <w:rsid w:val="004501C2"/>
    <w:rsid w:val="00450B2C"/>
    <w:rsid w:val="00450B9B"/>
    <w:rsid w:val="00451D63"/>
    <w:rsid w:val="00453289"/>
    <w:rsid w:val="00453CAA"/>
    <w:rsid w:val="00453D5B"/>
    <w:rsid w:val="004552BB"/>
    <w:rsid w:val="00455FCE"/>
    <w:rsid w:val="00456939"/>
    <w:rsid w:val="00457866"/>
    <w:rsid w:val="00457F4A"/>
    <w:rsid w:val="004603EE"/>
    <w:rsid w:val="00460946"/>
    <w:rsid w:val="00461EAA"/>
    <w:rsid w:val="004621B0"/>
    <w:rsid w:val="004622EF"/>
    <w:rsid w:val="00462E40"/>
    <w:rsid w:val="00462ED7"/>
    <w:rsid w:val="00463468"/>
    <w:rsid w:val="00463915"/>
    <w:rsid w:val="00465926"/>
    <w:rsid w:val="00466CB7"/>
    <w:rsid w:val="00466D81"/>
    <w:rsid w:val="00466E32"/>
    <w:rsid w:val="0046741F"/>
    <w:rsid w:val="004675F3"/>
    <w:rsid w:val="0046795B"/>
    <w:rsid w:val="0047088F"/>
    <w:rsid w:val="00471318"/>
    <w:rsid w:val="00471E48"/>
    <w:rsid w:val="00473093"/>
    <w:rsid w:val="00473856"/>
    <w:rsid w:val="004757F6"/>
    <w:rsid w:val="004769E9"/>
    <w:rsid w:val="004803C9"/>
    <w:rsid w:val="00480512"/>
    <w:rsid w:val="00480E6E"/>
    <w:rsid w:val="00481AC9"/>
    <w:rsid w:val="00482080"/>
    <w:rsid w:val="00483334"/>
    <w:rsid w:val="00483AD8"/>
    <w:rsid w:val="00483DD4"/>
    <w:rsid w:val="00483FE4"/>
    <w:rsid w:val="00486240"/>
    <w:rsid w:val="0048656D"/>
    <w:rsid w:val="004868AA"/>
    <w:rsid w:val="00486C96"/>
    <w:rsid w:val="0049009D"/>
    <w:rsid w:val="00491016"/>
    <w:rsid w:val="004916F2"/>
    <w:rsid w:val="00491B40"/>
    <w:rsid w:val="00492044"/>
    <w:rsid w:val="00493DD1"/>
    <w:rsid w:val="00495129"/>
    <w:rsid w:val="004A01E2"/>
    <w:rsid w:val="004A0A97"/>
    <w:rsid w:val="004A2424"/>
    <w:rsid w:val="004A297D"/>
    <w:rsid w:val="004A2D4B"/>
    <w:rsid w:val="004A30EA"/>
    <w:rsid w:val="004A3A9D"/>
    <w:rsid w:val="004A532D"/>
    <w:rsid w:val="004A54A8"/>
    <w:rsid w:val="004A7E3E"/>
    <w:rsid w:val="004A7E94"/>
    <w:rsid w:val="004B0A92"/>
    <w:rsid w:val="004B1943"/>
    <w:rsid w:val="004B3CA5"/>
    <w:rsid w:val="004B43CF"/>
    <w:rsid w:val="004B5E52"/>
    <w:rsid w:val="004C0446"/>
    <w:rsid w:val="004C16D3"/>
    <w:rsid w:val="004C1A90"/>
    <w:rsid w:val="004C1AB7"/>
    <w:rsid w:val="004C34CF"/>
    <w:rsid w:val="004C3516"/>
    <w:rsid w:val="004C3756"/>
    <w:rsid w:val="004C4A52"/>
    <w:rsid w:val="004C55B8"/>
    <w:rsid w:val="004C5D10"/>
    <w:rsid w:val="004C767B"/>
    <w:rsid w:val="004D0E7D"/>
    <w:rsid w:val="004D193B"/>
    <w:rsid w:val="004D3494"/>
    <w:rsid w:val="004D4AD3"/>
    <w:rsid w:val="004D4FDC"/>
    <w:rsid w:val="004D59A3"/>
    <w:rsid w:val="004D59FE"/>
    <w:rsid w:val="004D5AC0"/>
    <w:rsid w:val="004D5ACD"/>
    <w:rsid w:val="004D75AF"/>
    <w:rsid w:val="004E19B3"/>
    <w:rsid w:val="004E1A61"/>
    <w:rsid w:val="004E2AA6"/>
    <w:rsid w:val="004E3E06"/>
    <w:rsid w:val="004E46B4"/>
    <w:rsid w:val="004E489E"/>
    <w:rsid w:val="004E48ED"/>
    <w:rsid w:val="004E511C"/>
    <w:rsid w:val="004E5CE0"/>
    <w:rsid w:val="004E6AA3"/>
    <w:rsid w:val="004E71CA"/>
    <w:rsid w:val="004E797D"/>
    <w:rsid w:val="004E7C58"/>
    <w:rsid w:val="004F004F"/>
    <w:rsid w:val="004F06DA"/>
    <w:rsid w:val="004F123C"/>
    <w:rsid w:val="004F20DC"/>
    <w:rsid w:val="004F2727"/>
    <w:rsid w:val="004F363C"/>
    <w:rsid w:val="004F46FB"/>
    <w:rsid w:val="004F6CEE"/>
    <w:rsid w:val="004F7C5A"/>
    <w:rsid w:val="005002EC"/>
    <w:rsid w:val="00501545"/>
    <w:rsid w:val="00501A48"/>
    <w:rsid w:val="0050235C"/>
    <w:rsid w:val="00503452"/>
    <w:rsid w:val="005034F4"/>
    <w:rsid w:val="00503C28"/>
    <w:rsid w:val="0050477A"/>
    <w:rsid w:val="0050513C"/>
    <w:rsid w:val="0050528F"/>
    <w:rsid w:val="0050622B"/>
    <w:rsid w:val="005066E5"/>
    <w:rsid w:val="00506A6A"/>
    <w:rsid w:val="00507641"/>
    <w:rsid w:val="005100D4"/>
    <w:rsid w:val="00511E43"/>
    <w:rsid w:val="005137E4"/>
    <w:rsid w:val="00514913"/>
    <w:rsid w:val="00514A31"/>
    <w:rsid w:val="005150DE"/>
    <w:rsid w:val="005150FA"/>
    <w:rsid w:val="00515714"/>
    <w:rsid w:val="00515AC1"/>
    <w:rsid w:val="00516AA0"/>
    <w:rsid w:val="00516D4F"/>
    <w:rsid w:val="00516F9C"/>
    <w:rsid w:val="005179B4"/>
    <w:rsid w:val="00517B60"/>
    <w:rsid w:val="0052057C"/>
    <w:rsid w:val="00520986"/>
    <w:rsid w:val="00521561"/>
    <w:rsid w:val="00521617"/>
    <w:rsid w:val="00521C5B"/>
    <w:rsid w:val="005221CC"/>
    <w:rsid w:val="00522334"/>
    <w:rsid w:val="00523A0F"/>
    <w:rsid w:val="00525098"/>
    <w:rsid w:val="00525D1B"/>
    <w:rsid w:val="0052635B"/>
    <w:rsid w:val="00526785"/>
    <w:rsid w:val="00526FDB"/>
    <w:rsid w:val="005304BC"/>
    <w:rsid w:val="00531123"/>
    <w:rsid w:val="00532AA7"/>
    <w:rsid w:val="00534669"/>
    <w:rsid w:val="00534FA6"/>
    <w:rsid w:val="00535E51"/>
    <w:rsid w:val="0053693A"/>
    <w:rsid w:val="00541789"/>
    <w:rsid w:val="00541BD1"/>
    <w:rsid w:val="00542797"/>
    <w:rsid w:val="00542E1B"/>
    <w:rsid w:val="00544C3D"/>
    <w:rsid w:val="00545578"/>
    <w:rsid w:val="005456D8"/>
    <w:rsid w:val="0054614C"/>
    <w:rsid w:val="005466FA"/>
    <w:rsid w:val="0055153B"/>
    <w:rsid w:val="0055177C"/>
    <w:rsid w:val="005535A1"/>
    <w:rsid w:val="005549BB"/>
    <w:rsid w:val="00554CBB"/>
    <w:rsid w:val="00555EEA"/>
    <w:rsid w:val="00556BDA"/>
    <w:rsid w:val="00557AFA"/>
    <w:rsid w:val="00561675"/>
    <w:rsid w:val="0056190B"/>
    <w:rsid w:val="00561A25"/>
    <w:rsid w:val="00561BD6"/>
    <w:rsid w:val="0056206A"/>
    <w:rsid w:val="00562938"/>
    <w:rsid w:val="00564953"/>
    <w:rsid w:val="00564974"/>
    <w:rsid w:val="00564E5B"/>
    <w:rsid w:val="00565D49"/>
    <w:rsid w:val="00566998"/>
    <w:rsid w:val="00566BE1"/>
    <w:rsid w:val="005706A1"/>
    <w:rsid w:val="00570B6C"/>
    <w:rsid w:val="005720C6"/>
    <w:rsid w:val="00572526"/>
    <w:rsid w:val="00572958"/>
    <w:rsid w:val="00573D82"/>
    <w:rsid w:val="00573E43"/>
    <w:rsid w:val="005740C4"/>
    <w:rsid w:val="0057478D"/>
    <w:rsid w:val="00574CB3"/>
    <w:rsid w:val="00575528"/>
    <w:rsid w:val="00576689"/>
    <w:rsid w:val="00577A73"/>
    <w:rsid w:val="00580646"/>
    <w:rsid w:val="0058081E"/>
    <w:rsid w:val="00581D86"/>
    <w:rsid w:val="0058282D"/>
    <w:rsid w:val="00583A09"/>
    <w:rsid w:val="00584B6C"/>
    <w:rsid w:val="00585339"/>
    <w:rsid w:val="00585736"/>
    <w:rsid w:val="00585AF1"/>
    <w:rsid w:val="00586E17"/>
    <w:rsid w:val="005873F6"/>
    <w:rsid w:val="00587455"/>
    <w:rsid w:val="005905FC"/>
    <w:rsid w:val="00591B22"/>
    <w:rsid w:val="00593A02"/>
    <w:rsid w:val="00593C54"/>
    <w:rsid w:val="00593E64"/>
    <w:rsid w:val="005955AF"/>
    <w:rsid w:val="00595F52"/>
    <w:rsid w:val="005A0711"/>
    <w:rsid w:val="005A0980"/>
    <w:rsid w:val="005A1259"/>
    <w:rsid w:val="005A13C6"/>
    <w:rsid w:val="005A1C92"/>
    <w:rsid w:val="005A27FB"/>
    <w:rsid w:val="005A2F0F"/>
    <w:rsid w:val="005A2F80"/>
    <w:rsid w:val="005A3935"/>
    <w:rsid w:val="005A3BF9"/>
    <w:rsid w:val="005A4C52"/>
    <w:rsid w:val="005A53FD"/>
    <w:rsid w:val="005A5788"/>
    <w:rsid w:val="005A6924"/>
    <w:rsid w:val="005B0DDB"/>
    <w:rsid w:val="005B18F5"/>
    <w:rsid w:val="005B2115"/>
    <w:rsid w:val="005B3FA5"/>
    <w:rsid w:val="005B45BD"/>
    <w:rsid w:val="005B5103"/>
    <w:rsid w:val="005B52B0"/>
    <w:rsid w:val="005B58B9"/>
    <w:rsid w:val="005B5BCC"/>
    <w:rsid w:val="005B5CA4"/>
    <w:rsid w:val="005B5CB4"/>
    <w:rsid w:val="005B6269"/>
    <w:rsid w:val="005B6822"/>
    <w:rsid w:val="005B76C3"/>
    <w:rsid w:val="005C20A9"/>
    <w:rsid w:val="005C2807"/>
    <w:rsid w:val="005C5199"/>
    <w:rsid w:val="005C55AF"/>
    <w:rsid w:val="005C5ACD"/>
    <w:rsid w:val="005C5BA6"/>
    <w:rsid w:val="005D0E90"/>
    <w:rsid w:val="005D13E7"/>
    <w:rsid w:val="005D156C"/>
    <w:rsid w:val="005D15AB"/>
    <w:rsid w:val="005D3D46"/>
    <w:rsid w:val="005D4079"/>
    <w:rsid w:val="005D5150"/>
    <w:rsid w:val="005D5E39"/>
    <w:rsid w:val="005D623D"/>
    <w:rsid w:val="005D7A88"/>
    <w:rsid w:val="005E00C7"/>
    <w:rsid w:val="005E0692"/>
    <w:rsid w:val="005E0EAD"/>
    <w:rsid w:val="005E2333"/>
    <w:rsid w:val="005E2A28"/>
    <w:rsid w:val="005E30E3"/>
    <w:rsid w:val="005E3290"/>
    <w:rsid w:val="005E387E"/>
    <w:rsid w:val="005E41B3"/>
    <w:rsid w:val="005E4282"/>
    <w:rsid w:val="005E4B97"/>
    <w:rsid w:val="005E6698"/>
    <w:rsid w:val="005E7598"/>
    <w:rsid w:val="005E7737"/>
    <w:rsid w:val="005E7C90"/>
    <w:rsid w:val="005F0196"/>
    <w:rsid w:val="005F0870"/>
    <w:rsid w:val="005F314A"/>
    <w:rsid w:val="005F35BE"/>
    <w:rsid w:val="005F3E8B"/>
    <w:rsid w:val="005F4587"/>
    <w:rsid w:val="005F4720"/>
    <w:rsid w:val="005F488D"/>
    <w:rsid w:val="005F49FC"/>
    <w:rsid w:val="005F4CA6"/>
    <w:rsid w:val="005F4F2B"/>
    <w:rsid w:val="005F596D"/>
    <w:rsid w:val="005F6254"/>
    <w:rsid w:val="005F7B7E"/>
    <w:rsid w:val="00600BB5"/>
    <w:rsid w:val="00600CA3"/>
    <w:rsid w:val="00600E5F"/>
    <w:rsid w:val="0060180B"/>
    <w:rsid w:val="00601A47"/>
    <w:rsid w:val="0060305A"/>
    <w:rsid w:val="00603C00"/>
    <w:rsid w:val="00603EDC"/>
    <w:rsid w:val="00604FD9"/>
    <w:rsid w:val="006053BB"/>
    <w:rsid w:val="00605AC2"/>
    <w:rsid w:val="006063C0"/>
    <w:rsid w:val="00606432"/>
    <w:rsid w:val="00606A22"/>
    <w:rsid w:val="00606D19"/>
    <w:rsid w:val="00606F82"/>
    <w:rsid w:val="00607B48"/>
    <w:rsid w:val="006125EA"/>
    <w:rsid w:val="00612612"/>
    <w:rsid w:val="006148B2"/>
    <w:rsid w:val="00615F5E"/>
    <w:rsid w:val="00617EE7"/>
    <w:rsid w:val="00621979"/>
    <w:rsid w:val="00621F65"/>
    <w:rsid w:val="00622A42"/>
    <w:rsid w:val="00625686"/>
    <w:rsid w:val="006260EE"/>
    <w:rsid w:val="00626563"/>
    <w:rsid w:val="006266ED"/>
    <w:rsid w:val="006278C3"/>
    <w:rsid w:val="006300C3"/>
    <w:rsid w:val="00632097"/>
    <w:rsid w:val="006333EB"/>
    <w:rsid w:val="00633F50"/>
    <w:rsid w:val="0063722C"/>
    <w:rsid w:val="00640B26"/>
    <w:rsid w:val="00640BD7"/>
    <w:rsid w:val="00641738"/>
    <w:rsid w:val="00641846"/>
    <w:rsid w:val="00641D05"/>
    <w:rsid w:val="00641EAC"/>
    <w:rsid w:val="0064208E"/>
    <w:rsid w:val="0064263B"/>
    <w:rsid w:val="00642BD6"/>
    <w:rsid w:val="00642EBE"/>
    <w:rsid w:val="00642F4A"/>
    <w:rsid w:val="00644167"/>
    <w:rsid w:val="00644235"/>
    <w:rsid w:val="00644428"/>
    <w:rsid w:val="00645061"/>
    <w:rsid w:val="00646188"/>
    <w:rsid w:val="00646CEE"/>
    <w:rsid w:val="006517AB"/>
    <w:rsid w:val="0065190A"/>
    <w:rsid w:val="0065231A"/>
    <w:rsid w:val="00652754"/>
    <w:rsid w:val="0065457D"/>
    <w:rsid w:val="006558CD"/>
    <w:rsid w:val="0065728F"/>
    <w:rsid w:val="00657498"/>
    <w:rsid w:val="006579FC"/>
    <w:rsid w:val="006624D1"/>
    <w:rsid w:val="00663A36"/>
    <w:rsid w:val="00665327"/>
    <w:rsid w:val="006655E8"/>
    <w:rsid w:val="00666A33"/>
    <w:rsid w:val="006674B3"/>
    <w:rsid w:val="0067205D"/>
    <w:rsid w:val="00672BA0"/>
    <w:rsid w:val="00672D98"/>
    <w:rsid w:val="00672E4D"/>
    <w:rsid w:val="00673342"/>
    <w:rsid w:val="00674B88"/>
    <w:rsid w:val="006751A4"/>
    <w:rsid w:val="00675C01"/>
    <w:rsid w:val="00677047"/>
    <w:rsid w:val="00677155"/>
    <w:rsid w:val="00681658"/>
    <w:rsid w:val="00681901"/>
    <w:rsid w:val="00682549"/>
    <w:rsid w:val="00683BD3"/>
    <w:rsid w:val="006849E5"/>
    <w:rsid w:val="0068622D"/>
    <w:rsid w:val="00686E02"/>
    <w:rsid w:val="00687D58"/>
    <w:rsid w:val="006902C1"/>
    <w:rsid w:val="006918D3"/>
    <w:rsid w:val="00691D5D"/>
    <w:rsid w:val="00692537"/>
    <w:rsid w:val="00693183"/>
    <w:rsid w:val="00694820"/>
    <w:rsid w:val="00695108"/>
    <w:rsid w:val="0069561E"/>
    <w:rsid w:val="006958A1"/>
    <w:rsid w:val="00696074"/>
    <w:rsid w:val="00696310"/>
    <w:rsid w:val="006A0975"/>
    <w:rsid w:val="006A26F7"/>
    <w:rsid w:val="006A329A"/>
    <w:rsid w:val="006A3C57"/>
    <w:rsid w:val="006A4207"/>
    <w:rsid w:val="006A45F7"/>
    <w:rsid w:val="006A4CBD"/>
    <w:rsid w:val="006A56E9"/>
    <w:rsid w:val="006A7111"/>
    <w:rsid w:val="006B02F2"/>
    <w:rsid w:val="006B0483"/>
    <w:rsid w:val="006B0D53"/>
    <w:rsid w:val="006B148F"/>
    <w:rsid w:val="006B16FC"/>
    <w:rsid w:val="006B3455"/>
    <w:rsid w:val="006B3959"/>
    <w:rsid w:val="006B59CD"/>
    <w:rsid w:val="006B6EF6"/>
    <w:rsid w:val="006C0E61"/>
    <w:rsid w:val="006C15FC"/>
    <w:rsid w:val="006C1B23"/>
    <w:rsid w:val="006C2AEC"/>
    <w:rsid w:val="006C31D2"/>
    <w:rsid w:val="006C320F"/>
    <w:rsid w:val="006C4108"/>
    <w:rsid w:val="006C5AFE"/>
    <w:rsid w:val="006C652D"/>
    <w:rsid w:val="006C784E"/>
    <w:rsid w:val="006C7D54"/>
    <w:rsid w:val="006C7E21"/>
    <w:rsid w:val="006D028C"/>
    <w:rsid w:val="006D2443"/>
    <w:rsid w:val="006D301E"/>
    <w:rsid w:val="006D4431"/>
    <w:rsid w:val="006D7272"/>
    <w:rsid w:val="006E072B"/>
    <w:rsid w:val="006E096E"/>
    <w:rsid w:val="006E0AB6"/>
    <w:rsid w:val="006E16B0"/>
    <w:rsid w:val="006E1DEF"/>
    <w:rsid w:val="006E2577"/>
    <w:rsid w:val="006E3ED8"/>
    <w:rsid w:val="006E5C78"/>
    <w:rsid w:val="006E635C"/>
    <w:rsid w:val="006F1198"/>
    <w:rsid w:val="006F1BBC"/>
    <w:rsid w:val="006F1C91"/>
    <w:rsid w:val="006F4C65"/>
    <w:rsid w:val="006F5195"/>
    <w:rsid w:val="006F52FF"/>
    <w:rsid w:val="006F6ED7"/>
    <w:rsid w:val="0070014E"/>
    <w:rsid w:val="007007DD"/>
    <w:rsid w:val="00700A59"/>
    <w:rsid w:val="00701225"/>
    <w:rsid w:val="0070132E"/>
    <w:rsid w:val="00701DBA"/>
    <w:rsid w:val="007028E4"/>
    <w:rsid w:val="00704AE5"/>
    <w:rsid w:val="00704F20"/>
    <w:rsid w:val="00704F94"/>
    <w:rsid w:val="007051B1"/>
    <w:rsid w:val="0070638F"/>
    <w:rsid w:val="007067CE"/>
    <w:rsid w:val="0070730F"/>
    <w:rsid w:val="00707B9C"/>
    <w:rsid w:val="00712C60"/>
    <w:rsid w:val="00712F05"/>
    <w:rsid w:val="00714285"/>
    <w:rsid w:val="007157C0"/>
    <w:rsid w:val="00717A04"/>
    <w:rsid w:val="0072003F"/>
    <w:rsid w:val="00720D8D"/>
    <w:rsid w:val="00721E4D"/>
    <w:rsid w:val="00722918"/>
    <w:rsid w:val="00722D4A"/>
    <w:rsid w:val="007230CA"/>
    <w:rsid w:val="007234F8"/>
    <w:rsid w:val="00723CE9"/>
    <w:rsid w:val="007240AA"/>
    <w:rsid w:val="0072431A"/>
    <w:rsid w:val="0072453B"/>
    <w:rsid w:val="00724F1D"/>
    <w:rsid w:val="007271C9"/>
    <w:rsid w:val="00727A34"/>
    <w:rsid w:val="00727E2B"/>
    <w:rsid w:val="00727F4F"/>
    <w:rsid w:val="00731916"/>
    <w:rsid w:val="0073208C"/>
    <w:rsid w:val="00732CFF"/>
    <w:rsid w:val="00733558"/>
    <w:rsid w:val="007337FD"/>
    <w:rsid w:val="00735600"/>
    <w:rsid w:val="007368AA"/>
    <w:rsid w:val="007402AE"/>
    <w:rsid w:val="00740E78"/>
    <w:rsid w:val="00741892"/>
    <w:rsid w:val="007425F8"/>
    <w:rsid w:val="007441F7"/>
    <w:rsid w:val="0074527D"/>
    <w:rsid w:val="007462AE"/>
    <w:rsid w:val="007471B6"/>
    <w:rsid w:val="00747EF9"/>
    <w:rsid w:val="007504F3"/>
    <w:rsid w:val="0075119A"/>
    <w:rsid w:val="007520DF"/>
    <w:rsid w:val="00754387"/>
    <w:rsid w:val="00754A5F"/>
    <w:rsid w:val="00754E02"/>
    <w:rsid w:val="0075676A"/>
    <w:rsid w:val="00760635"/>
    <w:rsid w:val="007609F2"/>
    <w:rsid w:val="00760B88"/>
    <w:rsid w:val="00762277"/>
    <w:rsid w:val="007625D2"/>
    <w:rsid w:val="00764582"/>
    <w:rsid w:val="007656A5"/>
    <w:rsid w:val="0076578B"/>
    <w:rsid w:val="00765B6B"/>
    <w:rsid w:val="00767377"/>
    <w:rsid w:val="00770159"/>
    <w:rsid w:val="00771812"/>
    <w:rsid w:val="00771919"/>
    <w:rsid w:val="00771C01"/>
    <w:rsid w:val="007732FC"/>
    <w:rsid w:val="00773AD9"/>
    <w:rsid w:val="00775D4B"/>
    <w:rsid w:val="007760F7"/>
    <w:rsid w:val="00776CB7"/>
    <w:rsid w:val="00776DC6"/>
    <w:rsid w:val="007776F3"/>
    <w:rsid w:val="00777CD2"/>
    <w:rsid w:val="00780394"/>
    <w:rsid w:val="0078050C"/>
    <w:rsid w:val="0078142F"/>
    <w:rsid w:val="00781B67"/>
    <w:rsid w:val="00782356"/>
    <w:rsid w:val="00782BBA"/>
    <w:rsid w:val="00782D99"/>
    <w:rsid w:val="00782F04"/>
    <w:rsid w:val="00783A6B"/>
    <w:rsid w:val="00783DCD"/>
    <w:rsid w:val="007841C9"/>
    <w:rsid w:val="00785315"/>
    <w:rsid w:val="0078697B"/>
    <w:rsid w:val="007904B2"/>
    <w:rsid w:val="007908F1"/>
    <w:rsid w:val="00791BEA"/>
    <w:rsid w:val="007937B7"/>
    <w:rsid w:val="00793A3D"/>
    <w:rsid w:val="007948C8"/>
    <w:rsid w:val="0079793A"/>
    <w:rsid w:val="007A0BF6"/>
    <w:rsid w:val="007A12B3"/>
    <w:rsid w:val="007A3A26"/>
    <w:rsid w:val="007A3F9B"/>
    <w:rsid w:val="007B0D7E"/>
    <w:rsid w:val="007B18C5"/>
    <w:rsid w:val="007B1A35"/>
    <w:rsid w:val="007B1A76"/>
    <w:rsid w:val="007B1A88"/>
    <w:rsid w:val="007B2EAE"/>
    <w:rsid w:val="007B3304"/>
    <w:rsid w:val="007B5368"/>
    <w:rsid w:val="007B7753"/>
    <w:rsid w:val="007C1135"/>
    <w:rsid w:val="007C21DD"/>
    <w:rsid w:val="007C49D2"/>
    <w:rsid w:val="007C61EB"/>
    <w:rsid w:val="007C783E"/>
    <w:rsid w:val="007C7EC1"/>
    <w:rsid w:val="007D0F55"/>
    <w:rsid w:val="007D161F"/>
    <w:rsid w:val="007D1DC8"/>
    <w:rsid w:val="007D297E"/>
    <w:rsid w:val="007D334B"/>
    <w:rsid w:val="007D363C"/>
    <w:rsid w:val="007D4589"/>
    <w:rsid w:val="007D4EB5"/>
    <w:rsid w:val="007D58DB"/>
    <w:rsid w:val="007D5A27"/>
    <w:rsid w:val="007D6936"/>
    <w:rsid w:val="007D6AE6"/>
    <w:rsid w:val="007E0D04"/>
    <w:rsid w:val="007E14BA"/>
    <w:rsid w:val="007E2022"/>
    <w:rsid w:val="007E2D2F"/>
    <w:rsid w:val="007E316B"/>
    <w:rsid w:val="007E3F8C"/>
    <w:rsid w:val="007E4AC8"/>
    <w:rsid w:val="007E5387"/>
    <w:rsid w:val="007E5A12"/>
    <w:rsid w:val="007E6681"/>
    <w:rsid w:val="007E66B6"/>
    <w:rsid w:val="007E68AE"/>
    <w:rsid w:val="007E6F43"/>
    <w:rsid w:val="007E7462"/>
    <w:rsid w:val="007F0168"/>
    <w:rsid w:val="007F0193"/>
    <w:rsid w:val="007F10A4"/>
    <w:rsid w:val="007F16FF"/>
    <w:rsid w:val="007F2989"/>
    <w:rsid w:val="007F3A7C"/>
    <w:rsid w:val="007F3AF1"/>
    <w:rsid w:val="007F4054"/>
    <w:rsid w:val="007F4593"/>
    <w:rsid w:val="007F5385"/>
    <w:rsid w:val="007F6E95"/>
    <w:rsid w:val="007F72CF"/>
    <w:rsid w:val="007F7E01"/>
    <w:rsid w:val="00800685"/>
    <w:rsid w:val="00801107"/>
    <w:rsid w:val="00802DCA"/>
    <w:rsid w:val="008045B0"/>
    <w:rsid w:val="00810CC5"/>
    <w:rsid w:val="00811504"/>
    <w:rsid w:val="00811792"/>
    <w:rsid w:val="00811966"/>
    <w:rsid w:val="00812452"/>
    <w:rsid w:val="008124B4"/>
    <w:rsid w:val="008140CB"/>
    <w:rsid w:val="00814ED5"/>
    <w:rsid w:val="0081536F"/>
    <w:rsid w:val="008175C0"/>
    <w:rsid w:val="00817EFA"/>
    <w:rsid w:val="00820082"/>
    <w:rsid w:val="00820199"/>
    <w:rsid w:val="00820419"/>
    <w:rsid w:val="00820F96"/>
    <w:rsid w:val="00821B89"/>
    <w:rsid w:val="008232F2"/>
    <w:rsid w:val="00823853"/>
    <w:rsid w:val="008251EB"/>
    <w:rsid w:val="008253A4"/>
    <w:rsid w:val="00825978"/>
    <w:rsid w:val="00826297"/>
    <w:rsid w:val="0082657F"/>
    <w:rsid w:val="00826955"/>
    <w:rsid w:val="008300F5"/>
    <w:rsid w:val="008317A2"/>
    <w:rsid w:val="00832B56"/>
    <w:rsid w:val="00833169"/>
    <w:rsid w:val="008341B3"/>
    <w:rsid w:val="008348BB"/>
    <w:rsid w:val="00834DE3"/>
    <w:rsid w:val="00835270"/>
    <w:rsid w:val="00835F43"/>
    <w:rsid w:val="0083673C"/>
    <w:rsid w:val="0083724C"/>
    <w:rsid w:val="00837813"/>
    <w:rsid w:val="00840310"/>
    <w:rsid w:val="00841022"/>
    <w:rsid w:val="00841083"/>
    <w:rsid w:val="0084138F"/>
    <w:rsid w:val="008413A3"/>
    <w:rsid w:val="0084194A"/>
    <w:rsid w:val="008439D4"/>
    <w:rsid w:val="00843AAD"/>
    <w:rsid w:val="00843FD9"/>
    <w:rsid w:val="0084417C"/>
    <w:rsid w:val="008442A2"/>
    <w:rsid w:val="00844B3A"/>
    <w:rsid w:val="00844F76"/>
    <w:rsid w:val="0084593A"/>
    <w:rsid w:val="00845AF7"/>
    <w:rsid w:val="008461D0"/>
    <w:rsid w:val="008464E5"/>
    <w:rsid w:val="0084727B"/>
    <w:rsid w:val="00850543"/>
    <w:rsid w:val="00850FF1"/>
    <w:rsid w:val="0085407F"/>
    <w:rsid w:val="00854252"/>
    <w:rsid w:val="008546DE"/>
    <w:rsid w:val="00854B47"/>
    <w:rsid w:val="00854E6C"/>
    <w:rsid w:val="0085593F"/>
    <w:rsid w:val="00855D20"/>
    <w:rsid w:val="00856347"/>
    <w:rsid w:val="008565CB"/>
    <w:rsid w:val="0085764D"/>
    <w:rsid w:val="00857670"/>
    <w:rsid w:val="0085774E"/>
    <w:rsid w:val="00857DBD"/>
    <w:rsid w:val="00857F0A"/>
    <w:rsid w:val="0086033B"/>
    <w:rsid w:val="00860D8E"/>
    <w:rsid w:val="00860FAF"/>
    <w:rsid w:val="0086130F"/>
    <w:rsid w:val="008616EE"/>
    <w:rsid w:val="0086171D"/>
    <w:rsid w:val="00862D41"/>
    <w:rsid w:val="00862E89"/>
    <w:rsid w:val="00863859"/>
    <w:rsid w:val="00863D12"/>
    <w:rsid w:val="00865BF1"/>
    <w:rsid w:val="00871203"/>
    <w:rsid w:val="008717CB"/>
    <w:rsid w:val="00871B7E"/>
    <w:rsid w:val="00872D5B"/>
    <w:rsid w:val="00874B29"/>
    <w:rsid w:val="00875DAD"/>
    <w:rsid w:val="00875E84"/>
    <w:rsid w:val="0087664B"/>
    <w:rsid w:val="00877BD6"/>
    <w:rsid w:val="00880723"/>
    <w:rsid w:val="00880E55"/>
    <w:rsid w:val="00881166"/>
    <w:rsid w:val="008815AD"/>
    <w:rsid w:val="008821EB"/>
    <w:rsid w:val="00882C1C"/>
    <w:rsid w:val="00882F34"/>
    <w:rsid w:val="00883676"/>
    <w:rsid w:val="00884441"/>
    <w:rsid w:val="00884AE4"/>
    <w:rsid w:val="00884F98"/>
    <w:rsid w:val="008872E1"/>
    <w:rsid w:val="00887B60"/>
    <w:rsid w:val="008904BD"/>
    <w:rsid w:val="00890593"/>
    <w:rsid w:val="00890BF3"/>
    <w:rsid w:val="008914E2"/>
    <w:rsid w:val="00891B1B"/>
    <w:rsid w:val="00891D1D"/>
    <w:rsid w:val="00892174"/>
    <w:rsid w:val="008921C8"/>
    <w:rsid w:val="0089221C"/>
    <w:rsid w:val="00893234"/>
    <w:rsid w:val="00897273"/>
    <w:rsid w:val="00897CBD"/>
    <w:rsid w:val="008A05B1"/>
    <w:rsid w:val="008A18CB"/>
    <w:rsid w:val="008A211E"/>
    <w:rsid w:val="008A278B"/>
    <w:rsid w:val="008A3E03"/>
    <w:rsid w:val="008A459B"/>
    <w:rsid w:val="008A4EE4"/>
    <w:rsid w:val="008A5B2A"/>
    <w:rsid w:val="008A643B"/>
    <w:rsid w:val="008A6461"/>
    <w:rsid w:val="008A67A0"/>
    <w:rsid w:val="008A6AA2"/>
    <w:rsid w:val="008B0CF8"/>
    <w:rsid w:val="008B2047"/>
    <w:rsid w:val="008B2271"/>
    <w:rsid w:val="008B4261"/>
    <w:rsid w:val="008B4983"/>
    <w:rsid w:val="008B4A51"/>
    <w:rsid w:val="008B51E2"/>
    <w:rsid w:val="008B54FE"/>
    <w:rsid w:val="008B59C7"/>
    <w:rsid w:val="008B6F43"/>
    <w:rsid w:val="008B748A"/>
    <w:rsid w:val="008B7F40"/>
    <w:rsid w:val="008C084C"/>
    <w:rsid w:val="008C26CF"/>
    <w:rsid w:val="008C3FB9"/>
    <w:rsid w:val="008C5954"/>
    <w:rsid w:val="008C7C0B"/>
    <w:rsid w:val="008D05E5"/>
    <w:rsid w:val="008D0EBF"/>
    <w:rsid w:val="008D0FBB"/>
    <w:rsid w:val="008D2122"/>
    <w:rsid w:val="008D2D57"/>
    <w:rsid w:val="008D41C9"/>
    <w:rsid w:val="008D4458"/>
    <w:rsid w:val="008D4D59"/>
    <w:rsid w:val="008D5161"/>
    <w:rsid w:val="008D543E"/>
    <w:rsid w:val="008E051F"/>
    <w:rsid w:val="008E06F8"/>
    <w:rsid w:val="008E087C"/>
    <w:rsid w:val="008E0CFD"/>
    <w:rsid w:val="008E1373"/>
    <w:rsid w:val="008E4063"/>
    <w:rsid w:val="008E54E2"/>
    <w:rsid w:val="008E5C98"/>
    <w:rsid w:val="008E66BF"/>
    <w:rsid w:val="008E66D0"/>
    <w:rsid w:val="008E767F"/>
    <w:rsid w:val="008E76DA"/>
    <w:rsid w:val="008E772D"/>
    <w:rsid w:val="008E7F13"/>
    <w:rsid w:val="008F04CE"/>
    <w:rsid w:val="008F16D5"/>
    <w:rsid w:val="008F1E9B"/>
    <w:rsid w:val="008F200C"/>
    <w:rsid w:val="008F2013"/>
    <w:rsid w:val="008F31DE"/>
    <w:rsid w:val="008F322D"/>
    <w:rsid w:val="008F4525"/>
    <w:rsid w:val="008F4FF8"/>
    <w:rsid w:val="008F5DD9"/>
    <w:rsid w:val="008F72B6"/>
    <w:rsid w:val="008F72C4"/>
    <w:rsid w:val="008F7303"/>
    <w:rsid w:val="00902E58"/>
    <w:rsid w:val="00903519"/>
    <w:rsid w:val="00903E21"/>
    <w:rsid w:val="00905310"/>
    <w:rsid w:val="009069F4"/>
    <w:rsid w:val="00910BD7"/>
    <w:rsid w:val="00911EB1"/>
    <w:rsid w:val="00912772"/>
    <w:rsid w:val="009128BC"/>
    <w:rsid w:val="0091300C"/>
    <w:rsid w:val="00913307"/>
    <w:rsid w:val="00913C91"/>
    <w:rsid w:val="009141C2"/>
    <w:rsid w:val="00914E7D"/>
    <w:rsid w:val="00914F18"/>
    <w:rsid w:val="009154E2"/>
    <w:rsid w:val="00915521"/>
    <w:rsid w:val="00915E48"/>
    <w:rsid w:val="0091718D"/>
    <w:rsid w:val="00917239"/>
    <w:rsid w:val="009172E5"/>
    <w:rsid w:val="00921B84"/>
    <w:rsid w:val="00923ACF"/>
    <w:rsid w:val="00923F08"/>
    <w:rsid w:val="0092447C"/>
    <w:rsid w:val="00930A0C"/>
    <w:rsid w:val="0093152C"/>
    <w:rsid w:val="00931DF2"/>
    <w:rsid w:val="00932244"/>
    <w:rsid w:val="0093269E"/>
    <w:rsid w:val="0093504A"/>
    <w:rsid w:val="0093547D"/>
    <w:rsid w:val="00935D69"/>
    <w:rsid w:val="00936465"/>
    <w:rsid w:val="00936809"/>
    <w:rsid w:val="00937C59"/>
    <w:rsid w:val="00937C9F"/>
    <w:rsid w:val="009406F1"/>
    <w:rsid w:val="009422D7"/>
    <w:rsid w:val="00943D54"/>
    <w:rsid w:val="00944507"/>
    <w:rsid w:val="009454C1"/>
    <w:rsid w:val="009455A9"/>
    <w:rsid w:val="00945C68"/>
    <w:rsid w:val="0094635F"/>
    <w:rsid w:val="0094678D"/>
    <w:rsid w:val="00950675"/>
    <w:rsid w:val="009507E2"/>
    <w:rsid w:val="00950A2E"/>
    <w:rsid w:val="00953386"/>
    <w:rsid w:val="00953AA5"/>
    <w:rsid w:val="00954DC0"/>
    <w:rsid w:val="00955C00"/>
    <w:rsid w:val="00955DD7"/>
    <w:rsid w:val="00956F9E"/>
    <w:rsid w:val="00956FBD"/>
    <w:rsid w:val="009609DB"/>
    <w:rsid w:val="00960C27"/>
    <w:rsid w:val="00963523"/>
    <w:rsid w:val="00963A31"/>
    <w:rsid w:val="00963CEB"/>
    <w:rsid w:val="00963F8A"/>
    <w:rsid w:val="00965A90"/>
    <w:rsid w:val="00967100"/>
    <w:rsid w:val="0096778B"/>
    <w:rsid w:val="00970ACB"/>
    <w:rsid w:val="00970B1C"/>
    <w:rsid w:val="009719B6"/>
    <w:rsid w:val="0097233D"/>
    <w:rsid w:val="0097302B"/>
    <w:rsid w:val="0097328A"/>
    <w:rsid w:val="009737D7"/>
    <w:rsid w:val="00975756"/>
    <w:rsid w:val="00977E45"/>
    <w:rsid w:val="00983925"/>
    <w:rsid w:val="00984551"/>
    <w:rsid w:val="00984D47"/>
    <w:rsid w:val="009906E0"/>
    <w:rsid w:val="00991260"/>
    <w:rsid w:val="00991380"/>
    <w:rsid w:val="00991688"/>
    <w:rsid w:val="009922DE"/>
    <w:rsid w:val="00992BDE"/>
    <w:rsid w:val="0099315E"/>
    <w:rsid w:val="00995125"/>
    <w:rsid w:val="00995562"/>
    <w:rsid w:val="009959E5"/>
    <w:rsid w:val="00995E3C"/>
    <w:rsid w:val="00996CD4"/>
    <w:rsid w:val="009A01C8"/>
    <w:rsid w:val="009A0680"/>
    <w:rsid w:val="009A1678"/>
    <w:rsid w:val="009A23EF"/>
    <w:rsid w:val="009A270F"/>
    <w:rsid w:val="009A2827"/>
    <w:rsid w:val="009A317F"/>
    <w:rsid w:val="009A3FCB"/>
    <w:rsid w:val="009A42B8"/>
    <w:rsid w:val="009A4743"/>
    <w:rsid w:val="009A5F8D"/>
    <w:rsid w:val="009A65B6"/>
    <w:rsid w:val="009A673F"/>
    <w:rsid w:val="009A67B2"/>
    <w:rsid w:val="009A6F7F"/>
    <w:rsid w:val="009A7223"/>
    <w:rsid w:val="009A77DC"/>
    <w:rsid w:val="009B0DBB"/>
    <w:rsid w:val="009B1341"/>
    <w:rsid w:val="009B231B"/>
    <w:rsid w:val="009B2637"/>
    <w:rsid w:val="009B2764"/>
    <w:rsid w:val="009B31F9"/>
    <w:rsid w:val="009B40E6"/>
    <w:rsid w:val="009B417E"/>
    <w:rsid w:val="009B4257"/>
    <w:rsid w:val="009B4950"/>
    <w:rsid w:val="009B5A2D"/>
    <w:rsid w:val="009B5C50"/>
    <w:rsid w:val="009B5DE3"/>
    <w:rsid w:val="009B680F"/>
    <w:rsid w:val="009B6AD1"/>
    <w:rsid w:val="009B75CD"/>
    <w:rsid w:val="009B7EF0"/>
    <w:rsid w:val="009C065A"/>
    <w:rsid w:val="009C12AC"/>
    <w:rsid w:val="009C182A"/>
    <w:rsid w:val="009C20F5"/>
    <w:rsid w:val="009C2303"/>
    <w:rsid w:val="009C237C"/>
    <w:rsid w:val="009C2492"/>
    <w:rsid w:val="009C332F"/>
    <w:rsid w:val="009C3639"/>
    <w:rsid w:val="009C3753"/>
    <w:rsid w:val="009C3D3A"/>
    <w:rsid w:val="009C6BBD"/>
    <w:rsid w:val="009C7F8E"/>
    <w:rsid w:val="009D0AEA"/>
    <w:rsid w:val="009D252F"/>
    <w:rsid w:val="009D3152"/>
    <w:rsid w:val="009D3AEA"/>
    <w:rsid w:val="009D56B4"/>
    <w:rsid w:val="009D593B"/>
    <w:rsid w:val="009D5BFB"/>
    <w:rsid w:val="009D64D5"/>
    <w:rsid w:val="009D6D88"/>
    <w:rsid w:val="009D7181"/>
    <w:rsid w:val="009D7656"/>
    <w:rsid w:val="009D7799"/>
    <w:rsid w:val="009E1D2E"/>
    <w:rsid w:val="009E3A9B"/>
    <w:rsid w:val="009E49C7"/>
    <w:rsid w:val="009E55EE"/>
    <w:rsid w:val="009E5D65"/>
    <w:rsid w:val="009E63CD"/>
    <w:rsid w:val="009E656D"/>
    <w:rsid w:val="009F1FBE"/>
    <w:rsid w:val="009F2408"/>
    <w:rsid w:val="009F29A4"/>
    <w:rsid w:val="009F2E65"/>
    <w:rsid w:val="009F317F"/>
    <w:rsid w:val="009F5AA8"/>
    <w:rsid w:val="009F5E3C"/>
    <w:rsid w:val="009F6015"/>
    <w:rsid w:val="009F62AD"/>
    <w:rsid w:val="009F6502"/>
    <w:rsid w:val="009F6BC3"/>
    <w:rsid w:val="009F7084"/>
    <w:rsid w:val="009F75F0"/>
    <w:rsid w:val="009F76A4"/>
    <w:rsid w:val="009F7F9D"/>
    <w:rsid w:val="00A00AC1"/>
    <w:rsid w:val="00A00F09"/>
    <w:rsid w:val="00A02343"/>
    <w:rsid w:val="00A023AA"/>
    <w:rsid w:val="00A03F9A"/>
    <w:rsid w:val="00A04180"/>
    <w:rsid w:val="00A042AD"/>
    <w:rsid w:val="00A0541E"/>
    <w:rsid w:val="00A06912"/>
    <w:rsid w:val="00A06D6A"/>
    <w:rsid w:val="00A076C9"/>
    <w:rsid w:val="00A07F4C"/>
    <w:rsid w:val="00A1076A"/>
    <w:rsid w:val="00A107B4"/>
    <w:rsid w:val="00A10920"/>
    <w:rsid w:val="00A10DE6"/>
    <w:rsid w:val="00A1117B"/>
    <w:rsid w:val="00A113B0"/>
    <w:rsid w:val="00A12515"/>
    <w:rsid w:val="00A1257B"/>
    <w:rsid w:val="00A12849"/>
    <w:rsid w:val="00A136C9"/>
    <w:rsid w:val="00A1561B"/>
    <w:rsid w:val="00A15FDB"/>
    <w:rsid w:val="00A16149"/>
    <w:rsid w:val="00A16A24"/>
    <w:rsid w:val="00A178B1"/>
    <w:rsid w:val="00A17EE3"/>
    <w:rsid w:val="00A201C5"/>
    <w:rsid w:val="00A22BF8"/>
    <w:rsid w:val="00A2444D"/>
    <w:rsid w:val="00A24A4B"/>
    <w:rsid w:val="00A25873"/>
    <w:rsid w:val="00A26258"/>
    <w:rsid w:val="00A266D1"/>
    <w:rsid w:val="00A26D8A"/>
    <w:rsid w:val="00A272CF"/>
    <w:rsid w:val="00A306A2"/>
    <w:rsid w:val="00A31B7A"/>
    <w:rsid w:val="00A322D5"/>
    <w:rsid w:val="00A32FDB"/>
    <w:rsid w:val="00A33228"/>
    <w:rsid w:val="00A3458A"/>
    <w:rsid w:val="00A35340"/>
    <w:rsid w:val="00A364DA"/>
    <w:rsid w:val="00A36756"/>
    <w:rsid w:val="00A37C4A"/>
    <w:rsid w:val="00A37E11"/>
    <w:rsid w:val="00A41392"/>
    <w:rsid w:val="00A44457"/>
    <w:rsid w:val="00A44AC1"/>
    <w:rsid w:val="00A4526A"/>
    <w:rsid w:val="00A45678"/>
    <w:rsid w:val="00A462A8"/>
    <w:rsid w:val="00A51A82"/>
    <w:rsid w:val="00A51C5D"/>
    <w:rsid w:val="00A51D08"/>
    <w:rsid w:val="00A51D65"/>
    <w:rsid w:val="00A52D82"/>
    <w:rsid w:val="00A53936"/>
    <w:rsid w:val="00A53B3C"/>
    <w:rsid w:val="00A53BEA"/>
    <w:rsid w:val="00A54388"/>
    <w:rsid w:val="00A5460B"/>
    <w:rsid w:val="00A55EDC"/>
    <w:rsid w:val="00A56350"/>
    <w:rsid w:val="00A566B4"/>
    <w:rsid w:val="00A56D13"/>
    <w:rsid w:val="00A57F9E"/>
    <w:rsid w:val="00A61B93"/>
    <w:rsid w:val="00A624AF"/>
    <w:rsid w:val="00A63153"/>
    <w:rsid w:val="00A63220"/>
    <w:rsid w:val="00A64271"/>
    <w:rsid w:val="00A64BE5"/>
    <w:rsid w:val="00A6783B"/>
    <w:rsid w:val="00A701B8"/>
    <w:rsid w:val="00A707EB"/>
    <w:rsid w:val="00A721DD"/>
    <w:rsid w:val="00A72C33"/>
    <w:rsid w:val="00A72C9D"/>
    <w:rsid w:val="00A733F9"/>
    <w:rsid w:val="00A74411"/>
    <w:rsid w:val="00A746BF"/>
    <w:rsid w:val="00A74EAB"/>
    <w:rsid w:val="00A7730A"/>
    <w:rsid w:val="00A77C89"/>
    <w:rsid w:val="00A77EC4"/>
    <w:rsid w:val="00A8125D"/>
    <w:rsid w:val="00A837F2"/>
    <w:rsid w:val="00A83F6B"/>
    <w:rsid w:val="00A8408C"/>
    <w:rsid w:val="00A8413D"/>
    <w:rsid w:val="00A85278"/>
    <w:rsid w:val="00A85AB7"/>
    <w:rsid w:val="00A86B2B"/>
    <w:rsid w:val="00A906DE"/>
    <w:rsid w:val="00A9262F"/>
    <w:rsid w:val="00A92924"/>
    <w:rsid w:val="00A92990"/>
    <w:rsid w:val="00A94D05"/>
    <w:rsid w:val="00A95E4F"/>
    <w:rsid w:val="00A97112"/>
    <w:rsid w:val="00A972A1"/>
    <w:rsid w:val="00AA0338"/>
    <w:rsid w:val="00AA0446"/>
    <w:rsid w:val="00AA10EB"/>
    <w:rsid w:val="00AA1A34"/>
    <w:rsid w:val="00AA1BF4"/>
    <w:rsid w:val="00AA1D93"/>
    <w:rsid w:val="00AA229F"/>
    <w:rsid w:val="00AA3A98"/>
    <w:rsid w:val="00AA3B9D"/>
    <w:rsid w:val="00AA419A"/>
    <w:rsid w:val="00AA460A"/>
    <w:rsid w:val="00AA5CD3"/>
    <w:rsid w:val="00AA5D2B"/>
    <w:rsid w:val="00AA68BA"/>
    <w:rsid w:val="00AA72BB"/>
    <w:rsid w:val="00AB1C68"/>
    <w:rsid w:val="00AB238A"/>
    <w:rsid w:val="00AB4F1F"/>
    <w:rsid w:val="00AB57CA"/>
    <w:rsid w:val="00AB72D4"/>
    <w:rsid w:val="00AC04CC"/>
    <w:rsid w:val="00AC1003"/>
    <w:rsid w:val="00AC1066"/>
    <w:rsid w:val="00AC1AA0"/>
    <w:rsid w:val="00AC2727"/>
    <w:rsid w:val="00AC2F8B"/>
    <w:rsid w:val="00AC3AE8"/>
    <w:rsid w:val="00AC4A61"/>
    <w:rsid w:val="00AC4FA8"/>
    <w:rsid w:val="00AC5FE0"/>
    <w:rsid w:val="00AC6321"/>
    <w:rsid w:val="00AC7D7E"/>
    <w:rsid w:val="00AD158B"/>
    <w:rsid w:val="00AD1597"/>
    <w:rsid w:val="00AD18ED"/>
    <w:rsid w:val="00AD20D3"/>
    <w:rsid w:val="00AD2504"/>
    <w:rsid w:val="00AD2A64"/>
    <w:rsid w:val="00AD3282"/>
    <w:rsid w:val="00AD32B7"/>
    <w:rsid w:val="00AD71DD"/>
    <w:rsid w:val="00AE00AD"/>
    <w:rsid w:val="00AE1692"/>
    <w:rsid w:val="00AE1C25"/>
    <w:rsid w:val="00AE2F3E"/>
    <w:rsid w:val="00AE4CA4"/>
    <w:rsid w:val="00AE4F3B"/>
    <w:rsid w:val="00AE594B"/>
    <w:rsid w:val="00AE5976"/>
    <w:rsid w:val="00AE6026"/>
    <w:rsid w:val="00AE61D2"/>
    <w:rsid w:val="00AE68E6"/>
    <w:rsid w:val="00AF0068"/>
    <w:rsid w:val="00AF0AEA"/>
    <w:rsid w:val="00AF0F2C"/>
    <w:rsid w:val="00AF20A4"/>
    <w:rsid w:val="00AF4A14"/>
    <w:rsid w:val="00AF5F34"/>
    <w:rsid w:val="00AF62F1"/>
    <w:rsid w:val="00AF71DC"/>
    <w:rsid w:val="00AF7881"/>
    <w:rsid w:val="00B00164"/>
    <w:rsid w:val="00B00A9A"/>
    <w:rsid w:val="00B021B0"/>
    <w:rsid w:val="00B02388"/>
    <w:rsid w:val="00B03CD3"/>
    <w:rsid w:val="00B04447"/>
    <w:rsid w:val="00B045BB"/>
    <w:rsid w:val="00B046C3"/>
    <w:rsid w:val="00B04FB2"/>
    <w:rsid w:val="00B0584B"/>
    <w:rsid w:val="00B0607D"/>
    <w:rsid w:val="00B07C81"/>
    <w:rsid w:val="00B130D8"/>
    <w:rsid w:val="00B13574"/>
    <w:rsid w:val="00B13AB8"/>
    <w:rsid w:val="00B1406E"/>
    <w:rsid w:val="00B15323"/>
    <w:rsid w:val="00B153CB"/>
    <w:rsid w:val="00B16B71"/>
    <w:rsid w:val="00B204D1"/>
    <w:rsid w:val="00B209A6"/>
    <w:rsid w:val="00B2127E"/>
    <w:rsid w:val="00B22F07"/>
    <w:rsid w:val="00B23219"/>
    <w:rsid w:val="00B23A54"/>
    <w:rsid w:val="00B27FA5"/>
    <w:rsid w:val="00B306CE"/>
    <w:rsid w:val="00B307DE"/>
    <w:rsid w:val="00B31345"/>
    <w:rsid w:val="00B32C5B"/>
    <w:rsid w:val="00B32D9E"/>
    <w:rsid w:val="00B3300D"/>
    <w:rsid w:val="00B330B4"/>
    <w:rsid w:val="00B33C14"/>
    <w:rsid w:val="00B33EBA"/>
    <w:rsid w:val="00B34FCB"/>
    <w:rsid w:val="00B363F3"/>
    <w:rsid w:val="00B37DBF"/>
    <w:rsid w:val="00B4134C"/>
    <w:rsid w:val="00B41840"/>
    <w:rsid w:val="00B42EEA"/>
    <w:rsid w:val="00B45ABE"/>
    <w:rsid w:val="00B4621F"/>
    <w:rsid w:val="00B46263"/>
    <w:rsid w:val="00B46451"/>
    <w:rsid w:val="00B475B3"/>
    <w:rsid w:val="00B5083E"/>
    <w:rsid w:val="00B512DB"/>
    <w:rsid w:val="00B51949"/>
    <w:rsid w:val="00B51F72"/>
    <w:rsid w:val="00B527FD"/>
    <w:rsid w:val="00B53638"/>
    <w:rsid w:val="00B53B4D"/>
    <w:rsid w:val="00B541F6"/>
    <w:rsid w:val="00B56C92"/>
    <w:rsid w:val="00B570B2"/>
    <w:rsid w:val="00B60738"/>
    <w:rsid w:val="00B61631"/>
    <w:rsid w:val="00B6193B"/>
    <w:rsid w:val="00B62BE8"/>
    <w:rsid w:val="00B63D09"/>
    <w:rsid w:val="00B65968"/>
    <w:rsid w:val="00B65CBE"/>
    <w:rsid w:val="00B66470"/>
    <w:rsid w:val="00B672E6"/>
    <w:rsid w:val="00B70004"/>
    <w:rsid w:val="00B703C7"/>
    <w:rsid w:val="00B706DB"/>
    <w:rsid w:val="00B71350"/>
    <w:rsid w:val="00B71F49"/>
    <w:rsid w:val="00B7219B"/>
    <w:rsid w:val="00B72DBF"/>
    <w:rsid w:val="00B72F80"/>
    <w:rsid w:val="00B731EE"/>
    <w:rsid w:val="00B73354"/>
    <w:rsid w:val="00B741BF"/>
    <w:rsid w:val="00B745E7"/>
    <w:rsid w:val="00B74F70"/>
    <w:rsid w:val="00B74FBE"/>
    <w:rsid w:val="00B75122"/>
    <w:rsid w:val="00B755AA"/>
    <w:rsid w:val="00B766C7"/>
    <w:rsid w:val="00B80B2F"/>
    <w:rsid w:val="00B80D2D"/>
    <w:rsid w:val="00B81976"/>
    <w:rsid w:val="00B8220C"/>
    <w:rsid w:val="00B84219"/>
    <w:rsid w:val="00B8669C"/>
    <w:rsid w:val="00B90A3A"/>
    <w:rsid w:val="00B90F17"/>
    <w:rsid w:val="00B91381"/>
    <w:rsid w:val="00B92C6B"/>
    <w:rsid w:val="00B93941"/>
    <w:rsid w:val="00B93AD4"/>
    <w:rsid w:val="00B93D37"/>
    <w:rsid w:val="00B94B90"/>
    <w:rsid w:val="00B94CA3"/>
    <w:rsid w:val="00B96F11"/>
    <w:rsid w:val="00B973B2"/>
    <w:rsid w:val="00B9781E"/>
    <w:rsid w:val="00BA0819"/>
    <w:rsid w:val="00BA1B2B"/>
    <w:rsid w:val="00BA2B93"/>
    <w:rsid w:val="00BA37CA"/>
    <w:rsid w:val="00BA3917"/>
    <w:rsid w:val="00BA58BE"/>
    <w:rsid w:val="00BA671E"/>
    <w:rsid w:val="00BA6DCF"/>
    <w:rsid w:val="00BA74FE"/>
    <w:rsid w:val="00BA757F"/>
    <w:rsid w:val="00BA7F9A"/>
    <w:rsid w:val="00BB0B8F"/>
    <w:rsid w:val="00BB1040"/>
    <w:rsid w:val="00BB42CB"/>
    <w:rsid w:val="00BB4B4A"/>
    <w:rsid w:val="00BB5821"/>
    <w:rsid w:val="00BB6487"/>
    <w:rsid w:val="00BB7636"/>
    <w:rsid w:val="00BB7C66"/>
    <w:rsid w:val="00BC08F2"/>
    <w:rsid w:val="00BC0A0C"/>
    <w:rsid w:val="00BC262E"/>
    <w:rsid w:val="00BC27B7"/>
    <w:rsid w:val="00BC34C9"/>
    <w:rsid w:val="00BC355A"/>
    <w:rsid w:val="00BC406B"/>
    <w:rsid w:val="00BC57E0"/>
    <w:rsid w:val="00BC6C30"/>
    <w:rsid w:val="00BC6C3C"/>
    <w:rsid w:val="00BC70F6"/>
    <w:rsid w:val="00BD1641"/>
    <w:rsid w:val="00BD1A27"/>
    <w:rsid w:val="00BD1B24"/>
    <w:rsid w:val="00BD2931"/>
    <w:rsid w:val="00BD2ACC"/>
    <w:rsid w:val="00BD3924"/>
    <w:rsid w:val="00BD396B"/>
    <w:rsid w:val="00BD4060"/>
    <w:rsid w:val="00BD4349"/>
    <w:rsid w:val="00BD462E"/>
    <w:rsid w:val="00BD6FFE"/>
    <w:rsid w:val="00BE0468"/>
    <w:rsid w:val="00BE17D1"/>
    <w:rsid w:val="00BE2049"/>
    <w:rsid w:val="00BE26DA"/>
    <w:rsid w:val="00BE326B"/>
    <w:rsid w:val="00BE3438"/>
    <w:rsid w:val="00BE3804"/>
    <w:rsid w:val="00BE38DD"/>
    <w:rsid w:val="00BE424E"/>
    <w:rsid w:val="00BE4654"/>
    <w:rsid w:val="00BE511B"/>
    <w:rsid w:val="00BE52EC"/>
    <w:rsid w:val="00BE56D7"/>
    <w:rsid w:val="00BE5999"/>
    <w:rsid w:val="00BE70EC"/>
    <w:rsid w:val="00BF048C"/>
    <w:rsid w:val="00BF14CF"/>
    <w:rsid w:val="00BF14DD"/>
    <w:rsid w:val="00BF17F2"/>
    <w:rsid w:val="00BF1810"/>
    <w:rsid w:val="00BF3695"/>
    <w:rsid w:val="00BF3AD4"/>
    <w:rsid w:val="00BF410E"/>
    <w:rsid w:val="00BF4224"/>
    <w:rsid w:val="00BF4352"/>
    <w:rsid w:val="00BF4808"/>
    <w:rsid w:val="00BF4DC0"/>
    <w:rsid w:val="00BF5011"/>
    <w:rsid w:val="00BF7361"/>
    <w:rsid w:val="00C00301"/>
    <w:rsid w:val="00C0068F"/>
    <w:rsid w:val="00C00EB2"/>
    <w:rsid w:val="00C00F63"/>
    <w:rsid w:val="00C015C0"/>
    <w:rsid w:val="00C01E5B"/>
    <w:rsid w:val="00C023CF"/>
    <w:rsid w:val="00C02FBD"/>
    <w:rsid w:val="00C02FF0"/>
    <w:rsid w:val="00C0481E"/>
    <w:rsid w:val="00C04C13"/>
    <w:rsid w:val="00C058AC"/>
    <w:rsid w:val="00C05EDE"/>
    <w:rsid w:val="00C0693C"/>
    <w:rsid w:val="00C06BD9"/>
    <w:rsid w:val="00C10A01"/>
    <w:rsid w:val="00C11670"/>
    <w:rsid w:val="00C11B6F"/>
    <w:rsid w:val="00C12280"/>
    <w:rsid w:val="00C138EE"/>
    <w:rsid w:val="00C13A30"/>
    <w:rsid w:val="00C1433F"/>
    <w:rsid w:val="00C14421"/>
    <w:rsid w:val="00C171CC"/>
    <w:rsid w:val="00C17C64"/>
    <w:rsid w:val="00C200FF"/>
    <w:rsid w:val="00C20E8C"/>
    <w:rsid w:val="00C21D1E"/>
    <w:rsid w:val="00C226EF"/>
    <w:rsid w:val="00C2292F"/>
    <w:rsid w:val="00C22EC3"/>
    <w:rsid w:val="00C266DC"/>
    <w:rsid w:val="00C26703"/>
    <w:rsid w:val="00C26736"/>
    <w:rsid w:val="00C304CA"/>
    <w:rsid w:val="00C30F75"/>
    <w:rsid w:val="00C3101D"/>
    <w:rsid w:val="00C31A09"/>
    <w:rsid w:val="00C340A8"/>
    <w:rsid w:val="00C34E2B"/>
    <w:rsid w:val="00C35C66"/>
    <w:rsid w:val="00C35E49"/>
    <w:rsid w:val="00C35E4E"/>
    <w:rsid w:val="00C360FA"/>
    <w:rsid w:val="00C367C2"/>
    <w:rsid w:val="00C36ECB"/>
    <w:rsid w:val="00C37578"/>
    <w:rsid w:val="00C37E29"/>
    <w:rsid w:val="00C41D74"/>
    <w:rsid w:val="00C426C3"/>
    <w:rsid w:val="00C448B0"/>
    <w:rsid w:val="00C44FBB"/>
    <w:rsid w:val="00C45E0E"/>
    <w:rsid w:val="00C5007D"/>
    <w:rsid w:val="00C50147"/>
    <w:rsid w:val="00C50CEC"/>
    <w:rsid w:val="00C528DA"/>
    <w:rsid w:val="00C52B11"/>
    <w:rsid w:val="00C53198"/>
    <w:rsid w:val="00C531F6"/>
    <w:rsid w:val="00C5367F"/>
    <w:rsid w:val="00C53695"/>
    <w:rsid w:val="00C54BC8"/>
    <w:rsid w:val="00C54EA2"/>
    <w:rsid w:val="00C55C60"/>
    <w:rsid w:val="00C56F8D"/>
    <w:rsid w:val="00C5714A"/>
    <w:rsid w:val="00C57A06"/>
    <w:rsid w:val="00C601BB"/>
    <w:rsid w:val="00C605E7"/>
    <w:rsid w:val="00C607AF"/>
    <w:rsid w:val="00C60806"/>
    <w:rsid w:val="00C608CC"/>
    <w:rsid w:val="00C609B2"/>
    <w:rsid w:val="00C61065"/>
    <w:rsid w:val="00C612AB"/>
    <w:rsid w:val="00C612F5"/>
    <w:rsid w:val="00C621CB"/>
    <w:rsid w:val="00C636D5"/>
    <w:rsid w:val="00C63CF3"/>
    <w:rsid w:val="00C659BD"/>
    <w:rsid w:val="00C67E60"/>
    <w:rsid w:val="00C70D38"/>
    <w:rsid w:val="00C71FD2"/>
    <w:rsid w:val="00C72149"/>
    <w:rsid w:val="00C72618"/>
    <w:rsid w:val="00C7269F"/>
    <w:rsid w:val="00C73D7D"/>
    <w:rsid w:val="00C741F6"/>
    <w:rsid w:val="00C75FCC"/>
    <w:rsid w:val="00C76303"/>
    <w:rsid w:val="00C77C19"/>
    <w:rsid w:val="00C8112C"/>
    <w:rsid w:val="00C82226"/>
    <w:rsid w:val="00C82891"/>
    <w:rsid w:val="00C83104"/>
    <w:rsid w:val="00C83519"/>
    <w:rsid w:val="00C836F8"/>
    <w:rsid w:val="00C8437C"/>
    <w:rsid w:val="00C84705"/>
    <w:rsid w:val="00C8488E"/>
    <w:rsid w:val="00C85BF5"/>
    <w:rsid w:val="00C861D9"/>
    <w:rsid w:val="00C9015E"/>
    <w:rsid w:val="00C9035E"/>
    <w:rsid w:val="00C9042A"/>
    <w:rsid w:val="00C91730"/>
    <w:rsid w:val="00C921F1"/>
    <w:rsid w:val="00C9288A"/>
    <w:rsid w:val="00C92B15"/>
    <w:rsid w:val="00C94596"/>
    <w:rsid w:val="00C9470B"/>
    <w:rsid w:val="00C94A05"/>
    <w:rsid w:val="00C951FC"/>
    <w:rsid w:val="00C96582"/>
    <w:rsid w:val="00C97A33"/>
    <w:rsid w:val="00CA095D"/>
    <w:rsid w:val="00CA0DA9"/>
    <w:rsid w:val="00CA267F"/>
    <w:rsid w:val="00CA3543"/>
    <w:rsid w:val="00CA454B"/>
    <w:rsid w:val="00CA5166"/>
    <w:rsid w:val="00CA541C"/>
    <w:rsid w:val="00CA5715"/>
    <w:rsid w:val="00CA60B9"/>
    <w:rsid w:val="00CA6C91"/>
    <w:rsid w:val="00CA6EF7"/>
    <w:rsid w:val="00CB09D1"/>
    <w:rsid w:val="00CB1AFF"/>
    <w:rsid w:val="00CB1B0C"/>
    <w:rsid w:val="00CB47D8"/>
    <w:rsid w:val="00CB4F92"/>
    <w:rsid w:val="00CB5DD0"/>
    <w:rsid w:val="00CB5EA2"/>
    <w:rsid w:val="00CB7092"/>
    <w:rsid w:val="00CB7B85"/>
    <w:rsid w:val="00CC17E9"/>
    <w:rsid w:val="00CC1D78"/>
    <w:rsid w:val="00CC4242"/>
    <w:rsid w:val="00CC42BA"/>
    <w:rsid w:val="00CC5256"/>
    <w:rsid w:val="00CC55A0"/>
    <w:rsid w:val="00CC68BF"/>
    <w:rsid w:val="00CD115B"/>
    <w:rsid w:val="00CD16F7"/>
    <w:rsid w:val="00CD315E"/>
    <w:rsid w:val="00CD3510"/>
    <w:rsid w:val="00CD354F"/>
    <w:rsid w:val="00CD492E"/>
    <w:rsid w:val="00CD53BB"/>
    <w:rsid w:val="00CD59D9"/>
    <w:rsid w:val="00CD5CD7"/>
    <w:rsid w:val="00CD6955"/>
    <w:rsid w:val="00CE03AE"/>
    <w:rsid w:val="00CE1D6D"/>
    <w:rsid w:val="00CE31E9"/>
    <w:rsid w:val="00CE3C62"/>
    <w:rsid w:val="00CE61A5"/>
    <w:rsid w:val="00CE6691"/>
    <w:rsid w:val="00CE671D"/>
    <w:rsid w:val="00CE7136"/>
    <w:rsid w:val="00CE765D"/>
    <w:rsid w:val="00CE7CC9"/>
    <w:rsid w:val="00CF0D2E"/>
    <w:rsid w:val="00CF204A"/>
    <w:rsid w:val="00CF320E"/>
    <w:rsid w:val="00CF6A59"/>
    <w:rsid w:val="00D00DE3"/>
    <w:rsid w:val="00D02690"/>
    <w:rsid w:val="00D02D88"/>
    <w:rsid w:val="00D04183"/>
    <w:rsid w:val="00D05330"/>
    <w:rsid w:val="00D0569D"/>
    <w:rsid w:val="00D0659D"/>
    <w:rsid w:val="00D066D6"/>
    <w:rsid w:val="00D06728"/>
    <w:rsid w:val="00D06D61"/>
    <w:rsid w:val="00D077C1"/>
    <w:rsid w:val="00D07D35"/>
    <w:rsid w:val="00D105B4"/>
    <w:rsid w:val="00D107FA"/>
    <w:rsid w:val="00D10D68"/>
    <w:rsid w:val="00D11EFF"/>
    <w:rsid w:val="00D131BB"/>
    <w:rsid w:val="00D15322"/>
    <w:rsid w:val="00D15C19"/>
    <w:rsid w:val="00D1609C"/>
    <w:rsid w:val="00D168E6"/>
    <w:rsid w:val="00D16DE3"/>
    <w:rsid w:val="00D17057"/>
    <w:rsid w:val="00D23CB7"/>
    <w:rsid w:val="00D23D5B"/>
    <w:rsid w:val="00D24C7F"/>
    <w:rsid w:val="00D2576D"/>
    <w:rsid w:val="00D25BEB"/>
    <w:rsid w:val="00D300EC"/>
    <w:rsid w:val="00D302A6"/>
    <w:rsid w:val="00D3070F"/>
    <w:rsid w:val="00D314E5"/>
    <w:rsid w:val="00D31E9D"/>
    <w:rsid w:val="00D333EB"/>
    <w:rsid w:val="00D33534"/>
    <w:rsid w:val="00D33F21"/>
    <w:rsid w:val="00D342B5"/>
    <w:rsid w:val="00D34660"/>
    <w:rsid w:val="00D34AAD"/>
    <w:rsid w:val="00D364CB"/>
    <w:rsid w:val="00D3698C"/>
    <w:rsid w:val="00D36DD3"/>
    <w:rsid w:val="00D36EE1"/>
    <w:rsid w:val="00D37B37"/>
    <w:rsid w:val="00D41120"/>
    <w:rsid w:val="00D418C1"/>
    <w:rsid w:val="00D41B2D"/>
    <w:rsid w:val="00D42941"/>
    <w:rsid w:val="00D4395F"/>
    <w:rsid w:val="00D43C04"/>
    <w:rsid w:val="00D440A4"/>
    <w:rsid w:val="00D44473"/>
    <w:rsid w:val="00D44F98"/>
    <w:rsid w:val="00D452A5"/>
    <w:rsid w:val="00D45BCE"/>
    <w:rsid w:val="00D46088"/>
    <w:rsid w:val="00D4653B"/>
    <w:rsid w:val="00D471FC"/>
    <w:rsid w:val="00D47A00"/>
    <w:rsid w:val="00D5121E"/>
    <w:rsid w:val="00D5160A"/>
    <w:rsid w:val="00D52059"/>
    <w:rsid w:val="00D521FC"/>
    <w:rsid w:val="00D564BA"/>
    <w:rsid w:val="00D60039"/>
    <w:rsid w:val="00D60130"/>
    <w:rsid w:val="00D60C69"/>
    <w:rsid w:val="00D60D60"/>
    <w:rsid w:val="00D61544"/>
    <w:rsid w:val="00D62036"/>
    <w:rsid w:val="00D6390F"/>
    <w:rsid w:val="00D63B97"/>
    <w:rsid w:val="00D63E4B"/>
    <w:rsid w:val="00D6590B"/>
    <w:rsid w:val="00D65C90"/>
    <w:rsid w:val="00D66301"/>
    <w:rsid w:val="00D6690E"/>
    <w:rsid w:val="00D66D45"/>
    <w:rsid w:val="00D67A4A"/>
    <w:rsid w:val="00D67F21"/>
    <w:rsid w:val="00D713CC"/>
    <w:rsid w:val="00D71B60"/>
    <w:rsid w:val="00D72BB5"/>
    <w:rsid w:val="00D739EA"/>
    <w:rsid w:val="00D73E08"/>
    <w:rsid w:val="00D73F74"/>
    <w:rsid w:val="00D76759"/>
    <w:rsid w:val="00D800E7"/>
    <w:rsid w:val="00D8056E"/>
    <w:rsid w:val="00D81AB3"/>
    <w:rsid w:val="00D829D7"/>
    <w:rsid w:val="00D8423A"/>
    <w:rsid w:val="00D84368"/>
    <w:rsid w:val="00D84E30"/>
    <w:rsid w:val="00D857E3"/>
    <w:rsid w:val="00D86E2B"/>
    <w:rsid w:val="00D9001B"/>
    <w:rsid w:val="00D91B1B"/>
    <w:rsid w:val="00D9213A"/>
    <w:rsid w:val="00D92F16"/>
    <w:rsid w:val="00D9400F"/>
    <w:rsid w:val="00D95ACE"/>
    <w:rsid w:val="00D96023"/>
    <w:rsid w:val="00DA2AFD"/>
    <w:rsid w:val="00DA34D5"/>
    <w:rsid w:val="00DA39EC"/>
    <w:rsid w:val="00DA4E75"/>
    <w:rsid w:val="00DA6307"/>
    <w:rsid w:val="00DA716F"/>
    <w:rsid w:val="00DA734C"/>
    <w:rsid w:val="00DB0F16"/>
    <w:rsid w:val="00DB0F36"/>
    <w:rsid w:val="00DB20AA"/>
    <w:rsid w:val="00DB2B49"/>
    <w:rsid w:val="00DB2F0F"/>
    <w:rsid w:val="00DB3C27"/>
    <w:rsid w:val="00DB412D"/>
    <w:rsid w:val="00DB41CD"/>
    <w:rsid w:val="00DB46E7"/>
    <w:rsid w:val="00DB51C3"/>
    <w:rsid w:val="00DB6ED6"/>
    <w:rsid w:val="00DB7598"/>
    <w:rsid w:val="00DB7663"/>
    <w:rsid w:val="00DC00D4"/>
    <w:rsid w:val="00DC0434"/>
    <w:rsid w:val="00DC0963"/>
    <w:rsid w:val="00DC099C"/>
    <w:rsid w:val="00DC0F44"/>
    <w:rsid w:val="00DC14B1"/>
    <w:rsid w:val="00DC249F"/>
    <w:rsid w:val="00DC2770"/>
    <w:rsid w:val="00DC3B8B"/>
    <w:rsid w:val="00DC3BA8"/>
    <w:rsid w:val="00DC3D2A"/>
    <w:rsid w:val="00DC4045"/>
    <w:rsid w:val="00DC488D"/>
    <w:rsid w:val="00DC630E"/>
    <w:rsid w:val="00DC7111"/>
    <w:rsid w:val="00DC71EB"/>
    <w:rsid w:val="00DC7C16"/>
    <w:rsid w:val="00DC7D18"/>
    <w:rsid w:val="00DD044C"/>
    <w:rsid w:val="00DD1AB5"/>
    <w:rsid w:val="00DD24E0"/>
    <w:rsid w:val="00DD2764"/>
    <w:rsid w:val="00DD2C54"/>
    <w:rsid w:val="00DD30C4"/>
    <w:rsid w:val="00DD4776"/>
    <w:rsid w:val="00DD5C96"/>
    <w:rsid w:val="00DD7697"/>
    <w:rsid w:val="00DD7A68"/>
    <w:rsid w:val="00DE07C7"/>
    <w:rsid w:val="00DE0844"/>
    <w:rsid w:val="00DE3060"/>
    <w:rsid w:val="00DE3E90"/>
    <w:rsid w:val="00DE45B1"/>
    <w:rsid w:val="00DE5255"/>
    <w:rsid w:val="00DE5762"/>
    <w:rsid w:val="00DE65E1"/>
    <w:rsid w:val="00DE7A6A"/>
    <w:rsid w:val="00DE7C29"/>
    <w:rsid w:val="00DF0460"/>
    <w:rsid w:val="00DF178C"/>
    <w:rsid w:val="00DF1CF9"/>
    <w:rsid w:val="00DF1F42"/>
    <w:rsid w:val="00DF1FA5"/>
    <w:rsid w:val="00DF3276"/>
    <w:rsid w:val="00DF4BB1"/>
    <w:rsid w:val="00DF51E0"/>
    <w:rsid w:val="00DF61AE"/>
    <w:rsid w:val="00E00C31"/>
    <w:rsid w:val="00E0114B"/>
    <w:rsid w:val="00E0284F"/>
    <w:rsid w:val="00E03D36"/>
    <w:rsid w:val="00E05874"/>
    <w:rsid w:val="00E061CC"/>
    <w:rsid w:val="00E10053"/>
    <w:rsid w:val="00E131B9"/>
    <w:rsid w:val="00E14914"/>
    <w:rsid w:val="00E1491E"/>
    <w:rsid w:val="00E14A7E"/>
    <w:rsid w:val="00E14E02"/>
    <w:rsid w:val="00E1525D"/>
    <w:rsid w:val="00E15549"/>
    <w:rsid w:val="00E15D35"/>
    <w:rsid w:val="00E16772"/>
    <w:rsid w:val="00E168D1"/>
    <w:rsid w:val="00E16968"/>
    <w:rsid w:val="00E16BEB"/>
    <w:rsid w:val="00E16D7D"/>
    <w:rsid w:val="00E16FE2"/>
    <w:rsid w:val="00E1738C"/>
    <w:rsid w:val="00E20136"/>
    <w:rsid w:val="00E20922"/>
    <w:rsid w:val="00E20CDE"/>
    <w:rsid w:val="00E21A7C"/>
    <w:rsid w:val="00E22229"/>
    <w:rsid w:val="00E222EA"/>
    <w:rsid w:val="00E223F4"/>
    <w:rsid w:val="00E2380B"/>
    <w:rsid w:val="00E2389C"/>
    <w:rsid w:val="00E24840"/>
    <w:rsid w:val="00E248AA"/>
    <w:rsid w:val="00E25084"/>
    <w:rsid w:val="00E252FB"/>
    <w:rsid w:val="00E25365"/>
    <w:rsid w:val="00E25B00"/>
    <w:rsid w:val="00E272D0"/>
    <w:rsid w:val="00E2775A"/>
    <w:rsid w:val="00E314B1"/>
    <w:rsid w:val="00E32209"/>
    <w:rsid w:val="00E32C12"/>
    <w:rsid w:val="00E34405"/>
    <w:rsid w:val="00E34DEB"/>
    <w:rsid w:val="00E35A2A"/>
    <w:rsid w:val="00E35E0B"/>
    <w:rsid w:val="00E36601"/>
    <w:rsid w:val="00E36D57"/>
    <w:rsid w:val="00E37790"/>
    <w:rsid w:val="00E4113D"/>
    <w:rsid w:val="00E41229"/>
    <w:rsid w:val="00E414C7"/>
    <w:rsid w:val="00E41ECD"/>
    <w:rsid w:val="00E425CD"/>
    <w:rsid w:val="00E4351B"/>
    <w:rsid w:val="00E43D02"/>
    <w:rsid w:val="00E4412F"/>
    <w:rsid w:val="00E455AB"/>
    <w:rsid w:val="00E458FC"/>
    <w:rsid w:val="00E469C6"/>
    <w:rsid w:val="00E4708C"/>
    <w:rsid w:val="00E50042"/>
    <w:rsid w:val="00E523A0"/>
    <w:rsid w:val="00E526CF"/>
    <w:rsid w:val="00E534DE"/>
    <w:rsid w:val="00E53551"/>
    <w:rsid w:val="00E54899"/>
    <w:rsid w:val="00E54B5B"/>
    <w:rsid w:val="00E55AC8"/>
    <w:rsid w:val="00E563A0"/>
    <w:rsid w:val="00E567E1"/>
    <w:rsid w:val="00E57431"/>
    <w:rsid w:val="00E602D4"/>
    <w:rsid w:val="00E604E3"/>
    <w:rsid w:val="00E6077A"/>
    <w:rsid w:val="00E6273F"/>
    <w:rsid w:val="00E66683"/>
    <w:rsid w:val="00E66D84"/>
    <w:rsid w:val="00E67FEB"/>
    <w:rsid w:val="00E717B3"/>
    <w:rsid w:val="00E73243"/>
    <w:rsid w:val="00E75038"/>
    <w:rsid w:val="00E751D6"/>
    <w:rsid w:val="00E75F87"/>
    <w:rsid w:val="00E8672F"/>
    <w:rsid w:val="00E87A84"/>
    <w:rsid w:val="00E91E91"/>
    <w:rsid w:val="00E9275A"/>
    <w:rsid w:val="00E93095"/>
    <w:rsid w:val="00E93D4E"/>
    <w:rsid w:val="00E94248"/>
    <w:rsid w:val="00E9459C"/>
    <w:rsid w:val="00E95B38"/>
    <w:rsid w:val="00E96CC8"/>
    <w:rsid w:val="00EA003D"/>
    <w:rsid w:val="00EA0C16"/>
    <w:rsid w:val="00EA3F03"/>
    <w:rsid w:val="00EA4E80"/>
    <w:rsid w:val="00EA51F0"/>
    <w:rsid w:val="00EA5378"/>
    <w:rsid w:val="00EA61EE"/>
    <w:rsid w:val="00EA71D3"/>
    <w:rsid w:val="00EB1505"/>
    <w:rsid w:val="00EB1CC8"/>
    <w:rsid w:val="00EB1DAD"/>
    <w:rsid w:val="00EB2830"/>
    <w:rsid w:val="00EB42EB"/>
    <w:rsid w:val="00EB60D2"/>
    <w:rsid w:val="00EB64DC"/>
    <w:rsid w:val="00EB6716"/>
    <w:rsid w:val="00EB6DFC"/>
    <w:rsid w:val="00EB6FCE"/>
    <w:rsid w:val="00EC0476"/>
    <w:rsid w:val="00EC07CA"/>
    <w:rsid w:val="00EC0B3B"/>
    <w:rsid w:val="00EC0CEB"/>
    <w:rsid w:val="00EC1418"/>
    <w:rsid w:val="00EC39D5"/>
    <w:rsid w:val="00EC3C1D"/>
    <w:rsid w:val="00EC5E61"/>
    <w:rsid w:val="00ED0143"/>
    <w:rsid w:val="00ED10D4"/>
    <w:rsid w:val="00ED176B"/>
    <w:rsid w:val="00ED1C7E"/>
    <w:rsid w:val="00ED23A8"/>
    <w:rsid w:val="00ED2552"/>
    <w:rsid w:val="00ED3324"/>
    <w:rsid w:val="00ED3B5C"/>
    <w:rsid w:val="00ED4D32"/>
    <w:rsid w:val="00ED5015"/>
    <w:rsid w:val="00ED610C"/>
    <w:rsid w:val="00ED63CF"/>
    <w:rsid w:val="00ED6ACF"/>
    <w:rsid w:val="00EE1CEF"/>
    <w:rsid w:val="00EE1E05"/>
    <w:rsid w:val="00EE2EBF"/>
    <w:rsid w:val="00EE335B"/>
    <w:rsid w:val="00EE40B4"/>
    <w:rsid w:val="00EE469E"/>
    <w:rsid w:val="00EE511B"/>
    <w:rsid w:val="00EF01EB"/>
    <w:rsid w:val="00EF0FE0"/>
    <w:rsid w:val="00EF1D94"/>
    <w:rsid w:val="00EF2B03"/>
    <w:rsid w:val="00EF38A5"/>
    <w:rsid w:val="00EF3A41"/>
    <w:rsid w:val="00EF42FC"/>
    <w:rsid w:val="00EF5338"/>
    <w:rsid w:val="00EF61E4"/>
    <w:rsid w:val="00EF651F"/>
    <w:rsid w:val="00EF727F"/>
    <w:rsid w:val="00EF74AF"/>
    <w:rsid w:val="00EF7BC1"/>
    <w:rsid w:val="00F000C6"/>
    <w:rsid w:val="00F011B5"/>
    <w:rsid w:val="00F025BE"/>
    <w:rsid w:val="00F0281D"/>
    <w:rsid w:val="00F02AD3"/>
    <w:rsid w:val="00F03D7C"/>
    <w:rsid w:val="00F03FFA"/>
    <w:rsid w:val="00F0434D"/>
    <w:rsid w:val="00F045B4"/>
    <w:rsid w:val="00F04A99"/>
    <w:rsid w:val="00F0604F"/>
    <w:rsid w:val="00F068EF"/>
    <w:rsid w:val="00F0787C"/>
    <w:rsid w:val="00F1052F"/>
    <w:rsid w:val="00F1259C"/>
    <w:rsid w:val="00F12864"/>
    <w:rsid w:val="00F136FC"/>
    <w:rsid w:val="00F14DC4"/>
    <w:rsid w:val="00F15574"/>
    <w:rsid w:val="00F17DC5"/>
    <w:rsid w:val="00F2015D"/>
    <w:rsid w:val="00F20448"/>
    <w:rsid w:val="00F20577"/>
    <w:rsid w:val="00F20D1B"/>
    <w:rsid w:val="00F21029"/>
    <w:rsid w:val="00F21EE4"/>
    <w:rsid w:val="00F226A8"/>
    <w:rsid w:val="00F22AC5"/>
    <w:rsid w:val="00F24C28"/>
    <w:rsid w:val="00F24CB8"/>
    <w:rsid w:val="00F256E7"/>
    <w:rsid w:val="00F2575C"/>
    <w:rsid w:val="00F262AF"/>
    <w:rsid w:val="00F273E7"/>
    <w:rsid w:val="00F27D0A"/>
    <w:rsid w:val="00F305CC"/>
    <w:rsid w:val="00F314E6"/>
    <w:rsid w:val="00F32432"/>
    <w:rsid w:val="00F3259A"/>
    <w:rsid w:val="00F3260B"/>
    <w:rsid w:val="00F33347"/>
    <w:rsid w:val="00F34B93"/>
    <w:rsid w:val="00F35012"/>
    <w:rsid w:val="00F3764F"/>
    <w:rsid w:val="00F377B5"/>
    <w:rsid w:val="00F3788F"/>
    <w:rsid w:val="00F37B1E"/>
    <w:rsid w:val="00F37BB4"/>
    <w:rsid w:val="00F37D4B"/>
    <w:rsid w:val="00F40CAF"/>
    <w:rsid w:val="00F429D8"/>
    <w:rsid w:val="00F436BF"/>
    <w:rsid w:val="00F439AB"/>
    <w:rsid w:val="00F455EC"/>
    <w:rsid w:val="00F466DD"/>
    <w:rsid w:val="00F46FE8"/>
    <w:rsid w:val="00F500ED"/>
    <w:rsid w:val="00F509A9"/>
    <w:rsid w:val="00F50C90"/>
    <w:rsid w:val="00F50CCD"/>
    <w:rsid w:val="00F50F51"/>
    <w:rsid w:val="00F51621"/>
    <w:rsid w:val="00F529CA"/>
    <w:rsid w:val="00F52F5E"/>
    <w:rsid w:val="00F53570"/>
    <w:rsid w:val="00F5407D"/>
    <w:rsid w:val="00F54268"/>
    <w:rsid w:val="00F542BC"/>
    <w:rsid w:val="00F549E9"/>
    <w:rsid w:val="00F54DB2"/>
    <w:rsid w:val="00F552CC"/>
    <w:rsid w:val="00F5580C"/>
    <w:rsid w:val="00F564E9"/>
    <w:rsid w:val="00F614C7"/>
    <w:rsid w:val="00F617A8"/>
    <w:rsid w:val="00F620C3"/>
    <w:rsid w:val="00F6350B"/>
    <w:rsid w:val="00F640FF"/>
    <w:rsid w:val="00F651C2"/>
    <w:rsid w:val="00F66CA7"/>
    <w:rsid w:val="00F70246"/>
    <w:rsid w:val="00F703EB"/>
    <w:rsid w:val="00F70773"/>
    <w:rsid w:val="00F715D1"/>
    <w:rsid w:val="00F71A4A"/>
    <w:rsid w:val="00F72468"/>
    <w:rsid w:val="00F72B55"/>
    <w:rsid w:val="00F73BC1"/>
    <w:rsid w:val="00F75F9C"/>
    <w:rsid w:val="00F8045F"/>
    <w:rsid w:val="00F808EE"/>
    <w:rsid w:val="00F808FB"/>
    <w:rsid w:val="00F83BD8"/>
    <w:rsid w:val="00F84C13"/>
    <w:rsid w:val="00F85E9A"/>
    <w:rsid w:val="00F86BC3"/>
    <w:rsid w:val="00F86FA1"/>
    <w:rsid w:val="00F8713A"/>
    <w:rsid w:val="00F87992"/>
    <w:rsid w:val="00F87C9E"/>
    <w:rsid w:val="00F90499"/>
    <w:rsid w:val="00F90769"/>
    <w:rsid w:val="00F9104E"/>
    <w:rsid w:val="00F92748"/>
    <w:rsid w:val="00F93029"/>
    <w:rsid w:val="00F94434"/>
    <w:rsid w:val="00F9457F"/>
    <w:rsid w:val="00F947E0"/>
    <w:rsid w:val="00F952F5"/>
    <w:rsid w:val="00F95D17"/>
    <w:rsid w:val="00F95E70"/>
    <w:rsid w:val="00F95EF8"/>
    <w:rsid w:val="00F96307"/>
    <w:rsid w:val="00F96600"/>
    <w:rsid w:val="00F96A71"/>
    <w:rsid w:val="00F9746D"/>
    <w:rsid w:val="00F975E5"/>
    <w:rsid w:val="00F97AC6"/>
    <w:rsid w:val="00FA00A3"/>
    <w:rsid w:val="00FA1195"/>
    <w:rsid w:val="00FA175F"/>
    <w:rsid w:val="00FA1DBD"/>
    <w:rsid w:val="00FA29F4"/>
    <w:rsid w:val="00FA2ABE"/>
    <w:rsid w:val="00FA391E"/>
    <w:rsid w:val="00FA3A72"/>
    <w:rsid w:val="00FA4E1E"/>
    <w:rsid w:val="00FA5155"/>
    <w:rsid w:val="00FA562A"/>
    <w:rsid w:val="00FA6578"/>
    <w:rsid w:val="00FA68CA"/>
    <w:rsid w:val="00FA6E6F"/>
    <w:rsid w:val="00FA76C3"/>
    <w:rsid w:val="00FA7FA9"/>
    <w:rsid w:val="00FB02DD"/>
    <w:rsid w:val="00FB0F8B"/>
    <w:rsid w:val="00FB1767"/>
    <w:rsid w:val="00FB3022"/>
    <w:rsid w:val="00FB3898"/>
    <w:rsid w:val="00FB4EA8"/>
    <w:rsid w:val="00FB57C3"/>
    <w:rsid w:val="00FB5B37"/>
    <w:rsid w:val="00FB5E70"/>
    <w:rsid w:val="00FB6712"/>
    <w:rsid w:val="00FB6741"/>
    <w:rsid w:val="00FC0148"/>
    <w:rsid w:val="00FC36D5"/>
    <w:rsid w:val="00FC4BFF"/>
    <w:rsid w:val="00FC6DD1"/>
    <w:rsid w:val="00FC7D80"/>
    <w:rsid w:val="00FD253B"/>
    <w:rsid w:val="00FD255F"/>
    <w:rsid w:val="00FD2DA1"/>
    <w:rsid w:val="00FD3407"/>
    <w:rsid w:val="00FD363A"/>
    <w:rsid w:val="00FD3B4F"/>
    <w:rsid w:val="00FD4A78"/>
    <w:rsid w:val="00FD737C"/>
    <w:rsid w:val="00FD7535"/>
    <w:rsid w:val="00FD7F8F"/>
    <w:rsid w:val="00FE0395"/>
    <w:rsid w:val="00FE17F8"/>
    <w:rsid w:val="00FE1CEF"/>
    <w:rsid w:val="00FE709A"/>
    <w:rsid w:val="00FF0402"/>
    <w:rsid w:val="00FF1B93"/>
    <w:rsid w:val="00FF265A"/>
    <w:rsid w:val="00FF307E"/>
    <w:rsid w:val="00FF36E0"/>
    <w:rsid w:val="00FF42BF"/>
    <w:rsid w:val="00FF44E2"/>
    <w:rsid w:val="00FF4EF7"/>
    <w:rsid w:val="00FF530C"/>
    <w:rsid w:val="00FF5CDB"/>
    <w:rsid w:val="00FF62EB"/>
    <w:rsid w:val="00FF7000"/>
    <w:rsid w:val="00FF704A"/>
    <w:rsid w:val="00FF7EC3"/>
    <w:rsid w:val="0109060E"/>
    <w:rsid w:val="010B15E2"/>
    <w:rsid w:val="0118347B"/>
    <w:rsid w:val="01273A25"/>
    <w:rsid w:val="0132783D"/>
    <w:rsid w:val="014B6696"/>
    <w:rsid w:val="015B5B6A"/>
    <w:rsid w:val="0179546C"/>
    <w:rsid w:val="01954CC0"/>
    <w:rsid w:val="019B1583"/>
    <w:rsid w:val="01F82835"/>
    <w:rsid w:val="0212689D"/>
    <w:rsid w:val="02200B04"/>
    <w:rsid w:val="025D08EA"/>
    <w:rsid w:val="02725A3B"/>
    <w:rsid w:val="027E086D"/>
    <w:rsid w:val="02A3479D"/>
    <w:rsid w:val="02A57691"/>
    <w:rsid w:val="02CB1CF7"/>
    <w:rsid w:val="03031491"/>
    <w:rsid w:val="03182BA3"/>
    <w:rsid w:val="034613EE"/>
    <w:rsid w:val="035C13A4"/>
    <w:rsid w:val="03AB078B"/>
    <w:rsid w:val="03CC3F79"/>
    <w:rsid w:val="03D1333D"/>
    <w:rsid w:val="03D21BAD"/>
    <w:rsid w:val="03EC461B"/>
    <w:rsid w:val="04131BA8"/>
    <w:rsid w:val="04300514"/>
    <w:rsid w:val="0431628A"/>
    <w:rsid w:val="046E624C"/>
    <w:rsid w:val="0486237A"/>
    <w:rsid w:val="04BC20E2"/>
    <w:rsid w:val="04C17856"/>
    <w:rsid w:val="052136C5"/>
    <w:rsid w:val="05260B2A"/>
    <w:rsid w:val="056F6903"/>
    <w:rsid w:val="059C5BCD"/>
    <w:rsid w:val="059E13C5"/>
    <w:rsid w:val="05C17BF8"/>
    <w:rsid w:val="05CF0D62"/>
    <w:rsid w:val="060524B6"/>
    <w:rsid w:val="06594B1E"/>
    <w:rsid w:val="06754084"/>
    <w:rsid w:val="067B75B4"/>
    <w:rsid w:val="06ED4D7E"/>
    <w:rsid w:val="071B73B5"/>
    <w:rsid w:val="07227327"/>
    <w:rsid w:val="0732033F"/>
    <w:rsid w:val="07347EEC"/>
    <w:rsid w:val="073A38EF"/>
    <w:rsid w:val="077961C6"/>
    <w:rsid w:val="07BB7B20"/>
    <w:rsid w:val="07BE0D22"/>
    <w:rsid w:val="07D522C1"/>
    <w:rsid w:val="07DB33DB"/>
    <w:rsid w:val="07E4685B"/>
    <w:rsid w:val="07FE6EDB"/>
    <w:rsid w:val="08133004"/>
    <w:rsid w:val="082766E2"/>
    <w:rsid w:val="083A64E8"/>
    <w:rsid w:val="0842083A"/>
    <w:rsid w:val="08500EB3"/>
    <w:rsid w:val="089A2CB2"/>
    <w:rsid w:val="08D47156"/>
    <w:rsid w:val="090F5115"/>
    <w:rsid w:val="095C0644"/>
    <w:rsid w:val="096133B5"/>
    <w:rsid w:val="097F1859"/>
    <w:rsid w:val="09835B7C"/>
    <w:rsid w:val="09E33E2E"/>
    <w:rsid w:val="09EA24B7"/>
    <w:rsid w:val="09FB55B8"/>
    <w:rsid w:val="0A0F696E"/>
    <w:rsid w:val="0A171CC6"/>
    <w:rsid w:val="0A7D421F"/>
    <w:rsid w:val="0AB31AEB"/>
    <w:rsid w:val="0B444D3D"/>
    <w:rsid w:val="0B5A2AFA"/>
    <w:rsid w:val="0B5F56D3"/>
    <w:rsid w:val="0B657E3F"/>
    <w:rsid w:val="0BB53743"/>
    <w:rsid w:val="0BD613F8"/>
    <w:rsid w:val="0BEF6A57"/>
    <w:rsid w:val="0C3A4089"/>
    <w:rsid w:val="0C5B4E36"/>
    <w:rsid w:val="0C6A60A3"/>
    <w:rsid w:val="0C7708D8"/>
    <w:rsid w:val="0C925FED"/>
    <w:rsid w:val="0C965FB3"/>
    <w:rsid w:val="0CB33FE8"/>
    <w:rsid w:val="0CB358A1"/>
    <w:rsid w:val="0CCF185B"/>
    <w:rsid w:val="0D467E14"/>
    <w:rsid w:val="0D8E30A8"/>
    <w:rsid w:val="0D914878"/>
    <w:rsid w:val="0DB53C92"/>
    <w:rsid w:val="0DC10FF8"/>
    <w:rsid w:val="0E5A03D3"/>
    <w:rsid w:val="0E9769FD"/>
    <w:rsid w:val="0EAC1EF3"/>
    <w:rsid w:val="0EB67D00"/>
    <w:rsid w:val="0EFE07A8"/>
    <w:rsid w:val="0F340173"/>
    <w:rsid w:val="0F452940"/>
    <w:rsid w:val="0F4C3E66"/>
    <w:rsid w:val="0F516342"/>
    <w:rsid w:val="0F64150A"/>
    <w:rsid w:val="0F711A61"/>
    <w:rsid w:val="0FD875B4"/>
    <w:rsid w:val="0FF77C71"/>
    <w:rsid w:val="0FFB455D"/>
    <w:rsid w:val="0FFE370C"/>
    <w:rsid w:val="10120F66"/>
    <w:rsid w:val="10197672"/>
    <w:rsid w:val="10264A11"/>
    <w:rsid w:val="1048126E"/>
    <w:rsid w:val="104C23A3"/>
    <w:rsid w:val="106D4527"/>
    <w:rsid w:val="10796AA7"/>
    <w:rsid w:val="10D84929"/>
    <w:rsid w:val="10FC1EFE"/>
    <w:rsid w:val="10FE773C"/>
    <w:rsid w:val="11496C09"/>
    <w:rsid w:val="11654E9C"/>
    <w:rsid w:val="11987B90"/>
    <w:rsid w:val="11D02E16"/>
    <w:rsid w:val="11D706B9"/>
    <w:rsid w:val="124D2729"/>
    <w:rsid w:val="1255782F"/>
    <w:rsid w:val="129578BA"/>
    <w:rsid w:val="12C64755"/>
    <w:rsid w:val="13273885"/>
    <w:rsid w:val="137155C7"/>
    <w:rsid w:val="13D713AC"/>
    <w:rsid w:val="13D74E0E"/>
    <w:rsid w:val="13D86E0A"/>
    <w:rsid w:val="13DC0723"/>
    <w:rsid w:val="13E66BA9"/>
    <w:rsid w:val="142A3EB1"/>
    <w:rsid w:val="143D5AD8"/>
    <w:rsid w:val="146A5814"/>
    <w:rsid w:val="14A91642"/>
    <w:rsid w:val="14B720DC"/>
    <w:rsid w:val="14B7278A"/>
    <w:rsid w:val="14C11897"/>
    <w:rsid w:val="14D02DF5"/>
    <w:rsid w:val="157A5D4B"/>
    <w:rsid w:val="159064E3"/>
    <w:rsid w:val="15B83744"/>
    <w:rsid w:val="15BA1B46"/>
    <w:rsid w:val="15DD2016"/>
    <w:rsid w:val="15F831F1"/>
    <w:rsid w:val="161870D8"/>
    <w:rsid w:val="166C5148"/>
    <w:rsid w:val="166C5E2D"/>
    <w:rsid w:val="16761684"/>
    <w:rsid w:val="16A176C6"/>
    <w:rsid w:val="16B90C56"/>
    <w:rsid w:val="16C54A69"/>
    <w:rsid w:val="16E661C3"/>
    <w:rsid w:val="16E7169A"/>
    <w:rsid w:val="16FB67DD"/>
    <w:rsid w:val="170E3AE7"/>
    <w:rsid w:val="174D665F"/>
    <w:rsid w:val="175C66BB"/>
    <w:rsid w:val="17616418"/>
    <w:rsid w:val="17AB593A"/>
    <w:rsid w:val="17C16D4C"/>
    <w:rsid w:val="184B49C3"/>
    <w:rsid w:val="186F6CF4"/>
    <w:rsid w:val="18722EE9"/>
    <w:rsid w:val="189E29EE"/>
    <w:rsid w:val="18D2250D"/>
    <w:rsid w:val="18F55316"/>
    <w:rsid w:val="19067AD5"/>
    <w:rsid w:val="1907037D"/>
    <w:rsid w:val="198B2830"/>
    <w:rsid w:val="199926F8"/>
    <w:rsid w:val="19A94A91"/>
    <w:rsid w:val="19BD7252"/>
    <w:rsid w:val="19CC2CCF"/>
    <w:rsid w:val="1A197394"/>
    <w:rsid w:val="1A512FD2"/>
    <w:rsid w:val="1A7C00CB"/>
    <w:rsid w:val="1A855E20"/>
    <w:rsid w:val="1AC528F8"/>
    <w:rsid w:val="1ACD2659"/>
    <w:rsid w:val="1AEA7FDF"/>
    <w:rsid w:val="1AEF32BB"/>
    <w:rsid w:val="1B4432C9"/>
    <w:rsid w:val="1B4626D4"/>
    <w:rsid w:val="1B470786"/>
    <w:rsid w:val="1B49510C"/>
    <w:rsid w:val="1B551D49"/>
    <w:rsid w:val="1B6D5BEA"/>
    <w:rsid w:val="1B83540D"/>
    <w:rsid w:val="1B8C4749"/>
    <w:rsid w:val="1BAA0BEC"/>
    <w:rsid w:val="1BBC447B"/>
    <w:rsid w:val="1BC96DA5"/>
    <w:rsid w:val="1BDD3996"/>
    <w:rsid w:val="1C0C01EF"/>
    <w:rsid w:val="1C3B1844"/>
    <w:rsid w:val="1CDF0AEB"/>
    <w:rsid w:val="1CE4012E"/>
    <w:rsid w:val="1CED7E81"/>
    <w:rsid w:val="1CFF4C36"/>
    <w:rsid w:val="1D037C85"/>
    <w:rsid w:val="1D507571"/>
    <w:rsid w:val="1D585EF1"/>
    <w:rsid w:val="1D884EC0"/>
    <w:rsid w:val="1E52051C"/>
    <w:rsid w:val="1E621524"/>
    <w:rsid w:val="1E652BA8"/>
    <w:rsid w:val="1E725802"/>
    <w:rsid w:val="1E9727BB"/>
    <w:rsid w:val="1E9A6F10"/>
    <w:rsid w:val="1EE34D8E"/>
    <w:rsid w:val="1EE91A2B"/>
    <w:rsid w:val="1F122D30"/>
    <w:rsid w:val="1F3258D0"/>
    <w:rsid w:val="1F4D4F6A"/>
    <w:rsid w:val="1F501AAA"/>
    <w:rsid w:val="1F990CE4"/>
    <w:rsid w:val="1F9C6A9E"/>
    <w:rsid w:val="1FCB7383"/>
    <w:rsid w:val="202613A2"/>
    <w:rsid w:val="2039591B"/>
    <w:rsid w:val="20713C45"/>
    <w:rsid w:val="20A3718D"/>
    <w:rsid w:val="20C36296"/>
    <w:rsid w:val="20F6718A"/>
    <w:rsid w:val="212D5D73"/>
    <w:rsid w:val="2191541A"/>
    <w:rsid w:val="219C2ED5"/>
    <w:rsid w:val="219E6EA1"/>
    <w:rsid w:val="21BA320B"/>
    <w:rsid w:val="21CB625B"/>
    <w:rsid w:val="21FF2641"/>
    <w:rsid w:val="22333AA3"/>
    <w:rsid w:val="22BC00D2"/>
    <w:rsid w:val="22D31DD6"/>
    <w:rsid w:val="22D95FDF"/>
    <w:rsid w:val="22F8223D"/>
    <w:rsid w:val="22FC4A70"/>
    <w:rsid w:val="2302000B"/>
    <w:rsid w:val="231C3D6F"/>
    <w:rsid w:val="23270D74"/>
    <w:rsid w:val="232E1E1F"/>
    <w:rsid w:val="23307EC1"/>
    <w:rsid w:val="233C30B7"/>
    <w:rsid w:val="23477FAB"/>
    <w:rsid w:val="23582D3B"/>
    <w:rsid w:val="23BB22C1"/>
    <w:rsid w:val="240B0F9E"/>
    <w:rsid w:val="24716CD9"/>
    <w:rsid w:val="24AC1531"/>
    <w:rsid w:val="24D42E83"/>
    <w:rsid w:val="24D45AF5"/>
    <w:rsid w:val="25203CCD"/>
    <w:rsid w:val="25234FBF"/>
    <w:rsid w:val="254C061E"/>
    <w:rsid w:val="25552200"/>
    <w:rsid w:val="255F5D8B"/>
    <w:rsid w:val="25A45F0D"/>
    <w:rsid w:val="25DC3572"/>
    <w:rsid w:val="25E97073"/>
    <w:rsid w:val="260158AC"/>
    <w:rsid w:val="260A78F8"/>
    <w:rsid w:val="26284894"/>
    <w:rsid w:val="26411109"/>
    <w:rsid w:val="269F373E"/>
    <w:rsid w:val="26B80661"/>
    <w:rsid w:val="26D47194"/>
    <w:rsid w:val="26DD6079"/>
    <w:rsid w:val="26F90B59"/>
    <w:rsid w:val="27167E66"/>
    <w:rsid w:val="273C33CE"/>
    <w:rsid w:val="27470D4C"/>
    <w:rsid w:val="277F2F2D"/>
    <w:rsid w:val="27822A1D"/>
    <w:rsid w:val="27847C53"/>
    <w:rsid w:val="27944906"/>
    <w:rsid w:val="27CD23EE"/>
    <w:rsid w:val="27E77427"/>
    <w:rsid w:val="281A4A03"/>
    <w:rsid w:val="284877C3"/>
    <w:rsid w:val="28664B59"/>
    <w:rsid w:val="28864EF5"/>
    <w:rsid w:val="2888347E"/>
    <w:rsid w:val="288D1679"/>
    <w:rsid w:val="28BD5CB7"/>
    <w:rsid w:val="28DD431A"/>
    <w:rsid w:val="29917AFB"/>
    <w:rsid w:val="299633C9"/>
    <w:rsid w:val="29CD0532"/>
    <w:rsid w:val="2A043BBD"/>
    <w:rsid w:val="2A19049E"/>
    <w:rsid w:val="2A202978"/>
    <w:rsid w:val="2A213382"/>
    <w:rsid w:val="2A3A75DF"/>
    <w:rsid w:val="2A791CF4"/>
    <w:rsid w:val="2A846AAC"/>
    <w:rsid w:val="2ABD71FE"/>
    <w:rsid w:val="2AC848D7"/>
    <w:rsid w:val="2AF11778"/>
    <w:rsid w:val="2B060136"/>
    <w:rsid w:val="2B0F6376"/>
    <w:rsid w:val="2B163BA8"/>
    <w:rsid w:val="2B4A3AF0"/>
    <w:rsid w:val="2BC453FA"/>
    <w:rsid w:val="2BEB3C1D"/>
    <w:rsid w:val="2C057779"/>
    <w:rsid w:val="2C156F2E"/>
    <w:rsid w:val="2C6B7AB5"/>
    <w:rsid w:val="2CED6B8B"/>
    <w:rsid w:val="2D050B3A"/>
    <w:rsid w:val="2D0839C4"/>
    <w:rsid w:val="2D0B414E"/>
    <w:rsid w:val="2D177764"/>
    <w:rsid w:val="2D236031"/>
    <w:rsid w:val="2D2658B3"/>
    <w:rsid w:val="2D3278B0"/>
    <w:rsid w:val="2D5F11B9"/>
    <w:rsid w:val="2D7828F8"/>
    <w:rsid w:val="2DC555F7"/>
    <w:rsid w:val="2DDD09AD"/>
    <w:rsid w:val="2DF81343"/>
    <w:rsid w:val="2E2E1209"/>
    <w:rsid w:val="2E2F4F23"/>
    <w:rsid w:val="2E3F3416"/>
    <w:rsid w:val="2E572A82"/>
    <w:rsid w:val="2E697834"/>
    <w:rsid w:val="2E821922"/>
    <w:rsid w:val="2EC57599"/>
    <w:rsid w:val="2EC90F31"/>
    <w:rsid w:val="2ECA77B7"/>
    <w:rsid w:val="2ED56B81"/>
    <w:rsid w:val="2EE76B2C"/>
    <w:rsid w:val="2EED2E72"/>
    <w:rsid w:val="2EFB7F7B"/>
    <w:rsid w:val="2F094224"/>
    <w:rsid w:val="2F391C92"/>
    <w:rsid w:val="2F7D6FB0"/>
    <w:rsid w:val="2F8B67CD"/>
    <w:rsid w:val="2FFB511A"/>
    <w:rsid w:val="30317438"/>
    <w:rsid w:val="3034732F"/>
    <w:rsid w:val="304F2F84"/>
    <w:rsid w:val="305F0288"/>
    <w:rsid w:val="30666D29"/>
    <w:rsid w:val="30C23404"/>
    <w:rsid w:val="30D64BAF"/>
    <w:rsid w:val="30E343D8"/>
    <w:rsid w:val="311D5F4A"/>
    <w:rsid w:val="314C327A"/>
    <w:rsid w:val="315E3BB3"/>
    <w:rsid w:val="318E3088"/>
    <w:rsid w:val="318F23FA"/>
    <w:rsid w:val="31930943"/>
    <w:rsid w:val="31BD0C99"/>
    <w:rsid w:val="31C96952"/>
    <w:rsid w:val="31D10829"/>
    <w:rsid w:val="31D45740"/>
    <w:rsid w:val="32771258"/>
    <w:rsid w:val="328A18B8"/>
    <w:rsid w:val="328D0592"/>
    <w:rsid w:val="32B51CD1"/>
    <w:rsid w:val="32C50CC4"/>
    <w:rsid w:val="333F1D9F"/>
    <w:rsid w:val="336F02F9"/>
    <w:rsid w:val="33C148CD"/>
    <w:rsid w:val="34264730"/>
    <w:rsid w:val="3432083A"/>
    <w:rsid w:val="34B42DD9"/>
    <w:rsid w:val="34E7631A"/>
    <w:rsid w:val="34E95E89"/>
    <w:rsid w:val="34E97C37"/>
    <w:rsid w:val="34EC7728"/>
    <w:rsid w:val="34FF56AD"/>
    <w:rsid w:val="355E65AE"/>
    <w:rsid w:val="355E7905"/>
    <w:rsid w:val="35754F59"/>
    <w:rsid w:val="35764D07"/>
    <w:rsid w:val="35BB7141"/>
    <w:rsid w:val="35C21B40"/>
    <w:rsid w:val="35CD1145"/>
    <w:rsid w:val="35F9034E"/>
    <w:rsid w:val="36337265"/>
    <w:rsid w:val="36421CF5"/>
    <w:rsid w:val="3676199F"/>
    <w:rsid w:val="36BA3425"/>
    <w:rsid w:val="36DE7103"/>
    <w:rsid w:val="36FC282B"/>
    <w:rsid w:val="370D6FB9"/>
    <w:rsid w:val="37175B56"/>
    <w:rsid w:val="374B1DBC"/>
    <w:rsid w:val="379D4F38"/>
    <w:rsid w:val="37C04DC9"/>
    <w:rsid w:val="37D73860"/>
    <w:rsid w:val="37E24552"/>
    <w:rsid w:val="381A45AC"/>
    <w:rsid w:val="38286CC9"/>
    <w:rsid w:val="383C73C9"/>
    <w:rsid w:val="384004B6"/>
    <w:rsid w:val="38401B10"/>
    <w:rsid w:val="38797524"/>
    <w:rsid w:val="387A1174"/>
    <w:rsid w:val="3891486E"/>
    <w:rsid w:val="38CA762F"/>
    <w:rsid w:val="38E250CA"/>
    <w:rsid w:val="38E86458"/>
    <w:rsid w:val="391D25A6"/>
    <w:rsid w:val="39203E44"/>
    <w:rsid w:val="394F24A6"/>
    <w:rsid w:val="3952022A"/>
    <w:rsid w:val="395B4E7C"/>
    <w:rsid w:val="39696FD5"/>
    <w:rsid w:val="398B3D44"/>
    <w:rsid w:val="39DA1EC6"/>
    <w:rsid w:val="39F03816"/>
    <w:rsid w:val="3A191982"/>
    <w:rsid w:val="3A31209F"/>
    <w:rsid w:val="3A4D0C68"/>
    <w:rsid w:val="3A6D03C2"/>
    <w:rsid w:val="3A730882"/>
    <w:rsid w:val="3A7D7AF8"/>
    <w:rsid w:val="3A91074A"/>
    <w:rsid w:val="3AA27368"/>
    <w:rsid w:val="3AA765CB"/>
    <w:rsid w:val="3B6F2BEF"/>
    <w:rsid w:val="3B7A5A8D"/>
    <w:rsid w:val="3B8F3F02"/>
    <w:rsid w:val="3BC63EA0"/>
    <w:rsid w:val="3C125CC6"/>
    <w:rsid w:val="3C1F4887"/>
    <w:rsid w:val="3C5A0D07"/>
    <w:rsid w:val="3C845243"/>
    <w:rsid w:val="3C891496"/>
    <w:rsid w:val="3CB7243C"/>
    <w:rsid w:val="3CC82828"/>
    <w:rsid w:val="3CD107AD"/>
    <w:rsid w:val="3CF9460D"/>
    <w:rsid w:val="3D6F7247"/>
    <w:rsid w:val="3DB84E4A"/>
    <w:rsid w:val="3E817133"/>
    <w:rsid w:val="3E8702B2"/>
    <w:rsid w:val="3E927592"/>
    <w:rsid w:val="3EA866D6"/>
    <w:rsid w:val="3EC4428E"/>
    <w:rsid w:val="3EEB0A50"/>
    <w:rsid w:val="3EF95761"/>
    <w:rsid w:val="3EFC5866"/>
    <w:rsid w:val="3F022DED"/>
    <w:rsid w:val="3F15600D"/>
    <w:rsid w:val="3F520ACF"/>
    <w:rsid w:val="3F724AD0"/>
    <w:rsid w:val="3F7E1BCF"/>
    <w:rsid w:val="3FB3156E"/>
    <w:rsid w:val="3FDD0A3F"/>
    <w:rsid w:val="3FE9151F"/>
    <w:rsid w:val="3FFF041B"/>
    <w:rsid w:val="3FFF7DBE"/>
    <w:rsid w:val="403E62C3"/>
    <w:rsid w:val="40445B47"/>
    <w:rsid w:val="4074694C"/>
    <w:rsid w:val="41175B2C"/>
    <w:rsid w:val="413B29FD"/>
    <w:rsid w:val="4147117F"/>
    <w:rsid w:val="414E77CF"/>
    <w:rsid w:val="416824DA"/>
    <w:rsid w:val="418E1DC0"/>
    <w:rsid w:val="41B25855"/>
    <w:rsid w:val="41DD6D76"/>
    <w:rsid w:val="41E370BA"/>
    <w:rsid w:val="41FF6CEC"/>
    <w:rsid w:val="422936B2"/>
    <w:rsid w:val="423229B8"/>
    <w:rsid w:val="4235270E"/>
    <w:rsid w:val="423D5A66"/>
    <w:rsid w:val="424908FB"/>
    <w:rsid w:val="424B3EC0"/>
    <w:rsid w:val="42511B2C"/>
    <w:rsid w:val="425608D6"/>
    <w:rsid w:val="42974C12"/>
    <w:rsid w:val="42B032DA"/>
    <w:rsid w:val="42D76332"/>
    <w:rsid w:val="42D92E25"/>
    <w:rsid w:val="432B2EF5"/>
    <w:rsid w:val="43395FD9"/>
    <w:rsid w:val="434056F4"/>
    <w:rsid w:val="4367618F"/>
    <w:rsid w:val="43AF427E"/>
    <w:rsid w:val="43B010FC"/>
    <w:rsid w:val="43D2005D"/>
    <w:rsid w:val="441A605F"/>
    <w:rsid w:val="44280029"/>
    <w:rsid w:val="442A3DC9"/>
    <w:rsid w:val="44C24C34"/>
    <w:rsid w:val="44D92A7F"/>
    <w:rsid w:val="4517259F"/>
    <w:rsid w:val="453B5F46"/>
    <w:rsid w:val="454937BA"/>
    <w:rsid w:val="45A1486E"/>
    <w:rsid w:val="45DB0941"/>
    <w:rsid w:val="45E43639"/>
    <w:rsid w:val="46546E25"/>
    <w:rsid w:val="46710153"/>
    <w:rsid w:val="46780E1B"/>
    <w:rsid w:val="46A71670"/>
    <w:rsid w:val="46B94916"/>
    <w:rsid w:val="46DB3747"/>
    <w:rsid w:val="47103A73"/>
    <w:rsid w:val="47211912"/>
    <w:rsid w:val="47461F7B"/>
    <w:rsid w:val="479B5D08"/>
    <w:rsid w:val="47F44521"/>
    <w:rsid w:val="481728B6"/>
    <w:rsid w:val="48194880"/>
    <w:rsid w:val="485B47A4"/>
    <w:rsid w:val="48713109"/>
    <w:rsid w:val="487F59B9"/>
    <w:rsid w:val="48831CF9"/>
    <w:rsid w:val="48836536"/>
    <w:rsid w:val="48BA6997"/>
    <w:rsid w:val="49446B1B"/>
    <w:rsid w:val="49793828"/>
    <w:rsid w:val="49963B11"/>
    <w:rsid w:val="49CF3F47"/>
    <w:rsid w:val="4A016E4D"/>
    <w:rsid w:val="4A1E3FBA"/>
    <w:rsid w:val="4A603492"/>
    <w:rsid w:val="4A7056BD"/>
    <w:rsid w:val="4A8C091B"/>
    <w:rsid w:val="4AAC5537"/>
    <w:rsid w:val="4AC81A9B"/>
    <w:rsid w:val="4B0849A1"/>
    <w:rsid w:val="4B2257F9"/>
    <w:rsid w:val="4B4E65EF"/>
    <w:rsid w:val="4B5005B9"/>
    <w:rsid w:val="4B606AC9"/>
    <w:rsid w:val="4B742591"/>
    <w:rsid w:val="4BFE3271"/>
    <w:rsid w:val="4C067D45"/>
    <w:rsid w:val="4C27321A"/>
    <w:rsid w:val="4C2B58CB"/>
    <w:rsid w:val="4C3A7BE6"/>
    <w:rsid w:val="4C9359CC"/>
    <w:rsid w:val="4C961F14"/>
    <w:rsid w:val="4CA35A18"/>
    <w:rsid w:val="4CB01B26"/>
    <w:rsid w:val="4CD03D67"/>
    <w:rsid w:val="4CD11285"/>
    <w:rsid w:val="4D4D3040"/>
    <w:rsid w:val="4D4F06E9"/>
    <w:rsid w:val="4D6C4C3E"/>
    <w:rsid w:val="4D6D18A8"/>
    <w:rsid w:val="4D821768"/>
    <w:rsid w:val="4DB76FC8"/>
    <w:rsid w:val="4DBC53A9"/>
    <w:rsid w:val="4DC4703C"/>
    <w:rsid w:val="4DF85324"/>
    <w:rsid w:val="4E2411F9"/>
    <w:rsid w:val="4E306996"/>
    <w:rsid w:val="4E353A96"/>
    <w:rsid w:val="4E596DF9"/>
    <w:rsid w:val="4E7740AE"/>
    <w:rsid w:val="4EBB3F9B"/>
    <w:rsid w:val="4ECC43FA"/>
    <w:rsid w:val="4EDF65EF"/>
    <w:rsid w:val="4F604B32"/>
    <w:rsid w:val="4F8E7901"/>
    <w:rsid w:val="4F93316A"/>
    <w:rsid w:val="4F97017C"/>
    <w:rsid w:val="4FC82E13"/>
    <w:rsid w:val="4FFC2ABD"/>
    <w:rsid w:val="4FFE186F"/>
    <w:rsid w:val="50227EF1"/>
    <w:rsid w:val="502F3FDB"/>
    <w:rsid w:val="50706AE1"/>
    <w:rsid w:val="508F1EC9"/>
    <w:rsid w:val="50CF68DC"/>
    <w:rsid w:val="50DC389A"/>
    <w:rsid w:val="50E6644B"/>
    <w:rsid w:val="511354FE"/>
    <w:rsid w:val="511970CD"/>
    <w:rsid w:val="51197178"/>
    <w:rsid w:val="5121482B"/>
    <w:rsid w:val="512C3AE4"/>
    <w:rsid w:val="513B2E2F"/>
    <w:rsid w:val="51864D34"/>
    <w:rsid w:val="5190513B"/>
    <w:rsid w:val="51BC69A8"/>
    <w:rsid w:val="51D05466"/>
    <w:rsid w:val="51DD5BE3"/>
    <w:rsid w:val="520806F5"/>
    <w:rsid w:val="523E0931"/>
    <w:rsid w:val="52433C0C"/>
    <w:rsid w:val="52923265"/>
    <w:rsid w:val="52D841EA"/>
    <w:rsid w:val="52E85882"/>
    <w:rsid w:val="532162D9"/>
    <w:rsid w:val="534508DD"/>
    <w:rsid w:val="5386726D"/>
    <w:rsid w:val="53AE2DE0"/>
    <w:rsid w:val="53BD07B5"/>
    <w:rsid w:val="53CB14A9"/>
    <w:rsid w:val="542B0773"/>
    <w:rsid w:val="54363A17"/>
    <w:rsid w:val="54433A73"/>
    <w:rsid w:val="54ED5DDD"/>
    <w:rsid w:val="55213B51"/>
    <w:rsid w:val="55322ADD"/>
    <w:rsid w:val="55603AEE"/>
    <w:rsid w:val="558F5A11"/>
    <w:rsid w:val="55B300C2"/>
    <w:rsid w:val="55BF6A67"/>
    <w:rsid w:val="56157CE9"/>
    <w:rsid w:val="56AB7C94"/>
    <w:rsid w:val="56D57BC4"/>
    <w:rsid w:val="56D955B6"/>
    <w:rsid w:val="572F6374"/>
    <w:rsid w:val="574C3195"/>
    <w:rsid w:val="57C62C77"/>
    <w:rsid w:val="57E34148"/>
    <w:rsid w:val="5829466B"/>
    <w:rsid w:val="587D49B7"/>
    <w:rsid w:val="58A57211"/>
    <w:rsid w:val="58A75590"/>
    <w:rsid w:val="58AD528C"/>
    <w:rsid w:val="58B23BF4"/>
    <w:rsid w:val="58B2640F"/>
    <w:rsid w:val="58B2792A"/>
    <w:rsid w:val="58D41BFE"/>
    <w:rsid w:val="594D56F1"/>
    <w:rsid w:val="59B447B9"/>
    <w:rsid w:val="59C44088"/>
    <w:rsid w:val="5A150210"/>
    <w:rsid w:val="5A174652"/>
    <w:rsid w:val="5A411495"/>
    <w:rsid w:val="5A6F20DD"/>
    <w:rsid w:val="5A861366"/>
    <w:rsid w:val="5B03569B"/>
    <w:rsid w:val="5B1254CC"/>
    <w:rsid w:val="5B1C2265"/>
    <w:rsid w:val="5B2E097D"/>
    <w:rsid w:val="5B2E3D47"/>
    <w:rsid w:val="5BA93EFE"/>
    <w:rsid w:val="5BDF4DF0"/>
    <w:rsid w:val="5C043425"/>
    <w:rsid w:val="5C0A6B94"/>
    <w:rsid w:val="5C0C4155"/>
    <w:rsid w:val="5C110814"/>
    <w:rsid w:val="5C2132DA"/>
    <w:rsid w:val="5C3E6629"/>
    <w:rsid w:val="5C8648E5"/>
    <w:rsid w:val="5C952E62"/>
    <w:rsid w:val="5CA422BE"/>
    <w:rsid w:val="5CE6691B"/>
    <w:rsid w:val="5D247347"/>
    <w:rsid w:val="5DA1385F"/>
    <w:rsid w:val="5DC52DCD"/>
    <w:rsid w:val="5DF875CB"/>
    <w:rsid w:val="5E1D3981"/>
    <w:rsid w:val="5E55500A"/>
    <w:rsid w:val="5E7367C4"/>
    <w:rsid w:val="5E761C8C"/>
    <w:rsid w:val="5E8157D9"/>
    <w:rsid w:val="5E943C87"/>
    <w:rsid w:val="5E997A50"/>
    <w:rsid w:val="5EB20954"/>
    <w:rsid w:val="5EB56C59"/>
    <w:rsid w:val="5ED17A37"/>
    <w:rsid w:val="5ED5554F"/>
    <w:rsid w:val="5EDE3BFC"/>
    <w:rsid w:val="5EFE190E"/>
    <w:rsid w:val="5F0B65DC"/>
    <w:rsid w:val="5F43327C"/>
    <w:rsid w:val="5F6F11D6"/>
    <w:rsid w:val="5F88734A"/>
    <w:rsid w:val="5F8E5468"/>
    <w:rsid w:val="5F9F2DF6"/>
    <w:rsid w:val="5FC44602"/>
    <w:rsid w:val="5FC6621D"/>
    <w:rsid w:val="5FE54522"/>
    <w:rsid w:val="600E72A1"/>
    <w:rsid w:val="601B75B4"/>
    <w:rsid w:val="603D3843"/>
    <w:rsid w:val="608C202F"/>
    <w:rsid w:val="609B470C"/>
    <w:rsid w:val="60A34428"/>
    <w:rsid w:val="60E23A64"/>
    <w:rsid w:val="61112140"/>
    <w:rsid w:val="61181721"/>
    <w:rsid w:val="611D3876"/>
    <w:rsid w:val="612D65DF"/>
    <w:rsid w:val="613A564E"/>
    <w:rsid w:val="61AB4C3B"/>
    <w:rsid w:val="61AB7535"/>
    <w:rsid w:val="61D80803"/>
    <w:rsid w:val="61DE7259"/>
    <w:rsid w:val="61DF5D9B"/>
    <w:rsid w:val="61F25ACE"/>
    <w:rsid w:val="622E3FBA"/>
    <w:rsid w:val="6291569F"/>
    <w:rsid w:val="62933E84"/>
    <w:rsid w:val="629E5C56"/>
    <w:rsid w:val="62A80882"/>
    <w:rsid w:val="62BF52E9"/>
    <w:rsid w:val="62C6396E"/>
    <w:rsid w:val="63031B9B"/>
    <w:rsid w:val="6304076C"/>
    <w:rsid w:val="633C1E05"/>
    <w:rsid w:val="633F54B6"/>
    <w:rsid w:val="63561FAE"/>
    <w:rsid w:val="63706CEB"/>
    <w:rsid w:val="639A7782"/>
    <w:rsid w:val="63BA4F4D"/>
    <w:rsid w:val="63DC5A13"/>
    <w:rsid w:val="63F5485E"/>
    <w:rsid w:val="63F66538"/>
    <w:rsid w:val="64012B4B"/>
    <w:rsid w:val="641206A9"/>
    <w:rsid w:val="643C1380"/>
    <w:rsid w:val="644D348F"/>
    <w:rsid w:val="64DE058B"/>
    <w:rsid w:val="64DE67DD"/>
    <w:rsid w:val="64EB1529"/>
    <w:rsid w:val="65165F77"/>
    <w:rsid w:val="6539241F"/>
    <w:rsid w:val="655E28EA"/>
    <w:rsid w:val="65640A91"/>
    <w:rsid w:val="657F62D1"/>
    <w:rsid w:val="65D26342"/>
    <w:rsid w:val="65EB1D0C"/>
    <w:rsid w:val="65F20792"/>
    <w:rsid w:val="65FB00E6"/>
    <w:rsid w:val="661C7A46"/>
    <w:rsid w:val="667E1BE7"/>
    <w:rsid w:val="66A969C4"/>
    <w:rsid w:val="66E86EAD"/>
    <w:rsid w:val="66F342B1"/>
    <w:rsid w:val="67185FD7"/>
    <w:rsid w:val="673E3563"/>
    <w:rsid w:val="67474EB3"/>
    <w:rsid w:val="67510378"/>
    <w:rsid w:val="67857982"/>
    <w:rsid w:val="67982C74"/>
    <w:rsid w:val="67BA0E3C"/>
    <w:rsid w:val="67C62E5E"/>
    <w:rsid w:val="67E049F9"/>
    <w:rsid w:val="67E20393"/>
    <w:rsid w:val="680D4D6C"/>
    <w:rsid w:val="68240167"/>
    <w:rsid w:val="684F03E7"/>
    <w:rsid w:val="688445AC"/>
    <w:rsid w:val="68BD6421"/>
    <w:rsid w:val="69233924"/>
    <w:rsid w:val="69435ADF"/>
    <w:rsid w:val="695E63A5"/>
    <w:rsid w:val="697448D7"/>
    <w:rsid w:val="69810713"/>
    <w:rsid w:val="69825989"/>
    <w:rsid w:val="69C75A92"/>
    <w:rsid w:val="69CE7392"/>
    <w:rsid w:val="69D109E9"/>
    <w:rsid w:val="69E65D02"/>
    <w:rsid w:val="6A072332"/>
    <w:rsid w:val="6A4175F2"/>
    <w:rsid w:val="6A5D5369"/>
    <w:rsid w:val="6AF9611F"/>
    <w:rsid w:val="6B015AED"/>
    <w:rsid w:val="6B08002B"/>
    <w:rsid w:val="6B0A4CC9"/>
    <w:rsid w:val="6B1B42E7"/>
    <w:rsid w:val="6B3A29A6"/>
    <w:rsid w:val="6B3C52FC"/>
    <w:rsid w:val="6B4C2D15"/>
    <w:rsid w:val="6B5D038B"/>
    <w:rsid w:val="6B60619E"/>
    <w:rsid w:val="6BA77929"/>
    <w:rsid w:val="6BEC4054"/>
    <w:rsid w:val="6C007C7A"/>
    <w:rsid w:val="6C0539E1"/>
    <w:rsid w:val="6C345BDD"/>
    <w:rsid w:val="6C53360D"/>
    <w:rsid w:val="6C5D3FAD"/>
    <w:rsid w:val="6C812860"/>
    <w:rsid w:val="6CAB4044"/>
    <w:rsid w:val="6CDE737B"/>
    <w:rsid w:val="6CFC0F16"/>
    <w:rsid w:val="6D7D1F79"/>
    <w:rsid w:val="6D817984"/>
    <w:rsid w:val="6D921616"/>
    <w:rsid w:val="6DC71EEA"/>
    <w:rsid w:val="6DDC4830"/>
    <w:rsid w:val="6DF110EA"/>
    <w:rsid w:val="6E2C6081"/>
    <w:rsid w:val="6E475F89"/>
    <w:rsid w:val="6E494CC8"/>
    <w:rsid w:val="6E621785"/>
    <w:rsid w:val="6EA77C40"/>
    <w:rsid w:val="6EAE0FCF"/>
    <w:rsid w:val="6EED368A"/>
    <w:rsid w:val="6F2F7DB7"/>
    <w:rsid w:val="6F4017B8"/>
    <w:rsid w:val="6F4C3764"/>
    <w:rsid w:val="6F5A6D67"/>
    <w:rsid w:val="6FD64C81"/>
    <w:rsid w:val="704A4AC6"/>
    <w:rsid w:val="70BA1CC5"/>
    <w:rsid w:val="70DD0F77"/>
    <w:rsid w:val="70E25AC9"/>
    <w:rsid w:val="710111C0"/>
    <w:rsid w:val="713C6950"/>
    <w:rsid w:val="718112CF"/>
    <w:rsid w:val="7197167A"/>
    <w:rsid w:val="719A3E47"/>
    <w:rsid w:val="71A515FD"/>
    <w:rsid w:val="71CC2B2E"/>
    <w:rsid w:val="71D023F7"/>
    <w:rsid w:val="71F94C57"/>
    <w:rsid w:val="71FD64F5"/>
    <w:rsid w:val="721974B4"/>
    <w:rsid w:val="721E46BD"/>
    <w:rsid w:val="72402885"/>
    <w:rsid w:val="72811AA2"/>
    <w:rsid w:val="72C46DF5"/>
    <w:rsid w:val="72FF6E1A"/>
    <w:rsid w:val="7318735E"/>
    <w:rsid w:val="73357A0F"/>
    <w:rsid w:val="73706717"/>
    <w:rsid w:val="739060A4"/>
    <w:rsid w:val="73B46F4E"/>
    <w:rsid w:val="73E5257B"/>
    <w:rsid w:val="73E55C22"/>
    <w:rsid w:val="746121CB"/>
    <w:rsid w:val="74685447"/>
    <w:rsid w:val="74790DFF"/>
    <w:rsid w:val="747C429B"/>
    <w:rsid w:val="74837DF8"/>
    <w:rsid w:val="748C0004"/>
    <w:rsid w:val="74A16D28"/>
    <w:rsid w:val="74C83734"/>
    <w:rsid w:val="7535244A"/>
    <w:rsid w:val="75722EC3"/>
    <w:rsid w:val="75977652"/>
    <w:rsid w:val="75F763A8"/>
    <w:rsid w:val="75F84EF5"/>
    <w:rsid w:val="7605562E"/>
    <w:rsid w:val="764D0FCD"/>
    <w:rsid w:val="765E373E"/>
    <w:rsid w:val="769E55DA"/>
    <w:rsid w:val="76A333E3"/>
    <w:rsid w:val="76A553AD"/>
    <w:rsid w:val="76A802AB"/>
    <w:rsid w:val="76E27660"/>
    <w:rsid w:val="76F81981"/>
    <w:rsid w:val="77047F25"/>
    <w:rsid w:val="77093CF3"/>
    <w:rsid w:val="773329B9"/>
    <w:rsid w:val="773724A9"/>
    <w:rsid w:val="774A50DC"/>
    <w:rsid w:val="7776420B"/>
    <w:rsid w:val="77852B4B"/>
    <w:rsid w:val="778B6AD8"/>
    <w:rsid w:val="77987F82"/>
    <w:rsid w:val="77B84C6C"/>
    <w:rsid w:val="77ED700C"/>
    <w:rsid w:val="78291AB0"/>
    <w:rsid w:val="78782D79"/>
    <w:rsid w:val="787C6624"/>
    <w:rsid w:val="78941160"/>
    <w:rsid w:val="78E75DF6"/>
    <w:rsid w:val="792D020B"/>
    <w:rsid w:val="792E2DB5"/>
    <w:rsid w:val="794B223C"/>
    <w:rsid w:val="795B7FA5"/>
    <w:rsid w:val="79752E15"/>
    <w:rsid w:val="79C57E4A"/>
    <w:rsid w:val="79DC2E94"/>
    <w:rsid w:val="79DF7E3F"/>
    <w:rsid w:val="79F457FA"/>
    <w:rsid w:val="7A152F3E"/>
    <w:rsid w:val="7A1B52AB"/>
    <w:rsid w:val="7A401675"/>
    <w:rsid w:val="7A4A42A1"/>
    <w:rsid w:val="7A6A54E3"/>
    <w:rsid w:val="7A701E81"/>
    <w:rsid w:val="7A994158"/>
    <w:rsid w:val="7ABA0901"/>
    <w:rsid w:val="7ACE619A"/>
    <w:rsid w:val="7AD95625"/>
    <w:rsid w:val="7B424178"/>
    <w:rsid w:val="7B5353D8"/>
    <w:rsid w:val="7B882FAE"/>
    <w:rsid w:val="7BC81F33"/>
    <w:rsid w:val="7BD35E33"/>
    <w:rsid w:val="7BE74A3E"/>
    <w:rsid w:val="7BFC781D"/>
    <w:rsid w:val="7C233C07"/>
    <w:rsid w:val="7C3E7045"/>
    <w:rsid w:val="7C4D0EFB"/>
    <w:rsid w:val="7C514439"/>
    <w:rsid w:val="7C690BD8"/>
    <w:rsid w:val="7C961A20"/>
    <w:rsid w:val="7CAA70AF"/>
    <w:rsid w:val="7CE81B50"/>
    <w:rsid w:val="7CFE6B21"/>
    <w:rsid w:val="7D0A03B5"/>
    <w:rsid w:val="7D3759D7"/>
    <w:rsid w:val="7D380D29"/>
    <w:rsid w:val="7D617B24"/>
    <w:rsid w:val="7D75142A"/>
    <w:rsid w:val="7D7D5B16"/>
    <w:rsid w:val="7E03576C"/>
    <w:rsid w:val="7E17093E"/>
    <w:rsid w:val="7E2467B8"/>
    <w:rsid w:val="7E27521D"/>
    <w:rsid w:val="7E33504C"/>
    <w:rsid w:val="7E464D80"/>
    <w:rsid w:val="7E7972C4"/>
    <w:rsid w:val="7E8D6E52"/>
    <w:rsid w:val="7ED71085"/>
    <w:rsid w:val="7EED2764"/>
    <w:rsid w:val="7F044D20"/>
    <w:rsid w:val="7F94415B"/>
    <w:rsid w:val="7F986465"/>
    <w:rsid w:val="7FAE0A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480" w:lineRule="exact"/>
      <w:ind w:firstLine="200" w:firstLineChars="200"/>
      <w:jc w:val="both"/>
    </w:pPr>
    <w:rPr>
      <w:rFonts w:ascii="Times New Roman" w:hAnsi="Times New Roman" w:eastAsia="宋体" w:cstheme="minorBidi"/>
      <w:color w:val="000000" w:themeColor="text1"/>
      <w:kern w:val="2"/>
      <w:sz w:val="24"/>
      <w:szCs w:val="22"/>
      <w:lang w:val="en-US" w:eastAsia="zh-CN" w:bidi="ar-SA"/>
      <w14:textFill>
        <w14:solidFill>
          <w14:schemeClr w14:val="tx1"/>
        </w14:solidFill>
      </w14:textFill>
    </w:rPr>
  </w:style>
  <w:style w:type="paragraph" w:styleId="2">
    <w:name w:val="heading 1"/>
    <w:basedOn w:val="1"/>
    <w:next w:val="1"/>
    <w:link w:val="43"/>
    <w:autoRedefine/>
    <w:qFormat/>
    <w:uiPriority w:val="0"/>
    <w:pPr>
      <w:keepNext/>
      <w:keepLines/>
      <w:numPr>
        <w:ilvl w:val="0"/>
        <w:numId w:val="1"/>
      </w:numPr>
      <w:spacing w:after="0" w:line="480" w:lineRule="atLeast"/>
      <w:ind w:left="432" w:hanging="432" w:firstLineChars="0"/>
      <w:outlineLvl w:val="0"/>
    </w:pPr>
    <w:rPr>
      <w:rFonts w:ascii="Arial" w:hAnsi="Arial" w:eastAsia="黑体"/>
      <w:bCs/>
      <w:kern w:val="44"/>
      <w:sz w:val="28"/>
      <w:szCs w:val="44"/>
    </w:rPr>
  </w:style>
  <w:style w:type="paragraph" w:styleId="3">
    <w:name w:val="heading 2"/>
    <w:basedOn w:val="1"/>
    <w:next w:val="1"/>
    <w:link w:val="44"/>
    <w:autoRedefine/>
    <w:unhideWhenUsed/>
    <w:qFormat/>
    <w:uiPriority w:val="9"/>
    <w:pPr>
      <w:keepNext/>
      <w:keepLines/>
      <w:numPr>
        <w:ilvl w:val="1"/>
        <w:numId w:val="1"/>
      </w:numPr>
      <w:spacing w:before="50" w:beforeLines="50" w:after="50" w:afterLines="50" w:line="360" w:lineRule="exact"/>
      <w:ind w:left="575" w:hanging="575" w:firstLineChars="0"/>
      <w:outlineLvl w:val="1"/>
    </w:pPr>
    <w:rPr>
      <w:rFonts w:ascii="Arial Unicode MS" w:hAnsi="Arial Unicode MS" w:eastAsia="黑体" w:cstheme="majorBidi"/>
      <w:bCs/>
      <w:szCs w:val="32"/>
    </w:rPr>
  </w:style>
  <w:style w:type="paragraph" w:styleId="4">
    <w:name w:val="heading 3"/>
    <w:basedOn w:val="1"/>
    <w:next w:val="1"/>
    <w:link w:val="47"/>
    <w:autoRedefine/>
    <w:unhideWhenUsed/>
    <w:qFormat/>
    <w:uiPriority w:val="9"/>
    <w:pPr>
      <w:keepNext/>
      <w:keepLines/>
      <w:numPr>
        <w:ilvl w:val="2"/>
        <w:numId w:val="1"/>
      </w:numPr>
      <w:spacing w:before="50" w:beforeLines="50" w:after="50" w:afterLines="50" w:line="240" w:lineRule="auto"/>
      <w:ind w:left="0" w:firstLine="0" w:firstLineChars="0"/>
      <w:outlineLvl w:val="2"/>
    </w:pPr>
    <w:rPr>
      <w:rFonts w:ascii="Arial Unicode MS" w:hAnsi="Arial Unicode MS" w:eastAsia="黑体"/>
      <w:bCs/>
      <w:szCs w:val="32"/>
    </w:rPr>
  </w:style>
  <w:style w:type="paragraph" w:styleId="5">
    <w:name w:val="heading 4"/>
    <w:basedOn w:val="1"/>
    <w:next w:val="1"/>
    <w:link w:val="50"/>
    <w:autoRedefine/>
    <w:unhideWhenUsed/>
    <w:qFormat/>
    <w:uiPriority w:val="9"/>
    <w:pPr>
      <w:keepNext/>
      <w:keepLines/>
      <w:numPr>
        <w:ilvl w:val="3"/>
        <w:numId w:val="1"/>
      </w:numPr>
      <w:spacing w:before="50" w:beforeLines="50" w:after="50" w:afterLines="50" w:line="240" w:lineRule="auto"/>
      <w:ind w:left="0" w:firstLine="0" w:firstLineChars="0"/>
      <w:jc w:val="left"/>
      <w:outlineLvl w:val="3"/>
    </w:pPr>
    <w:rPr>
      <w:rFonts w:ascii="Times New Roman" w:hAnsi="Times New Roman" w:eastAsia="黑体" w:cstheme="majorBidi"/>
      <w:bCs/>
      <w:szCs w:val="24"/>
    </w:rPr>
  </w:style>
  <w:style w:type="paragraph" w:styleId="6">
    <w:name w:val="heading 5"/>
    <w:basedOn w:val="1"/>
    <w:next w:val="1"/>
    <w:autoRedefine/>
    <w:unhideWhenUsed/>
    <w:qFormat/>
    <w:uiPriority w:val="9"/>
    <w:pPr>
      <w:keepNext/>
      <w:keepLines/>
      <w:numPr>
        <w:ilvl w:val="4"/>
        <w:numId w:val="1"/>
      </w:numPr>
      <w:spacing w:before="280" w:beforeLines="0" w:beforeAutospacing="0" w:after="290" w:afterLines="0" w:afterAutospacing="0" w:line="372" w:lineRule="auto"/>
      <w:ind w:left="1008" w:hanging="1008" w:firstLineChars="0"/>
      <w:outlineLvl w:val="4"/>
    </w:pPr>
    <w:rPr>
      <w:rFonts w:ascii="Arial Unicode MS" w:hAnsi="Arial Unicode MS" w:eastAsia="黑体"/>
    </w:rPr>
  </w:style>
  <w:style w:type="paragraph" w:styleId="7">
    <w:name w:val="heading 6"/>
    <w:basedOn w:val="1"/>
    <w:next w:val="1"/>
    <w:autoRedefine/>
    <w:semiHidden/>
    <w:unhideWhenUsed/>
    <w:qFormat/>
    <w:uiPriority w:val="9"/>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autoRedefine/>
    <w:semiHidden/>
    <w:unhideWhenUsed/>
    <w:qFormat/>
    <w:uiPriority w:val="9"/>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autoRedefine/>
    <w:semiHidden/>
    <w:unhideWhenUsed/>
    <w:qFormat/>
    <w:uiPriority w:val="9"/>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autoRedefine/>
    <w:semiHidden/>
    <w:unhideWhenUsed/>
    <w:qFormat/>
    <w:uiPriority w:val="9"/>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36">
    <w:name w:val="Default Paragraph Font"/>
    <w:autoRedefine/>
    <w:semiHidden/>
    <w:unhideWhenUsed/>
    <w:qFormat/>
    <w:uiPriority w:val="1"/>
  </w:style>
  <w:style w:type="table" w:default="1" w:styleId="34">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spacing w:line="240" w:lineRule="auto"/>
      <w:ind w:left="2520" w:leftChars="1200" w:firstLine="0" w:firstLineChars="0"/>
    </w:pPr>
    <w:rPr>
      <w:rFonts w:asciiTheme="minorHAnsi" w:hAnsiTheme="minorHAnsi" w:eastAsiaTheme="minorEastAsia"/>
      <w:color w:val="auto"/>
    </w:rPr>
  </w:style>
  <w:style w:type="paragraph" w:styleId="12">
    <w:name w:val="Normal Indent"/>
    <w:basedOn w:val="1"/>
    <w:link w:val="63"/>
    <w:autoRedefine/>
    <w:qFormat/>
    <w:uiPriority w:val="0"/>
    <w:pPr>
      <w:spacing w:line="360" w:lineRule="auto"/>
      <w:ind w:firstLine="420" w:firstLineChars="0"/>
    </w:pPr>
    <w:rPr>
      <w:rFonts w:asciiTheme="minorHAnsi" w:hAnsiTheme="minorHAnsi" w:eastAsiaTheme="minorEastAsia"/>
      <w:color w:val="auto"/>
      <w:szCs w:val="21"/>
    </w:rPr>
  </w:style>
  <w:style w:type="paragraph" w:styleId="13">
    <w:name w:val="caption"/>
    <w:basedOn w:val="1"/>
    <w:next w:val="1"/>
    <w:autoRedefine/>
    <w:unhideWhenUsed/>
    <w:qFormat/>
    <w:uiPriority w:val="35"/>
    <w:pPr>
      <w:keepNext/>
      <w:spacing w:before="50" w:beforeLines="50" w:after="50" w:afterLines="50"/>
      <w:ind w:firstLine="0" w:firstLineChars="0"/>
      <w:jc w:val="center"/>
    </w:pPr>
    <w:rPr>
      <w:rFonts w:eastAsia="黑体" w:asciiTheme="majorAscii" w:hAnsiTheme="majorAscii" w:cstheme="majorBidi"/>
      <w:szCs w:val="20"/>
    </w:rPr>
  </w:style>
  <w:style w:type="paragraph" w:styleId="14">
    <w:name w:val="annotation text"/>
    <w:basedOn w:val="1"/>
    <w:link w:val="87"/>
    <w:autoRedefine/>
    <w:unhideWhenUsed/>
    <w:qFormat/>
    <w:uiPriority w:val="99"/>
    <w:pPr>
      <w:spacing w:line="360" w:lineRule="auto"/>
      <w:jc w:val="left"/>
    </w:pPr>
    <w:rPr>
      <w:rFonts w:ascii="Times New Roman" w:hAnsi="Times New Roman" w:eastAsia="宋体"/>
      <w:color w:val="auto"/>
      <w:sz w:val="18"/>
      <w:szCs w:val="20"/>
    </w:rPr>
  </w:style>
  <w:style w:type="paragraph" w:styleId="15">
    <w:name w:val="Body Text"/>
    <w:basedOn w:val="1"/>
    <w:link w:val="55"/>
    <w:autoRedefine/>
    <w:unhideWhenUsed/>
    <w:qFormat/>
    <w:uiPriority w:val="0"/>
  </w:style>
  <w:style w:type="paragraph" w:styleId="16">
    <w:name w:val="toc 5"/>
    <w:basedOn w:val="1"/>
    <w:next w:val="1"/>
    <w:autoRedefine/>
    <w:unhideWhenUsed/>
    <w:qFormat/>
    <w:uiPriority w:val="39"/>
    <w:pPr>
      <w:spacing w:line="240" w:lineRule="auto"/>
      <w:ind w:left="1680" w:leftChars="800" w:firstLine="0" w:firstLineChars="0"/>
    </w:pPr>
    <w:rPr>
      <w:rFonts w:asciiTheme="minorHAnsi" w:hAnsiTheme="minorHAnsi" w:eastAsiaTheme="minorEastAsia"/>
      <w:color w:val="auto"/>
    </w:rPr>
  </w:style>
  <w:style w:type="paragraph" w:styleId="17">
    <w:name w:val="toc 3"/>
    <w:basedOn w:val="1"/>
    <w:next w:val="1"/>
    <w:autoRedefine/>
    <w:unhideWhenUsed/>
    <w:qFormat/>
    <w:uiPriority w:val="39"/>
    <w:pPr>
      <w:tabs>
        <w:tab w:val="right" w:leader="dot" w:pos="8296"/>
      </w:tabs>
      <w:spacing w:after="163"/>
      <w:ind w:left="564" w:leftChars="235" w:firstLine="2" w:firstLineChars="0"/>
    </w:pPr>
  </w:style>
  <w:style w:type="paragraph" w:styleId="18">
    <w:name w:val="toc 8"/>
    <w:basedOn w:val="1"/>
    <w:next w:val="1"/>
    <w:autoRedefine/>
    <w:unhideWhenUsed/>
    <w:qFormat/>
    <w:uiPriority w:val="39"/>
    <w:pPr>
      <w:spacing w:line="240" w:lineRule="auto"/>
      <w:ind w:left="2940" w:leftChars="1400" w:firstLine="0" w:firstLineChars="0"/>
    </w:pPr>
    <w:rPr>
      <w:rFonts w:asciiTheme="minorHAnsi" w:hAnsiTheme="minorHAnsi" w:eastAsiaTheme="minorEastAsia"/>
      <w:color w:val="auto"/>
    </w:rPr>
  </w:style>
  <w:style w:type="paragraph" w:styleId="19">
    <w:name w:val="Date"/>
    <w:basedOn w:val="1"/>
    <w:next w:val="1"/>
    <w:link w:val="84"/>
    <w:autoRedefine/>
    <w:semiHidden/>
    <w:unhideWhenUsed/>
    <w:qFormat/>
    <w:uiPriority w:val="99"/>
    <w:pPr>
      <w:spacing w:line="360" w:lineRule="auto"/>
      <w:ind w:left="100" w:leftChars="2500"/>
    </w:pPr>
    <w:rPr>
      <w:rFonts w:ascii="Times New Roman" w:hAnsi="Times New Roman"/>
      <w:color w:val="auto"/>
    </w:rPr>
  </w:style>
  <w:style w:type="paragraph" w:styleId="20">
    <w:name w:val="endnote text"/>
    <w:basedOn w:val="1"/>
    <w:link w:val="94"/>
    <w:autoRedefine/>
    <w:semiHidden/>
    <w:unhideWhenUsed/>
    <w:qFormat/>
    <w:uiPriority w:val="99"/>
    <w:pPr>
      <w:snapToGrid w:val="0"/>
      <w:jc w:val="left"/>
    </w:pPr>
  </w:style>
  <w:style w:type="paragraph" w:styleId="21">
    <w:name w:val="Balloon Text"/>
    <w:basedOn w:val="1"/>
    <w:link w:val="51"/>
    <w:autoRedefine/>
    <w:semiHidden/>
    <w:unhideWhenUsed/>
    <w:qFormat/>
    <w:uiPriority w:val="99"/>
    <w:pPr>
      <w:spacing w:line="240" w:lineRule="auto"/>
    </w:pPr>
    <w:rPr>
      <w:sz w:val="18"/>
      <w:szCs w:val="18"/>
    </w:rPr>
  </w:style>
  <w:style w:type="paragraph" w:styleId="22">
    <w:name w:val="footer"/>
    <w:basedOn w:val="1"/>
    <w:link w:val="54"/>
    <w:autoRedefine/>
    <w:unhideWhenUsed/>
    <w:qFormat/>
    <w:uiPriority w:val="99"/>
    <w:pPr>
      <w:tabs>
        <w:tab w:val="center" w:pos="4153"/>
        <w:tab w:val="right" w:pos="8306"/>
      </w:tabs>
      <w:snapToGrid w:val="0"/>
      <w:spacing w:line="240" w:lineRule="atLeast"/>
      <w:jc w:val="left"/>
    </w:pPr>
    <w:rPr>
      <w:sz w:val="18"/>
      <w:szCs w:val="18"/>
    </w:rPr>
  </w:style>
  <w:style w:type="paragraph" w:styleId="23">
    <w:name w:val="header"/>
    <w:basedOn w:val="1"/>
    <w:link w:val="53"/>
    <w:autoRedefine/>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24">
    <w:name w:val="toc 1"/>
    <w:basedOn w:val="1"/>
    <w:next w:val="1"/>
    <w:autoRedefine/>
    <w:unhideWhenUsed/>
    <w:qFormat/>
    <w:uiPriority w:val="39"/>
    <w:pPr>
      <w:tabs>
        <w:tab w:val="right" w:leader="dot" w:pos="8296"/>
      </w:tabs>
      <w:spacing w:after="163"/>
      <w:ind w:firstLine="0" w:firstLineChars="0"/>
    </w:pPr>
  </w:style>
  <w:style w:type="paragraph" w:styleId="25">
    <w:name w:val="toc 4"/>
    <w:basedOn w:val="1"/>
    <w:next w:val="1"/>
    <w:autoRedefine/>
    <w:unhideWhenUsed/>
    <w:qFormat/>
    <w:uiPriority w:val="39"/>
    <w:pPr>
      <w:spacing w:line="240" w:lineRule="auto"/>
      <w:ind w:left="1260" w:leftChars="600" w:firstLine="0" w:firstLineChars="0"/>
    </w:pPr>
    <w:rPr>
      <w:rFonts w:asciiTheme="minorHAnsi" w:hAnsiTheme="minorHAnsi" w:eastAsiaTheme="minorEastAsia"/>
      <w:color w:val="auto"/>
    </w:rPr>
  </w:style>
  <w:style w:type="paragraph" w:styleId="26">
    <w:name w:val="List"/>
    <w:basedOn w:val="1"/>
    <w:qFormat/>
    <w:uiPriority w:val="0"/>
    <w:pPr>
      <w:ind w:left="200" w:hanging="200" w:hangingChars="200"/>
    </w:pPr>
  </w:style>
  <w:style w:type="paragraph" w:styleId="27">
    <w:name w:val="footnote text"/>
    <w:basedOn w:val="1"/>
    <w:link w:val="83"/>
    <w:autoRedefine/>
    <w:semiHidden/>
    <w:qFormat/>
    <w:uiPriority w:val="0"/>
    <w:pPr>
      <w:snapToGrid w:val="0"/>
      <w:spacing w:line="240" w:lineRule="auto"/>
      <w:ind w:firstLine="0" w:firstLineChars="0"/>
      <w:jc w:val="left"/>
    </w:pPr>
    <w:rPr>
      <w:rFonts w:cs="Times New Roman"/>
      <w:color w:val="auto"/>
      <w:kern w:val="0"/>
      <w:sz w:val="21"/>
      <w:szCs w:val="18"/>
      <w:lang w:val="zh-CN"/>
    </w:rPr>
  </w:style>
  <w:style w:type="paragraph" w:styleId="28">
    <w:name w:val="toc 6"/>
    <w:basedOn w:val="1"/>
    <w:next w:val="1"/>
    <w:autoRedefine/>
    <w:unhideWhenUsed/>
    <w:qFormat/>
    <w:uiPriority w:val="39"/>
    <w:pPr>
      <w:spacing w:line="240" w:lineRule="auto"/>
      <w:ind w:left="2100" w:leftChars="1000" w:firstLine="0" w:firstLineChars="0"/>
    </w:pPr>
    <w:rPr>
      <w:rFonts w:asciiTheme="minorHAnsi" w:hAnsiTheme="minorHAnsi" w:eastAsiaTheme="minorEastAsia"/>
      <w:color w:val="auto"/>
    </w:rPr>
  </w:style>
  <w:style w:type="paragraph" w:styleId="29">
    <w:name w:val="toc 2"/>
    <w:basedOn w:val="1"/>
    <w:next w:val="1"/>
    <w:autoRedefine/>
    <w:unhideWhenUsed/>
    <w:qFormat/>
    <w:uiPriority w:val="39"/>
    <w:pPr>
      <w:tabs>
        <w:tab w:val="right" w:leader="dot" w:pos="8296"/>
      </w:tabs>
      <w:spacing w:after="163"/>
      <w:ind w:left="480" w:leftChars="200" w:firstLine="86" w:firstLineChars="36"/>
    </w:pPr>
  </w:style>
  <w:style w:type="paragraph" w:styleId="30">
    <w:name w:val="toc 9"/>
    <w:basedOn w:val="1"/>
    <w:next w:val="1"/>
    <w:autoRedefine/>
    <w:unhideWhenUsed/>
    <w:qFormat/>
    <w:uiPriority w:val="39"/>
    <w:pPr>
      <w:spacing w:line="240" w:lineRule="auto"/>
      <w:ind w:left="3360" w:leftChars="1600" w:firstLine="0" w:firstLineChars="0"/>
    </w:pPr>
    <w:rPr>
      <w:rFonts w:asciiTheme="minorHAnsi" w:hAnsiTheme="minorHAnsi" w:eastAsiaTheme="minorEastAsia"/>
      <w:color w:val="auto"/>
    </w:rPr>
  </w:style>
  <w:style w:type="paragraph" w:styleId="31">
    <w:name w:val="Normal (Web)"/>
    <w:basedOn w:val="1"/>
    <w:autoRedefine/>
    <w:unhideWhenUsed/>
    <w:qFormat/>
    <w:uiPriority w:val="99"/>
    <w:pPr>
      <w:spacing w:before="100" w:beforeAutospacing="1" w:after="100" w:afterAutospacing="1" w:line="360" w:lineRule="auto"/>
      <w:ind w:firstLine="0" w:firstLineChars="0"/>
      <w:jc w:val="left"/>
    </w:pPr>
    <w:rPr>
      <w:rFonts w:ascii="宋体" w:hAnsi="宋体" w:cs="宋体"/>
      <w:color w:val="auto"/>
      <w:kern w:val="0"/>
      <w:szCs w:val="24"/>
    </w:rPr>
  </w:style>
  <w:style w:type="paragraph" w:styleId="32">
    <w:name w:val="Title"/>
    <w:basedOn w:val="1"/>
    <w:next w:val="1"/>
    <w:link w:val="45"/>
    <w:autoRedefine/>
    <w:qFormat/>
    <w:uiPriority w:val="10"/>
    <w:pPr>
      <w:spacing w:before="240"/>
      <w:jc w:val="center"/>
      <w:outlineLvl w:val="0"/>
    </w:pPr>
    <w:rPr>
      <w:rFonts w:ascii="Arial Unicode MS" w:hAnsi="Arial Unicode MS" w:cstheme="majorBidi"/>
      <w:b/>
      <w:bCs/>
      <w:szCs w:val="32"/>
    </w:rPr>
  </w:style>
  <w:style w:type="paragraph" w:styleId="33">
    <w:name w:val="annotation subject"/>
    <w:basedOn w:val="14"/>
    <w:next w:val="14"/>
    <w:link w:val="88"/>
    <w:autoRedefine/>
    <w:semiHidden/>
    <w:unhideWhenUsed/>
    <w:qFormat/>
    <w:uiPriority w:val="99"/>
    <w:rPr>
      <w:b/>
      <w:bCs/>
    </w:rPr>
  </w:style>
  <w:style w:type="table" w:styleId="35">
    <w:name w:val="Table Grid"/>
    <w:basedOn w:val="34"/>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autoRedefine/>
    <w:qFormat/>
    <w:uiPriority w:val="22"/>
    <w:rPr>
      <w:rFonts w:eastAsia="宋体"/>
      <w:b/>
      <w:bCs/>
      <w:sz w:val="21"/>
    </w:rPr>
  </w:style>
  <w:style w:type="character" w:styleId="38">
    <w:name w:val="endnote reference"/>
    <w:basedOn w:val="36"/>
    <w:autoRedefine/>
    <w:semiHidden/>
    <w:unhideWhenUsed/>
    <w:qFormat/>
    <w:uiPriority w:val="99"/>
    <w:rPr>
      <w:vertAlign w:val="superscript"/>
    </w:rPr>
  </w:style>
  <w:style w:type="character" w:styleId="39">
    <w:name w:val="Emphasis"/>
    <w:basedOn w:val="36"/>
    <w:autoRedefine/>
    <w:qFormat/>
    <w:uiPriority w:val="20"/>
    <w:rPr>
      <w:i/>
    </w:rPr>
  </w:style>
  <w:style w:type="character" w:styleId="40">
    <w:name w:val="Hyperlink"/>
    <w:basedOn w:val="36"/>
    <w:autoRedefine/>
    <w:unhideWhenUsed/>
    <w:qFormat/>
    <w:uiPriority w:val="99"/>
    <w:rPr>
      <w:color w:val="0000FF" w:themeColor="hyperlink"/>
      <w:u w:val="single"/>
      <w14:textFill>
        <w14:solidFill>
          <w14:schemeClr w14:val="hlink"/>
        </w14:solidFill>
      </w14:textFill>
    </w:rPr>
  </w:style>
  <w:style w:type="character" w:styleId="41">
    <w:name w:val="annotation reference"/>
    <w:basedOn w:val="36"/>
    <w:autoRedefine/>
    <w:semiHidden/>
    <w:unhideWhenUsed/>
    <w:qFormat/>
    <w:uiPriority w:val="99"/>
    <w:rPr>
      <w:sz w:val="21"/>
      <w:szCs w:val="21"/>
    </w:rPr>
  </w:style>
  <w:style w:type="character" w:styleId="42">
    <w:name w:val="footnote reference"/>
    <w:autoRedefine/>
    <w:semiHidden/>
    <w:qFormat/>
    <w:uiPriority w:val="0"/>
    <w:rPr>
      <w:vertAlign w:val="superscript"/>
    </w:rPr>
  </w:style>
  <w:style w:type="character" w:customStyle="1" w:styleId="43">
    <w:name w:val="标题 1 字符"/>
    <w:basedOn w:val="36"/>
    <w:link w:val="2"/>
    <w:autoRedefine/>
    <w:qFormat/>
    <w:uiPriority w:val="0"/>
    <w:rPr>
      <w:rFonts w:ascii="Arial" w:hAnsi="Arial" w:eastAsia="黑体"/>
      <w:bCs/>
      <w:color w:val="000000" w:themeColor="text1"/>
      <w:kern w:val="44"/>
      <w:sz w:val="28"/>
      <w:szCs w:val="44"/>
      <w14:textFill>
        <w14:solidFill>
          <w14:schemeClr w14:val="tx1"/>
        </w14:solidFill>
      </w14:textFill>
    </w:rPr>
  </w:style>
  <w:style w:type="character" w:customStyle="1" w:styleId="44">
    <w:name w:val="标题 2 字符"/>
    <w:basedOn w:val="36"/>
    <w:link w:val="3"/>
    <w:autoRedefine/>
    <w:qFormat/>
    <w:uiPriority w:val="9"/>
    <w:rPr>
      <w:rFonts w:ascii="Arial Unicode MS" w:hAnsi="Arial Unicode MS" w:eastAsia="黑体" w:cstheme="majorBidi"/>
      <w:bCs/>
      <w:color w:val="000000" w:themeColor="text1"/>
      <w:sz w:val="24"/>
      <w:szCs w:val="32"/>
      <w14:textFill>
        <w14:solidFill>
          <w14:schemeClr w14:val="tx1"/>
        </w14:solidFill>
      </w14:textFill>
    </w:rPr>
  </w:style>
  <w:style w:type="character" w:customStyle="1" w:styleId="45">
    <w:name w:val="标题 字符"/>
    <w:basedOn w:val="36"/>
    <w:link w:val="32"/>
    <w:autoRedefine/>
    <w:qFormat/>
    <w:uiPriority w:val="0"/>
    <w:rPr>
      <w:rFonts w:ascii="Arial Unicode MS" w:hAnsi="Arial Unicode MS" w:eastAsia="宋体" w:cstheme="majorBidi"/>
      <w:b/>
      <w:bCs/>
      <w:color w:val="000000" w:themeColor="text1"/>
      <w:sz w:val="24"/>
      <w:szCs w:val="32"/>
      <w14:textFill>
        <w14:solidFill>
          <w14:schemeClr w14:val="tx1"/>
        </w14:solidFill>
      </w14:textFill>
    </w:rPr>
  </w:style>
  <w:style w:type="paragraph" w:styleId="46">
    <w:name w:val="List Paragraph"/>
    <w:basedOn w:val="1"/>
    <w:link w:val="56"/>
    <w:autoRedefine/>
    <w:qFormat/>
    <w:uiPriority w:val="34"/>
    <w:pPr>
      <w:spacing w:after="0" w:line="360" w:lineRule="exact"/>
      <w:ind w:firstLine="0" w:firstLineChars="0"/>
    </w:pPr>
    <w:rPr>
      <w:sz w:val="24"/>
    </w:rPr>
  </w:style>
  <w:style w:type="character" w:customStyle="1" w:styleId="47">
    <w:name w:val="标题 3 字符"/>
    <w:basedOn w:val="36"/>
    <w:link w:val="4"/>
    <w:autoRedefine/>
    <w:qFormat/>
    <w:uiPriority w:val="9"/>
    <w:rPr>
      <w:rFonts w:ascii="Arial Unicode MS" w:hAnsi="Arial Unicode MS" w:eastAsia="黑体"/>
      <w:bCs/>
      <w:color w:val="000000" w:themeColor="text1"/>
      <w:szCs w:val="32"/>
      <w14:textFill>
        <w14:solidFill>
          <w14:schemeClr w14:val="tx1"/>
        </w14:solidFill>
      </w14:textFill>
    </w:rPr>
  </w:style>
  <w:style w:type="paragraph" w:customStyle="1" w:styleId="48">
    <w:name w:val="xl74"/>
    <w:basedOn w:val="1"/>
    <w:autoRedefine/>
    <w:qFormat/>
    <w:uiPriority w:val="0"/>
    <w:pPr>
      <w:pBdr>
        <w:top w:val="single" w:color="auto" w:sz="4" w:space="0"/>
        <w:left w:val="single" w:color="auto" w:sz="4" w:space="0"/>
        <w:bottom w:val="single" w:color="auto" w:sz="4" w:space="0"/>
        <w:right w:val="single" w:color="auto" w:sz="4" w:space="0"/>
      </w:pBdr>
      <w:spacing w:before="100" w:beforeLines="50" w:beforeAutospacing="1" w:after="100" w:afterAutospacing="1" w:line="240" w:lineRule="auto"/>
      <w:ind w:firstLine="0" w:firstLineChars="0"/>
      <w:jc w:val="left"/>
      <w:textAlignment w:val="center"/>
    </w:pPr>
    <w:rPr>
      <w:rFonts w:ascii="宋体" w:hAnsi="宋体" w:cs="宋体"/>
      <w:color w:val="000000"/>
      <w:kern w:val="0"/>
      <w:sz w:val="20"/>
      <w:szCs w:val="20"/>
    </w:rPr>
  </w:style>
  <w:style w:type="table" w:customStyle="1" w:styleId="49">
    <w:name w:val="网格型1"/>
    <w:basedOn w:val="34"/>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0">
    <w:name w:val="标题 4 字符"/>
    <w:basedOn w:val="36"/>
    <w:link w:val="5"/>
    <w:autoRedefine/>
    <w:qFormat/>
    <w:uiPriority w:val="9"/>
    <w:rPr>
      <w:rFonts w:ascii="Times New Roman" w:hAnsi="Times New Roman" w:eastAsia="黑体" w:cstheme="majorBidi"/>
      <w:bCs/>
      <w:color w:val="000000" w:themeColor="text1"/>
      <w:sz w:val="24"/>
      <w:szCs w:val="24"/>
      <w14:textFill>
        <w14:solidFill>
          <w14:schemeClr w14:val="tx1"/>
        </w14:solidFill>
      </w14:textFill>
    </w:rPr>
  </w:style>
  <w:style w:type="character" w:customStyle="1" w:styleId="51">
    <w:name w:val="批注框文本 字符"/>
    <w:basedOn w:val="36"/>
    <w:link w:val="21"/>
    <w:autoRedefine/>
    <w:semiHidden/>
    <w:qFormat/>
    <w:uiPriority w:val="99"/>
    <w:rPr>
      <w:rFonts w:ascii="Times" w:hAnsi="Times" w:eastAsia="宋体"/>
      <w:color w:val="000000" w:themeColor="text1"/>
      <w:sz w:val="18"/>
      <w:szCs w:val="18"/>
      <w14:textFill>
        <w14:solidFill>
          <w14:schemeClr w14:val="tx1"/>
        </w14:solidFill>
      </w14:textFill>
    </w:rPr>
  </w:style>
  <w:style w:type="character" w:customStyle="1" w:styleId="52">
    <w:name w:val="书籍标题1"/>
    <w:basedOn w:val="36"/>
    <w:autoRedefine/>
    <w:qFormat/>
    <w:uiPriority w:val="33"/>
    <w:rPr>
      <w:b/>
      <w:bCs/>
      <w:smallCaps/>
      <w:spacing w:val="5"/>
    </w:rPr>
  </w:style>
  <w:style w:type="character" w:customStyle="1" w:styleId="53">
    <w:name w:val="页眉 字符"/>
    <w:basedOn w:val="36"/>
    <w:link w:val="23"/>
    <w:autoRedefine/>
    <w:qFormat/>
    <w:uiPriority w:val="99"/>
    <w:rPr>
      <w:rFonts w:ascii="Times" w:hAnsi="Times" w:eastAsia="宋体"/>
      <w:color w:val="000000" w:themeColor="text1"/>
      <w:sz w:val="18"/>
      <w:szCs w:val="18"/>
      <w14:textFill>
        <w14:solidFill>
          <w14:schemeClr w14:val="tx1"/>
        </w14:solidFill>
      </w14:textFill>
    </w:rPr>
  </w:style>
  <w:style w:type="character" w:customStyle="1" w:styleId="54">
    <w:name w:val="页脚 字符"/>
    <w:basedOn w:val="36"/>
    <w:link w:val="22"/>
    <w:autoRedefine/>
    <w:qFormat/>
    <w:uiPriority w:val="99"/>
    <w:rPr>
      <w:rFonts w:ascii="Times" w:hAnsi="Times" w:eastAsia="宋体"/>
      <w:color w:val="000000" w:themeColor="text1"/>
      <w:sz w:val="18"/>
      <w:szCs w:val="18"/>
      <w14:textFill>
        <w14:solidFill>
          <w14:schemeClr w14:val="tx1"/>
        </w14:solidFill>
      </w14:textFill>
    </w:rPr>
  </w:style>
  <w:style w:type="character" w:customStyle="1" w:styleId="55">
    <w:name w:val="正文文本 字符"/>
    <w:basedOn w:val="36"/>
    <w:link w:val="15"/>
    <w:autoRedefine/>
    <w:qFormat/>
    <w:uiPriority w:val="0"/>
    <w:rPr>
      <w:rFonts w:ascii="Times" w:hAnsi="Times" w:eastAsia="宋体"/>
      <w:color w:val="000000" w:themeColor="text1"/>
      <w:sz w:val="24"/>
      <w14:textFill>
        <w14:solidFill>
          <w14:schemeClr w14:val="tx1"/>
        </w14:solidFill>
      </w14:textFill>
    </w:rPr>
  </w:style>
  <w:style w:type="character" w:customStyle="1" w:styleId="56">
    <w:name w:val="列表段落 字符"/>
    <w:basedOn w:val="36"/>
    <w:link w:val="46"/>
    <w:autoRedefine/>
    <w:qFormat/>
    <w:uiPriority w:val="34"/>
    <w:rPr>
      <w:rFonts w:ascii="Times" w:hAnsi="Times" w:eastAsia="方正仿宋_GBK"/>
      <w:color w:val="000000" w:themeColor="text1"/>
      <w:sz w:val="24"/>
      <w14:textFill>
        <w14:solidFill>
          <w14:schemeClr w14:val="tx1"/>
        </w14:solidFill>
      </w14:textFill>
    </w:rPr>
  </w:style>
  <w:style w:type="paragraph" w:customStyle="1" w:styleId="57">
    <w:name w:val="标题4"/>
    <w:basedOn w:val="1"/>
    <w:next w:val="1"/>
    <w:link w:val="58"/>
    <w:autoRedefine/>
    <w:qFormat/>
    <w:uiPriority w:val="0"/>
    <w:pPr>
      <w:spacing w:line="360" w:lineRule="auto"/>
      <w:ind w:firstLine="0" w:firstLineChars="0"/>
      <w:outlineLvl w:val="3"/>
    </w:pPr>
    <w:rPr>
      <w:rFonts w:ascii="Times New Roman" w:hAnsi="Times New Roman" w:cstheme="majorBidi"/>
      <w:sz w:val="28"/>
      <w:szCs w:val="32"/>
    </w:rPr>
  </w:style>
  <w:style w:type="character" w:customStyle="1" w:styleId="58">
    <w:name w:val="标题4 字符"/>
    <w:basedOn w:val="45"/>
    <w:link w:val="57"/>
    <w:autoRedefine/>
    <w:qFormat/>
    <w:uiPriority w:val="0"/>
    <w:rPr>
      <w:rFonts w:ascii="Times New Roman" w:hAnsi="Times New Roman" w:eastAsia="宋体" w:cstheme="majorBidi"/>
      <w:b w:val="0"/>
      <w:bCs w:val="0"/>
      <w:color w:val="000000" w:themeColor="text1"/>
      <w:sz w:val="28"/>
      <w:szCs w:val="32"/>
      <w14:textFill>
        <w14:solidFill>
          <w14:schemeClr w14:val="tx1"/>
        </w14:solidFill>
      </w14:textFill>
    </w:rPr>
  </w:style>
  <w:style w:type="paragraph" w:customStyle="1" w:styleId="59">
    <w:name w:val="标题5"/>
    <w:basedOn w:val="1"/>
    <w:next w:val="1"/>
    <w:link w:val="60"/>
    <w:autoRedefine/>
    <w:qFormat/>
    <w:uiPriority w:val="0"/>
    <w:pPr>
      <w:spacing w:line="360" w:lineRule="auto"/>
      <w:ind w:firstLine="0" w:firstLineChars="0"/>
      <w:outlineLvl w:val="4"/>
    </w:pPr>
    <w:rPr>
      <w:rFonts w:ascii="Times New Roman" w:hAnsi="Times New Roman" w:cstheme="majorBidi"/>
      <w:szCs w:val="32"/>
    </w:rPr>
  </w:style>
  <w:style w:type="character" w:customStyle="1" w:styleId="60">
    <w:name w:val="标题5 字符"/>
    <w:basedOn w:val="58"/>
    <w:link w:val="59"/>
    <w:autoRedefine/>
    <w:qFormat/>
    <w:uiPriority w:val="0"/>
    <w:rPr>
      <w:rFonts w:ascii="Times New Roman" w:hAnsi="Times New Roman" w:eastAsia="宋体" w:cstheme="majorBidi"/>
      <w:color w:val="000000" w:themeColor="text1"/>
      <w:sz w:val="24"/>
      <w:szCs w:val="32"/>
      <w14:textFill>
        <w14:solidFill>
          <w14:schemeClr w14:val="tx1"/>
        </w14:solidFill>
      </w14:textFill>
    </w:rPr>
  </w:style>
  <w:style w:type="character" w:customStyle="1" w:styleId="61">
    <w:name w:val="列出段落 Char"/>
    <w:link w:val="62"/>
    <w:autoRedefine/>
    <w:qFormat/>
    <w:locked/>
    <w:uiPriority w:val="0"/>
    <w:rPr>
      <w:rFonts w:ascii="Times New Roman" w:hAnsi="Times New Roman" w:eastAsiaTheme="minorEastAsia"/>
      <w:sz w:val="21"/>
      <w:szCs w:val="24"/>
      <w:lang w:eastAsia="en-US" w:bidi="en-US"/>
    </w:rPr>
  </w:style>
  <w:style w:type="paragraph" w:customStyle="1" w:styleId="62">
    <w:name w:val="列出段落1"/>
    <w:basedOn w:val="1"/>
    <w:link w:val="61"/>
    <w:autoRedefine/>
    <w:qFormat/>
    <w:uiPriority w:val="0"/>
    <w:pPr>
      <w:spacing w:line="240" w:lineRule="auto"/>
      <w:ind w:left="0" w:firstLine="0" w:firstLineChars="0"/>
      <w:contextualSpacing/>
      <w:jc w:val="left"/>
    </w:pPr>
    <w:rPr>
      <w:rFonts w:eastAsiaTheme="minorEastAsia"/>
      <w:color w:val="auto"/>
      <w:sz w:val="21"/>
      <w:szCs w:val="24"/>
      <w:lang w:eastAsia="en-US" w:bidi="en-US"/>
    </w:rPr>
  </w:style>
  <w:style w:type="character" w:customStyle="1" w:styleId="63">
    <w:name w:val="正文缩进 字符"/>
    <w:link w:val="12"/>
    <w:autoRedefine/>
    <w:qFormat/>
    <w:uiPriority w:val="0"/>
    <w:rPr>
      <w:szCs w:val="21"/>
    </w:rPr>
  </w:style>
  <w:style w:type="paragraph" w:customStyle="1" w:styleId="64">
    <w:name w:val="Char"/>
    <w:basedOn w:val="1"/>
    <w:autoRedefine/>
    <w:qFormat/>
    <w:uiPriority w:val="0"/>
    <w:pPr>
      <w:tabs>
        <w:tab w:val="left" w:pos="360"/>
      </w:tabs>
      <w:spacing w:line="360" w:lineRule="auto"/>
    </w:pPr>
    <w:rPr>
      <w:rFonts w:ascii="Times New Roman" w:hAnsi="Times New Roman" w:cs="Times New Roman"/>
      <w:color w:val="auto"/>
      <w:sz w:val="28"/>
      <w:szCs w:val="30"/>
    </w:rPr>
  </w:style>
  <w:style w:type="paragraph" w:customStyle="1" w:styleId="65">
    <w:name w:val="普通正文"/>
    <w:basedOn w:val="1"/>
    <w:autoRedefine/>
    <w:qFormat/>
    <w:uiPriority w:val="0"/>
    <w:pPr>
      <w:adjustRightInd w:val="0"/>
      <w:spacing w:before="120" w:line="360" w:lineRule="auto"/>
      <w:ind w:firstLine="480" w:firstLineChars="0"/>
      <w:jc w:val="left"/>
      <w:textAlignment w:val="baseline"/>
    </w:pPr>
    <w:rPr>
      <w:rFonts w:ascii="Arial" w:hAnsi="Arial" w:cs="Times New Roman"/>
      <w:color w:val="auto"/>
      <w:kern w:val="0"/>
      <w:szCs w:val="24"/>
    </w:rPr>
  </w:style>
  <w:style w:type="character" w:customStyle="1" w:styleId="66">
    <w:name w:val="无间隔 Char"/>
    <w:link w:val="67"/>
    <w:autoRedefine/>
    <w:qFormat/>
    <w:uiPriority w:val="0"/>
    <w:rPr>
      <w:sz w:val="22"/>
    </w:rPr>
  </w:style>
  <w:style w:type="paragraph" w:customStyle="1" w:styleId="67">
    <w:name w:val="无间隔1"/>
    <w:link w:val="66"/>
    <w:autoRedefine/>
    <w:qFormat/>
    <w:uiPriority w:val="0"/>
    <w:rPr>
      <w:rFonts w:asciiTheme="minorHAnsi" w:hAnsiTheme="minorHAnsi" w:eastAsiaTheme="minorEastAsia" w:cstheme="minorBidi"/>
      <w:kern w:val="2"/>
      <w:sz w:val="22"/>
      <w:szCs w:val="22"/>
      <w:lang w:val="en-US" w:eastAsia="zh-CN" w:bidi="ar-SA"/>
    </w:rPr>
  </w:style>
  <w:style w:type="paragraph" w:customStyle="1" w:styleId="68">
    <w:name w:val="Default"/>
    <w:autoRedefine/>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styleId="69">
    <w:name w:val="No Spacing"/>
    <w:autoRedefine/>
    <w:qFormat/>
    <w:uiPriority w:val="1"/>
    <w:pPr>
      <w:widowControl w:val="0"/>
      <w:ind w:firstLine="200" w:firstLineChars="200"/>
      <w:jc w:val="both"/>
    </w:pPr>
    <w:rPr>
      <w:rFonts w:ascii="Times New Roman" w:hAnsi="Times New Roman" w:eastAsia="宋体" w:cstheme="minorBidi"/>
      <w:kern w:val="2"/>
      <w:sz w:val="21"/>
      <w:szCs w:val="22"/>
      <w:lang w:val="en-US" w:eastAsia="zh-CN" w:bidi="ar-SA"/>
    </w:rPr>
  </w:style>
  <w:style w:type="paragraph" w:customStyle="1" w:styleId="70">
    <w:name w:val="段"/>
    <w:link w:val="71"/>
    <w:autoRedefine/>
    <w:qFormat/>
    <w:uiPriority w:val="99"/>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71">
    <w:name w:val="段 Char"/>
    <w:basedOn w:val="36"/>
    <w:link w:val="70"/>
    <w:autoRedefine/>
    <w:qFormat/>
    <w:locked/>
    <w:uiPriority w:val="99"/>
    <w:rPr>
      <w:rFonts w:ascii="宋体" w:hAnsi="Times New Roman" w:eastAsia="宋体" w:cs="Times New Roman"/>
      <w:kern w:val="0"/>
      <w:szCs w:val="20"/>
    </w:rPr>
  </w:style>
  <w:style w:type="paragraph" w:customStyle="1" w:styleId="72">
    <w:name w:val="注×："/>
    <w:autoRedefine/>
    <w:qFormat/>
    <w:uiPriority w:val="99"/>
    <w:pPr>
      <w:widowControl w:val="0"/>
      <w:numPr>
        <w:ilvl w:val="0"/>
        <w:numId w:val="2"/>
      </w:numPr>
      <w:autoSpaceDE w:val="0"/>
      <w:autoSpaceDN w:val="0"/>
      <w:jc w:val="both"/>
    </w:pPr>
    <w:rPr>
      <w:rFonts w:ascii="宋体" w:hAnsi="Times New Roman" w:eastAsia="宋体" w:cs="Times New Roman"/>
      <w:sz w:val="18"/>
      <w:szCs w:val="18"/>
      <w:lang w:val="en-US" w:eastAsia="zh-CN" w:bidi="ar-SA"/>
    </w:rPr>
  </w:style>
  <w:style w:type="paragraph" w:customStyle="1" w:styleId="73">
    <w:name w:val="一级条标题"/>
    <w:next w:val="70"/>
    <w:autoRedefine/>
    <w:qFormat/>
    <w:uiPriority w:val="0"/>
    <w:pPr>
      <w:numPr>
        <w:ilvl w:val="1"/>
        <w:numId w:val="3"/>
      </w:numPr>
      <w:spacing w:beforeLines="50" w:afterLines="50"/>
      <w:outlineLvl w:val="2"/>
    </w:pPr>
    <w:rPr>
      <w:rFonts w:ascii="黑体" w:hAnsi="Times New Roman" w:eastAsia="黑体" w:cs="Times New Roman"/>
      <w:sz w:val="21"/>
      <w:szCs w:val="21"/>
      <w:lang w:val="en-US" w:eastAsia="zh-CN" w:bidi="ar-SA"/>
    </w:rPr>
  </w:style>
  <w:style w:type="paragraph" w:customStyle="1" w:styleId="74">
    <w:name w:val="章标题"/>
    <w:next w:val="70"/>
    <w:autoRedefine/>
    <w:qFormat/>
    <w:uiPriority w:val="99"/>
    <w:pPr>
      <w:numPr>
        <w:ilvl w:val="0"/>
        <w:numId w:val="3"/>
      </w:numPr>
      <w:spacing w:beforeLines="100" w:afterLines="100"/>
      <w:jc w:val="both"/>
      <w:outlineLvl w:val="1"/>
    </w:pPr>
    <w:rPr>
      <w:rFonts w:ascii="黑体" w:hAnsi="Times New Roman" w:eastAsia="黑体" w:cs="Times New Roman"/>
      <w:sz w:val="21"/>
      <w:lang w:val="en-US" w:eastAsia="zh-CN" w:bidi="ar-SA"/>
    </w:rPr>
  </w:style>
  <w:style w:type="paragraph" w:customStyle="1" w:styleId="75">
    <w:name w:val="二级条标题"/>
    <w:basedOn w:val="73"/>
    <w:next w:val="70"/>
    <w:autoRedefine/>
    <w:qFormat/>
    <w:uiPriority w:val="99"/>
    <w:pPr>
      <w:numPr>
        <w:ilvl w:val="2"/>
      </w:numPr>
      <w:spacing w:before="50" w:after="50"/>
      <w:ind w:left="420"/>
      <w:outlineLvl w:val="3"/>
    </w:pPr>
  </w:style>
  <w:style w:type="paragraph" w:customStyle="1" w:styleId="76">
    <w:name w:val="三级条标题"/>
    <w:basedOn w:val="75"/>
    <w:next w:val="70"/>
    <w:autoRedefine/>
    <w:qFormat/>
    <w:uiPriority w:val="99"/>
    <w:pPr>
      <w:numPr>
        <w:ilvl w:val="3"/>
      </w:numPr>
      <w:ind w:left="0"/>
      <w:outlineLvl w:val="4"/>
    </w:pPr>
  </w:style>
  <w:style w:type="paragraph" w:customStyle="1" w:styleId="77">
    <w:name w:val="四级条标题"/>
    <w:basedOn w:val="76"/>
    <w:next w:val="70"/>
    <w:autoRedefine/>
    <w:qFormat/>
    <w:uiPriority w:val="99"/>
    <w:pPr>
      <w:numPr>
        <w:ilvl w:val="4"/>
      </w:numPr>
      <w:outlineLvl w:val="5"/>
    </w:pPr>
  </w:style>
  <w:style w:type="paragraph" w:customStyle="1" w:styleId="78">
    <w:name w:val="五级条标题"/>
    <w:basedOn w:val="77"/>
    <w:next w:val="70"/>
    <w:autoRedefine/>
    <w:qFormat/>
    <w:uiPriority w:val="99"/>
    <w:pPr>
      <w:numPr>
        <w:ilvl w:val="5"/>
      </w:numPr>
      <w:outlineLvl w:val="6"/>
    </w:pPr>
  </w:style>
  <w:style w:type="paragraph" w:customStyle="1" w:styleId="79">
    <w:name w:val="样式 正文文本 +"/>
    <w:basedOn w:val="15"/>
    <w:link w:val="80"/>
    <w:autoRedefine/>
    <w:semiHidden/>
    <w:qFormat/>
    <w:uiPriority w:val="99"/>
    <w:pPr>
      <w:spacing w:after="0"/>
      <w:ind w:firstLine="0" w:firstLineChars="0"/>
    </w:pPr>
    <w:rPr>
      <w:rFonts w:ascii="Times New Roman" w:hAnsi="Times New Roman" w:cs="Times New Roman"/>
      <w:color w:val="auto"/>
      <w:kern w:val="0"/>
      <w:sz w:val="19"/>
      <w:szCs w:val="20"/>
    </w:rPr>
  </w:style>
  <w:style w:type="character" w:customStyle="1" w:styleId="80">
    <w:name w:val="样式 正文文本 + Char"/>
    <w:link w:val="79"/>
    <w:autoRedefine/>
    <w:semiHidden/>
    <w:qFormat/>
    <w:locked/>
    <w:uiPriority w:val="99"/>
    <w:rPr>
      <w:rFonts w:ascii="Times New Roman" w:hAnsi="Times New Roman" w:eastAsia="宋体" w:cs="Times New Roman"/>
      <w:kern w:val="0"/>
      <w:sz w:val="19"/>
      <w:szCs w:val="20"/>
    </w:rPr>
  </w:style>
  <w:style w:type="paragraph" w:customStyle="1" w:styleId="81">
    <w:name w:val="正文公式编号制表符"/>
    <w:basedOn w:val="70"/>
    <w:next w:val="70"/>
    <w:autoRedefine/>
    <w:qFormat/>
    <w:uiPriority w:val="99"/>
    <w:pPr>
      <w:ind w:firstLine="0" w:firstLineChars="0"/>
    </w:pPr>
  </w:style>
  <w:style w:type="character" w:customStyle="1" w:styleId="82">
    <w:name w:val="脚注文本 字符"/>
    <w:basedOn w:val="36"/>
    <w:autoRedefine/>
    <w:semiHidden/>
    <w:qFormat/>
    <w:uiPriority w:val="99"/>
    <w:rPr>
      <w:rFonts w:ascii="Times" w:hAnsi="Times" w:eastAsia="宋体"/>
      <w:color w:val="000000" w:themeColor="text1"/>
      <w:sz w:val="18"/>
      <w:szCs w:val="18"/>
      <w14:textFill>
        <w14:solidFill>
          <w14:schemeClr w14:val="tx1"/>
        </w14:solidFill>
      </w14:textFill>
    </w:rPr>
  </w:style>
  <w:style w:type="character" w:customStyle="1" w:styleId="83">
    <w:name w:val="脚注文本 字符1"/>
    <w:link w:val="27"/>
    <w:autoRedefine/>
    <w:semiHidden/>
    <w:qFormat/>
    <w:uiPriority w:val="0"/>
    <w:rPr>
      <w:rFonts w:ascii="Times New Roman" w:hAnsi="Times New Roman" w:eastAsia="方正仿宋_GBK" w:cs="Times New Roman"/>
      <w:kern w:val="0"/>
      <w:sz w:val="21"/>
      <w:szCs w:val="18"/>
      <w:lang w:val="zh-CN" w:eastAsia="zh-CN"/>
    </w:rPr>
  </w:style>
  <w:style w:type="character" w:customStyle="1" w:styleId="84">
    <w:name w:val="日期 字符"/>
    <w:basedOn w:val="36"/>
    <w:link w:val="19"/>
    <w:autoRedefine/>
    <w:semiHidden/>
    <w:qFormat/>
    <w:uiPriority w:val="99"/>
    <w:rPr>
      <w:rFonts w:ascii="Times New Roman" w:hAnsi="Times New Roman" w:eastAsia="宋体"/>
      <w:sz w:val="24"/>
    </w:rPr>
  </w:style>
  <w:style w:type="character" w:customStyle="1" w:styleId="85">
    <w:name w:val="未处理的提及1"/>
    <w:basedOn w:val="36"/>
    <w:autoRedefine/>
    <w:semiHidden/>
    <w:unhideWhenUsed/>
    <w:qFormat/>
    <w:uiPriority w:val="99"/>
    <w:rPr>
      <w:color w:val="605E5C"/>
      <w:shd w:val="clear" w:color="auto" w:fill="E1DFDD"/>
    </w:rPr>
  </w:style>
  <w:style w:type="character" w:customStyle="1" w:styleId="86">
    <w:name w:val="fontstyle01"/>
    <w:basedOn w:val="36"/>
    <w:autoRedefine/>
    <w:qFormat/>
    <w:uiPriority w:val="0"/>
    <w:rPr>
      <w:rFonts w:hint="eastAsia" w:ascii="宋体" w:hAnsi="宋体" w:eastAsia="宋体"/>
      <w:color w:val="000000"/>
      <w:sz w:val="28"/>
      <w:szCs w:val="28"/>
    </w:rPr>
  </w:style>
  <w:style w:type="character" w:customStyle="1" w:styleId="87">
    <w:name w:val="批注文字 字符"/>
    <w:basedOn w:val="36"/>
    <w:link w:val="14"/>
    <w:autoRedefine/>
    <w:semiHidden/>
    <w:qFormat/>
    <w:uiPriority w:val="99"/>
    <w:rPr>
      <w:rFonts w:ascii="Times New Roman" w:hAnsi="Times New Roman" w:eastAsia="宋体"/>
      <w:sz w:val="18"/>
      <w:szCs w:val="20"/>
    </w:rPr>
  </w:style>
  <w:style w:type="character" w:customStyle="1" w:styleId="88">
    <w:name w:val="批注主题 字符"/>
    <w:basedOn w:val="87"/>
    <w:link w:val="33"/>
    <w:autoRedefine/>
    <w:semiHidden/>
    <w:qFormat/>
    <w:uiPriority w:val="99"/>
    <w:rPr>
      <w:rFonts w:ascii="Times New Roman" w:hAnsi="Times New Roman" w:eastAsia="宋体"/>
      <w:b/>
      <w:bCs/>
      <w:sz w:val="24"/>
    </w:rPr>
  </w:style>
  <w:style w:type="paragraph" w:customStyle="1" w:styleId="89">
    <w:name w:val="修订1"/>
    <w:autoRedefine/>
    <w:hidden/>
    <w:semiHidden/>
    <w:qFormat/>
    <w:uiPriority w:val="99"/>
    <w:rPr>
      <w:rFonts w:ascii="Times New Roman" w:hAnsi="Times New Roman" w:eastAsia="宋体" w:cstheme="minorBidi"/>
      <w:kern w:val="2"/>
      <w:sz w:val="24"/>
      <w:szCs w:val="22"/>
      <w:lang w:val="en-US" w:eastAsia="zh-CN" w:bidi="ar-SA"/>
    </w:rPr>
  </w:style>
  <w:style w:type="paragraph" w:customStyle="1" w:styleId="90">
    <w:name w:val="TOC 标题1"/>
    <w:basedOn w:val="2"/>
    <w:next w:val="1"/>
    <w:autoRedefine/>
    <w:unhideWhenUsed/>
    <w:qFormat/>
    <w:uiPriority w:val="39"/>
    <w:pPr>
      <w:numPr>
        <w:numId w:val="0"/>
      </w:numPr>
      <w:spacing w:before="240" w:line="259" w:lineRule="auto"/>
      <w:jc w:val="left"/>
      <w:outlineLvl w:val="9"/>
    </w:pPr>
    <w:rPr>
      <w:rFonts w:asciiTheme="majorHAnsi" w:hAnsiTheme="majorHAnsi" w:eastAsiaTheme="majorEastAsia" w:cstheme="majorBidi"/>
      <w:bCs w:val="0"/>
      <w:color w:val="376092" w:themeColor="accent1" w:themeShade="BF"/>
      <w:kern w:val="0"/>
      <w:sz w:val="32"/>
      <w:szCs w:val="32"/>
    </w:rPr>
  </w:style>
  <w:style w:type="character" w:styleId="91">
    <w:name w:val="Placeholder Text"/>
    <w:basedOn w:val="36"/>
    <w:autoRedefine/>
    <w:semiHidden/>
    <w:qFormat/>
    <w:uiPriority w:val="99"/>
    <w:rPr>
      <w:color w:val="808080"/>
    </w:rPr>
  </w:style>
  <w:style w:type="character" w:customStyle="1" w:styleId="92">
    <w:name w:val="明显参考1"/>
    <w:basedOn w:val="36"/>
    <w:autoRedefine/>
    <w:qFormat/>
    <w:uiPriority w:val="32"/>
    <w:rPr>
      <w:rFonts w:eastAsia="黑体"/>
      <w:bCs/>
      <w:smallCaps/>
      <w:color w:val="auto"/>
      <w:spacing w:val="5"/>
      <w:sz w:val="18"/>
    </w:rPr>
  </w:style>
  <w:style w:type="character" w:customStyle="1" w:styleId="93">
    <w:name w:val="apple-converted-space"/>
    <w:basedOn w:val="36"/>
    <w:autoRedefine/>
    <w:qFormat/>
    <w:uiPriority w:val="0"/>
  </w:style>
  <w:style w:type="character" w:customStyle="1" w:styleId="94">
    <w:name w:val="尾注文本 字符"/>
    <w:basedOn w:val="36"/>
    <w:link w:val="20"/>
    <w:autoRedefine/>
    <w:semiHidden/>
    <w:qFormat/>
    <w:uiPriority w:val="99"/>
    <w:rPr>
      <w:rFonts w:ascii="Times" w:hAnsi="Times" w:eastAsia="宋体"/>
      <w:color w:val="000000" w:themeColor="text1"/>
      <w14:textFill>
        <w14:solidFill>
          <w14:schemeClr w14:val="tx1"/>
        </w14:solidFill>
      </w14:textFill>
    </w:rPr>
  </w:style>
  <w:style w:type="paragraph" w:customStyle="1" w:styleId="95">
    <w:name w:val="正文表标题"/>
    <w:next w:val="1"/>
    <w:autoRedefine/>
    <w:qFormat/>
    <w:uiPriority w:val="0"/>
    <w:pPr>
      <w:numPr>
        <w:ilvl w:val="0"/>
        <w:numId w:val="4"/>
      </w:numPr>
      <w:tabs>
        <w:tab w:val="left" w:pos="360"/>
      </w:tabs>
      <w:spacing w:beforeLines="50" w:afterLines="50"/>
      <w:jc w:val="center"/>
    </w:pPr>
    <w:rPr>
      <w:rFonts w:ascii="黑体" w:hAnsi="Calibri" w:eastAsia="黑体" w:cs="Times New Roman"/>
      <w:sz w:val="21"/>
      <w:lang w:val="en-US" w:eastAsia="zh-CN" w:bidi="ar-SA"/>
    </w:rPr>
  </w:style>
  <w:style w:type="paragraph" w:customStyle="1" w:styleId="96">
    <w:name w:val="封面标准名称"/>
    <w:autoRedefine/>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table" w:customStyle="1" w:styleId="97">
    <w:name w:val="网格型2"/>
    <w:basedOn w:val="3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8">
    <w:name w:val="附录标识"/>
    <w:basedOn w:val="1"/>
    <w:next w:val="70"/>
    <w:autoRedefine/>
    <w:qFormat/>
    <w:uiPriority w:val="99"/>
    <w:pPr>
      <w:keepNext/>
      <w:widowControl/>
      <w:numPr>
        <w:ilvl w:val="0"/>
        <w:numId w:val="5"/>
      </w:numPr>
      <w:shd w:val="clear" w:color="FFFFFF" w:fill="FFFFFF"/>
      <w:tabs>
        <w:tab w:val="left" w:pos="360"/>
        <w:tab w:val="left" w:pos="6405"/>
      </w:tabs>
      <w:spacing w:before="640" w:after="280" w:line="240" w:lineRule="auto"/>
      <w:ind w:firstLine="0" w:firstLineChars="0"/>
      <w:jc w:val="center"/>
      <w:outlineLvl w:val="0"/>
    </w:pPr>
    <w:rPr>
      <w:rFonts w:ascii="黑体" w:hAnsi="Times New Roman" w:eastAsia="黑体" w:cs="Times New Roman"/>
      <w:color w:val="auto"/>
      <w:kern w:val="0"/>
      <w:szCs w:val="20"/>
    </w:rPr>
  </w:style>
  <w:style w:type="paragraph" w:customStyle="1" w:styleId="99">
    <w:name w:val="附录二级条标题"/>
    <w:basedOn w:val="1"/>
    <w:next w:val="70"/>
    <w:autoRedefine/>
    <w:qFormat/>
    <w:uiPriority w:val="99"/>
    <w:pPr>
      <w:widowControl/>
      <w:numPr>
        <w:ilvl w:val="3"/>
        <w:numId w:val="5"/>
      </w:numPr>
      <w:tabs>
        <w:tab w:val="left" w:pos="360"/>
      </w:tabs>
      <w:wordWrap w:val="0"/>
      <w:overflowPunct w:val="0"/>
      <w:autoSpaceDE w:val="0"/>
      <w:autoSpaceDN w:val="0"/>
      <w:spacing w:beforeLines="50" w:after="0" w:afterLines="50" w:line="240" w:lineRule="auto"/>
      <w:ind w:firstLine="0" w:firstLineChars="0"/>
      <w:textAlignment w:val="baseline"/>
      <w:outlineLvl w:val="3"/>
    </w:pPr>
    <w:rPr>
      <w:rFonts w:ascii="黑体" w:hAnsi="Times New Roman" w:eastAsia="黑体" w:cs="Times New Roman"/>
      <w:color w:val="auto"/>
      <w:kern w:val="21"/>
      <w:szCs w:val="20"/>
    </w:rPr>
  </w:style>
  <w:style w:type="paragraph" w:customStyle="1" w:styleId="100">
    <w:name w:val="附录三级条标题"/>
    <w:basedOn w:val="99"/>
    <w:next w:val="70"/>
    <w:autoRedefine/>
    <w:qFormat/>
    <w:uiPriority w:val="99"/>
    <w:pPr>
      <w:numPr>
        <w:ilvl w:val="4"/>
      </w:numPr>
      <w:outlineLvl w:val="4"/>
    </w:pPr>
  </w:style>
  <w:style w:type="paragraph" w:customStyle="1" w:styleId="101">
    <w:name w:val="附录四级条标题"/>
    <w:basedOn w:val="100"/>
    <w:next w:val="70"/>
    <w:autoRedefine/>
    <w:qFormat/>
    <w:uiPriority w:val="99"/>
    <w:pPr>
      <w:numPr>
        <w:ilvl w:val="5"/>
      </w:numPr>
      <w:outlineLvl w:val="5"/>
    </w:pPr>
  </w:style>
  <w:style w:type="paragraph" w:customStyle="1" w:styleId="102">
    <w:name w:val="附录五级条标题"/>
    <w:basedOn w:val="101"/>
    <w:next w:val="70"/>
    <w:autoRedefine/>
    <w:qFormat/>
    <w:uiPriority w:val="99"/>
    <w:pPr>
      <w:numPr>
        <w:ilvl w:val="6"/>
      </w:numPr>
      <w:outlineLvl w:val="6"/>
    </w:pPr>
  </w:style>
  <w:style w:type="paragraph" w:customStyle="1" w:styleId="103">
    <w:name w:val="附录章标题"/>
    <w:next w:val="70"/>
    <w:autoRedefine/>
    <w:qFormat/>
    <w:uiPriority w:val="0"/>
    <w:pPr>
      <w:numPr>
        <w:ilvl w:val="1"/>
        <w:numId w:val="5"/>
      </w:num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104">
    <w:name w:val="附录一级条标题"/>
    <w:basedOn w:val="103"/>
    <w:next w:val="70"/>
    <w:autoRedefine/>
    <w:qFormat/>
    <w:uiPriority w:val="99"/>
    <w:pPr>
      <w:numPr>
        <w:ilvl w:val="2"/>
      </w:numPr>
      <w:autoSpaceDN w:val="0"/>
      <w:spacing w:beforeLines="50" w:afterLines="50"/>
      <w:outlineLvl w:val="2"/>
    </w:pPr>
  </w:style>
  <w:style w:type="character" w:customStyle="1" w:styleId="105">
    <w:name w:val="font21"/>
    <w:basedOn w:val="36"/>
    <w:autoRedefine/>
    <w:qFormat/>
    <w:uiPriority w:val="0"/>
    <w:rPr>
      <w:rFonts w:hint="eastAsia" w:ascii="宋体" w:hAnsi="宋体" w:eastAsia="宋体"/>
      <w:color w:val="000000"/>
      <w:sz w:val="21"/>
      <w:szCs w:val="21"/>
      <w:u w:val="none"/>
    </w:rPr>
  </w:style>
  <w:style w:type="character" w:customStyle="1" w:styleId="106">
    <w:name w:val="font01"/>
    <w:basedOn w:val="36"/>
    <w:autoRedefine/>
    <w:qFormat/>
    <w:uiPriority w:val="0"/>
    <w:rPr>
      <w:rFonts w:hint="default" w:ascii="Times New Roman" w:hAnsi="Times New Roman" w:cs="Times New Roman"/>
      <w:color w:val="000000"/>
      <w:sz w:val="21"/>
      <w:szCs w:val="21"/>
      <w:u w:val="none"/>
    </w:rPr>
  </w:style>
  <w:style w:type="character" w:customStyle="1" w:styleId="107">
    <w:name w:val="font31"/>
    <w:basedOn w:val="36"/>
    <w:autoRedefine/>
    <w:qFormat/>
    <w:uiPriority w:val="0"/>
    <w:rPr>
      <w:rFonts w:hint="default" w:ascii="Times New Roman" w:hAnsi="Times New Roman" w:cs="Times New Roman"/>
      <w:color w:val="000000"/>
      <w:sz w:val="21"/>
      <w:szCs w:val="21"/>
      <w:u w:val="none"/>
      <w:vertAlign w:val="superscript"/>
    </w:rPr>
  </w:style>
  <w:style w:type="paragraph" w:customStyle="1" w:styleId="108">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09">
    <w:name w:val="示例"/>
    <w:next w:val="1"/>
    <w:autoRedefine/>
    <w:qFormat/>
    <w:uiPriority w:val="99"/>
    <w:pPr>
      <w:widowControl w:val="0"/>
      <w:numPr>
        <w:ilvl w:val="0"/>
        <w:numId w:val="6"/>
      </w:numPr>
      <w:jc w:val="both"/>
    </w:pPr>
    <w:rPr>
      <w:rFonts w:ascii="宋体" w:hAnsi="Times New Roman" w:eastAsia="宋体" w:cs="Times New Roman"/>
      <w:sz w:val="18"/>
      <w:szCs w:val="18"/>
      <w:lang w:val="en-US" w:eastAsia="zh-CN" w:bidi="ar-SA"/>
    </w:rPr>
  </w:style>
  <w:style w:type="character" w:customStyle="1" w:styleId="110">
    <w:name w:val="font11"/>
    <w:basedOn w:val="36"/>
    <w:autoRedefine/>
    <w:qFormat/>
    <w:uiPriority w:val="0"/>
    <w:rPr>
      <w:rFonts w:hint="eastAsia" w:ascii="宋体" w:hAnsi="宋体" w:eastAsia="宋体"/>
      <w:color w:val="000000"/>
      <w:sz w:val="20"/>
      <w:szCs w:val="20"/>
      <w:u w:val="none"/>
    </w:rPr>
  </w:style>
  <w:style w:type="paragraph" w:customStyle="1" w:styleId="111">
    <w:name w:val="Table Paragraph"/>
    <w:basedOn w:val="1"/>
    <w:autoRedefine/>
    <w:qFormat/>
    <w:uiPriority w:val="99"/>
    <w:pPr>
      <w:autoSpaceDE w:val="0"/>
      <w:autoSpaceDN w:val="0"/>
      <w:adjustRightInd w:val="0"/>
      <w:spacing w:after="0" w:line="240" w:lineRule="auto"/>
      <w:ind w:firstLine="0" w:firstLineChars="0"/>
      <w:jc w:val="left"/>
    </w:pPr>
    <w:rPr>
      <w:rFonts w:ascii="Times New Roman" w:hAnsi="Times New Roman" w:cs="Times New Roman"/>
      <w:color w:val="auto"/>
      <w:kern w:val="0"/>
      <w:sz w:val="24"/>
      <w:szCs w:val="24"/>
    </w:rPr>
  </w:style>
  <w:style w:type="paragraph" w:customStyle="1" w:styleId="112">
    <w:name w:val="列表段落1"/>
    <w:basedOn w:val="1"/>
    <w:autoRedefine/>
    <w:qFormat/>
    <w:uiPriority w:val="0"/>
    <w:pPr>
      <w:spacing w:after="0" w:line="620" w:lineRule="exact"/>
      <w:ind w:firstLine="420"/>
    </w:pPr>
    <w:rPr>
      <w:rFonts w:ascii="仿宋_GB2312" w:hAnsi="宋体" w:eastAsia="仿宋_GB2312" w:cs="Times New Roman"/>
      <w:color w:val="auto"/>
      <w:sz w:val="32"/>
      <w:szCs w:val="32"/>
    </w:rPr>
  </w:style>
  <w:style w:type="paragraph" w:customStyle="1" w:styleId="113">
    <w:name w:val="Body text|1"/>
    <w:basedOn w:val="1"/>
    <w:autoRedefine/>
    <w:qFormat/>
    <w:uiPriority w:val="0"/>
    <w:pPr>
      <w:spacing w:after="0" w:line="480" w:lineRule="auto"/>
      <w:ind w:firstLine="400" w:firstLineChars="0"/>
      <w:jc w:val="left"/>
    </w:pPr>
    <w:rPr>
      <w:rFonts w:ascii="宋体" w:hAnsi="宋体" w:cs="宋体"/>
      <w:color w:val="000000"/>
      <w:kern w:val="0"/>
      <w:sz w:val="28"/>
      <w:szCs w:val="28"/>
    </w:rPr>
  </w:style>
  <w:style w:type="paragraph" w:customStyle="1" w:styleId="114">
    <w:name w:val="正文2"/>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15">
    <w:name w:val="msonormal"/>
    <w:basedOn w:val="1"/>
    <w:autoRedefine/>
    <w:qFormat/>
    <w:uiPriority w:val="0"/>
    <w:pPr>
      <w:widowControl/>
      <w:spacing w:before="100" w:beforeAutospacing="1" w:after="100" w:afterAutospacing="1" w:line="240" w:lineRule="auto"/>
      <w:ind w:firstLine="0" w:firstLineChars="0"/>
      <w:jc w:val="left"/>
    </w:pPr>
    <w:rPr>
      <w:rFonts w:ascii="宋体" w:hAnsi="宋体" w:cs="宋体"/>
      <w:color w:val="auto"/>
      <w:kern w:val="0"/>
      <w:sz w:val="24"/>
      <w:szCs w:val="24"/>
    </w:rPr>
  </w:style>
  <w:style w:type="paragraph" w:customStyle="1" w:styleId="116">
    <w:name w:val="列表段落2"/>
    <w:basedOn w:val="1"/>
    <w:autoRedefine/>
    <w:qFormat/>
    <w:uiPriority w:val="0"/>
    <w:pPr>
      <w:autoSpaceDE w:val="0"/>
      <w:autoSpaceDN w:val="0"/>
      <w:spacing w:before="100" w:beforeAutospacing="1" w:after="100" w:afterAutospacing="1" w:line="240" w:lineRule="auto"/>
      <w:ind w:left="2150" w:hanging="639" w:firstLineChars="0"/>
    </w:pPr>
    <w:rPr>
      <w:rFonts w:ascii="宋体" w:hAnsi="宋体" w:cs="宋体"/>
      <w:color w:val="auto"/>
      <w:kern w:val="0"/>
      <w:sz w:val="22"/>
    </w:rPr>
  </w:style>
  <w:style w:type="table" w:customStyle="1" w:styleId="117">
    <w:name w:val="网格型3"/>
    <w:basedOn w:val="34"/>
    <w:autoRedefine/>
    <w:qFormat/>
    <w:uiPriority w:val="9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8">
    <w:name w:val="修订2"/>
    <w:autoRedefine/>
    <w:hidden/>
    <w:semiHidden/>
    <w:qFormat/>
    <w:uiPriority w:val="99"/>
    <w:rPr>
      <w:rFonts w:ascii="Times" w:hAnsi="Times" w:eastAsia="宋体" w:cstheme="minorBidi"/>
      <w:color w:val="000000" w:themeColor="text1"/>
      <w:kern w:val="2"/>
      <w:sz w:val="21"/>
      <w:szCs w:val="22"/>
      <w:lang w:val="en-US" w:eastAsia="zh-CN" w:bidi="ar-SA"/>
      <w14:textFill>
        <w14:solidFill>
          <w14:schemeClr w14:val="tx1"/>
        </w14:solidFill>
      </w14:textFill>
    </w:rPr>
  </w:style>
  <w:style w:type="paragraph" w:customStyle="1" w:styleId="119">
    <w:name w:val="_Style 19"/>
    <w:basedOn w:val="1"/>
    <w:autoRedefine/>
    <w:qFormat/>
    <w:uiPriority w:val="0"/>
    <w:pPr>
      <w:widowControl/>
      <w:spacing w:after="160" w:line="240" w:lineRule="exact"/>
      <w:jc w:val="left"/>
    </w:pPr>
    <w:rPr>
      <w:rFonts w:ascii="Verdana" w:hAnsi="Verdana"/>
      <w:kern w:val="0"/>
      <w:sz w:val="18"/>
      <w:szCs w:val="20"/>
      <w:lang w:eastAsia="en-US"/>
    </w:rPr>
  </w:style>
  <w:style w:type="character" w:customStyle="1" w:styleId="120">
    <w:name w:val="font41"/>
    <w:basedOn w:val="36"/>
    <w:autoRedefine/>
    <w:qFormat/>
    <w:uiPriority w:val="0"/>
    <w:rPr>
      <w:rFonts w:ascii="宋体" w:hAnsi="宋体" w:eastAsia="宋体" w:cs="宋体"/>
      <w:b/>
      <w:bCs/>
      <w:color w:val="000000"/>
      <w:sz w:val="46"/>
      <w:szCs w:val="46"/>
      <w:u w:val="none"/>
    </w:rPr>
  </w:style>
  <w:style w:type="character" w:customStyle="1" w:styleId="121">
    <w:name w:val="font51"/>
    <w:basedOn w:val="36"/>
    <w:autoRedefine/>
    <w:qFormat/>
    <w:uiPriority w:val="0"/>
    <w:rPr>
      <w:rFonts w:hint="default" w:ascii="Arial" w:hAnsi="Arial" w:cs="Arial"/>
      <w:color w:val="000000"/>
      <w:sz w:val="15"/>
      <w:szCs w:val="15"/>
      <w:u w:val="none"/>
    </w:rPr>
  </w:style>
  <w:style w:type="character" w:customStyle="1" w:styleId="122">
    <w:name w:val="font61"/>
    <w:basedOn w:val="36"/>
    <w:autoRedefine/>
    <w:qFormat/>
    <w:uiPriority w:val="0"/>
    <w:rPr>
      <w:rFonts w:hint="default" w:ascii="Arial" w:hAnsi="Arial" w:cs="Arial"/>
      <w:color w:val="000000"/>
      <w:sz w:val="18"/>
      <w:szCs w:val="18"/>
      <w:u w:val="none"/>
    </w:rPr>
  </w:style>
  <w:style w:type="paragraph" w:customStyle="1" w:styleId="123">
    <w:name w:val="批注"/>
    <w:basedOn w:val="1"/>
    <w:next w:val="1"/>
    <w:autoRedefine/>
    <w:qFormat/>
    <w:uiPriority w:val="0"/>
    <w:pPr>
      <w:kinsoku/>
      <w:spacing w:line="360" w:lineRule="exact"/>
      <w:ind w:left="0" w:leftChars="0" w:hanging="420" w:hangingChars="200"/>
      <w:jc w:val="both"/>
    </w:pPr>
    <w:rPr>
      <w:rFonts w:hint="eastAsia" w:ascii="宋体" w:hAnsi="宋体" w:eastAsia="宋体" w:cs="宋体"/>
      <w:sz w:val="18"/>
      <w:szCs w:val="20"/>
    </w:rPr>
  </w:style>
  <w:style w:type="character" w:customStyle="1" w:styleId="124">
    <w:name w:val="font71"/>
    <w:basedOn w:val="36"/>
    <w:autoRedefine/>
    <w:qFormat/>
    <w:uiPriority w:val="0"/>
    <w:rPr>
      <w:rFonts w:hint="eastAsia" w:ascii="宋体" w:hAnsi="宋体" w:eastAsia="宋体" w:cs="宋体"/>
      <w:color w:val="000000"/>
      <w:sz w:val="18"/>
      <w:szCs w:val="18"/>
      <w:u w:val="none"/>
    </w:rPr>
  </w:style>
  <w:style w:type="character" w:customStyle="1" w:styleId="125">
    <w:name w:val="font81"/>
    <w:basedOn w:val="36"/>
    <w:autoRedefine/>
    <w:qFormat/>
    <w:uiPriority w:val="0"/>
    <w:rPr>
      <w:rFonts w:hint="default" w:ascii="Times New Roman" w:hAnsi="Times New Roman" w:cs="Times New Roman"/>
      <w:color w:val="000000"/>
      <w:sz w:val="18"/>
      <w:szCs w:val="18"/>
      <w:u w:val="none"/>
    </w:rPr>
  </w:style>
  <w:style w:type="character" w:customStyle="1" w:styleId="126">
    <w:name w:val="font91"/>
    <w:basedOn w:val="36"/>
    <w:autoRedefine/>
    <w:qFormat/>
    <w:uiPriority w:val="0"/>
    <w:rPr>
      <w:rFonts w:hint="default" w:ascii="Times New Roman" w:hAnsi="Times New Roman" w:cs="Times New Roman"/>
      <w:color w:val="000000"/>
      <w:sz w:val="22"/>
      <w:szCs w:val="22"/>
      <w:u w:val="none"/>
      <w:vertAlign w:val="superscript"/>
    </w:rPr>
  </w:style>
  <w:style w:type="character" w:customStyle="1" w:styleId="127">
    <w:name w:val="Intense Reference"/>
    <w:basedOn w:val="36"/>
    <w:qFormat/>
    <w:uiPriority w:val="32"/>
    <w:rPr>
      <w:rFonts w:eastAsia="黑体"/>
      <w:bCs/>
      <w:smallCaps/>
      <w:color w:val="auto"/>
      <w:spacing w:val="5"/>
      <w:sz w:val="18"/>
    </w:rPr>
  </w:style>
  <w:style w:type="paragraph" w:customStyle="1" w:styleId="128">
    <w:name w:val="表格"/>
    <w:basedOn w:val="1"/>
    <w:next w:val="26"/>
    <w:qFormat/>
    <w:uiPriority w:val="0"/>
    <w:pPr>
      <w:spacing w:line="240" w:lineRule="auto"/>
      <w:ind w:firstLine="0" w:firstLineChars="0"/>
      <w:jc w:val="center"/>
    </w:pPr>
    <w:rPr>
      <w:rFonts w:ascii="Times New Roman" w:hAnsi="Times New Roman" w:eastAsia="宋体" w:cs="Times New Roman"/>
      <w:sz w:val="21"/>
    </w:rPr>
  </w:style>
  <w:style w:type="paragraph" w:customStyle="1" w:styleId="129">
    <w:name w:val="表题"/>
    <w:basedOn w:val="1"/>
    <w:qFormat/>
    <w:uiPriority w:val="0"/>
    <w:pPr>
      <w:keepNext/>
      <w:keepLines/>
      <w:tabs>
        <w:tab w:val="left" w:pos="0"/>
      </w:tabs>
      <w:spacing w:before="50" w:beforeLines="50" w:after="50" w:afterLines="50" w:line="360" w:lineRule="exact"/>
      <w:ind w:firstLine="0" w:firstLineChars="0"/>
      <w:jc w:val="center"/>
      <w:outlineLvl w:val="4"/>
    </w:pPr>
    <w:rPr>
      <w:rFonts w:ascii="Times New Roman" w:hAnsi="Times New Roman" w:eastAsia="黑体" w:cs="Times New Roman"/>
    </w:rPr>
  </w:style>
  <w:style w:type="paragraph" w:customStyle="1" w:styleId="130">
    <w:name w:val="图题"/>
    <w:basedOn w:val="1"/>
    <w:qFormat/>
    <w:uiPriority w:val="0"/>
    <w:pPr>
      <w:tabs>
        <w:tab w:val="left" w:pos="0"/>
      </w:tabs>
      <w:spacing w:before="50" w:beforeLines="50" w:after="50" w:afterLines="50"/>
      <w:ind w:firstLine="0" w:firstLineChars="0"/>
      <w:jc w:val="center"/>
      <w:outlineLvl w:val="4"/>
    </w:pPr>
    <w:rPr>
      <w:rFonts w:ascii="Times New Roman" w:hAnsi="Times New Roman" w:eastAsia="黑体" w:cs="Times New Roman"/>
    </w:rPr>
  </w:style>
  <w:style w:type="paragraph" w:customStyle="1" w:styleId="131">
    <w:name w:val="p1"/>
    <w:basedOn w:val="1"/>
    <w:qFormat/>
    <w:uiPriority w:val="0"/>
    <w:pPr>
      <w:spacing w:before="0" w:beforeAutospacing="0" w:after="0" w:afterAutospacing="0"/>
      <w:ind w:left="0" w:right="0"/>
      <w:jc w:val="left"/>
    </w:pPr>
    <w:rPr>
      <w:rFonts w:ascii="helvetica" w:hAnsi="helvetica" w:eastAsia="helvetica" w:cs="helvetica"/>
      <w:kern w:val="0"/>
      <w:sz w:val="24"/>
      <w:szCs w:val="24"/>
      <w:lang w:val="en-US" w:eastAsia="zh-CN" w:bidi="ar"/>
    </w:rPr>
  </w:style>
  <w:style w:type="table" w:customStyle="1" w:styleId="132">
    <w:name w:val="Table Normal"/>
    <w:semiHidden/>
    <w:unhideWhenUsed/>
    <w:qFormat/>
    <w:uiPriority w:val="0"/>
    <w:tblPr>
      <w:tblCellMar>
        <w:top w:w="0" w:type="dxa"/>
        <w:left w:w="0" w:type="dxa"/>
        <w:bottom w:w="0" w:type="dxa"/>
        <w:right w:w="0" w:type="dxa"/>
      </w:tblCellMar>
    </w:tblPr>
  </w:style>
  <w:style w:type="paragraph" w:customStyle="1" w:styleId="133">
    <w:name w:val="Table Text"/>
    <w:basedOn w:val="1"/>
    <w:semiHidden/>
    <w:qFormat/>
    <w:uiPriority w:val="0"/>
    <w:rPr>
      <w:rFonts w:ascii="Times New Roman" w:hAnsi="Times New Roman" w:eastAsia="Times New Roman" w:cs="Times New Roman"/>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0.png"/><Relationship Id="rId31" Type="http://schemas.openxmlformats.org/officeDocument/2006/relationships/image" Target="media/image9.jpe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chart" Target="charts/chart4.xml"/><Relationship Id="rId21" Type="http://schemas.openxmlformats.org/officeDocument/2006/relationships/chart" Target="charts/chart3.xml"/><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28246;&#21335;&#22320;&#26631;&#30003;&#25253;\&#24037;&#19994;&#20225;&#19994;&#30456;&#20851;&#36164;&#26009;\13-14-0-2023&#24180;&#25968;&#2545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28246;&#21335;&#22320;&#26631;&#30003;&#25253;\&#24037;&#19994;&#20225;&#19994;&#30456;&#20851;&#36164;&#26009;\13-03-0%20(1)-2022&#24180;&#25968;&#2545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28246;&#21335;&#22320;&#26631;&#30003;&#25253;\&#25991;&#26412;&#21450;&#32534;&#21046;&#35828;&#26126;&#32534;&#20889;\20250708&#26631;&#20934;&#26448;&#26009;\&#24449;&#27714;&#24847;&#35265;&#31295;&#32534;&#21046;&#35828;&#26126;&#25968;&#25454;&#25972;&#29702;-20250718.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E:\@&#28246;&#21335;&#22320;&#26631;&#30003;&#25253;\&#25991;&#26412;&#21450;&#32534;&#21046;&#35828;&#26126;&#32534;&#20889;\20250708&#26631;&#20934;&#26448;&#26009;\&#24449;&#27714;&#24847;&#35265;&#31295;&#32534;&#21046;&#35828;&#26126;&#25968;&#25454;&#25972;&#29702;-202507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'[13-14-0-2023年数据.xlsx]Sheet1 (2)'!$A$5</c:f>
              <c:strCache>
                <c:ptCount val="1"/>
                <c:pt idx="0">
                  <c:v>大型企业</c:v>
                </c:pt>
              </c:strCache>
            </c:strRef>
          </c:tx>
          <c:spPr>
            <a:solidFill>
              <a:schemeClr val="accent2"/>
            </a:solidFill>
            <a:ln>
              <a:solidFill>
                <a:schemeClr val="bg1"/>
              </a:solidFill>
            </a:ln>
            <a:effectLst/>
          </c:spPr>
          <c:invertIfNegative val="0"/>
          <c:dLbls>
            <c:delete val="1"/>
          </c:dLbls>
          <c:cat>
            <c:strRef>
              <c:f>'[13-14-0-2023年数据.xlsx]Sheet1 (2)'!$B$4:$O$4</c:f>
              <c:strCache>
                <c:ptCount val="14"/>
                <c:pt idx="0">
                  <c:v>  长沙</c:v>
                </c:pt>
                <c:pt idx="1">
                  <c:v>株 洲</c:v>
                </c:pt>
                <c:pt idx="2">
                  <c:v>湘潭</c:v>
                </c:pt>
                <c:pt idx="3">
                  <c:v>衡阳</c:v>
                </c:pt>
                <c:pt idx="4">
                  <c:v>邵阳</c:v>
                </c:pt>
                <c:pt idx="5">
                  <c:v>岳 阳 </c:v>
                </c:pt>
                <c:pt idx="6">
                  <c:v>常 德</c:v>
                </c:pt>
                <c:pt idx="7">
                  <c:v>张 家 界</c:v>
                </c:pt>
                <c:pt idx="8">
                  <c:v>益阳</c:v>
                </c:pt>
                <c:pt idx="9">
                  <c:v>郴 州</c:v>
                </c:pt>
                <c:pt idx="10">
                  <c:v>永 州</c:v>
                </c:pt>
                <c:pt idx="11">
                  <c:v>怀 化 </c:v>
                </c:pt>
                <c:pt idx="12">
                  <c:v>  娄底</c:v>
                </c:pt>
                <c:pt idx="13">
                  <c:v>湘 西</c:v>
                </c:pt>
              </c:strCache>
            </c:strRef>
          </c:cat>
          <c:val>
            <c:numRef>
              <c:f>'[13-14-0-2023年数据.xlsx]Sheet1 (2)'!$B$5:$O$5</c:f>
              <c:numCache>
                <c:formatCode>0_ </c:formatCode>
                <c:ptCount val="14"/>
                <c:pt idx="0">
                  <c:v>53</c:v>
                </c:pt>
                <c:pt idx="1">
                  <c:v>26</c:v>
                </c:pt>
                <c:pt idx="2">
                  <c:v>17</c:v>
                </c:pt>
                <c:pt idx="3">
                  <c:v>16</c:v>
                </c:pt>
                <c:pt idx="4">
                  <c:v>11</c:v>
                </c:pt>
                <c:pt idx="5">
                  <c:v>33</c:v>
                </c:pt>
                <c:pt idx="6">
                  <c:v>11</c:v>
                </c:pt>
                <c:pt idx="8">
                  <c:v>9</c:v>
                </c:pt>
                <c:pt idx="9">
                  <c:v>13</c:v>
                </c:pt>
                <c:pt idx="10">
                  <c:v>8</c:v>
                </c:pt>
                <c:pt idx="11">
                  <c:v>4</c:v>
                </c:pt>
                <c:pt idx="12">
                  <c:v>9</c:v>
                </c:pt>
                <c:pt idx="13">
                  <c:v>2</c:v>
                </c:pt>
              </c:numCache>
            </c:numRef>
          </c:val>
        </c:ser>
        <c:ser>
          <c:idx val="1"/>
          <c:order val="1"/>
          <c:tx>
            <c:strRef>
              <c:f>'[13-14-0-2023年数据.xlsx]Sheet1 (2)'!$A$6</c:f>
              <c:strCache>
                <c:ptCount val="1"/>
                <c:pt idx="0">
                  <c:v>中型企业</c:v>
                </c:pt>
              </c:strCache>
            </c:strRef>
          </c:tx>
          <c:spPr>
            <a:solidFill>
              <a:schemeClr val="accent4"/>
            </a:solidFill>
            <a:ln>
              <a:solidFill>
                <a:schemeClr val="bg1"/>
              </a:solidFill>
            </a:ln>
            <a:effectLst/>
          </c:spPr>
          <c:invertIfNegative val="0"/>
          <c:dLbls>
            <c:delete val="1"/>
          </c:dLbls>
          <c:cat>
            <c:strRef>
              <c:f>'[13-14-0-2023年数据.xlsx]Sheet1 (2)'!$B$4:$O$4</c:f>
              <c:strCache>
                <c:ptCount val="14"/>
                <c:pt idx="0">
                  <c:v>  长沙</c:v>
                </c:pt>
                <c:pt idx="1">
                  <c:v>株 洲</c:v>
                </c:pt>
                <c:pt idx="2">
                  <c:v>湘潭</c:v>
                </c:pt>
                <c:pt idx="3">
                  <c:v>衡阳</c:v>
                </c:pt>
                <c:pt idx="4">
                  <c:v>邵阳</c:v>
                </c:pt>
                <c:pt idx="5">
                  <c:v>岳 阳 </c:v>
                </c:pt>
                <c:pt idx="6">
                  <c:v>常 德</c:v>
                </c:pt>
                <c:pt idx="7">
                  <c:v>张 家 界</c:v>
                </c:pt>
                <c:pt idx="8">
                  <c:v>益阳</c:v>
                </c:pt>
                <c:pt idx="9">
                  <c:v>郴 州</c:v>
                </c:pt>
                <c:pt idx="10">
                  <c:v>永 州</c:v>
                </c:pt>
                <c:pt idx="11">
                  <c:v>怀 化 </c:v>
                </c:pt>
                <c:pt idx="12">
                  <c:v>  娄底</c:v>
                </c:pt>
                <c:pt idx="13">
                  <c:v>湘 西</c:v>
                </c:pt>
              </c:strCache>
            </c:strRef>
          </c:cat>
          <c:val>
            <c:numRef>
              <c:f>'[13-14-0-2023年数据.xlsx]Sheet1 (2)'!$B$6:$O$6</c:f>
              <c:numCache>
                <c:formatCode>0_ </c:formatCode>
                <c:ptCount val="14"/>
                <c:pt idx="0">
                  <c:v>235</c:v>
                </c:pt>
                <c:pt idx="1">
                  <c:v>208</c:v>
                </c:pt>
                <c:pt idx="2">
                  <c:v>66</c:v>
                </c:pt>
                <c:pt idx="3">
                  <c:v>81</c:v>
                </c:pt>
                <c:pt idx="4">
                  <c:v>67</c:v>
                </c:pt>
                <c:pt idx="5">
                  <c:v>129</c:v>
                </c:pt>
                <c:pt idx="6">
                  <c:v>117</c:v>
                </c:pt>
                <c:pt idx="7">
                  <c:v>2</c:v>
                </c:pt>
                <c:pt idx="8">
                  <c:v>73</c:v>
                </c:pt>
                <c:pt idx="9">
                  <c:v>81</c:v>
                </c:pt>
                <c:pt idx="10">
                  <c:v>108</c:v>
                </c:pt>
                <c:pt idx="11">
                  <c:v>30</c:v>
                </c:pt>
                <c:pt idx="12">
                  <c:v>49</c:v>
                </c:pt>
                <c:pt idx="13">
                  <c:v>13</c:v>
                </c:pt>
              </c:numCache>
            </c:numRef>
          </c:val>
        </c:ser>
        <c:ser>
          <c:idx val="2"/>
          <c:order val="2"/>
          <c:tx>
            <c:strRef>
              <c:f>'[13-14-0-2023年数据.xlsx]Sheet1 (2)'!$A$7</c:f>
              <c:strCache>
                <c:ptCount val="1"/>
                <c:pt idx="0">
                  <c:v>小型企业</c:v>
                </c:pt>
              </c:strCache>
            </c:strRef>
          </c:tx>
          <c:spPr>
            <a:solidFill>
              <a:schemeClr val="accent6"/>
            </a:solidFill>
            <a:ln>
              <a:solidFill>
                <a:schemeClr val="bg1"/>
              </a:solidFill>
            </a:ln>
            <a:effectLst/>
          </c:spPr>
          <c:invertIfNegative val="0"/>
          <c:dLbls>
            <c:delete val="1"/>
          </c:dLbls>
          <c:cat>
            <c:strRef>
              <c:f>'[13-14-0-2023年数据.xlsx]Sheet1 (2)'!$B$4:$O$4</c:f>
              <c:strCache>
                <c:ptCount val="14"/>
                <c:pt idx="0">
                  <c:v>  长沙</c:v>
                </c:pt>
                <c:pt idx="1">
                  <c:v>株 洲</c:v>
                </c:pt>
                <c:pt idx="2">
                  <c:v>湘潭</c:v>
                </c:pt>
                <c:pt idx="3">
                  <c:v>衡阳</c:v>
                </c:pt>
                <c:pt idx="4">
                  <c:v>邵阳</c:v>
                </c:pt>
                <c:pt idx="5">
                  <c:v>岳 阳 </c:v>
                </c:pt>
                <c:pt idx="6">
                  <c:v>常 德</c:v>
                </c:pt>
                <c:pt idx="7">
                  <c:v>张 家 界</c:v>
                </c:pt>
                <c:pt idx="8">
                  <c:v>益阳</c:v>
                </c:pt>
                <c:pt idx="9">
                  <c:v>郴 州</c:v>
                </c:pt>
                <c:pt idx="10">
                  <c:v>永 州</c:v>
                </c:pt>
                <c:pt idx="11">
                  <c:v>怀 化 </c:v>
                </c:pt>
                <c:pt idx="12">
                  <c:v>  娄底</c:v>
                </c:pt>
                <c:pt idx="13">
                  <c:v>湘 西</c:v>
                </c:pt>
              </c:strCache>
            </c:strRef>
          </c:cat>
          <c:val>
            <c:numRef>
              <c:f>'[13-14-0-2023年数据.xlsx]Sheet1 (2)'!$B$7:$O$7</c:f>
              <c:numCache>
                <c:formatCode>0_ </c:formatCode>
                <c:ptCount val="14"/>
                <c:pt idx="0">
                  <c:v>2487</c:v>
                </c:pt>
                <c:pt idx="1">
                  <c:v>1514</c:v>
                </c:pt>
                <c:pt idx="2">
                  <c:v>1141</c:v>
                </c:pt>
                <c:pt idx="3">
                  <c:v>1212</c:v>
                </c:pt>
                <c:pt idx="4">
                  <c:v>1578</c:v>
                </c:pt>
                <c:pt idx="5">
                  <c:v>1614</c:v>
                </c:pt>
                <c:pt idx="6">
                  <c:v>1441</c:v>
                </c:pt>
                <c:pt idx="7">
                  <c:v>204</c:v>
                </c:pt>
                <c:pt idx="8">
                  <c:v>1116</c:v>
                </c:pt>
                <c:pt idx="9">
                  <c:v>963</c:v>
                </c:pt>
                <c:pt idx="10">
                  <c:v>1033</c:v>
                </c:pt>
                <c:pt idx="11">
                  <c:v>821</c:v>
                </c:pt>
                <c:pt idx="12">
                  <c:v>754</c:v>
                </c:pt>
                <c:pt idx="13">
                  <c:v>241</c:v>
                </c:pt>
              </c:numCache>
            </c:numRef>
          </c:val>
        </c:ser>
        <c:ser>
          <c:idx val="3"/>
          <c:order val="3"/>
          <c:tx>
            <c:strRef>
              <c:f>'[13-14-0-2023年数据.xlsx]Sheet1 (2)'!$A$8</c:f>
              <c:strCache>
                <c:ptCount val="1"/>
                <c:pt idx="0">
                  <c:v>微型企业</c:v>
                </c:pt>
              </c:strCache>
            </c:strRef>
          </c:tx>
          <c:spPr>
            <a:solidFill>
              <a:schemeClr val="accent2">
                <a:lumMod val="60000"/>
              </a:schemeClr>
            </a:solidFill>
            <a:ln>
              <a:solidFill>
                <a:schemeClr val="bg1"/>
              </a:solidFill>
            </a:ln>
            <a:effectLst/>
          </c:spPr>
          <c:invertIfNegative val="0"/>
          <c:dLbls>
            <c:delete val="1"/>
          </c:dLbls>
          <c:cat>
            <c:strRef>
              <c:f>'[13-14-0-2023年数据.xlsx]Sheet1 (2)'!$B$4:$O$4</c:f>
              <c:strCache>
                <c:ptCount val="14"/>
                <c:pt idx="0">
                  <c:v>  长沙</c:v>
                </c:pt>
                <c:pt idx="1">
                  <c:v>株 洲</c:v>
                </c:pt>
                <c:pt idx="2">
                  <c:v>湘潭</c:v>
                </c:pt>
                <c:pt idx="3">
                  <c:v>衡阳</c:v>
                </c:pt>
                <c:pt idx="4">
                  <c:v>邵阳</c:v>
                </c:pt>
                <c:pt idx="5">
                  <c:v>岳 阳 </c:v>
                </c:pt>
                <c:pt idx="6">
                  <c:v>常 德</c:v>
                </c:pt>
                <c:pt idx="7">
                  <c:v>张 家 界</c:v>
                </c:pt>
                <c:pt idx="8">
                  <c:v>益阳</c:v>
                </c:pt>
                <c:pt idx="9">
                  <c:v>郴 州</c:v>
                </c:pt>
                <c:pt idx="10">
                  <c:v>永 州</c:v>
                </c:pt>
                <c:pt idx="11">
                  <c:v>怀 化 </c:v>
                </c:pt>
                <c:pt idx="12">
                  <c:v>  娄底</c:v>
                </c:pt>
                <c:pt idx="13">
                  <c:v>湘 西</c:v>
                </c:pt>
              </c:strCache>
            </c:strRef>
          </c:cat>
          <c:val>
            <c:numRef>
              <c:f>'[13-14-0-2023年数据.xlsx]Sheet1 (2)'!$B$8:$O$8</c:f>
              <c:numCache>
                <c:formatCode>0_ </c:formatCode>
                <c:ptCount val="14"/>
                <c:pt idx="0">
                  <c:v>469</c:v>
                </c:pt>
                <c:pt idx="1">
                  <c:v>395</c:v>
                </c:pt>
                <c:pt idx="2">
                  <c:v>263</c:v>
                </c:pt>
                <c:pt idx="3">
                  <c:v>243</c:v>
                </c:pt>
                <c:pt idx="4">
                  <c:v>339</c:v>
                </c:pt>
                <c:pt idx="5">
                  <c:v>431</c:v>
                </c:pt>
                <c:pt idx="6">
                  <c:v>349</c:v>
                </c:pt>
                <c:pt idx="7">
                  <c:v>40</c:v>
                </c:pt>
                <c:pt idx="8">
                  <c:v>366</c:v>
                </c:pt>
                <c:pt idx="9">
                  <c:v>343</c:v>
                </c:pt>
                <c:pt idx="10">
                  <c:v>211</c:v>
                </c:pt>
                <c:pt idx="11">
                  <c:v>128</c:v>
                </c:pt>
                <c:pt idx="12">
                  <c:v>224</c:v>
                </c:pt>
                <c:pt idx="13">
                  <c:v>115</c:v>
                </c:pt>
              </c:numCache>
            </c:numRef>
          </c:val>
        </c:ser>
        <c:dLbls>
          <c:showLegendKey val="0"/>
          <c:showVal val="0"/>
          <c:showCatName val="0"/>
          <c:showSerName val="0"/>
          <c:showPercent val="0"/>
          <c:showBubbleSize val="0"/>
        </c:dLbls>
        <c:gapWidth val="246"/>
        <c:overlap val="100"/>
        <c:axId val="619888026"/>
        <c:axId val="950952074"/>
      </c:barChart>
      <c:catAx>
        <c:axId val="61988802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7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950952074"/>
        <c:crosses val="autoZero"/>
        <c:auto val="1"/>
        <c:lblAlgn val="ctr"/>
        <c:lblOffset val="100"/>
        <c:noMultiLvlLbl val="0"/>
      </c:catAx>
      <c:valAx>
        <c:axId val="950952074"/>
        <c:scaling>
          <c:orientation val="minMax"/>
        </c:scaling>
        <c:delete val="0"/>
        <c:axPos val="l"/>
        <c:majorGridlines>
          <c:spPr>
            <a:ln w="9525" cap="flat" cmpd="sng" algn="ctr">
              <a:solidFill>
                <a:schemeClr val="lt1">
                  <a:lumMod val="90200"/>
                </a:schemeClr>
              </a:solidFill>
              <a:round/>
            </a:ln>
            <a:effectLst/>
          </c:spPr>
        </c:majorGridlines>
        <c:numFmt formatCode="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619888026"/>
        <c:crosses val="autoZero"/>
        <c:crossBetween val="between"/>
      </c:valAx>
      <c:spPr>
        <a:noFill/>
        <a:ln w="6350" cap="flat" cmpd="sng" algn="ctr">
          <a:solidFill>
            <a:sysClr val="windowText" lastClr="000000"/>
          </a:solidFill>
          <a:prstDash val="solid"/>
          <a:miter lim="800000"/>
        </a:ln>
        <a:effectLst/>
        <a:sp3d>
          <a:extrusionClr>
            <a:srgbClr val="FFFFFF"/>
          </a:extrusionClr>
          <a:contourClr>
            <a:srgbClr val="FFFFFF"/>
          </a:contourClr>
        </a:sp3d>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7021f075-0fcd-44b0-9876-f9e005d4ec05}"/>
      </c:ext>
    </c:extLst>
  </c:chart>
  <c:spPr>
    <a:solidFill>
      <a:schemeClr val="bg1"/>
    </a:solidFill>
    <a:ln w="9525" cap="flat" cmpd="sng" algn="ctr">
      <a:noFill/>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270063694267516"/>
          <c:y val="0.116290561686707"/>
          <c:w val="0.921273885350319"/>
          <c:h val="0.819634327128974"/>
        </c:manualLayout>
      </c:layout>
      <c:pie3DChart>
        <c:varyColors val="1"/>
        <c:ser>
          <c:idx val="0"/>
          <c:order val="0"/>
          <c:tx>
            <c:strRef>
              <c:f>'[13-03-0 (1)-2022年数据.xlsx]更新为2023年数据'!$B$1</c:f>
              <c:strCache>
                <c:ptCount val="1"/>
                <c:pt idx="0">
                  <c:v>合计</c:v>
                </c:pt>
              </c:strCache>
            </c:strRef>
          </c:tx>
          <c:spPr>
            <a:scene3d>
              <a:camera prst="orthographicFront"/>
              <a:lightRig rig="threePt" dir="t"/>
            </a:scene3d>
            <a:sp3d contourW="9525"/>
          </c:spPr>
          <c:explosion val="0"/>
          <c:dPt>
            <c:idx val="0"/>
            <c:bubble3D val="0"/>
            <c:spPr>
              <a:solidFill>
                <a:schemeClr val="accent2"/>
              </a:solidFill>
              <a:ln>
                <a:solidFill>
                  <a:schemeClr val="bg1"/>
                </a:solidFill>
              </a:ln>
              <a:effectLst/>
              <a:scene3d>
                <a:camera prst="orthographicFront"/>
                <a:lightRig rig="threePt" dir="t"/>
              </a:scene3d>
              <a:sp3d contourW="9525"/>
            </c:spPr>
          </c:dPt>
          <c:dPt>
            <c:idx val="1"/>
            <c:bubble3D val="0"/>
            <c:spPr>
              <a:solidFill>
                <a:schemeClr val="accent4"/>
              </a:solidFill>
              <a:ln>
                <a:solidFill>
                  <a:schemeClr val="bg1"/>
                </a:solidFill>
              </a:ln>
              <a:effectLst/>
              <a:scene3d>
                <a:camera prst="orthographicFront"/>
                <a:lightRig rig="threePt" dir="t"/>
              </a:scene3d>
              <a:sp3d contourW="9525"/>
            </c:spPr>
          </c:dPt>
          <c:dPt>
            <c:idx val="2"/>
            <c:bubble3D val="0"/>
            <c:spPr>
              <a:solidFill>
                <a:schemeClr val="accent6"/>
              </a:solidFill>
              <a:ln>
                <a:solidFill>
                  <a:schemeClr val="bg1"/>
                </a:solidFill>
              </a:ln>
              <a:effectLst/>
              <a:scene3d>
                <a:camera prst="orthographicFront"/>
                <a:lightRig rig="threePt" dir="t"/>
              </a:scene3d>
              <a:sp3d contourW="9525"/>
            </c:spPr>
          </c:dPt>
          <c:dPt>
            <c:idx val="3"/>
            <c:bubble3D val="0"/>
            <c:spPr>
              <a:solidFill>
                <a:schemeClr val="accent2">
                  <a:lumMod val="60000"/>
                </a:schemeClr>
              </a:solidFill>
              <a:ln>
                <a:solidFill>
                  <a:schemeClr val="bg1"/>
                </a:solidFill>
              </a:ln>
              <a:effectLst/>
              <a:scene3d>
                <a:camera prst="orthographicFront"/>
                <a:lightRig rig="threePt" dir="t"/>
              </a:scene3d>
              <a:sp3d contourW="9525"/>
            </c:spPr>
          </c:dPt>
          <c:dLbls>
            <c:dLbl>
              <c:idx val="0"/>
              <c:layout>
                <c:manualLayout>
                  <c:x val="0"/>
                  <c:y val="-0.0335703001579779"/>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1"/>
              <c:showCatName val="1"/>
              <c:showSerName val="0"/>
              <c:showPercent val="1"/>
              <c:showBubbleSize val="0"/>
              <c:extLst>
                <c:ext xmlns:c15="http://schemas.microsoft.com/office/drawing/2012/chart" uri="{CE6537A1-D6FC-4f65-9D91-7224C49458BB}">
                  <c15:layout>
                    <c:manualLayout>
                      <c:w val="0.246077621800165"/>
                      <c:h val="0.106635071090047"/>
                    </c:manualLayout>
                  </c15:layout>
                </c:ext>
              </c:extLst>
            </c:dLbl>
            <c:dLbl>
              <c:idx val="1"/>
              <c:layout>
                <c:manualLayout>
                  <c:x val="0.0318508906452755"/>
                  <c:y val="-0.0118483412322275"/>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044827179426684"/>
                  <c:y val="-0.00394944707740916"/>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0070779756989501"/>
                  <c:y val="-0.0631911532385466"/>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'[13-03-0 (1)-2022年数据.xlsx]更新为2023年数据'!$A$2:$A$5</c:f>
              <c:strCache>
                <c:ptCount val="4"/>
                <c:pt idx="0">
                  <c:v>石化行业</c:v>
                </c:pt>
                <c:pt idx="1">
                  <c:v>化工行业</c:v>
                </c:pt>
                <c:pt idx="2">
                  <c:v>工业涂装</c:v>
                </c:pt>
                <c:pt idx="3">
                  <c:v>其他溶剂使用行业</c:v>
                </c:pt>
              </c:strCache>
            </c:strRef>
          </c:cat>
          <c:val>
            <c:numRef>
              <c:f>'[13-03-0 (1)-2022年数据.xlsx]更新为2023年数据'!$B$2:$B$5</c:f>
              <c:numCache>
                <c:formatCode>General</c:formatCode>
                <c:ptCount val="4"/>
                <c:pt idx="0">
                  <c:v>105</c:v>
                </c:pt>
                <c:pt idx="1">
                  <c:v>2701</c:v>
                </c:pt>
                <c:pt idx="2">
                  <c:v>7576</c:v>
                </c:pt>
                <c:pt idx="3">
                  <c:v>5512</c:v>
                </c:pt>
              </c:numCache>
            </c:numRef>
          </c:val>
        </c:ser>
        <c:dLbls>
          <c:showLegendKey val="0"/>
          <c:showVal val="1"/>
          <c:showCatName val="0"/>
          <c:showSerName val="0"/>
          <c:showPercent val="0"/>
          <c:showBubbleSize val="0"/>
        </c:dLbls>
      </c:pie3DChart>
      <c:spPr>
        <a:noFill/>
        <a:ln>
          <a:noFill/>
        </a:ln>
        <a:effectLst/>
      </c:spPr>
    </c:plotArea>
    <c:plotVisOnly val="1"/>
    <c:dispBlanksAs val="gap"/>
    <c:showDLblsOverMax val="0"/>
    <c:extLst>
      <c:ext uri="{0b15fc19-7d7d-44ad-8c2d-2c3a37ce22c3}">
        <chartProps xmlns="https://web.wps.cn/et/2018/main" chartId="{b9769c23-6fc0-4ec6-b96c-eae8732563fe}"/>
      </c:ext>
    </c:extLst>
  </c:chart>
  <c:spPr>
    <a:solidFill>
      <a:schemeClr val="bg1"/>
    </a:solidFill>
    <a:ln w="9525" cap="flat" cmpd="sng" algn="ctr">
      <a:solidFill>
        <a:schemeClr val="tx1">
          <a:lumMod val="15000"/>
          <a:lumOff val="85000"/>
        </a:schemeClr>
      </a:solidFill>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8278777959629"/>
          <c:y val="0.0172997367431365"/>
          <c:w val="0.866939443535188"/>
          <c:h val="0.445957126739376"/>
        </c:manualLayout>
      </c:layout>
      <c:barChart>
        <c:barDir val="col"/>
        <c:grouping val="clustered"/>
        <c:varyColors val="0"/>
        <c:ser>
          <c:idx val="0"/>
          <c:order val="0"/>
          <c:tx>
            <c:strRef>
              <c:f>'规模以上企业与排污许可管理企业-删除其他行业 (2)'!$D$1</c:f>
              <c:strCache>
                <c:ptCount val="1"/>
                <c:pt idx="0">
                  <c:v>规模以上企业数量</c:v>
                </c:pt>
              </c:strCache>
            </c:strRef>
          </c:tx>
          <c:spPr>
            <a:solidFill>
              <a:schemeClr val="accent1"/>
            </a:solidFill>
            <a:ln>
              <a:noFill/>
            </a:ln>
            <a:effectLst/>
          </c:spPr>
          <c:invertIfNegative val="0"/>
          <c:dLbls>
            <c:delete val="1"/>
          </c:dLbls>
          <c:cat>
            <c:multiLvlStrRef>
              <c:f>'规模以上企业与排污许可管理企业-删除其他行业 (2)'!$A$2:$C$25</c:f>
              <c:multiLvlStrCache>
                <c:ptCount val="24"/>
                <c:lvl>
                  <c:pt idx="0">
                    <c:v>木材加工和木、竹、藤、棕、草制品业</c:v>
                  </c:pt>
                  <c:pt idx="1">
                    <c:v>家具制造业</c:v>
                  </c:pt>
                  <c:pt idx="2">
                    <c:v>汽车制造业</c:v>
                  </c:pt>
                  <c:pt idx="3">
                    <c:v>汽车、摩托车等修理与维护</c:v>
                  </c:pt>
                  <c:pt idx="4">
                    <c:v>通用设备制造业</c:v>
                  </c:pt>
                  <c:pt idx="5">
                    <c:v>专用设备制造业</c:v>
                  </c:pt>
                  <c:pt idx="6">
                    <c:v>铁路、船舶、航空航天和其他运输设备制造业</c:v>
                  </c:pt>
                  <c:pt idx="7">
                    <c:v>电气机械和器材制造业</c:v>
                  </c:pt>
                  <c:pt idx="8">
                    <c:v>文教、工美、体育和娱乐用品制造业</c:v>
                  </c:pt>
                  <c:pt idx="9">
                    <c:v>仪器仪表制造业</c:v>
                  </c:pt>
                  <c:pt idx="10">
                    <c:v>金属制品、机械和设备修理业</c:v>
                  </c:pt>
                  <c:pt idx="11">
                    <c:v>金属制品业</c:v>
                  </c:pt>
                  <c:pt idx="12">
                    <c:v>黑色金属冶炼和压延加工业</c:v>
                  </c:pt>
                  <c:pt idx="13">
                    <c:v>有色金属冶炼和压延加工业</c:v>
                  </c:pt>
                  <c:pt idx="14">
                    <c:v>印刷和记录媒介复制业</c:v>
                  </c:pt>
                  <c:pt idx="15">
                    <c:v>计算机、通信和其他电子设备制造业</c:v>
                  </c:pt>
                  <c:pt idx="16">
                    <c:v>纺织业</c:v>
                  </c:pt>
                  <c:pt idx="17">
                    <c:v>皮革、毛皮、羽毛及其制品和制鞋业</c:v>
                  </c:pt>
                  <c:pt idx="18">
                    <c:v>非金属矿物制品业</c:v>
                  </c:pt>
                  <c:pt idx="19">
                    <c:v>化学原料和化学制品制造业</c:v>
                  </c:pt>
                  <c:pt idx="20">
                    <c:v>医药制造业</c:v>
                  </c:pt>
                  <c:pt idx="21">
                    <c:v>化学纤维制造业</c:v>
                  </c:pt>
                  <c:pt idx="22">
                    <c:v>橡胶和塑料制品业</c:v>
                  </c:pt>
                  <c:pt idx="23">
                    <c:v>石油、煤炭及其他燃料加工业</c:v>
                  </c:pt>
                </c:lvl>
                <c:lvl>
                  <c:pt idx="0">
                    <c:v>C20</c:v>
                  </c:pt>
                  <c:pt idx="1">
                    <c:v>C21</c:v>
                  </c:pt>
                  <c:pt idx="2">
                    <c:v>C36</c:v>
                  </c:pt>
                  <c:pt idx="3">
                    <c:v>O811</c:v>
                  </c:pt>
                  <c:pt idx="4">
                    <c:v>C34</c:v>
                  </c:pt>
                  <c:pt idx="5">
                    <c:v>C35</c:v>
                  </c:pt>
                  <c:pt idx="6">
                    <c:v>C37</c:v>
                  </c:pt>
                  <c:pt idx="7">
                    <c:v>C38</c:v>
                  </c:pt>
                  <c:pt idx="8">
                    <c:v>C24</c:v>
                  </c:pt>
                  <c:pt idx="9">
                    <c:v>C40</c:v>
                  </c:pt>
                  <c:pt idx="10">
                    <c:v>C43</c:v>
                  </c:pt>
                  <c:pt idx="11">
                    <c:v>C33</c:v>
                  </c:pt>
                  <c:pt idx="12">
                    <c:v>C31</c:v>
                  </c:pt>
                  <c:pt idx="13">
                    <c:v>C32</c:v>
                  </c:pt>
                  <c:pt idx="14">
                    <c:v>C23</c:v>
                  </c:pt>
                  <c:pt idx="15">
                    <c:v>C39</c:v>
                  </c:pt>
                  <c:pt idx="16">
                    <c:v>C17</c:v>
                  </c:pt>
                  <c:pt idx="17">
                    <c:v>C19</c:v>
                  </c:pt>
                  <c:pt idx="18">
                    <c:v>C30</c:v>
                  </c:pt>
                  <c:pt idx="19">
                    <c:v>C26</c:v>
                  </c:pt>
                  <c:pt idx="20">
                    <c:v>C27</c:v>
                  </c:pt>
                  <c:pt idx="21">
                    <c:v>C28</c:v>
                  </c:pt>
                  <c:pt idx="22">
                    <c:v>C29</c:v>
                  </c:pt>
                  <c:pt idx="23">
                    <c:v>C25</c:v>
                  </c:pt>
                </c:lvl>
                <c:lvl>
                  <c:pt idx="0">
                    <c:v>工业涂装</c:v>
                  </c:pt>
                  <c:pt idx="14">
                    <c:v>其他溶剂使用行业</c:v>
                  </c:pt>
                  <c:pt idx="19">
                    <c:v>化工</c:v>
                  </c:pt>
                  <c:pt idx="23">
                    <c:v>石化</c:v>
                  </c:pt>
                </c:lvl>
              </c:multiLvlStrCache>
            </c:multiLvlStrRef>
          </c:cat>
          <c:val>
            <c:numRef>
              <c:f>'规模以上企业与排污许可管理企业-删除其他行业 (2)'!$D$2:$D$25</c:f>
              <c:numCache>
                <c:formatCode>0_ </c:formatCode>
                <c:ptCount val="24"/>
                <c:pt idx="0">
                  <c:v>525</c:v>
                </c:pt>
                <c:pt idx="1">
                  <c:v>244</c:v>
                </c:pt>
                <c:pt idx="2">
                  <c:v>471</c:v>
                </c:pt>
                <c:pt idx="3">
                  <c:v>0</c:v>
                </c:pt>
                <c:pt idx="4">
                  <c:v>1268</c:v>
                </c:pt>
                <c:pt idx="5">
                  <c:v>1114</c:v>
                </c:pt>
                <c:pt idx="6">
                  <c:v>217</c:v>
                </c:pt>
                <c:pt idx="7">
                  <c:v>1055</c:v>
                </c:pt>
                <c:pt idx="8">
                  <c:v>430</c:v>
                </c:pt>
                <c:pt idx="9">
                  <c:v>223</c:v>
                </c:pt>
                <c:pt idx="10">
                  <c:v>14</c:v>
                </c:pt>
                <c:pt idx="11">
                  <c:v>1353</c:v>
                </c:pt>
                <c:pt idx="12">
                  <c:v>149</c:v>
                </c:pt>
                <c:pt idx="13">
                  <c:v>513</c:v>
                </c:pt>
                <c:pt idx="14" c:formatCode="General">
                  <c:v>295</c:v>
                </c:pt>
                <c:pt idx="15" c:formatCode="General">
                  <c:v>1155</c:v>
                </c:pt>
                <c:pt idx="16" c:formatCode="General">
                  <c:v>307</c:v>
                </c:pt>
                <c:pt idx="17" c:formatCode="General">
                  <c:v>576</c:v>
                </c:pt>
                <c:pt idx="18" c:formatCode="General">
                  <c:v>3179</c:v>
                </c:pt>
                <c:pt idx="19" c:formatCode="General">
                  <c:v>1538</c:v>
                </c:pt>
                <c:pt idx="20" c:formatCode="General">
                  <c:v>499</c:v>
                </c:pt>
                <c:pt idx="21" c:formatCode="General">
                  <c:v>23</c:v>
                </c:pt>
                <c:pt idx="22" c:formatCode="General">
                  <c:v>641</c:v>
                </c:pt>
                <c:pt idx="23">
                  <c:v>105</c:v>
                </c:pt>
              </c:numCache>
            </c:numRef>
          </c:val>
        </c:ser>
        <c:ser>
          <c:idx val="1"/>
          <c:order val="1"/>
          <c:tx>
            <c:strRef>
              <c:f>'规模以上企业与排污许可管理企业-删除其他行业 (2)'!$E$1</c:f>
              <c:strCache>
                <c:ptCount val="1"/>
                <c:pt idx="0">
                  <c:v>排污许可证管理企业数量</c:v>
                </c:pt>
              </c:strCache>
            </c:strRef>
          </c:tx>
          <c:spPr>
            <a:solidFill>
              <a:schemeClr val="accent3"/>
            </a:solidFill>
            <a:ln>
              <a:noFill/>
            </a:ln>
            <a:effectLst/>
          </c:spPr>
          <c:invertIfNegative val="0"/>
          <c:dLbls>
            <c:delete val="1"/>
          </c:dLbls>
          <c:cat>
            <c:multiLvlStrRef>
              <c:f>'规模以上企业与排污许可管理企业-删除其他行业 (2)'!$A$2:$C$25</c:f>
              <c:multiLvlStrCache>
                <c:ptCount val="24"/>
                <c:lvl>
                  <c:pt idx="0">
                    <c:v>木材加工和木、竹、藤、棕、草制品业</c:v>
                  </c:pt>
                  <c:pt idx="1">
                    <c:v>家具制造业</c:v>
                  </c:pt>
                  <c:pt idx="2">
                    <c:v>汽车制造业</c:v>
                  </c:pt>
                  <c:pt idx="3">
                    <c:v>汽车、摩托车等修理与维护</c:v>
                  </c:pt>
                  <c:pt idx="4">
                    <c:v>通用设备制造业</c:v>
                  </c:pt>
                  <c:pt idx="5">
                    <c:v>专用设备制造业</c:v>
                  </c:pt>
                  <c:pt idx="6">
                    <c:v>铁路、船舶、航空航天和其他运输设备制造业</c:v>
                  </c:pt>
                  <c:pt idx="7">
                    <c:v>电气机械和器材制造业</c:v>
                  </c:pt>
                  <c:pt idx="8">
                    <c:v>文教、工美、体育和娱乐用品制造业</c:v>
                  </c:pt>
                  <c:pt idx="9">
                    <c:v>仪器仪表制造业</c:v>
                  </c:pt>
                  <c:pt idx="10">
                    <c:v>金属制品、机械和设备修理业</c:v>
                  </c:pt>
                  <c:pt idx="11">
                    <c:v>金属制品业</c:v>
                  </c:pt>
                  <c:pt idx="12">
                    <c:v>黑色金属冶炼和压延加工业</c:v>
                  </c:pt>
                  <c:pt idx="13">
                    <c:v>有色金属冶炼和压延加工业</c:v>
                  </c:pt>
                  <c:pt idx="14">
                    <c:v>印刷和记录媒介复制业</c:v>
                  </c:pt>
                  <c:pt idx="15">
                    <c:v>计算机、通信和其他电子设备制造业</c:v>
                  </c:pt>
                  <c:pt idx="16">
                    <c:v>纺织业</c:v>
                  </c:pt>
                  <c:pt idx="17">
                    <c:v>皮革、毛皮、羽毛及其制品和制鞋业</c:v>
                  </c:pt>
                  <c:pt idx="18">
                    <c:v>非金属矿物制品业</c:v>
                  </c:pt>
                  <c:pt idx="19">
                    <c:v>化学原料和化学制品制造业</c:v>
                  </c:pt>
                  <c:pt idx="20">
                    <c:v>医药制造业</c:v>
                  </c:pt>
                  <c:pt idx="21">
                    <c:v>化学纤维制造业</c:v>
                  </c:pt>
                  <c:pt idx="22">
                    <c:v>橡胶和塑料制品业</c:v>
                  </c:pt>
                  <c:pt idx="23">
                    <c:v>石油、煤炭及其他燃料加工业</c:v>
                  </c:pt>
                </c:lvl>
                <c:lvl>
                  <c:pt idx="0">
                    <c:v>C20</c:v>
                  </c:pt>
                  <c:pt idx="1">
                    <c:v>C21</c:v>
                  </c:pt>
                  <c:pt idx="2">
                    <c:v>C36</c:v>
                  </c:pt>
                  <c:pt idx="3">
                    <c:v>O811</c:v>
                  </c:pt>
                  <c:pt idx="4">
                    <c:v>C34</c:v>
                  </c:pt>
                  <c:pt idx="5">
                    <c:v>C35</c:v>
                  </c:pt>
                  <c:pt idx="6">
                    <c:v>C37</c:v>
                  </c:pt>
                  <c:pt idx="7">
                    <c:v>C38</c:v>
                  </c:pt>
                  <c:pt idx="8">
                    <c:v>C24</c:v>
                  </c:pt>
                  <c:pt idx="9">
                    <c:v>C40</c:v>
                  </c:pt>
                  <c:pt idx="10">
                    <c:v>C43</c:v>
                  </c:pt>
                  <c:pt idx="11">
                    <c:v>C33</c:v>
                  </c:pt>
                  <c:pt idx="12">
                    <c:v>C31</c:v>
                  </c:pt>
                  <c:pt idx="13">
                    <c:v>C32</c:v>
                  </c:pt>
                  <c:pt idx="14">
                    <c:v>C23</c:v>
                  </c:pt>
                  <c:pt idx="15">
                    <c:v>C39</c:v>
                  </c:pt>
                  <c:pt idx="16">
                    <c:v>C17</c:v>
                  </c:pt>
                  <c:pt idx="17">
                    <c:v>C19</c:v>
                  </c:pt>
                  <c:pt idx="18">
                    <c:v>C30</c:v>
                  </c:pt>
                  <c:pt idx="19">
                    <c:v>C26</c:v>
                  </c:pt>
                  <c:pt idx="20">
                    <c:v>C27</c:v>
                  </c:pt>
                  <c:pt idx="21">
                    <c:v>C28</c:v>
                  </c:pt>
                  <c:pt idx="22">
                    <c:v>C29</c:v>
                  </c:pt>
                  <c:pt idx="23">
                    <c:v>C25</c:v>
                  </c:pt>
                </c:lvl>
                <c:lvl>
                  <c:pt idx="0">
                    <c:v>工业涂装</c:v>
                  </c:pt>
                  <c:pt idx="14">
                    <c:v>其他溶剂使用行业</c:v>
                  </c:pt>
                  <c:pt idx="19">
                    <c:v>化工</c:v>
                  </c:pt>
                  <c:pt idx="23">
                    <c:v>石化</c:v>
                  </c:pt>
                </c:lvl>
              </c:multiLvlStrCache>
            </c:multiLvlStrRef>
          </c:cat>
          <c:val>
            <c:numRef>
              <c:f>'规模以上企业与排污许可管理企业-删除其他行业 (2)'!$E$2:$E$25</c:f>
              <c:numCache>
                <c:formatCode>General</c:formatCode>
                <c:ptCount val="24"/>
                <c:pt idx="0">
                  <c:v>42</c:v>
                </c:pt>
                <c:pt idx="1">
                  <c:v>88</c:v>
                </c:pt>
                <c:pt idx="2">
                  <c:v>95</c:v>
                </c:pt>
                <c:pt idx="3">
                  <c:v>158</c:v>
                </c:pt>
                <c:pt idx="4">
                  <c:v>88</c:v>
                </c:pt>
                <c:pt idx="5">
                  <c:v>60</c:v>
                </c:pt>
                <c:pt idx="6">
                  <c:v>34</c:v>
                </c:pt>
                <c:pt idx="7">
                  <c:v>154</c:v>
                </c:pt>
                <c:pt idx="8">
                  <c:v>16</c:v>
                </c:pt>
                <c:pt idx="9">
                  <c:v>4</c:v>
                </c:pt>
                <c:pt idx="10">
                  <c:v>1</c:v>
                </c:pt>
                <c:pt idx="11">
                  <c:v>674</c:v>
                </c:pt>
                <c:pt idx="12">
                  <c:v>65</c:v>
                </c:pt>
                <c:pt idx="13">
                  <c:v>327</c:v>
                </c:pt>
                <c:pt idx="14">
                  <c:v>78</c:v>
                </c:pt>
                <c:pt idx="15">
                  <c:v>78</c:v>
                </c:pt>
                <c:pt idx="16">
                  <c:v>25</c:v>
                </c:pt>
                <c:pt idx="17">
                  <c:v>54</c:v>
                </c:pt>
                <c:pt idx="18">
                  <c:v>2280</c:v>
                </c:pt>
                <c:pt idx="19">
                  <c:v>1042</c:v>
                </c:pt>
                <c:pt idx="20">
                  <c:v>141</c:v>
                </c:pt>
                <c:pt idx="21">
                  <c:v>10</c:v>
                </c:pt>
                <c:pt idx="22">
                  <c:v>175</c:v>
                </c:pt>
                <c:pt idx="23">
                  <c:v>42</c:v>
                </c:pt>
              </c:numCache>
            </c:numRef>
          </c:val>
        </c:ser>
        <c:dLbls>
          <c:showLegendKey val="0"/>
          <c:showVal val="0"/>
          <c:showCatName val="0"/>
          <c:showSerName val="0"/>
          <c:showPercent val="0"/>
          <c:showBubbleSize val="0"/>
        </c:dLbls>
        <c:gapWidth val="246"/>
        <c:overlap val="-28"/>
        <c:axId val="270883601"/>
        <c:axId val="201798795"/>
      </c:barChart>
      <c:lineChart>
        <c:grouping val="stacked"/>
        <c:varyColors val="0"/>
        <c:ser>
          <c:idx val="2"/>
          <c:order val="2"/>
          <c:tx>
            <c:strRef>
              <c:f>'规模以上企业与排污许可管理企业-删除其他行业 (2)'!$F$1</c:f>
              <c:strCache>
                <c:ptCount val="1"/>
                <c:pt idx="0">
                  <c:v>占比</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multiLvlStrRef>
              <c:f>'规模以上企业与排污许可管理企业-删除其他行业 (2)'!$A$2:$C$25</c:f>
              <c:multiLvlStrCache>
                <c:ptCount val="24"/>
                <c:lvl>
                  <c:pt idx="0">
                    <c:v>木材加工和木、竹、藤、棕、草制品业</c:v>
                  </c:pt>
                  <c:pt idx="1">
                    <c:v>家具制造业</c:v>
                  </c:pt>
                  <c:pt idx="2">
                    <c:v>汽车制造业</c:v>
                  </c:pt>
                  <c:pt idx="3">
                    <c:v>汽车、摩托车等修理与维护</c:v>
                  </c:pt>
                  <c:pt idx="4">
                    <c:v>通用设备制造业</c:v>
                  </c:pt>
                  <c:pt idx="5">
                    <c:v>专用设备制造业</c:v>
                  </c:pt>
                  <c:pt idx="6">
                    <c:v>铁路、船舶、航空航天和其他运输设备制造业</c:v>
                  </c:pt>
                  <c:pt idx="7">
                    <c:v>电气机械和器材制造业</c:v>
                  </c:pt>
                  <c:pt idx="8">
                    <c:v>文教、工美、体育和娱乐用品制造业</c:v>
                  </c:pt>
                  <c:pt idx="9">
                    <c:v>仪器仪表制造业</c:v>
                  </c:pt>
                  <c:pt idx="10">
                    <c:v>金属制品、机械和设备修理业</c:v>
                  </c:pt>
                  <c:pt idx="11">
                    <c:v>金属制品业</c:v>
                  </c:pt>
                  <c:pt idx="12">
                    <c:v>黑色金属冶炼和压延加工业</c:v>
                  </c:pt>
                  <c:pt idx="13">
                    <c:v>有色金属冶炼和压延加工业</c:v>
                  </c:pt>
                  <c:pt idx="14">
                    <c:v>印刷和记录媒介复制业</c:v>
                  </c:pt>
                  <c:pt idx="15">
                    <c:v>计算机、通信和其他电子设备制造业</c:v>
                  </c:pt>
                  <c:pt idx="16">
                    <c:v>纺织业</c:v>
                  </c:pt>
                  <c:pt idx="17">
                    <c:v>皮革、毛皮、羽毛及其制品和制鞋业</c:v>
                  </c:pt>
                  <c:pt idx="18">
                    <c:v>非金属矿物制品业</c:v>
                  </c:pt>
                  <c:pt idx="19">
                    <c:v>化学原料和化学制品制造业</c:v>
                  </c:pt>
                  <c:pt idx="20">
                    <c:v>医药制造业</c:v>
                  </c:pt>
                  <c:pt idx="21">
                    <c:v>化学纤维制造业</c:v>
                  </c:pt>
                  <c:pt idx="22">
                    <c:v>橡胶和塑料制品业</c:v>
                  </c:pt>
                  <c:pt idx="23">
                    <c:v>石油、煤炭及其他燃料加工业</c:v>
                  </c:pt>
                </c:lvl>
                <c:lvl>
                  <c:pt idx="0">
                    <c:v>C20</c:v>
                  </c:pt>
                  <c:pt idx="1">
                    <c:v>C21</c:v>
                  </c:pt>
                  <c:pt idx="2">
                    <c:v>C36</c:v>
                  </c:pt>
                  <c:pt idx="3">
                    <c:v>O811</c:v>
                  </c:pt>
                  <c:pt idx="4">
                    <c:v>C34</c:v>
                  </c:pt>
                  <c:pt idx="5">
                    <c:v>C35</c:v>
                  </c:pt>
                  <c:pt idx="6">
                    <c:v>C37</c:v>
                  </c:pt>
                  <c:pt idx="7">
                    <c:v>C38</c:v>
                  </c:pt>
                  <c:pt idx="8">
                    <c:v>C24</c:v>
                  </c:pt>
                  <c:pt idx="9">
                    <c:v>C40</c:v>
                  </c:pt>
                  <c:pt idx="10">
                    <c:v>C43</c:v>
                  </c:pt>
                  <c:pt idx="11">
                    <c:v>C33</c:v>
                  </c:pt>
                  <c:pt idx="12">
                    <c:v>C31</c:v>
                  </c:pt>
                  <c:pt idx="13">
                    <c:v>C32</c:v>
                  </c:pt>
                  <c:pt idx="14">
                    <c:v>C23</c:v>
                  </c:pt>
                  <c:pt idx="15">
                    <c:v>C39</c:v>
                  </c:pt>
                  <c:pt idx="16">
                    <c:v>C17</c:v>
                  </c:pt>
                  <c:pt idx="17">
                    <c:v>C19</c:v>
                  </c:pt>
                  <c:pt idx="18">
                    <c:v>C30</c:v>
                  </c:pt>
                  <c:pt idx="19">
                    <c:v>C26</c:v>
                  </c:pt>
                  <c:pt idx="20">
                    <c:v>C27</c:v>
                  </c:pt>
                  <c:pt idx="21">
                    <c:v>C28</c:v>
                  </c:pt>
                  <c:pt idx="22">
                    <c:v>C29</c:v>
                  </c:pt>
                  <c:pt idx="23">
                    <c:v>C25</c:v>
                  </c:pt>
                </c:lvl>
                <c:lvl>
                  <c:pt idx="0">
                    <c:v>工业涂装</c:v>
                  </c:pt>
                  <c:pt idx="14">
                    <c:v>其他溶剂使用行业</c:v>
                  </c:pt>
                  <c:pt idx="19">
                    <c:v>化工</c:v>
                  </c:pt>
                  <c:pt idx="23">
                    <c:v>石化</c:v>
                  </c:pt>
                </c:lvl>
              </c:multiLvlStrCache>
            </c:multiLvlStrRef>
          </c:cat>
          <c:val>
            <c:numRef>
              <c:f>'规模以上企业与排污许可管理企业-删除其他行业 (2)'!$F$2:$F$25</c:f>
              <c:numCache>
                <c:formatCode>0%</c:formatCode>
                <c:ptCount val="24"/>
                <c:pt idx="0">
                  <c:v>0.08</c:v>
                </c:pt>
                <c:pt idx="1">
                  <c:v>0.360655737704918</c:v>
                </c:pt>
                <c:pt idx="2">
                  <c:v>0.201698513800425</c:v>
                </c:pt>
                <c:pt idx="4">
                  <c:v>0.0694006309148265</c:v>
                </c:pt>
                <c:pt idx="5">
                  <c:v>0.0538599640933573</c:v>
                </c:pt>
                <c:pt idx="6">
                  <c:v>0.15668202764977</c:v>
                </c:pt>
                <c:pt idx="7">
                  <c:v>0.145971563981043</c:v>
                </c:pt>
                <c:pt idx="8">
                  <c:v>0.0372093023255814</c:v>
                </c:pt>
                <c:pt idx="9">
                  <c:v>0.0179372197309417</c:v>
                </c:pt>
                <c:pt idx="10">
                  <c:v>0.0714285714285714</c:v>
                </c:pt>
                <c:pt idx="11">
                  <c:v>0.498152254249815</c:v>
                </c:pt>
                <c:pt idx="12">
                  <c:v>0.436241610738255</c:v>
                </c:pt>
                <c:pt idx="13">
                  <c:v>0.637426900584795</c:v>
                </c:pt>
                <c:pt idx="14">
                  <c:v>0.264406779661017</c:v>
                </c:pt>
                <c:pt idx="15">
                  <c:v>0.0675324675324675</c:v>
                </c:pt>
                <c:pt idx="16">
                  <c:v>0.0814332247557003</c:v>
                </c:pt>
                <c:pt idx="17">
                  <c:v>0.09375</c:v>
                </c:pt>
                <c:pt idx="18">
                  <c:v>0.717206668763762</c:v>
                </c:pt>
                <c:pt idx="19">
                  <c:v>0.677503250975293</c:v>
                </c:pt>
                <c:pt idx="20">
                  <c:v>0.282565130260521</c:v>
                </c:pt>
                <c:pt idx="21">
                  <c:v>0.434782608695652</c:v>
                </c:pt>
                <c:pt idx="22">
                  <c:v>0.273010920436817</c:v>
                </c:pt>
                <c:pt idx="23">
                  <c:v>0.4</c:v>
                </c:pt>
              </c:numCache>
            </c:numRef>
          </c:val>
          <c:smooth val="0"/>
        </c:ser>
        <c:dLbls>
          <c:showLegendKey val="0"/>
          <c:showVal val="0"/>
          <c:showCatName val="0"/>
          <c:showSerName val="0"/>
          <c:showPercent val="0"/>
          <c:showBubbleSize val="0"/>
        </c:dLbls>
        <c:marker val="1"/>
        <c:smooth val="0"/>
        <c:axId val="481371876"/>
        <c:axId val="837892820"/>
      </c:lineChart>
      <c:catAx>
        <c:axId val="27088360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01798795"/>
        <c:crosses val="autoZero"/>
        <c:auto val="1"/>
        <c:lblAlgn val="ctr"/>
        <c:lblOffset val="100"/>
        <c:noMultiLvlLbl val="0"/>
      </c:catAx>
      <c:valAx>
        <c:axId val="201798795"/>
        <c:scaling>
          <c:orientation val="minMax"/>
          <c:max val="5000"/>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t>企业数量（个）</a:t>
                </a:r>
              </a:p>
            </c:rich>
          </c:tx>
          <c:layout/>
          <c:overlay val="0"/>
          <c:spPr>
            <a:noFill/>
            <a:ln>
              <a:noFill/>
            </a:ln>
            <a:effectLst/>
          </c:spPr>
        </c:title>
        <c:numFmt formatCode="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70883601"/>
        <c:crosses val="autoZero"/>
        <c:crossBetween val="between"/>
        <c:majorUnit val="1000"/>
      </c:valAx>
      <c:catAx>
        <c:axId val="481371876"/>
        <c:scaling>
          <c:orientation val="minMax"/>
        </c:scaling>
        <c:delete val="1"/>
        <c:axPos val="b"/>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837892820"/>
        <c:crosses val="autoZero"/>
        <c:auto val="1"/>
        <c:lblAlgn val="ctr"/>
        <c:lblOffset val="100"/>
        <c:noMultiLvlLbl val="0"/>
      </c:catAx>
      <c:valAx>
        <c:axId val="837892820"/>
        <c:scaling>
          <c:orientation val="minMax"/>
          <c:max val="1"/>
        </c:scaling>
        <c:delete val="0"/>
        <c:axPos val="r"/>
        <c:title>
          <c:tx>
            <c:rich>
              <a:bodyPr rot="-5400000" spcFirstLastPara="0" vertOverflow="ellipsis" vert="horz" wrap="square" anchor="ctr" anchorCtr="1"/>
              <a:lstStyle/>
              <a:p>
                <a:pPr defTabSz="914400">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t>核发排污许可证企业占比（</a:t>
                </a:r>
                <a:r>
                  <a:rPr lang="en-US" altLang="zh-CN"/>
                  <a:t>%</a:t>
                </a:r>
                <a:r>
                  <a:t>）</a:t>
                </a:r>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481371876"/>
        <c:crosses val="max"/>
        <c:crossBetween val="between"/>
        <c:majorUnit val="0.2"/>
      </c:valAx>
      <c:spPr>
        <a:noFill/>
        <a:ln w="6350" cap="flat" cmpd="sng" algn="ctr">
          <a:solidFill>
            <a:schemeClr val="bg1">
              <a:lumMod val="85000"/>
            </a:schemeClr>
          </a:solidFill>
          <a:prstDash val="solid"/>
        </a:ln>
        <a:effectLst/>
        <a:sp3d>
          <a:extrusionClr>
            <a:srgbClr val="FFFFFF"/>
          </a:extrusionClr>
          <a:contourClr>
            <a:srgbClr val="FFFFFF"/>
          </a:contourClr>
        </a:sp3d>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526577760297995"/>
          <c:y val="0.026740091886881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297ac17f-bc6c-4de8-91e8-b57ea5b85a9e}"/>
      </c:ext>
    </c:extLst>
  </c:chart>
  <c:spPr>
    <a:solidFill>
      <a:schemeClr val="bg1"/>
    </a:solidFill>
    <a:ln w="9525" cap="flat" cmpd="sng" algn="ctr">
      <a:solidFill>
        <a:schemeClr val="tx1">
          <a:lumMod val="15000"/>
          <a:lumOff val="85000"/>
        </a:schemeClr>
      </a:solidFill>
      <a:round/>
    </a:ln>
    <a:effectLst/>
  </c:spPr>
  <c:txPr>
    <a:bodyPr/>
    <a:lstStyle/>
    <a:p>
      <a:pPr>
        <a:defRPr lang="zh-CN" sz="90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48422496570645"/>
          <c:y val="0.129002175940317"/>
          <c:w val="0.803823731138546"/>
          <c:h val="0.785421199875661"/>
        </c:manualLayout>
      </c:layout>
      <c:barChart>
        <c:barDir val="col"/>
        <c:grouping val="clustered"/>
        <c:varyColors val="0"/>
        <c:ser>
          <c:idx val="0"/>
          <c:order val="0"/>
          <c:tx>
            <c:strRef>
              <c:f>'[征求意见稿编制说明数据整理-20250718.xlsx]Sheet1'!$A$2</c:f>
              <c:strCache>
                <c:ptCount val="1"/>
                <c:pt idx="0">
                  <c:v>排放量（万吨）</c:v>
                </c:pt>
              </c:strCache>
            </c:strRef>
          </c:tx>
          <c:spPr>
            <a:solidFill>
              <a:schemeClr val="accent1"/>
            </a:solidFill>
            <a:ln>
              <a:noFill/>
            </a:ln>
            <a:effectLst/>
          </c:spPr>
          <c:invertIfNegative val="0"/>
          <c:dLbls>
            <c:delete val="1"/>
          </c:dLbls>
          <c:cat>
            <c:strRef>
              <c:f>'[征求意见稿编制说明数据整理-20250718.xlsx]Sheet1'!$B$1:$E$1</c:f>
              <c:strCache>
                <c:ptCount val="4"/>
                <c:pt idx="0">
                  <c:v>2020年</c:v>
                </c:pt>
                <c:pt idx="1">
                  <c:v>2021年</c:v>
                </c:pt>
                <c:pt idx="2">
                  <c:v>2022年</c:v>
                </c:pt>
                <c:pt idx="3">
                  <c:v>2023年</c:v>
                </c:pt>
              </c:strCache>
            </c:strRef>
          </c:cat>
          <c:val>
            <c:numRef>
              <c:f>'[征求意见稿编制说明数据整理-20250718.xlsx]Sheet1'!$B$2:$E$2</c:f>
              <c:numCache>
                <c:formatCode>General</c:formatCode>
                <c:ptCount val="4"/>
                <c:pt idx="0">
                  <c:v>4.8</c:v>
                </c:pt>
                <c:pt idx="1">
                  <c:v>3.18</c:v>
                </c:pt>
                <c:pt idx="2">
                  <c:v>3.03</c:v>
                </c:pt>
                <c:pt idx="3">
                  <c:v>3.69</c:v>
                </c:pt>
              </c:numCache>
            </c:numRef>
          </c:val>
        </c:ser>
        <c:dLbls>
          <c:showLegendKey val="0"/>
          <c:showVal val="0"/>
          <c:showCatName val="0"/>
          <c:showSerName val="0"/>
          <c:showPercent val="0"/>
          <c:showBubbleSize val="0"/>
        </c:dLbls>
        <c:gapWidth val="246"/>
        <c:overlap val="-28"/>
        <c:axId val="149915211"/>
        <c:axId val="264430585"/>
      </c:barChart>
      <c:lineChart>
        <c:grouping val="standard"/>
        <c:varyColors val="0"/>
        <c:ser>
          <c:idx val="1"/>
          <c:order val="1"/>
          <c:tx>
            <c:strRef>
              <c:f>'[征求意见稿编制说明数据整理-20250718.xlsx]Sheet1'!$A$3</c:f>
              <c:strCache>
                <c:ptCount val="1"/>
                <c:pt idx="0">
                  <c:v>占比（%）</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'[征求意见稿编制说明数据整理-20250718.xlsx]Sheet1'!$B$1:$E$1</c:f>
              <c:strCache>
                <c:ptCount val="4"/>
                <c:pt idx="0">
                  <c:v>2020年</c:v>
                </c:pt>
                <c:pt idx="1">
                  <c:v>2021年</c:v>
                </c:pt>
                <c:pt idx="2">
                  <c:v>2022年</c:v>
                </c:pt>
                <c:pt idx="3">
                  <c:v>2023年</c:v>
                </c:pt>
              </c:strCache>
            </c:strRef>
          </c:cat>
          <c:val>
            <c:numRef>
              <c:f>'[征求意见稿编制说明数据整理-20250718.xlsx]Sheet1'!$B$3:$E$3</c:f>
              <c:numCache>
                <c:formatCode>0.00%</c:formatCode>
                <c:ptCount val="4"/>
                <c:pt idx="0">
                  <c:v>0.248</c:v>
                </c:pt>
                <c:pt idx="1">
                  <c:v>0.176</c:v>
                </c:pt>
                <c:pt idx="2">
                  <c:v>0.175</c:v>
                </c:pt>
                <c:pt idx="3">
                  <c:v>0.166</c:v>
                </c:pt>
              </c:numCache>
            </c:numRef>
          </c:val>
          <c:smooth val="0"/>
        </c:ser>
        <c:dLbls>
          <c:showLegendKey val="0"/>
          <c:showVal val="0"/>
          <c:showCatName val="0"/>
          <c:showSerName val="0"/>
          <c:showPercent val="0"/>
          <c:showBubbleSize val="0"/>
        </c:dLbls>
        <c:marker val="1"/>
        <c:smooth val="0"/>
        <c:axId val="380051911"/>
        <c:axId val="884986376"/>
      </c:lineChart>
      <c:catAx>
        <c:axId val="14991521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264430585"/>
        <c:crosses val="autoZero"/>
        <c:auto val="1"/>
        <c:lblAlgn val="ctr"/>
        <c:lblOffset val="100"/>
        <c:noMultiLvlLbl val="0"/>
      </c:catAx>
      <c:valAx>
        <c:axId val="264430585"/>
        <c:scaling>
          <c:orientation val="minMax"/>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t>排放量（万吨）</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149915211"/>
        <c:crosses val="autoZero"/>
        <c:crossBetween val="between"/>
        <c:majorUnit val="1"/>
        <c:minorUnit val="0.5"/>
      </c:valAx>
      <c:catAx>
        <c:axId val="380051911"/>
        <c:scaling>
          <c:orientation val="minMax"/>
        </c:scaling>
        <c:delete val="1"/>
        <c:axPos val="b"/>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884986376"/>
        <c:crosses val="autoZero"/>
        <c:auto val="1"/>
        <c:lblAlgn val="ctr"/>
        <c:lblOffset val="100"/>
        <c:noMultiLvlLbl val="0"/>
      </c:catAx>
      <c:valAx>
        <c:axId val="884986376"/>
        <c:scaling>
          <c:orientation val="minMax"/>
        </c:scaling>
        <c:delete val="0"/>
        <c:axPos val="r"/>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t>占比（</a:t>
                </a:r>
                <a:r>
                  <a:rPr lang="en-US" altLang="zh-CN"/>
                  <a:t>%</a:t>
                </a:r>
                <a:r>
                  <a:t>）</a:t>
                </a:r>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crossAx val="380051911"/>
        <c:crosses val="max"/>
        <c:crossBetween val="between"/>
        <c:majorUnit val="0.06"/>
      </c:valAx>
      <c:spPr>
        <a:noFill/>
        <a:ln w="12700" cap="flat" cmpd="sng" algn="ctr">
          <a:solidFill>
            <a:schemeClr val="bg1">
              <a:lumMod val="65000"/>
            </a:schemeClr>
          </a:solidFill>
          <a:prstDash val="solid"/>
          <a:miter lim="800000"/>
        </a:ln>
        <a:effectLst/>
        <a:sp3d>
          <a:extrusionClr>
            <a:srgbClr val="FFFFFF"/>
          </a:extrusionClr>
          <a:contourClr>
            <a:srgbClr val="FFFFFF"/>
          </a:contourClr>
        </a:sp3d>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459773826693613"/>
          <c:y val="0.14773256262657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extLst>
      <c:ext uri="{0b15fc19-7d7d-44ad-8c2d-2c3a37ce22c3}">
        <chartProps xmlns="https://web.wps.cn/et/2018/main" chartId="{fd01f16a-bfff-4d6e-b989-49ecc6588721}"/>
      </c:ext>
    </c:extLst>
  </c:chart>
  <c:spPr>
    <a:solidFill>
      <a:schemeClr val="bg1"/>
    </a:solidFill>
    <a:ln w="9525" cap="flat" cmpd="sng" algn="ctr">
      <a:solidFill>
        <a:schemeClr val="tx1">
          <a:lumMod val="15000"/>
          <a:lumOff val="85000"/>
        </a:schemeClr>
      </a:solidFill>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1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9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cs:styleClr val="auto"/>
    </cs:fontRef>
    <cs:defRPr sz="1000" b="1" i="0" u="none" strike="noStrike" kern="1200" spc="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styleClr val="auto"/>
    </cs:lnRef>
    <cs:fillRef idx="1">
      <cs:styleClr val="auto"/>
    </cs:fillRef>
    <cs:effectRef idx="0"/>
    <cs:fontRef idx="minor">
      <a:schemeClr val="dk1"/>
    </cs:fontRef>
    <cs:spPr>
      <a:ln>
        <a:solidFill>
          <a:schemeClr val="bg1"/>
        </a:solidFill>
      </a:ln>
      <a:effectLs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3200</Words>
  <Characters>3783</Characters>
  <Lines>503</Lines>
  <Paragraphs>141</Paragraphs>
  <TotalTime>20</TotalTime>
  <ScaleCrop>false</ScaleCrop>
  <LinksUpToDate>false</LinksUpToDate>
  <CharactersWithSpaces>3986</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2021-11-29T15:51:00Z</dcterms:created>
  <dc:creator>leijing</dc:creator>
  <cp:lastModifiedBy>何莎</cp:lastModifiedBy>
  <cp:lastPrinted>2024-04-15T14:45:00Z</cp:lastPrinted>
  <dcterms:modified xsi:type="dcterms:W3CDTF">2025-08-14T08:58:39Z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BBCB6D5F8F6C425CABB924D6DC5F707A_13</vt:lpwstr>
  </property>
  <property fmtid="{D5CDD505-2E9C-101B-9397-08002B2CF9AE}" pid="4" name="KSOTemplateDocerSaveRecord">
    <vt:lpwstr>eyJoZGlkIjoiNDI1NGQ4MDY4NjMxYWVlMzc3ODM2NDE0MmU1ODUxYzYiLCJ1c2VySWQiOiI1NDc4OTI1NTQifQ==</vt:lpwstr>
  </property>
</Properties>
</file>