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firstLine="0" w:firstLineChars="0"/>
        <w:jc w:val="center"/>
        <w:rPr>
          <w:rFonts w:ascii="方正小标宋_GBK" w:eastAsia="方正小标宋_GBK"/>
          <w:sz w:val="40"/>
          <w:szCs w:val="48"/>
        </w:rPr>
      </w:pPr>
      <w:bookmarkStart w:id="1" w:name="_GoBack"/>
      <w:bookmarkEnd w:id="1"/>
      <w:r>
        <w:rPr>
          <w:rFonts w:hint="eastAsia" w:ascii="方正小标宋_GBK" w:eastAsia="方正小标宋_GBK"/>
          <w:sz w:val="40"/>
          <w:szCs w:val="48"/>
        </w:rPr>
        <w:t>湖南省空气质量持续改善行动计划实施方案</w:t>
      </w:r>
    </w:p>
    <w:p>
      <w:pPr>
        <w:pStyle w:val="16"/>
        <w:ind w:firstLineChars="50"/>
        <w:jc w:val="center"/>
        <w:rPr>
          <w:rFonts w:ascii="方正小标宋_GBK" w:eastAsia="方正小标宋_GBK"/>
          <w:sz w:val="40"/>
          <w:szCs w:val="48"/>
        </w:rPr>
      </w:pPr>
      <w:r>
        <w:rPr>
          <w:rFonts w:hint="eastAsia" w:ascii="方正小标宋_GBK" w:eastAsia="方正小标宋_GBK"/>
          <w:sz w:val="40"/>
          <w:szCs w:val="48"/>
        </w:rPr>
        <w:t>（征求意见稿）</w:t>
      </w:r>
    </w:p>
    <w:p>
      <w:pPr>
        <w:pStyle w:val="16"/>
        <w:ind w:firstLine="640"/>
        <w:outlineLvl w:val="9"/>
      </w:pPr>
    </w:p>
    <w:p>
      <w:pPr>
        <w:pStyle w:val="16"/>
        <w:ind w:firstLine="640"/>
      </w:pPr>
      <w:r>
        <w:rPr>
          <w:rFonts w:hint="eastAsia"/>
        </w:rPr>
        <w:t>根据《国务院关于印发〈空气质量持续改善行动计划〉的通知》，结合我省实际，</w:t>
      </w:r>
      <w:r>
        <w:t>制定本方案。</w:t>
      </w:r>
    </w:p>
    <w:p>
      <w:pPr>
        <w:pStyle w:val="4"/>
        <w:ind w:firstLine="640"/>
      </w:pPr>
      <w:r>
        <w:t>一、总体要求</w:t>
      </w:r>
    </w:p>
    <w:p>
      <w:pPr>
        <w:pStyle w:val="16"/>
        <w:ind w:firstLine="643"/>
      </w:pPr>
      <w:r>
        <w:rPr>
          <w:rFonts w:hint="eastAsia" w:ascii="楷体_GB2312" w:eastAsia="楷体_GB2312"/>
          <w:b/>
          <w:bCs/>
        </w:rPr>
        <w:t>（一）指导思想。</w:t>
      </w:r>
      <w:r>
        <w:t>以习近平新时代中国特色社会主义思想为指导，</w:t>
      </w:r>
      <w:r>
        <w:rPr>
          <w:rFonts w:hint="eastAsia"/>
        </w:rPr>
        <w:t>深入贯彻习近平总书记关于湖南工作的重要讲话和指示批示精神</w:t>
      </w:r>
      <w:r>
        <w:t>，</w:t>
      </w:r>
      <w:r>
        <w:rPr>
          <w:rFonts w:hint="eastAsia"/>
        </w:rPr>
        <w:t>锚定美丽湖南建设目标，</w:t>
      </w:r>
      <w:r>
        <w:t>协同推进降碳、减污、扩绿、增长</w:t>
      </w:r>
      <w:r>
        <w:rPr>
          <w:rFonts w:hint="eastAsia"/>
        </w:rPr>
        <w:t>。</w:t>
      </w:r>
      <w:r>
        <w:t>以降低细颗粒物（PM</w:t>
      </w:r>
      <w:r>
        <w:rPr>
          <w:vertAlign w:val="subscript"/>
        </w:rPr>
        <w:t>2.5</w:t>
      </w:r>
      <w:r>
        <w:t>）浓度为主线</w:t>
      </w:r>
      <w:r>
        <w:rPr>
          <w:rFonts w:hint="eastAsia"/>
        </w:rPr>
        <w:t>，</w:t>
      </w:r>
      <w:r>
        <w:t>以减少重污染天气和解决突出大气环境问题为重点</w:t>
      </w:r>
      <w:r>
        <w:rPr>
          <w:rFonts w:hint="eastAsia"/>
        </w:rPr>
        <w:t>，以主要污染物减排为抓手，推动</w:t>
      </w:r>
      <w:r>
        <w:t>空气质量</w:t>
      </w:r>
      <w:r>
        <w:rPr>
          <w:rFonts w:hint="eastAsia"/>
        </w:rPr>
        <w:t>持续</w:t>
      </w:r>
      <w:r>
        <w:t>改善</w:t>
      </w:r>
      <w:r>
        <w:rPr>
          <w:rFonts w:hint="eastAsia"/>
        </w:rPr>
        <w:t>。强化源头防控，扎实</w:t>
      </w:r>
      <w:r>
        <w:t>推进产业、能源、交通绿色低碳转型，</w:t>
      </w:r>
      <w:r>
        <w:rPr>
          <w:rFonts w:hint="eastAsia"/>
        </w:rPr>
        <w:t>积极培育和发展新质生产力，</w:t>
      </w:r>
      <w:r>
        <w:t>加快形成绿色低碳生产生活方式</w:t>
      </w:r>
      <w:r>
        <w:rPr>
          <w:rFonts w:hint="eastAsia"/>
        </w:rPr>
        <w:t>；突出系统治污，深化重点行业和领域污染治理，提升大气环境现代化管理和区域协同治理水平</w:t>
      </w:r>
      <w:r>
        <w:t>，</w:t>
      </w:r>
      <w:r>
        <w:rPr>
          <w:rFonts w:hint="eastAsia"/>
        </w:rPr>
        <w:t>为实现“三高四新”美好蓝图奋力谱写新时代生态文明建设的湖南新篇章。</w:t>
      </w:r>
    </w:p>
    <w:p>
      <w:pPr>
        <w:pStyle w:val="16"/>
        <w:ind w:firstLine="643"/>
      </w:pPr>
      <w:r>
        <w:rPr>
          <w:rFonts w:hint="eastAsia" w:ascii="楷体_GB2312" w:eastAsia="楷体_GB2312"/>
          <w:b/>
          <w:bCs/>
        </w:rPr>
        <w:t>（二）目标指标。</w:t>
      </w:r>
      <w:r>
        <w:rPr>
          <w:rFonts w:hint="eastAsia"/>
        </w:rPr>
        <w:t>完成国家下达的空气质量指标和主要污染物总量减排任务。到2</w:t>
      </w:r>
      <w:r>
        <w:t>025</w:t>
      </w:r>
      <w:r>
        <w:rPr>
          <w:rFonts w:hint="eastAsia"/>
        </w:rPr>
        <w:t>年，1</w:t>
      </w:r>
      <w:r>
        <w:t>1</w:t>
      </w:r>
      <w:r>
        <w:rPr>
          <w:rFonts w:hint="eastAsia"/>
        </w:rPr>
        <w:t>个以上城市达标，全省PM</w:t>
      </w:r>
      <w:r>
        <w:rPr>
          <w:rFonts w:hint="eastAsia"/>
          <w:vertAlign w:val="subscript"/>
        </w:rPr>
        <w:t>2.5</w:t>
      </w:r>
      <w:r>
        <w:rPr>
          <w:rFonts w:hint="eastAsia"/>
        </w:rPr>
        <w:t>浓度力争控制在3</w:t>
      </w:r>
      <w:r>
        <w:t>2</w:t>
      </w:r>
      <w:r>
        <w:rPr>
          <w:rFonts w:hint="eastAsia"/>
        </w:rPr>
        <w:t>微克/立方米以内。</w:t>
      </w:r>
    </w:p>
    <w:p>
      <w:pPr>
        <w:pStyle w:val="4"/>
        <w:ind w:firstLine="640"/>
      </w:pPr>
      <w:r>
        <w:t>二、推进产业结构优化</w:t>
      </w:r>
      <w:r>
        <w:rPr>
          <w:rFonts w:hint="eastAsia"/>
        </w:rPr>
        <w:t>升级</w:t>
      </w:r>
    </w:p>
    <w:p>
      <w:pPr>
        <w:pStyle w:val="16"/>
        <w:ind w:firstLine="643"/>
        <w:rPr>
          <w:b/>
          <w:bCs/>
        </w:rPr>
      </w:pPr>
      <w:r>
        <w:rPr>
          <w:rFonts w:hint="eastAsia" w:ascii="楷体_GB2312" w:eastAsia="楷体_GB2312"/>
          <w:b/>
          <w:bCs/>
        </w:rPr>
        <w:t>（三）加强“两高”项目管理。</w:t>
      </w:r>
      <w:r>
        <w:rPr>
          <w:rFonts w:hint="eastAsia"/>
        </w:rPr>
        <w:t>及时更新全省“十四五”拟投产达产项目清单，新改扩建项目严格落实国家和省级产业规划、产业政策、生态环境分区管控方案、规划环评、项目环评、节能审查、产能置换、重点污染物总量控制、污染物排放区域削减、碳排放达峰目标等相关要求，原则上达到国内清洁生产先进水平、采用清洁运输方式，主要产品能效达到标杆水平。涉及产能置换、能耗替代、煤耗替代和污染物总量控制的项目，被置换产能及其配套设施同步关停、能耗煤耗及新增污染物总量削减替代措施落实后，新建项目方可投产。严格控制钢铁产能，建立规范有序的多元化废钢资源保障体系。到2025年，全省钢铁工业的废钢比力争达到30%。</w:t>
      </w:r>
    </w:p>
    <w:p>
      <w:pPr>
        <w:pStyle w:val="16"/>
        <w:ind w:firstLine="643"/>
      </w:pPr>
      <w:r>
        <w:rPr>
          <w:rFonts w:hint="eastAsia" w:ascii="楷体_GB2312" w:eastAsia="楷体_GB2312"/>
          <w:b/>
          <w:bCs/>
        </w:rPr>
        <w:t>（四）加快退出重点行业落后产能。</w:t>
      </w:r>
      <w:r>
        <w:rPr>
          <w:rFonts w:hint="eastAsia"/>
        </w:rPr>
        <w:t>严格执行《产业结构调整指导目录（2024年本）》，制定实施利用能耗、环保、质量、安全、技术等标准推动落后产能退出年度工作方案，加大建材、冶金等重点行业落后产能淘汰力度，推动大规模设备更新，开展小型生物质锅炉清理整合；进一步提高重点城市标准要求，推动限制类涉气行业工艺和装备退出或升级。到2025年，全省砖瓦窑企业全部完成综合整治；基本完成燃煤热风炉和2蒸吨/小时及以下生物质锅炉淘汰；全面完成沿江岸线1公里范围内化工企业搬迁改造任务。</w:t>
      </w:r>
    </w:p>
    <w:p>
      <w:pPr>
        <w:pStyle w:val="16"/>
        <w:ind w:firstLine="643"/>
        <w:rPr>
          <w:b/>
          <w:bCs/>
        </w:rPr>
      </w:pPr>
      <w:r>
        <w:rPr>
          <w:rFonts w:hint="eastAsia" w:ascii="楷体_GB2312" w:eastAsia="楷体_GB2312"/>
          <w:b/>
          <w:bCs/>
        </w:rPr>
        <w:t>（五）全面开展传统产业和园区改造提升。</w:t>
      </w:r>
      <w:r>
        <w:rPr>
          <w:rFonts w:hint="eastAsia"/>
        </w:rPr>
        <w:t>以现代石化、绿色矿业、玻璃建材等传统产业为重点，统筹实施绿色低碳技术、工艺绿色升级、清洁生产改造行动。2</w:t>
      </w:r>
      <w:r>
        <w:t>024</w:t>
      </w:r>
      <w:r>
        <w:rPr>
          <w:rFonts w:hint="eastAsia"/>
        </w:rPr>
        <w:t>年底前，中小微型传统制造企业集中的城市制定涉气产业集群发展规划。开展砖瓦、陶瓷、铸造、涂装等涉气产业集群排查，“一群一策”制定专项整治方案，实施分类治理。到2</w:t>
      </w:r>
      <w:r>
        <w:t>025</w:t>
      </w:r>
      <w:r>
        <w:rPr>
          <w:rFonts w:hint="eastAsia"/>
        </w:rPr>
        <w:t>年，制造业企业入园率达到85%以上。实施园区节能环保提升工程，“一园一策”制定循环化改造方案，支持长沙、株洲、衡阳以及国家级园区探索开展清洁生产整体审核试点示范。引导各地因地制宜规划建设一批涉VOCs“绿岛”项目。</w:t>
      </w:r>
    </w:p>
    <w:p>
      <w:pPr>
        <w:pStyle w:val="16"/>
        <w:ind w:firstLine="643"/>
        <w:rPr>
          <w:b/>
          <w:bCs/>
        </w:rPr>
      </w:pPr>
      <w:r>
        <w:rPr>
          <w:rFonts w:hint="eastAsia" w:ascii="楷体_GB2312" w:eastAsia="楷体_GB2312"/>
          <w:b/>
          <w:bCs/>
        </w:rPr>
        <w:t>（六）推动低VOCs原辅材料和产品源头替代。</w:t>
      </w:r>
      <w:r>
        <w:rPr>
          <w:rFonts w:hint="eastAsia"/>
        </w:rPr>
        <w:t>严格执行</w:t>
      </w:r>
      <w:r>
        <w:t>VOCs含量限值标准</w:t>
      </w:r>
      <w:r>
        <w:rPr>
          <w:rFonts w:hint="eastAsia"/>
        </w:rPr>
        <w:t>，</w:t>
      </w:r>
      <w:r>
        <w:t>严格控制生产和使用高VOCs含量</w:t>
      </w:r>
      <w:r>
        <w:rPr>
          <w:rFonts w:hint="eastAsia"/>
        </w:rPr>
        <w:t>原辅材料</w:t>
      </w:r>
      <w:r>
        <w:t>建设项目。</w:t>
      </w:r>
      <w:r>
        <w:rPr>
          <w:rFonts w:hint="eastAsia"/>
        </w:rPr>
        <w:t>以工业涂装、包装印刷、家具制造和电子行业等为重点，全面摸排VOCs原辅材料使用现状，指导企业制定低</w:t>
      </w:r>
      <w:r>
        <w:t>（无）</w:t>
      </w:r>
      <w:r>
        <w:rPr>
          <w:rFonts w:hint="eastAsia"/>
        </w:rPr>
        <w:t>VOCs原辅材料替代计划，大力推动“应替尽替”；在房屋建筑和市政工程中，鼓励优先使用低VOCs含量涂料和胶粘剂，室内地坪施工、室外构筑物防护和城市道路交通标志基本实现低（无）VOCs含量涂料“能替则替”。</w:t>
      </w:r>
    </w:p>
    <w:p>
      <w:pPr>
        <w:pStyle w:val="4"/>
        <w:ind w:firstLine="640"/>
      </w:pPr>
      <w:r>
        <w:t>三、推进能源绿色低碳转型</w:t>
      </w:r>
    </w:p>
    <w:p>
      <w:pPr>
        <w:pStyle w:val="16"/>
        <w:ind w:firstLine="643"/>
        <w:rPr>
          <w:b/>
          <w:bCs/>
        </w:rPr>
      </w:pPr>
      <w:r>
        <w:rPr>
          <w:rFonts w:hint="eastAsia" w:ascii="楷体_GB2312" w:eastAsia="楷体_GB2312"/>
          <w:b/>
          <w:bCs/>
        </w:rPr>
        <w:t>（七）大力发展清洁低碳能源。</w:t>
      </w:r>
      <w:r>
        <w:rPr>
          <w:rFonts w:hint="eastAsia"/>
        </w:rPr>
        <w:t>加快推进“宁电入湘”和“气化湖南”工程，高水平建设“一枢纽五领先”新型电力系统，积极开拓天然气工业消费和居民商服用户市场，大力推进浅层地热能建筑规模化应用。到</w:t>
      </w:r>
      <w:r>
        <w:t>2025</w:t>
      </w:r>
      <w:r>
        <w:rPr>
          <w:rFonts w:hint="eastAsia"/>
        </w:rPr>
        <w:t>年，非化石能源消费占比达到</w:t>
      </w:r>
      <w:r>
        <w:t>25%</w:t>
      </w:r>
      <w:r>
        <w:rPr>
          <w:rFonts w:hint="eastAsia"/>
        </w:rPr>
        <w:t>，电能占终端能源消费比重达到</w:t>
      </w:r>
      <w:r>
        <w:t>24%</w:t>
      </w:r>
      <w:r>
        <w:rPr>
          <w:rFonts w:hint="eastAsia"/>
        </w:rPr>
        <w:t>。</w:t>
      </w:r>
    </w:p>
    <w:p>
      <w:pPr>
        <w:pStyle w:val="16"/>
        <w:ind w:firstLine="643"/>
        <w:rPr>
          <w:b/>
          <w:bCs/>
        </w:rPr>
      </w:pPr>
      <w:r>
        <w:rPr>
          <w:rFonts w:hint="eastAsia" w:ascii="楷体_GB2312" w:eastAsia="楷体_GB2312"/>
          <w:b/>
          <w:bCs/>
        </w:rPr>
        <w:t>（八）科学合理控制煤炭消费总量。</w:t>
      </w:r>
      <w:r>
        <w:rPr>
          <w:rFonts w:hint="eastAsia"/>
        </w:rPr>
        <w:t>全省原则上不再新增自备燃煤机组，推进自备燃煤机组实施清洁能源替代。积极引导钢铁、建材和化工等重点行业减煤降碳、节能增效，削减非电力用煤。保障煤电项目及其用煤量，不得将统调电厂用煤指标用于其他燃煤设施。建设全省重点行业煤炭消费监测系统，实现煤炭消费动态监测。到</w:t>
      </w:r>
      <w:r>
        <w:t>2025</w:t>
      </w:r>
      <w:r>
        <w:rPr>
          <w:rFonts w:hint="eastAsia"/>
        </w:rPr>
        <w:t>年，煤炭消费占一次能源消费比重下降至</w:t>
      </w:r>
      <w:r>
        <w:t>51%</w:t>
      </w:r>
      <w:r>
        <w:rPr>
          <w:rFonts w:hint="eastAsia"/>
        </w:rPr>
        <w:t>左右，电煤消费占比达到</w:t>
      </w:r>
      <w:r>
        <w:t>55%</w:t>
      </w:r>
      <w:r>
        <w:rPr>
          <w:rFonts w:hint="eastAsia"/>
        </w:rPr>
        <w:t>以上。</w:t>
      </w:r>
    </w:p>
    <w:p>
      <w:pPr>
        <w:pStyle w:val="16"/>
        <w:ind w:firstLine="643"/>
        <w:rPr>
          <w:b/>
          <w:bCs/>
        </w:rPr>
      </w:pPr>
      <w:r>
        <w:rPr>
          <w:rFonts w:hint="eastAsia" w:ascii="楷体_GB2312" w:eastAsia="楷体_GB2312"/>
          <w:b/>
          <w:bCs/>
        </w:rPr>
        <w:t>（九）推进燃煤锅炉关停整合和散煤替代。</w:t>
      </w:r>
      <w:r>
        <w:rPr>
          <w:rFonts w:hint="eastAsia"/>
        </w:rPr>
        <w:t>县级及以上城市建成区原则上不再新建</w:t>
      </w:r>
      <w:r>
        <w:t>35</w:t>
      </w:r>
      <w:r>
        <w:rPr>
          <w:rFonts w:hint="eastAsia"/>
        </w:rPr>
        <w:t>蒸吨</w:t>
      </w:r>
      <w:r>
        <w:t>/</w:t>
      </w:r>
      <w:r>
        <w:rPr>
          <w:rFonts w:hint="eastAsia"/>
        </w:rPr>
        <w:t>小时及以下燃煤锅炉，加快推进重点城市</w:t>
      </w:r>
      <w:r>
        <w:t>35</w:t>
      </w:r>
      <w:r>
        <w:rPr>
          <w:rFonts w:hint="eastAsia"/>
        </w:rPr>
        <w:t>蒸吨</w:t>
      </w:r>
      <w:r>
        <w:t>/</w:t>
      </w:r>
      <w:r>
        <w:rPr>
          <w:rFonts w:hint="eastAsia"/>
        </w:rPr>
        <w:t>小时及以下燃煤锅炉淘汰，加大民用及农业散煤替代力度，高污染燃料禁燃区散煤动态清零。到</w:t>
      </w:r>
      <w:r>
        <w:t>2025</w:t>
      </w:r>
      <w:r>
        <w:rPr>
          <w:rFonts w:hint="eastAsia"/>
        </w:rPr>
        <w:t>年，全省基本淘汰</w:t>
      </w:r>
      <w:r>
        <w:t>10</w:t>
      </w:r>
      <w:r>
        <w:rPr>
          <w:rFonts w:hint="eastAsia"/>
        </w:rPr>
        <w:t>蒸吨</w:t>
      </w:r>
      <w:r>
        <w:t>/</w:t>
      </w:r>
      <w:r>
        <w:rPr>
          <w:rFonts w:hint="eastAsia"/>
        </w:rPr>
        <w:t>小时及以下燃煤锅炉、完成燃煤烤烟房煤改电（生物质）1</w:t>
      </w:r>
      <w:r>
        <w:t>2500</w:t>
      </w:r>
      <w:r>
        <w:rPr>
          <w:rFonts w:hint="eastAsia"/>
        </w:rPr>
        <w:t>座。发挥热电联产电厂供热能力，开展管网覆盖范围内燃煤锅炉、落后燃煤小热电机组（含自备电厂）和生物质锅炉关停或整合。</w:t>
      </w:r>
    </w:p>
    <w:p>
      <w:pPr>
        <w:pStyle w:val="16"/>
        <w:ind w:firstLine="643"/>
        <w:rPr>
          <w:b/>
          <w:bCs/>
        </w:rPr>
      </w:pPr>
      <w:r>
        <w:rPr>
          <w:rFonts w:hint="eastAsia" w:ascii="楷体_GB2312" w:eastAsia="楷体_GB2312"/>
          <w:b/>
          <w:bCs/>
        </w:rPr>
        <w:t>（十）实施工业炉窑清洁能源替代。</w:t>
      </w:r>
      <w:r>
        <w:rPr>
          <w:rFonts w:hint="eastAsia"/>
        </w:rPr>
        <w:t>以使用高污染燃料的工业炉窑为重点，大力推进电能、天然气替代，加快推动玻璃、陶瓷等建材行业企业以及有色冶炼行业鼓风炉、反射炉等“煤改气”。新改扩建加热炉、热处理炉、干燥炉、熔化炉原则上采用清洁低碳能源。全省原则上不再新增燃料类煤气发生炉，逐步淘汰固定床间歇式煤气发生炉，鼓励现有煤气发生炉“小改大”。</w:t>
      </w:r>
    </w:p>
    <w:p>
      <w:pPr>
        <w:pStyle w:val="4"/>
        <w:ind w:firstLine="640"/>
      </w:pPr>
      <w:r>
        <w:t>四</w:t>
      </w:r>
      <w:r>
        <w:rPr>
          <w:rFonts w:hint="eastAsia"/>
        </w:rPr>
        <w:t>、</w:t>
      </w:r>
      <w:r>
        <w:t>推进绿色运输体系</w:t>
      </w:r>
      <w:r>
        <w:rPr>
          <w:rFonts w:hint="eastAsia"/>
        </w:rPr>
        <w:t>建设</w:t>
      </w:r>
    </w:p>
    <w:p>
      <w:pPr>
        <w:pStyle w:val="16"/>
        <w:ind w:firstLine="643"/>
        <w:rPr>
          <w:b/>
          <w:bCs/>
        </w:rPr>
      </w:pPr>
      <w:r>
        <w:rPr>
          <w:rFonts w:hint="eastAsia" w:ascii="楷体_GB2312" w:eastAsia="楷体_GB2312"/>
          <w:b/>
          <w:bCs/>
        </w:rPr>
        <w:t>（十一）推动大宗货物运输“公转铁、公转水”。</w:t>
      </w:r>
      <w:r>
        <w:rPr>
          <w:rFonts w:hint="eastAsia"/>
        </w:rPr>
        <w:t>扎实推进铜官港、虞公港、长株潭生产服务型物流枢纽等铁路专用线和湘江长沙至城陵矶、资水益阳至芦林潭、澧资白沙至甘溪港等航道工程建设，加强公铁水高效衔接，建设一批多式联运型和干支衔接型货运枢纽。积极引导道路货运企业向多式联运经营人转型，持续开展城市绿色货运配送示范。将清洁运输作为涉大宗货物运输重点行业新改扩建项目审核和监管重点。到2025年，铁路、水路货运量比2020年分别增长10%和12%左右；火电、钢铁、煤炭、焦化、有色等重点行业企业</w:t>
      </w:r>
      <w:bookmarkStart w:id="0" w:name="_Hlk160812575"/>
      <w:r>
        <w:rPr>
          <w:rFonts w:hint="eastAsia"/>
        </w:rPr>
        <w:t>大宗货物</w:t>
      </w:r>
      <w:bookmarkEnd w:id="0"/>
      <w:r>
        <w:rPr>
          <w:rFonts w:hint="eastAsia"/>
        </w:rPr>
        <w:t>清洁方式运输比例达到70%以上。</w:t>
      </w:r>
    </w:p>
    <w:p>
      <w:pPr>
        <w:pStyle w:val="16"/>
        <w:ind w:firstLine="643"/>
        <w:rPr>
          <w:b/>
          <w:bCs/>
        </w:rPr>
      </w:pPr>
      <w:r>
        <w:rPr>
          <w:rFonts w:hint="eastAsia" w:ascii="楷体_GB2312" w:eastAsia="楷体_GB2312"/>
          <w:b/>
          <w:bCs/>
        </w:rPr>
        <w:t>（十二）提升机动车清洁化水平。</w:t>
      </w:r>
      <w:r>
        <w:rPr>
          <w:rFonts w:hint="eastAsia"/>
        </w:rPr>
        <w:t>各地严格落实高排放车辆禁限行方案，加快推进高排放柴油货车、采用稀薄燃烧技术的燃气货车、“油改气”老旧燃气车辆淘汰。大力推广新能源中重型货车，加快充电基础设施一体化建设。重点城市和国家生态文明试验区新增或更新公交、出租、物流配送、轻型环卫等车辆中新能源汽车比例不低于80%。到2</w:t>
      </w:r>
      <w:r>
        <w:t>025</w:t>
      </w:r>
      <w:r>
        <w:rPr>
          <w:rFonts w:hint="eastAsia"/>
        </w:rPr>
        <w:t>年，按国家规定淘汰国三及以下排放标准的柴油货车，燃煤火电、钢铁、水泥、焦化行业大宗货物公路运输部分基本采用新能源或国六及以上排放标准车辆；全省累计建成充电桩40万个以上，高速服务区快充站覆盖率力争实现</w:t>
      </w:r>
      <w:r>
        <w:t>100</w:t>
      </w:r>
      <w:r>
        <w:rPr>
          <w:rFonts w:hint="eastAsia"/>
        </w:rPr>
        <w:t>%。</w:t>
      </w:r>
      <w:r>
        <w:t>强化新生产货车监督抽查</w:t>
      </w:r>
      <w:r>
        <w:rPr>
          <w:rFonts w:hint="eastAsia"/>
        </w:rPr>
        <w:t>和在用车达标监管，加强重型货车路检路查和入户检查，推动通过遥感监测等技术对机动车进行监督抽测，严厉打击污染控制装置造假、尾气排放不达标等行为。</w:t>
      </w:r>
    </w:p>
    <w:p>
      <w:pPr>
        <w:pStyle w:val="16"/>
        <w:ind w:firstLine="643"/>
        <w:rPr>
          <w:b/>
          <w:bCs/>
        </w:rPr>
      </w:pPr>
      <w:r>
        <w:rPr>
          <w:rFonts w:hint="eastAsia" w:ascii="楷体_GB2312" w:eastAsia="楷体_GB2312"/>
          <w:b/>
          <w:bCs/>
        </w:rPr>
        <w:t>（十三）强化非道路移动源综合治理。</w:t>
      </w:r>
      <w:r>
        <w:rPr>
          <w:rFonts w:hint="eastAsia"/>
        </w:rPr>
        <w:t>加</w:t>
      </w:r>
      <w:r>
        <w:t>快推进铁路货场、物流园区、港口、机场、工矿企业内部作业车辆和机械新能源更新改造</w:t>
      </w:r>
      <w:r>
        <w:rPr>
          <w:rFonts w:hint="eastAsia"/>
        </w:rPr>
        <w:t>。加大高耗能高排放船舶淘汰力度，推动实施“电动湖南”电动货船示范项目，加快船舶受电装置改造和岸电设施建设，提高岸电使用率。推动耗能高、污染重的老旧农机具报废淘汰，对高端智能、绿色环保农机实行“优机优补”。</w:t>
      </w:r>
      <w:r>
        <w:t>到2025年，基本消除非道路移动机械、船舶“冒黑烟”现象，基本淘汰第一阶段及以下排放标准的非道路移动机械</w:t>
      </w:r>
      <w:r>
        <w:rPr>
          <w:rFonts w:hint="eastAsia"/>
        </w:rPr>
        <w:t>，</w:t>
      </w:r>
      <w:r>
        <w:t>长沙黄花机场桥电使用率</w:t>
      </w:r>
      <w:r>
        <w:rPr>
          <w:rFonts w:hint="eastAsia"/>
        </w:rPr>
        <w:t>稳定</w:t>
      </w:r>
      <w:r>
        <w:t>达到95%以上。</w:t>
      </w:r>
    </w:p>
    <w:p>
      <w:pPr>
        <w:pStyle w:val="16"/>
        <w:ind w:firstLine="643"/>
        <w:rPr>
          <w:b/>
          <w:bCs/>
        </w:rPr>
      </w:pPr>
      <w:r>
        <w:rPr>
          <w:rFonts w:hint="eastAsia" w:ascii="楷体_GB2312" w:eastAsia="楷体_GB2312"/>
          <w:b/>
          <w:bCs/>
        </w:rPr>
        <w:t>（十四）加强成品油流通领域监管。</w:t>
      </w:r>
      <w:r>
        <w:t>定期开展成品油流通领域“打非治违”专项行动，全面清理整顿自建油罐、流动加油车（船）和黑加油站点，坚决打击</w:t>
      </w:r>
      <w:r>
        <w:rPr>
          <w:rFonts w:hint="eastAsia"/>
        </w:rPr>
        <w:t>将</w:t>
      </w:r>
      <w:r>
        <w:t>非标油品作为发动机燃料销售等行为。</w:t>
      </w:r>
      <w:r>
        <w:rPr>
          <w:rFonts w:hint="eastAsia"/>
        </w:rPr>
        <w:t>全面推动加油站三次油气回收治理，</w:t>
      </w:r>
      <w:r>
        <w:rPr>
          <w:rFonts w:hint="eastAsia" w:ascii="Times New Roman" w:hAnsi="Times New Roman"/>
          <w:kern w:val="21"/>
          <w:szCs w:val="32"/>
        </w:rPr>
        <w:t>各市州城市加油站2</w:t>
      </w:r>
      <w:r>
        <w:rPr>
          <w:rFonts w:ascii="Times New Roman" w:hAnsi="Times New Roman"/>
          <w:kern w:val="21"/>
          <w:szCs w:val="32"/>
        </w:rPr>
        <w:t>024</w:t>
      </w:r>
      <w:r>
        <w:rPr>
          <w:rFonts w:hint="eastAsia" w:ascii="Times New Roman" w:hAnsi="Times New Roman"/>
          <w:kern w:val="21"/>
          <w:szCs w:val="32"/>
        </w:rPr>
        <w:t>年底前完成，各县（市）城镇建成区加油站2025年底前完成</w:t>
      </w:r>
      <w:r>
        <w:rPr>
          <w:rFonts w:hint="eastAsia"/>
        </w:rPr>
        <w:t>。</w:t>
      </w:r>
      <w:r>
        <w:t>提升货车、非道路移动机械、船舶油箱中柴油抽测频次，开展储运销环节油气回收专项检查。</w:t>
      </w:r>
    </w:p>
    <w:p>
      <w:pPr>
        <w:pStyle w:val="4"/>
        <w:ind w:firstLine="640"/>
      </w:pPr>
      <w:r>
        <w:t>五、强化面源污染治理</w:t>
      </w:r>
      <w:r>
        <w:rPr>
          <w:rFonts w:hint="eastAsia"/>
        </w:rPr>
        <w:t>和</w:t>
      </w:r>
      <w:r>
        <w:t>精细化管理</w:t>
      </w:r>
    </w:p>
    <w:p>
      <w:pPr>
        <w:pStyle w:val="16"/>
        <w:ind w:firstLine="643"/>
        <w:rPr>
          <w:b/>
          <w:bCs/>
        </w:rPr>
      </w:pPr>
      <w:r>
        <w:rPr>
          <w:rFonts w:hint="eastAsia" w:ascii="楷体_GB2312" w:eastAsia="楷体_GB2312"/>
          <w:b/>
          <w:bCs/>
        </w:rPr>
        <w:t>（十五）深化扬尘污染综合治理。</w:t>
      </w:r>
      <w:r>
        <w:rPr>
          <w:rFonts w:hint="eastAsia"/>
        </w:rPr>
        <w:t>大力</w:t>
      </w:r>
      <w:r>
        <w:t>推行绿色施工，</w:t>
      </w:r>
      <w:r>
        <w:rPr>
          <w:rFonts w:hint="eastAsia"/>
        </w:rPr>
        <w:t>将防治扬尘污染费用纳入工程造价，推动道路、水务等长距离线性工程实行分段施工，加快推广应用“互联网+智慧工地”监管系统。着力推进装配式建筑发展，完善装配式建筑项目库、企业库。到2025年，全省城镇新开工装配式建筑面积占新建建筑面积的比例达到</w:t>
      </w:r>
      <w:r>
        <w:t>52</w:t>
      </w:r>
      <w:r>
        <w:rPr>
          <w:rFonts w:hint="eastAsia"/>
        </w:rPr>
        <w:t>%以上，长沙、株洲、湘潭力争达到</w:t>
      </w:r>
      <w:r>
        <w:t>60</w:t>
      </w:r>
      <w:r>
        <w:rPr>
          <w:rFonts w:hint="eastAsia"/>
        </w:rPr>
        <w:t>%以上。推行高效无尘的机械化清扫作业方式，鼓励各地对重点路段建设一批雾化喷淋抑尘设施。到2025年，地级城市建成区道路机械化清扫率保持90%以上，县级保持80%以上。运用遥感等综合手段排查建立城市裸露地块清单，采取绿化、硬化等措施及时整治扬尘。城市大型煤炭、矿石等干散货码头物料堆场基本完成抑尘设施建设和物料输送系统封闭改造。</w:t>
      </w:r>
    </w:p>
    <w:p>
      <w:pPr>
        <w:pStyle w:val="16"/>
        <w:ind w:firstLine="643"/>
        <w:rPr>
          <w:b/>
          <w:bCs/>
        </w:rPr>
      </w:pPr>
      <w:r>
        <w:rPr>
          <w:rFonts w:hint="eastAsia" w:ascii="楷体_GB2312" w:eastAsia="楷体_GB2312"/>
          <w:b/>
          <w:bCs/>
        </w:rPr>
        <w:t>（十六）推进矿山生态环境综合整治。</w:t>
      </w:r>
      <w:r>
        <w:rPr>
          <w:rFonts w:hint="eastAsia"/>
        </w:rPr>
        <w:t>新建矿山原则上要同步建设铁路专用线或采用其他清洁运输方式。持续开展露天矿山修复治理。对限期整改仍不达标的矿山，根据安全生产、水土保持、生态环境等要求依法查处。到2</w:t>
      </w:r>
      <w:r>
        <w:t>025</w:t>
      </w:r>
      <w:r>
        <w:rPr>
          <w:rFonts w:hint="eastAsia"/>
        </w:rPr>
        <w:t>年，全省大、中型生产矿山基本建成绿色矿山。</w:t>
      </w:r>
    </w:p>
    <w:p>
      <w:pPr>
        <w:pStyle w:val="16"/>
        <w:ind w:firstLine="643"/>
      </w:pPr>
      <w:r>
        <w:rPr>
          <w:rFonts w:hint="eastAsia" w:ascii="楷体_GB2312" w:eastAsia="楷体_GB2312"/>
          <w:b/>
          <w:bCs/>
        </w:rPr>
        <w:t>（十七）加强秸秆综合利用和禁烧。</w:t>
      </w:r>
      <w:r>
        <w:rPr>
          <w:rFonts w:hint="eastAsia"/>
        </w:rPr>
        <w:t>坚持疏堵结合、以用促禁，健全</w:t>
      </w:r>
      <w:r>
        <w:t>秸秆</w:t>
      </w:r>
      <w:r>
        <w:rPr>
          <w:rFonts w:hint="eastAsia"/>
        </w:rPr>
        <w:t>综合利用</w:t>
      </w:r>
      <w:r>
        <w:t>服务体系，提高</w:t>
      </w:r>
      <w:r>
        <w:rPr>
          <w:rFonts w:hint="eastAsia"/>
        </w:rPr>
        <w:t>还田质量和</w:t>
      </w:r>
      <w:r>
        <w:t>离田效能</w:t>
      </w:r>
      <w:r>
        <w:rPr>
          <w:rFonts w:hint="eastAsia"/>
        </w:rPr>
        <w:t>，落实中央秸秆综合利用试点政策。</w:t>
      </w:r>
      <w:r>
        <w:t>到2025年，全省秸秆综合利用率稳定在86%以上。</w:t>
      </w:r>
      <w:r>
        <w:rPr>
          <w:rFonts w:hint="eastAsia"/>
        </w:rPr>
        <w:t>各地科学划定禁烧区域，完善网格化监管体系；综合运用卫星遥感、高清视频监控、无人机等手段，提高秸秆焚烧火点监测精准度，健全火点闭环处置机制；充分发挥基层组织作用，</w:t>
      </w:r>
      <w:r>
        <w:t>开展重点时段专项巡查</w:t>
      </w:r>
      <w:r>
        <w:rPr>
          <w:rFonts w:hint="eastAsia"/>
        </w:rPr>
        <w:t>，坚决防止洞庭湖区等地秸秆露天焚烧连点成片。加强森林防火区内秸秆焚烧监管</w:t>
      </w:r>
      <w:r>
        <w:t>。</w:t>
      </w:r>
      <w:r>
        <w:rPr>
          <w:rFonts w:hint="eastAsia"/>
        </w:rPr>
        <w:t>各地严格落实中心城区烟花爆竹禁限放相关政策。</w:t>
      </w:r>
    </w:p>
    <w:p>
      <w:pPr>
        <w:pStyle w:val="4"/>
        <w:ind w:firstLine="640"/>
      </w:pPr>
      <w:r>
        <w:t>六、</w:t>
      </w:r>
      <w:r>
        <w:rPr>
          <w:rFonts w:hint="eastAsia"/>
        </w:rPr>
        <w:t>提升治理水平推动</w:t>
      </w:r>
      <w:r>
        <w:t>多污染物减排</w:t>
      </w:r>
    </w:p>
    <w:p>
      <w:pPr>
        <w:pStyle w:val="16"/>
        <w:ind w:firstLine="643"/>
      </w:pPr>
      <w:r>
        <w:rPr>
          <w:rFonts w:hint="eastAsia" w:ascii="楷体_GB2312" w:eastAsia="楷体_GB2312"/>
          <w:b/>
          <w:bCs/>
        </w:rPr>
        <w:t>（十八）深化VOCs全流程综合治理。</w:t>
      </w:r>
      <w:r>
        <w:rPr>
          <w:rFonts w:hint="eastAsia"/>
        </w:rPr>
        <w:t>全面</w:t>
      </w:r>
      <w:r>
        <w:t>开展</w:t>
      </w:r>
      <w:r>
        <w:rPr>
          <w:rFonts w:hint="eastAsia"/>
        </w:rPr>
        <w:t>VOCs治理设施排查整治，</w:t>
      </w:r>
      <w:r>
        <w:t>加快低效失效、不合规定、</w:t>
      </w:r>
      <w:r>
        <w:rPr>
          <w:rFonts w:hint="eastAsia"/>
        </w:rPr>
        <w:t>无法稳定达标的</w:t>
      </w:r>
      <w:r>
        <w:t>治理设施</w:t>
      </w:r>
      <w:r>
        <w:rPr>
          <w:rFonts w:hint="eastAsia"/>
        </w:rPr>
        <w:t>淘汰或</w:t>
      </w:r>
      <w:r>
        <w:t>升级改造</w:t>
      </w:r>
      <w:r>
        <w:rPr>
          <w:rFonts w:hint="eastAsia"/>
        </w:rPr>
        <w:t>，强化各环节无组织排放整治。严格落实非正常工况作业产生的VOCs废气、</w:t>
      </w:r>
      <w:r>
        <w:t>污水处理场所高浓度有机废气</w:t>
      </w:r>
      <w:r>
        <w:rPr>
          <w:rFonts w:hint="eastAsia"/>
        </w:rPr>
        <w:t>、</w:t>
      </w:r>
      <w:r>
        <w:t>含VOCs有机废水储罐</w:t>
      </w:r>
      <w:r>
        <w:rPr>
          <w:rFonts w:hint="eastAsia"/>
        </w:rPr>
        <w:t>和</w:t>
      </w:r>
      <w:r>
        <w:t>装置区集水井（池）有机废气收集处理</w:t>
      </w:r>
      <w:r>
        <w:rPr>
          <w:rFonts w:hint="eastAsia"/>
        </w:rPr>
        <w:t>要求，企业不得将火炬燃烧装置作为日常大气污染处理设施</w:t>
      </w:r>
      <w:r>
        <w:t>。规范开展泄漏检测与修复，</w:t>
      </w:r>
      <w:r>
        <w:rPr>
          <w:rFonts w:hint="eastAsia"/>
        </w:rPr>
        <w:t>2</w:t>
      </w:r>
      <w:r>
        <w:t>025</w:t>
      </w:r>
      <w:r>
        <w:rPr>
          <w:rFonts w:hint="eastAsia"/>
        </w:rPr>
        <w:t>年底前省级及以上石化、化工园区</w:t>
      </w:r>
      <w:r>
        <w:t>建立统一的泄漏检测与修复信息管理平台。</w:t>
      </w:r>
    </w:p>
    <w:p>
      <w:pPr>
        <w:pStyle w:val="16"/>
        <w:ind w:firstLine="643"/>
        <w:rPr>
          <w:b/>
          <w:bCs/>
        </w:rPr>
      </w:pPr>
      <w:r>
        <w:rPr>
          <w:rFonts w:hint="eastAsia" w:ascii="楷体_GB2312" w:eastAsia="楷体_GB2312"/>
          <w:b/>
          <w:bCs/>
        </w:rPr>
        <w:t>（十九）推进重点行业污染深度治理。</w:t>
      </w:r>
      <w:r>
        <w:rPr>
          <w:rFonts w:hint="eastAsia"/>
        </w:rPr>
        <w:t>制定重点行业超低排放改造实施方案，</w:t>
      </w:r>
      <w:r>
        <w:t>2025年</w:t>
      </w:r>
      <w:r>
        <w:rPr>
          <w:rFonts w:hint="eastAsia"/>
        </w:rPr>
        <w:t>底前</w:t>
      </w:r>
      <w:r>
        <w:t>，全面完成</w:t>
      </w:r>
      <w:r>
        <w:rPr>
          <w:rFonts w:hint="eastAsia"/>
        </w:rPr>
        <w:t>4家</w:t>
      </w:r>
      <w:r>
        <w:t>钢铁</w:t>
      </w:r>
      <w:r>
        <w:rPr>
          <w:rFonts w:hint="eastAsia"/>
        </w:rPr>
        <w:t>企业</w:t>
      </w:r>
      <w:r>
        <w:t>、65蒸吨</w:t>
      </w:r>
      <w:r>
        <w:rPr>
          <w:rFonts w:hint="eastAsia"/>
        </w:rPr>
        <w:t>/小时及</w:t>
      </w:r>
      <w:r>
        <w:t>以上燃煤锅炉</w:t>
      </w:r>
      <w:r>
        <w:rPr>
          <w:rFonts w:hint="eastAsia"/>
        </w:rPr>
        <w:t>、</w:t>
      </w:r>
      <w:r>
        <w:t>重点城市</w:t>
      </w:r>
      <w:r>
        <w:rPr>
          <w:rFonts w:hint="eastAsia"/>
        </w:rPr>
        <w:t>3</w:t>
      </w:r>
      <w:r>
        <w:t>0</w:t>
      </w:r>
      <w:r>
        <w:rPr>
          <w:rFonts w:hint="eastAsia"/>
        </w:rPr>
        <w:t>条</w:t>
      </w:r>
      <w:r>
        <w:t>水泥</w:t>
      </w:r>
      <w:r>
        <w:rPr>
          <w:rFonts w:hint="eastAsia"/>
        </w:rPr>
        <w:t>熟料线以及湖南煤化新能源</w:t>
      </w:r>
      <w:r>
        <w:t>超低排放改造，</w:t>
      </w:r>
      <w:r>
        <w:rPr>
          <w:rFonts w:hint="eastAsia"/>
        </w:rPr>
        <w:t>推进涟源市汇源煤气、资兴焦电淘汰或转型升级</w:t>
      </w:r>
      <w:r>
        <w:t>。全面</w:t>
      </w:r>
      <w:r>
        <w:rPr>
          <w:rFonts w:hint="eastAsia"/>
        </w:rPr>
        <w:t>开展锅炉和工业炉窑</w:t>
      </w:r>
      <w:r>
        <w:t>简易低效</w:t>
      </w:r>
      <w:r>
        <w:rPr>
          <w:rFonts w:hint="eastAsia"/>
        </w:rPr>
        <w:t>污染治理</w:t>
      </w:r>
      <w:r>
        <w:t>设施排查</w:t>
      </w:r>
      <w:r>
        <w:rPr>
          <w:rFonts w:hint="eastAsia"/>
        </w:rPr>
        <w:t>和</w:t>
      </w:r>
      <w:r>
        <w:t>分类处置</w:t>
      </w:r>
      <w:r>
        <w:rPr>
          <w:rFonts w:hint="eastAsia"/>
        </w:rPr>
        <w:t>，确保工业企业全面稳定达标排放。</w:t>
      </w:r>
      <w:r>
        <w:t>大力推进砖瓦、陶瓷、玻璃、有色等行业深度治理</w:t>
      </w:r>
      <w:r>
        <w:rPr>
          <w:rFonts w:hint="eastAsia"/>
        </w:rPr>
        <w:t>，推动垃圾焚烧发电行业实施深度治理。推进</w:t>
      </w:r>
      <w:r>
        <w:t>现有</w:t>
      </w:r>
      <w:r>
        <w:rPr>
          <w:rFonts w:hint="eastAsia"/>
        </w:rPr>
        <w:t>燃气锅炉</w:t>
      </w:r>
      <w:r>
        <w:t>低氮燃烧改造</w:t>
      </w:r>
      <w:r>
        <w:rPr>
          <w:rFonts w:hint="eastAsia"/>
        </w:rPr>
        <w:t>，</w:t>
      </w:r>
      <w:r>
        <w:t>新建燃气锅炉全部采用低氮燃烧器</w:t>
      </w:r>
      <w:r>
        <w:rPr>
          <w:rFonts w:hint="eastAsia"/>
        </w:rPr>
        <w:t>。严格工业源烟气氨逃逸防控，加强</w:t>
      </w:r>
      <w:r>
        <w:t>烟气和含VOCs废气旁路</w:t>
      </w:r>
      <w:r>
        <w:rPr>
          <w:rFonts w:hint="eastAsia"/>
        </w:rPr>
        <w:t>管理。</w:t>
      </w:r>
    </w:p>
    <w:p>
      <w:pPr>
        <w:pStyle w:val="16"/>
        <w:ind w:firstLine="643"/>
        <w:rPr>
          <w:b/>
          <w:bCs/>
        </w:rPr>
      </w:pPr>
      <w:r>
        <w:rPr>
          <w:rFonts w:hint="eastAsia" w:ascii="楷体_GB2312" w:eastAsia="楷体_GB2312"/>
          <w:b/>
          <w:bCs/>
        </w:rPr>
        <w:t>（二十）开展重点领域污染专项治理。</w:t>
      </w:r>
      <w:r>
        <w:t>严格餐饮服务单位</w:t>
      </w:r>
      <w:r>
        <w:rPr>
          <w:rFonts w:hint="eastAsia"/>
        </w:rPr>
        <w:t>准入和</w:t>
      </w:r>
      <w:r>
        <w:t>布局管理</w:t>
      </w:r>
      <w:r>
        <w:rPr>
          <w:rFonts w:hint="eastAsia"/>
        </w:rPr>
        <w:t>，完善行业监管和行政处罚衔接机制，依法督促餐饮单位规范安装、运行和维护油烟净化设施，加大餐饮</w:t>
      </w:r>
      <w:r>
        <w:t>服务</w:t>
      </w:r>
      <w:r>
        <w:rPr>
          <w:rFonts w:hint="eastAsia"/>
        </w:rPr>
        <w:t>单位、露天烧烤等油烟排放违法违规行为查处力度。</w:t>
      </w:r>
      <w:r>
        <w:t>加强恶臭异味扰民问题排查整治，投诉集中的工业园区、重点企业要安装运行在线监测系统。</w:t>
      </w:r>
      <w:r>
        <w:rPr>
          <w:rFonts w:hint="eastAsia"/>
        </w:rPr>
        <w:t>大力推进化肥减量增效，持续开展绿色种养循环农业试点和畜禽养殖标准化示范创建，减少农业氨排放。</w:t>
      </w:r>
    </w:p>
    <w:p>
      <w:pPr>
        <w:pStyle w:val="4"/>
        <w:ind w:firstLine="640"/>
      </w:pPr>
      <w:r>
        <w:t>七、</w:t>
      </w:r>
      <w:r>
        <w:rPr>
          <w:rFonts w:hint="eastAsia"/>
        </w:rPr>
        <w:t>加强机制建设完善环境管理体系</w:t>
      </w:r>
    </w:p>
    <w:p>
      <w:pPr>
        <w:pStyle w:val="16"/>
        <w:ind w:firstLine="643"/>
        <w:rPr>
          <w:b/>
          <w:bCs/>
        </w:rPr>
      </w:pPr>
      <w:r>
        <w:rPr>
          <w:rFonts w:hint="eastAsia" w:ascii="楷体_GB2312" w:eastAsia="楷体_GB2312"/>
          <w:b/>
          <w:bCs/>
        </w:rPr>
        <w:t>（二十一）实施城市空气质量达标管理。</w:t>
      </w:r>
      <w:r>
        <w:rPr>
          <w:rFonts w:hint="eastAsia"/>
        </w:rPr>
        <w:t>长沙、株洲、湘潭、常德、益阳、娄底及时制修订</w:t>
      </w:r>
      <w:r>
        <w:t>大气环境质量限期达标规划</w:t>
      </w:r>
      <w:r>
        <w:rPr>
          <w:rFonts w:hint="eastAsia"/>
        </w:rPr>
        <w:t>或达标攻坚行动计划，明确达标路线图及重点任务</w:t>
      </w:r>
      <w:r>
        <w:t>。</w:t>
      </w:r>
      <w:r>
        <w:rPr>
          <w:rFonts w:hint="eastAsia"/>
        </w:rPr>
        <w:t>长沙、常德、益阳</w:t>
      </w:r>
      <w:r>
        <w:t>“十四五”期间</w:t>
      </w:r>
      <w:r>
        <w:rPr>
          <w:rFonts w:hint="eastAsia"/>
        </w:rPr>
        <w:t>空气质量力争达标，其余市州均应</w:t>
      </w:r>
      <w:r>
        <w:t>实现达标</w:t>
      </w:r>
      <w:r>
        <w:rPr>
          <w:rFonts w:hint="eastAsia"/>
        </w:rPr>
        <w:t>，做好</w:t>
      </w:r>
      <w:r>
        <w:t>PM</w:t>
      </w:r>
      <w:r>
        <w:rPr>
          <w:vertAlign w:val="subscript"/>
        </w:rPr>
        <w:t>2.5</w:t>
      </w:r>
      <w:r>
        <w:t>和臭氧协同控制。</w:t>
      </w:r>
    </w:p>
    <w:p>
      <w:pPr>
        <w:pStyle w:val="16"/>
        <w:ind w:firstLine="643"/>
        <w:rPr>
          <w:b/>
          <w:bCs/>
        </w:rPr>
      </w:pPr>
      <w:r>
        <w:rPr>
          <w:rFonts w:hint="eastAsia" w:ascii="楷体_GB2312" w:eastAsia="楷体_GB2312"/>
          <w:b/>
          <w:bCs/>
        </w:rPr>
        <w:t>（二十二）完善大气污染防治协作机制。</w:t>
      </w:r>
      <w:r>
        <w:t>深入</w:t>
      </w:r>
      <w:r>
        <w:rPr>
          <w:rFonts w:hint="eastAsia"/>
        </w:rPr>
        <w:t>推进</w:t>
      </w:r>
      <w:r>
        <w:t>长江中游城市群大气污染联防联控，加强与湖北、江西</w:t>
      </w:r>
      <w:r>
        <w:rPr>
          <w:rFonts w:hint="eastAsia"/>
        </w:rPr>
        <w:t>、广西</w:t>
      </w:r>
      <w:r>
        <w:t>等周边省份交流合作</w:t>
      </w:r>
      <w:r>
        <w:rPr>
          <w:rFonts w:hint="eastAsia"/>
        </w:rPr>
        <w:t>，明确应急联动组织协调单位，推动交界地区市县联合交叉执法</w:t>
      </w:r>
      <w:r>
        <w:t>。</w:t>
      </w:r>
      <w:r>
        <w:rPr>
          <w:rFonts w:hint="eastAsia"/>
        </w:rPr>
        <w:t>按照统一的规划、标准、监测和污染防治措施等要求，强化省内城市间协同治理和联防联控。对市界</w:t>
      </w:r>
      <w:r>
        <w:t>两侧20公里内的涉气重点行业新建项目，以及对下风向空气质量影响大的新建高架源项目，</w:t>
      </w:r>
      <w:r>
        <w:rPr>
          <w:rFonts w:hint="eastAsia"/>
        </w:rPr>
        <w:t>相关</w:t>
      </w:r>
      <w:r>
        <w:t>城市</w:t>
      </w:r>
      <w:r>
        <w:rPr>
          <w:rFonts w:hint="eastAsia"/>
        </w:rPr>
        <w:t>应</w:t>
      </w:r>
      <w:r>
        <w:t>开展环评一致性会商。</w:t>
      </w:r>
    </w:p>
    <w:p>
      <w:pPr>
        <w:pStyle w:val="16"/>
        <w:ind w:firstLine="643"/>
      </w:pPr>
      <w:r>
        <w:rPr>
          <w:rFonts w:hint="eastAsia" w:ascii="楷体_GB2312" w:eastAsia="楷体_GB2312"/>
          <w:b/>
          <w:bCs/>
        </w:rPr>
        <w:t>（二十三）健全重污染天气应对机制。</w:t>
      </w:r>
      <w:r>
        <w:rPr>
          <w:rFonts w:hint="eastAsia"/>
        </w:rPr>
        <w:t>严格落实《关于进一步优化重污染天气应对机制的指导意见》相关要求，优化应急响应规则、规范应对工作、强化应急联动。近三年出现重污染日的县（区、市）2</w:t>
      </w:r>
      <w:r>
        <w:t>024</w:t>
      </w:r>
      <w:r>
        <w:rPr>
          <w:rFonts w:hint="eastAsia"/>
        </w:rPr>
        <w:t>年底前完成应急预案制修订。完善预警响应联动机制，2024年底前各市州完成重污染天气“一键抵达”信息化建设。加强空气质量预测预报能力建设和形势分析会商，实现部门间信息实时共享，原则上提前48小时及以上发布预警信息，到2025年，未来7天级别预报准确率达到75%以上。扎实做好省级和区域联动橙色、红色预警响应，强化应对执法督查和效果评估，有效开展人工增雨降污协同作业。建立正向激励和反向倒逼机制，深入开展重点行业绩效等级提升行动，规范绩效分级管理流程，大力推动企业“争A创B”。结合排污许可制度动态更新应急减排清单，确保涉气企业全覆盖。</w:t>
      </w:r>
    </w:p>
    <w:p>
      <w:pPr>
        <w:pStyle w:val="4"/>
        <w:ind w:firstLine="640"/>
      </w:pPr>
      <w:r>
        <w:t>八、</w:t>
      </w:r>
      <w:r>
        <w:rPr>
          <w:rFonts w:hint="eastAsia"/>
        </w:rPr>
        <w:t>夯实能力建设</w:t>
      </w:r>
      <w:r>
        <w:t>严格</w:t>
      </w:r>
      <w:r>
        <w:rPr>
          <w:rFonts w:hint="eastAsia"/>
        </w:rPr>
        <w:t>监管</w:t>
      </w:r>
      <w:r>
        <w:t>执法</w:t>
      </w:r>
    </w:p>
    <w:p>
      <w:pPr>
        <w:pStyle w:val="16"/>
        <w:ind w:firstLine="643"/>
        <w:rPr>
          <w:b/>
          <w:bCs/>
        </w:rPr>
      </w:pPr>
      <w:r>
        <w:rPr>
          <w:rFonts w:hint="eastAsia" w:ascii="楷体_GB2312" w:eastAsia="楷体_GB2312"/>
          <w:b/>
          <w:bCs/>
        </w:rPr>
        <w:t>（二十四）提升监测监控能力。</w:t>
      </w:r>
      <w:r>
        <w:rPr>
          <w:rFonts w:hint="eastAsia"/>
        </w:rPr>
        <w:t>完善城市空气质量监测网络，鼓励乡村站建设，衡阳、娄底加快完成光化学监测站建设，积极支持重点城市开展交通站建设。推进全省颗粒物激光雷达组网建设，提升颗粒物组分站等监测数据质量和分析运用水平。加强污染源自动监控设备运行监管</w:t>
      </w:r>
      <w:r>
        <w:t>，确保监测数据质量和稳定传输</w:t>
      </w:r>
      <w:r>
        <w:rPr>
          <w:rFonts w:hint="eastAsia"/>
        </w:rPr>
        <w:t>；</w:t>
      </w:r>
      <w:r>
        <w:t>推动企业安装工况监控、用电（用能）监控、视频监控等</w:t>
      </w:r>
      <w:r>
        <w:rPr>
          <w:rFonts w:hint="eastAsia"/>
        </w:rPr>
        <w:t>，完善省级“生态环境+电力大数据”智慧监管平台；</w:t>
      </w:r>
      <w:r>
        <w:t>强化移动源环境监管，</w:t>
      </w:r>
      <w:r>
        <w:rPr>
          <w:rFonts w:hint="eastAsia"/>
        </w:rPr>
        <w:t>提升</w:t>
      </w:r>
      <w:r>
        <w:t>重型柴油车</w:t>
      </w:r>
      <w:r>
        <w:rPr>
          <w:rFonts w:hint="eastAsia"/>
        </w:rPr>
        <w:t>卫星定位等数据分析应用能力，加快推动重点用车单位建设智能门禁系统</w:t>
      </w:r>
      <w:r>
        <w:t>。</w:t>
      </w:r>
    </w:p>
    <w:p>
      <w:pPr>
        <w:pStyle w:val="16"/>
        <w:ind w:firstLine="643"/>
        <w:rPr>
          <w:b/>
          <w:bCs/>
        </w:rPr>
      </w:pPr>
      <w:r>
        <w:rPr>
          <w:rFonts w:hint="eastAsia" w:ascii="楷体_GB2312" w:eastAsia="楷体_GB2312"/>
          <w:b/>
          <w:bCs/>
        </w:rPr>
        <w:t>（二十五）提升执法监管能力。</w:t>
      </w:r>
      <w:r>
        <w:rPr>
          <w:rFonts w:hint="eastAsia"/>
        </w:rPr>
        <w:t>深入开展“春风行动”“夏季攻势”“利剑行动”“守护蓝天”等执法监督和帮扶督导，持续开展高值热点“围点打源”排查整治，</w:t>
      </w:r>
      <w:r>
        <w:t>提升非现场</w:t>
      </w:r>
      <w:r>
        <w:rPr>
          <w:rFonts w:hint="eastAsia"/>
        </w:rPr>
        <w:t>监管手段应用。加强</w:t>
      </w:r>
      <w:r>
        <w:t>各级生态环境部门</w:t>
      </w:r>
      <w:r>
        <w:rPr>
          <w:rFonts w:hint="eastAsia"/>
        </w:rPr>
        <w:t>行政执法装备标准化和执法队伍专业化建设，开展全省生态环境监测系统监测数据大提升专项行动。围绕标志性战役强化</w:t>
      </w:r>
      <w:r>
        <w:t>重点领域监督执法，严厉打击</w:t>
      </w:r>
      <w:r>
        <w:rPr>
          <w:rFonts w:hint="eastAsia"/>
        </w:rPr>
        <w:t>排污单位和第三方机构、人员弄虚作假以及</w:t>
      </w:r>
      <w:r>
        <w:t>重污染应急减排措施未落实等违法行为。</w:t>
      </w:r>
    </w:p>
    <w:p>
      <w:pPr>
        <w:pStyle w:val="16"/>
        <w:ind w:firstLine="643"/>
        <w:rPr>
          <w:b/>
          <w:bCs/>
        </w:rPr>
      </w:pPr>
      <w:r>
        <w:rPr>
          <w:rFonts w:hint="eastAsia" w:ascii="楷体_GB2312" w:eastAsia="楷体_GB2312"/>
          <w:b/>
          <w:bCs/>
        </w:rPr>
        <w:t>（二十六）提升科技支撑能力。</w:t>
      </w:r>
      <w:r>
        <w:t>2024</w:t>
      </w:r>
      <w:r>
        <w:rPr>
          <w:rFonts w:hint="eastAsia"/>
        </w:rPr>
        <w:t>年各市州按要求规范开展PM</w:t>
      </w:r>
      <w:r>
        <w:rPr>
          <w:vertAlign w:val="subscript"/>
        </w:rPr>
        <w:t>2.5</w:t>
      </w:r>
      <w:r>
        <w:rPr>
          <w:rFonts w:hint="eastAsia"/>
        </w:rPr>
        <w:t>来源解析等大气污染成因分析工作。</w:t>
      </w:r>
      <w:r>
        <w:t>围绕PM</w:t>
      </w:r>
      <w:r>
        <w:rPr>
          <w:vertAlign w:val="subscript"/>
        </w:rPr>
        <w:t>2.5</w:t>
      </w:r>
      <w:r>
        <w:t>和臭氧协同控制</w:t>
      </w:r>
      <w:r>
        <w:rPr>
          <w:rFonts w:hint="eastAsia"/>
        </w:rPr>
        <w:t>、多污染物智能识别管控和系统治理</w:t>
      </w:r>
      <w:r>
        <w:t>等科技需求</w:t>
      </w:r>
      <w:r>
        <w:rPr>
          <w:rFonts w:hint="eastAsia"/>
        </w:rPr>
        <w:t>开展科研攻关。</w:t>
      </w:r>
      <w:r>
        <w:t>推动绿色环保产业健康发展</w:t>
      </w:r>
      <w:r>
        <w:rPr>
          <w:rFonts w:hint="eastAsia"/>
        </w:rPr>
        <w:t>，</w:t>
      </w:r>
      <w:r>
        <w:t>培育一批龙头企业，</w:t>
      </w:r>
      <w:r>
        <w:rPr>
          <w:rFonts w:hint="eastAsia"/>
        </w:rPr>
        <w:t>支持组建创新联合体开展关键技术攻关与成果转化，引导企业积极参与国家、行业、地方和团体标准制修订。</w:t>
      </w:r>
    </w:p>
    <w:p>
      <w:pPr>
        <w:pStyle w:val="4"/>
        <w:ind w:firstLine="640"/>
      </w:pPr>
      <w:r>
        <w:t>九、健全法规标准完善政策</w:t>
      </w:r>
      <w:r>
        <w:rPr>
          <w:rFonts w:hint="eastAsia"/>
        </w:rPr>
        <w:t>引导</w:t>
      </w:r>
    </w:p>
    <w:p>
      <w:pPr>
        <w:pStyle w:val="16"/>
        <w:ind w:firstLine="643"/>
        <w:rPr>
          <w:b/>
          <w:bCs/>
        </w:rPr>
      </w:pPr>
      <w:r>
        <w:rPr>
          <w:rFonts w:hint="eastAsia" w:ascii="楷体_GB2312" w:eastAsia="楷体_GB2312"/>
          <w:b/>
          <w:bCs/>
        </w:rPr>
        <w:t>（二十七）推动完善法规标准。</w:t>
      </w:r>
      <w:r>
        <w:rPr>
          <w:rFonts w:hint="eastAsia"/>
        </w:rPr>
        <w:t>协同做好大气污染防治“一法一条例一规定”执法检查，推动出台《湖南省秸秆综合利用和露天焚烧管理若干规定》，</w:t>
      </w:r>
      <w:r>
        <w:t>推进</w:t>
      </w:r>
      <w:r>
        <w:rPr>
          <w:rFonts w:hint="eastAsia"/>
        </w:rPr>
        <w:t>株洲、萍乡等</w:t>
      </w:r>
      <w:r>
        <w:t>城市协同立法</w:t>
      </w:r>
      <w:r>
        <w:rPr>
          <w:rFonts w:hint="eastAsia"/>
        </w:rPr>
        <w:t>，</w:t>
      </w:r>
      <w:r>
        <w:t>鼓励各市州</w:t>
      </w:r>
      <w:r>
        <w:rPr>
          <w:rFonts w:hint="eastAsia"/>
        </w:rPr>
        <w:t>制定</w:t>
      </w:r>
      <w:r>
        <w:t>更为严格的</w:t>
      </w:r>
      <w:r>
        <w:rPr>
          <w:rFonts w:hint="eastAsia"/>
        </w:rPr>
        <w:t>法规。</w:t>
      </w:r>
      <w:r>
        <w:t>制定出台湖南省《工业炉窑主要大气污染物排放标准》</w:t>
      </w:r>
      <w:r>
        <w:rPr>
          <w:rFonts w:hint="eastAsia"/>
        </w:rPr>
        <w:t>。</w:t>
      </w:r>
    </w:p>
    <w:p>
      <w:pPr>
        <w:pStyle w:val="16"/>
        <w:ind w:firstLine="643"/>
        <w:rPr>
          <w:b/>
          <w:bCs/>
        </w:rPr>
      </w:pPr>
      <w:r>
        <w:rPr>
          <w:rFonts w:hint="eastAsia" w:ascii="楷体_GB2312" w:eastAsia="楷体_GB2312"/>
          <w:b/>
          <w:bCs/>
        </w:rPr>
        <w:t>（二十八）加强经济政策引导。</w:t>
      </w:r>
      <w:r>
        <w:rPr>
          <w:rFonts w:hint="eastAsia"/>
        </w:rPr>
        <w:t>完善分时电价政策，落实高耗能、高排放行业差别电价、阶梯电价等电价政策。</w:t>
      </w:r>
      <w:r>
        <w:t>对港口岸基供电实施支持性电价政策，</w:t>
      </w:r>
      <w:r>
        <w:rPr>
          <w:rFonts w:hint="eastAsia"/>
        </w:rPr>
        <w:t>2</w:t>
      </w:r>
      <w:r>
        <w:t>030</w:t>
      </w:r>
      <w:r>
        <w:rPr>
          <w:rFonts w:hint="eastAsia"/>
        </w:rPr>
        <w:t>年前对实行两部制电价的集中式充换电设施用电免收需量（容量）电费，</w:t>
      </w:r>
      <w:r>
        <w:t>鼓励各地对新能源汽电车充电、停车收费给予积极支持。</w:t>
      </w:r>
      <w:r>
        <w:rPr>
          <w:rFonts w:hint="eastAsia"/>
        </w:rPr>
        <w:t>发挥省属国企主导作用，逐步降低用气成本。发挥财政金融引导作用，积极支持重点领域绿色低碳信贷融资，扩大“潇湘财银贷”对绿色产业企业支持力度。高质量谋划储备大气污染防治攻坚项目，积极争取中央大气污染防治资金。</w:t>
      </w:r>
    </w:p>
    <w:p>
      <w:pPr>
        <w:pStyle w:val="4"/>
        <w:ind w:firstLine="640"/>
      </w:pPr>
      <w:r>
        <w:t>十、落实各方责任</w:t>
      </w:r>
      <w:r>
        <w:rPr>
          <w:rFonts w:hint="eastAsia"/>
        </w:rPr>
        <w:t>做好实施保障</w:t>
      </w:r>
    </w:p>
    <w:p>
      <w:pPr>
        <w:pStyle w:val="16"/>
        <w:ind w:firstLine="643"/>
      </w:pPr>
      <w:r>
        <w:rPr>
          <w:rFonts w:hint="eastAsia" w:ascii="楷体_GB2312" w:eastAsia="楷体_GB2312"/>
          <w:b/>
          <w:bCs/>
        </w:rPr>
        <w:t>（二十九）加强组织领导。</w:t>
      </w:r>
      <w:r>
        <w:t>坚持和加强党对大气污染防治工作的全面领导</w:t>
      </w:r>
      <w:r>
        <w:rPr>
          <w:rFonts w:hint="eastAsia"/>
        </w:rPr>
        <w:t>。</w:t>
      </w:r>
      <w:r>
        <w:t>各</w:t>
      </w:r>
      <w:r>
        <w:rPr>
          <w:rFonts w:hint="eastAsia"/>
        </w:rPr>
        <w:t>市州</w:t>
      </w:r>
      <w:r>
        <w:t>政府对本行政区域内空气质量负总责，组织制定本地实施方案。省生态环境厅加强统筹协调，</w:t>
      </w:r>
      <w:r>
        <w:rPr>
          <w:rFonts w:hint="eastAsia"/>
        </w:rPr>
        <w:t>健全工作专班，</w:t>
      </w:r>
      <w:r>
        <w:t>做好调度评估。省直</w:t>
      </w:r>
      <w:r>
        <w:rPr>
          <w:rFonts w:hint="eastAsia"/>
        </w:rPr>
        <w:t>各有</w:t>
      </w:r>
      <w:r>
        <w:t>关部门要统筹考虑空气质量改善需求，</w:t>
      </w:r>
      <w:r>
        <w:rPr>
          <w:rFonts w:hint="eastAsia"/>
        </w:rPr>
        <w:t>落实责任分工、完善相关政策、保障专项经费，</w:t>
      </w:r>
      <w:r>
        <w:t>抓好主管领域相关工作。</w:t>
      </w:r>
    </w:p>
    <w:p>
      <w:pPr>
        <w:pStyle w:val="16"/>
        <w:ind w:firstLine="643"/>
      </w:pPr>
      <w:r>
        <w:rPr>
          <w:rFonts w:hint="eastAsia" w:ascii="楷体_GB2312" w:eastAsia="楷体_GB2312"/>
          <w:b/>
          <w:bCs/>
        </w:rPr>
        <w:t>（三十）严格监督考核。</w:t>
      </w:r>
      <w:r>
        <w:t>将空气质量改善目标完成情况作为污染防治攻坚战成效考核的重要内容。</w:t>
      </w:r>
      <w:r>
        <w:rPr>
          <w:rFonts w:hint="eastAsia"/>
        </w:rPr>
        <w:t>从资金分配、荣誉表彰等方面</w:t>
      </w:r>
      <w:r>
        <w:t>对超额完成目标的地区给予激励</w:t>
      </w:r>
      <w:r>
        <w:rPr>
          <w:rFonts w:hint="eastAsia"/>
        </w:rPr>
        <w:t>，</w:t>
      </w:r>
      <w:r>
        <w:t>从</w:t>
      </w:r>
      <w:r>
        <w:rPr>
          <w:rFonts w:hint="eastAsia"/>
        </w:rPr>
        <w:t>区域限批、</w:t>
      </w:r>
      <w:r>
        <w:t>责任追究等方面对未完成目标的地区实施惩戒</w:t>
      </w:r>
      <w:r>
        <w:rPr>
          <w:rFonts w:hint="eastAsia"/>
        </w:rPr>
        <w:t>。将大气污染防治作为省级生态环境保护督察的重要内容，</w:t>
      </w:r>
      <w:r>
        <w:t>对问题突出地区开展专项督察。</w:t>
      </w:r>
    </w:p>
    <w:p>
      <w:pPr>
        <w:pStyle w:val="16"/>
        <w:ind w:firstLine="643"/>
      </w:pPr>
      <w:r>
        <w:rPr>
          <w:rFonts w:hint="eastAsia" w:ascii="楷体_GB2312" w:eastAsia="楷体_GB2312"/>
          <w:b/>
          <w:bCs/>
        </w:rPr>
        <w:t>（三十一）推进信息公开。</w:t>
      </w:r>
      <w:r>
        <w:rPr>
          <w:rFonts w:hint="eastAsia"/>
        </w:rPr>
        <w:t>强化</w:t>
      </w:r>
      <w:r>
        <w:t>环境空气质量信息公开，建立完善</w:t>
      </w:r>
      <w:r>
        <w:rPr>
          <w:rFonts w:hint="eastAsia"/>
        </w:rPr>
        <w:t>排污单位</w:t>
      </w:r>
      <w:r>
        <w:t>大气污染物排放</w:t>
      </w:r>
      <w:r>
        <w:rPr>
          <w:rFonts w:hint="eastAsia"/>
        </w:rPr>
        <w:t>、污染治理措施</w:t>
      </w:r>
      <w:r>
        <w:t>和专项问题督查、执法、整改情况</w:t>
      </w:r>
      <w:r>
        <w:rPr>
          <w:rFonts w:hint="eastAsia"/>
        </w:rPr>
        <w:t>等</w:t>
      </w:r>
      <w:r>
        <w:t>信息公开制度。将</w:t>
      </w:r>
      <w:r>
        <w:rPr>
          <w:rFonts w:hint="eastAsia"/>
        </w:rPr>
        <w:t>存在</w:t>
      </w:r>
      <w:r>
        <w:t>弄虚作假</w:t>
      </w:r>
      <w:r>
        <w:rPr>
          <w:rFonts w:hint="eastAsia"/>
        </w:rPr>
        <w:t>行为</w:t>
      </w:r>
      <w:r>
        <w:t>的排污单位和第三方机构依法依规列入失信联合惩戒对象名单，并定期向社会公布。</w:t>
      </w:r>
    </w:p>
    <w:p>
      <w:pPr>
        <w:pStyle w:val="16"/>
        <w:ind w:firstLine="643"/>
      </w:pPr>
      <w:r>
        <w:rPr>
          <w:rFonts w:hint="eastAsia" w:ascii="楷体_GB2312" w:eastAsia="楷体_GB2312"/>
          <w:b/>
          <w:bCs/>
        </w:rPr>
        <w:t>（三十二）开展全民行动。</w:t>
      </w:r>
      <w:r>
        <w:rPr>
          <w:rFonts w:hint="eastAsia"/>
        </w:rPr>
        <w:t>扩大政府绿色采购覆盖范围，多措并举治理环保领域低价低质中标乱象，在湘央企、省属国企做好治污减排带头引导</w:t>
      </w:r>
      <w:r>
        <w:t>。广泛宣传解读大气污染防治政策举措、进展成效，</w:t>
      </w:r>
      <w:r>
        <w:rPr>
          <w:rFonts w:hint="eastAsia"/>
        </w:rPr>
        <w:t>做好禁燃禁烧等公益宣传</w:t>
      </w:r>
      <w:r>
        <w:t>。举办形式多样的宣传和文化活动，</w:t>
      </w:r>
      <w:r>
        <w:rPr>
          <w:rFonts w:hint="eastAsia"/>
        </w:rPr>
        <w:t>畅通监督渠道</w:t>
      </w:r>
      <w:r>
        <w:t>鼓励群众</w:t>
      </w:r>
      <w:r>
        <w:rPr>
          <w:rFonts w:hint="eastAsia"/>
        </w:rPr>
        <w:t>积极举报大气污染违法行为</w:t>
      </w:r>
      <w:r>
        <w:t>，</w:t>
      </w:r>
      <w:r>
        <w:rPr>
          <w:rFonts w:hint="eastAsia"/>
        </w:rPr>
        <w:t>动员社会各界参与大气环境保护。</w:t>
      </w:r>
    </w:p>
    <w:p>
      <w:pPr>
        <w:ind w:firstLine="525"/>
        <w:rPr>
          <w:rFonts w:ascii="Times New Roman" w:hAnsi="Times New Roman" w:cs="Times New Roman"/>
        </w:rPr>
      </w:pPr>
    </w:p>
    <w:sectPr>
      <w:footerReference r:id="rId3" w:type="default"/>
      <w:pgSz w:w="11906" w:h="16838"/>
      <w:pgMar w:top="1701" w:right="1474"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0786565"/>
    </w:sdtPr>
    <w:sdtEndPr>
      <w:rPr>
        <w:rFonts w:ascii="Times New Roman" w:hAnsi="Times New Roman" w:cs="Times New Roman"/>
        <w:sz w:val="24"/>
        <w:szCs w:val="36"/>
      </w:rPr>
    </w:sdtEndPr>
    <w:sdtContent>
      <w:p>
        <w:pPr>
          <w:pStyle w:val="9"/>
          <w:ind w:firstLine="450"/>
          <w:jc w:val="center"/>
          <w:rPr>
            <w:rFonts w:ascii="Times New Roman" w:hAnsi="Times New Roman" w:cs="Times New Roman"/>
            <w:sz w:val="24"/>
            <w:szCs w:val="36"/>
          </w:rPr>
        </w:pPr>
        <w:r>
          <w:rPr>
            <w:rFonts w:ascii="Times New Roman" w:hAnsi="Times New Roman" w:cs="Times New Roman"/>
            <w:sz w:val="24"/>
            <w:szCs w:val="36"/>
          </w:rPr>
          <w:fldChar w:fldCharType="begin"/>
        </w:r>
        <w:r>
          <w:rPr>
            <w:rFonts w:ascii="Times New Roman" w:hAnsi="Times New Roman" w:cs="Times New Roman"/>
            <w:sz w:val="24"/>
            <w:szCs w:val="36"/>
          </w:rPr>
          <w:instrText xml:space="preserve">PAGE   \* MERGEFORMAT</w:instrText>
        </w:r>
        <w:r>
          <w:rPr>
            <w:rFonts w:ascii="Times New Roman" w:hAnsi="Times New Roman" w:cs="Times New Roman"/>
            <w:sz w:val="24"/>
            <w:szCs w:val="36"/>
          </w:rPr>
          <w:fldChar w:fldCharType="separate"/>
        </w:r>
        <w:r>
          <w:rPr>
            <w:rFonts w:ascii="Times New Roman" w:hAnsi="Times New Roman" w:cs="Times New Roman"/>
            <w:sz w:val="24"/>
            <w:szCs w:val="36"/>
            <w:lang w:val="zh-CN"/>
          </w:rPr>
          <w:t>2</w:t>
        </w:r>
        <w:r>
          <w:rPr>
            <w:rFonts w:ascii="Times New Roman" w:hAnsi="Times New Roman" w:cs="Times New Roman"/>
            <w:sz w:val="24"/>
            <w:szCs w:val="36"/>
          </w:rPr>
          <w:fldChar w:fldCharType="end"/>
        </w:r>
      </w:p>
    </w:sdtContent>
  </w:sdt>
  <w:p>
    <w:pPr>
      <w:pStyle w:val="2"/>
      <w:spacing w:line="177" w:lineRule="auto"/>
      <w:ind w:firstLine="775"/>
      <w:jc w:val="right"/>
      <w:rPr>
        <w:sz w:val="31"/>
        <w:szCs w:val="3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hZjNlOWNkMTY1N2MwNTVlYWQyYWQzYjEwNWU3MmQifQ=="/>
  </w:docVars>
  <w:rsids>
    <w:rsidRoot w:val="5D374246"/>
    <w:rsid w:val="00000F29"/>
    <w:rsid w:val="00002F71"/>
    <w:rsid w:val="00005308"/>
    <w:rsid w:val="000134D4"/>
    <w:rsid w:val="00020167"/>
    <w:rsid w:val="00021807"/>
    <w:rsid w:val="00022E7E"/>
    <w:rsid w:val="000252DF"/>
    <w:rsid w:val="00026752"/>
    <w:rsid w:val="00026915"/>
    <w:rsid w:val="00030547"/>
    <w:rsid w:val="00030C6D"/>
    <w:rsid w:val="00030EAF"/>
    <w:rsid w:val="00031D4B"/>
    <w:rsid w:val="00032534"/>
    <w:rsid w:val="00032F33"/>
    <w:rsid w:val="00037705"/>
    <w:rsid w:val="00044C88"/>
    <w:rsid w:val="000453C1"/>
    <w:rsid w:val="000457A7"/>
    <w:rsid w:val="00056858"/>
    <w:rsid w:val="00064689"/>
    <w:rsid w:val="00065ECB"/>
    <w:rsid w:val="00070316"/>
    <w:rsid w:val="00070787"/>
    <w:rsid w:val="00073C06"/>
    <w:rsid w:val="00075B4D"/>
    <w:rsid w:val="00083E84"/>
    <w:rsid w:val="0008445F"/>
    <w:rsid w:val="00091BD0"/>
    <w:rsid w:val="0009219A"/>
    <w:rsid w:val="00092BD0"/>
    <w:rsid w:val="0009348A"/>
    <w:rsid w:val="0009545C"/>
    <w:rsid w:val="00097925"/>
    <w:rsid w:val="000A01C3"/>
    <w:rsid w:val="000A33BE"/>
    <w:rsid w:val="000A4B45"/>
    <w:rsid w:val="000A7078"/>
    <w:rsid w:val="000B23C1"/>
    <w:rsid w:val="000B5DAF"/>
    <w:rsid w:val="000B6A6B"/>
    <w:rsid w:val="000C1A00"/>
    <w:rsid w:val="000C55C5"/>
    <w:rsid w:val="000D31B2"/>
    <w:rsid w:val="000D76D5"/>
    <w:rsid w:val="000D77BC"/>
    <w:rsid w:val="000E0110"/>
    <w:rsid w:val="000E4C95"/>
    <w:rsid w:val="000F1890"/>
    <w:rsid w:val="001017DA"/>
    <w:rsid w:val="0010216E"/>
    <w:rsid w:val="00107671"/>
    <w:rsid w:val="00111F31"/>
    <w:rsid w:val="0012055F"/>
    <w:rsid w:val="0012410B"/>
    <w:rsid w:val="001275D4"/>
    <w:rsid w:val="00133DEB"/>
    <w:rsid w:val="00135952"/>
    <w:rsid w:val="00136519"/>
    <w:rsid w:val="001369E8"/>
    <w:rsid w:val="00136CAC"/>
    <w:rsid w:val="0014440F"/>
    <w:rsid w:val="00145DF7"/>
    <w:rsid w:val="0014642D"/>
    <w:rsid w:val="00150377"/>
    <w:rsid w:val="00151178"/>
    <w:rsid w:val="001526A0"/>
    <w:rsid w:val="00153F11"/>
    <w:rsid w:val="00155F43"/>
    <w:rsid w:val="00156552"/>
    <w:rsid w:val="001571ED"/>
    <w:rsid w:val="00161022"/>
    <w:rsid w:val="00167709"/>
    <w:rsid w:val="00170208"/>
    <w:rsid w:val="00177651"/>
    <w:rsid w:val="00191086"/>
    <w:rsid w:val="0019418D"/>
    <w:rsid w:val="001A2653"/>
    <w:rsid w:val="001A559E"/>
    <w:rsid w:val="001A6EA6"/>
    <w:rsid w:val="001B52E2"/>
    <w:rsid w:val="001B56CB"/>
    <w:rsid w:val="001B7643"/>
    <w:rsid w:val="001C034A"/>
    <w:rsid w:val="001C5A94"/>
    <w:rsid w:val="001C6A2D"/>
    <w:rsid w:val="001D1A79"/>
    <w:rsid w:val="001D4585"/>
    <w:rsid w:val="001D7F7B"/>
    <w:rsid w:val="001E06D9"/>
    <w:rsid w:val="001E06ED"/>
    <w:rsid w:val="001F0516"/>
    <w:rsid w:val="001F31D8"/>
    <w:rsid w:val="001F5553"/>
    <w:rsid w:val="001F7544"/>
    <w:rsid w:val="00200084"/>
    <w:rsid w:val="00210C3F"/>
    <w:rsid w:val="00211C02"/>
    <w:rsid w:val="002149A2"/>
    <w:rsid w:val="00216242"/>
    <w:rsid w:val="00220A41"/>
    <w:rsid w:val="002243BA"/>
    <w:rsid w:val="00225AA4"/>
    <w:rsid w:val="0022601B"/>
    <w:rsid w:val="002307D3"/>
    <w:rsid w:val="00237185"/>
    <w:rsid w:val="002374E1"/>
    <w:rsid w:val="002421E8"/>
    <w:rsid w:val="002529BD"/>
    <w:rsid w:val="00253072"/>
    <w:rsid w:val="00265AB2"/>
    <w:rsid w:val="00281668"/>
    <w:rsid w:val="00282BE9"/>
    <w:rsid w:val="0028335E"/>
    <w:rsid w:val="002838F7"/>
    <w:rsid w:val="00291F88"/>
    <w:rsid w:val="0029546F"/>
    <w:rsid w:val="0029623C"/>
    <w:rsid w:val="002A074E"/>
    <w:rsid w:val="002A5BE0"/>
    <w:rsid w:val="002B0FA3"/>
    <w:rsid w:val="002B2056"/>
    <w:rsid w:val="002B3B15"/>
    <w:rsid w:val="002C20E0"/>
    <w:rsid w:val="002C2394"/>
    <w:rsid w:val="002C6864"/>
    <w:rsid w:val="002C79FF"/>
    <w:rsid w:val="002D294D"/>
    <w:rsid w:val="002D47FC"/>
    <w:rsid w:val="002D7E0F"/>
    <w:rsid w:val="002E3847"/>
    <w:rsid w:val="002E6A58"/>
    <w:rsid w:val="002F45FC"/>
    <w:rsid w:val="002F5E8B"/>
    <w:rsid w:val="002F78B9"/>
    <w:rsid w:val="00300B77"/>
    <w:rsid w:val="00301C6C"/>
    <w:rsid w:val="0030549D"/>
    <w:rsid w:val="00312D13"/>
    <w:rsid w:val="003172DB"/>
    <w:rsid w:val="00320133"/>
    <w:rsid w:val="00326971"/>
    <w:rsid w:val="00330A24"/>
    <w:rsid w:val="00342536"/>
    <w:rsid w:val="0034398C"/>
    <w:rsid w:val="00344AD9"/>
    <w:rsid w:val="0034529B"/>
    <w:rsid w:val="00347107"/>
    <w:rsid w:val="00350A4A"/>
    <w:rsid w:val="0035384E"/>
    <w:rsid w:val="00361B8A"/>
    <w:rsid w:val="00361E76"/>
    <w:rsid w:val="00365E26"/>
    <w:rsid w:val="00373880"/>
    <w:rsid w:val="003821A0"/>
    <w:rsid w:val="00384A23"/>
    <w:rsid w:val="003879FD"/>
    <w:rsid w:val="00391BB3"/>
    <w:rsid w:val="00394B1E"/>
    <w:rsid w:val="003A05B0"/>
    <w:rsid w:val="003A0F68"/>
    <w:rsid w:val="003A6D0F"/>
    <w:rsid w:val="003B1488"/>
    <w:rsid w:val="003B16DC"/>
    <w:rsid w:val="003B478D"/>
    <w:rsid w:val="003C4B28"/>
    <w:rsid w:val="003C6B95"/>
    <w:rsid w:val="003C7615"/>
    <w:rsid w:val="003D25AB"/>
    <w:rsid w:val="003D7623"/>
    <w:rsid w:val="003D78E1"/>
    <w:rsid w:val="003E081F"/>
    <w:rsid w:val="003E3307"/>
    <w:rsid w:val="003F3CEA"/>
    <w:rsid w:val="003F4D3D"/>
    <w:rsid w:val="004054D1"/>
    <w:rsid w:val="00411405"/>
    <w:rsid w:val="00412677"/>
    <w:rsid w:val="00412AE4"/>
    <w:rsid w:val="00413446"/>
    <w:rsid w:val="00415CF3"/>
    <w:rsid w:val="00416557"/>
    <w:rsid w:val="00416E62"/>
    <w:rsid w:val="00421FF2"/>
    <w:rsid w:val="0042270B"/>
    <w:rsid w:val="004251EF"/>
    <w:rsid w:val="00431CA8"/>
    <w:rsid w:val="00432A77"/>
    <w:rsid w:val="00437598"/>
    <w:rsid w:val="00440150"/>
    <w:rsid w:val="004412A1"/>
    <w:rsid w:val="00442A44"/>
    <w:rsid w:val="004434B2"/>
    <w:rsid w:val="00443554"/>
    <w:rsid w:val="00445637"/>
    <w:rsid w:val="00450C68"/>
    <w:rsid w:val="00453739"/>
    <w:rsid w:val="004602CE"/>
    <w:rsid w:val="0046199E"/>
    <w:rsid w:val="00465A7E"/>
    <w:rsid w:val="004725F9"/>
    <w:rsid w:val="0047379B"/>
    <w:rsid w:val="00477C80"/>
    <w:rsid w:val="0048173E"/>
    <w:rsid w:val="00483CAD"/>
    <w:rsid w:val="00485116"/>
    <w:rsid w:val="004864C3"/>
    <w:rsid w:val="004864FB"/>
    <w:rsid w:val="0049724C"/>
    <w:rsid w:val="004A1EC8"/>
    <w:rsid w:val="004A34C1"/>
    <w:rsid w:val="004A3BE9"/>
    <w:rsid w:val="004A4EB6"/>
    <w:rsid w:val="004A51FA"/>
    <w:rsid w:val="004B5341"/>
    <w:rsid w:val="004B6F34"/>
    <w:rsid w:val="004B785D"/>
    <w:rsid w:val="004C3167"/>
    <w:rsid w:val="004D43B0"/>
    <w:rsid w:val="004D5C69"/>
    <w:rsid w:val="004E1F49"/>
    <w:rsid w:val="004F59E3"/>
    <w:rsid w:val="00504240"/>
    <w:rsid w:val="00504FCE"/>
    <w:rsid w:val="005051F7"/>
    <w:rsid w:val="00513912"/>
    <w:rsid w:val="00515C9E"/>
    <w:rsid w:val="00517E00"/>
    <w:rsid w:val="00522F0D"/>
    <w:rsid w:val="00523C4F"/>
    <w:rsid w:val="00536E70"/>
    <w:rsid w:val="00537310"/>
    <w:rsid w:val="0054436A"/>
    <w:rsid w:val="00547A37"/>
    <w:rsid w:val="00555D2B"/>
    <w:rsid w:val="00562C29"/>
    <w:rsid w:val="005667D3"/>
    <w:rsid w:val="00571862"/>
    <w:rsid w:val="00582CD9"/>
    <w:rsid w:val="005833B0"/>
    <w:rsid w:val="00593381"/>
    <w:rsid w:val="005946A3"/>
    <w:rsid w:val="0059623E"/>
    <w:rsid w:val="00596C38"/>
    <w:rsid w:val="005A6B6A"/>
    <w:rsid w:val="005B2114"/>
    <w:rsid w:val="005C1626"/>
    <w:rsid w:val="005C2454"/>
    <w:rsid w:val="005C6529"/>
    <w:rsid w:val="005C7F85"/>
    <w:rsid w:val="005D28C0"/>
    <w:rsid w:val="005D4067"/>
    <w:rsid w:val="005D69D1"/>
    <w:rsid w:val="005E4689"/>
    <w:rsid w:val="005F5DED"/>
    <w:rsid w:val="006049EA"/>
    <w:rsid w:val="00606360"/>
    <w:rsid w:val="00612028"/>
    <w:rsid w:val="00613CB5"/>
    <w:rsid w:val="0061478E"/>
    <w:rsid w:val="00614CA1"/>
    <w:rsid w:val="006222FF"/>
    <w:rsid w:val="00637566"/>
    <w:rsid w:val="0064218E"/>
    <w:rsid w:val="00642F6B"/>
    <w:rsid w:val="00643C9E"/>
    <w:rsid w:val="006559DA"/>
    <w:rsid w:val="006561FA"/>
    <w:rsid w:val="00661469"/>
    <w:rsid w:val="00662A54"/>
    <w:rsid w:val="0067259C"/>
    <w:rsid w:val="006729CF"/>
    <w:rsid w:val="006808C3"/>
    <w:rsid w:val="0068367E"/>
    <w:rsid w:val="00686BE5"/>
    <w:rsid w:val="00687218"/>
    <w:rsid w:val="00691B40"/>
    <w:rsid w:val="00696287"/>
    <w:rsid w:val="006A37B5"/>
    <w:rsid w:val="006A3BC3"/>
    <w:rsid w:val="006A6296"/>
    <w:rsid w:val="006B1277"/>
    <w:rsid w:val="006B2A16"/>
    <w:rsid w:val="006B46CD"/>
    <w:rsid w:val="006B7797"/>
    <w:rsid w:val="006C128E"/>
    <w:rsid w:val="006C13A4"/>
    <w:rsid w:val="006C3DDE"/>
    <w:rsid w:val="006C5ED0"/>
    <w:rsid w:val="006D3D2C"/>
    <w:rsid w:val="006D5996"/>
    <w:rsid w:val="006D5CA3"/>
    <w:rsid w:val="006D7833"/>
    <w:rsid w:val="006E08EE"/>
    <w:rsid w:val="006E3CA3"/>
    <w:rsid w:val="006E5AA3"/>
    <w:rsid w:val="006E6867"/>
    <w:rsid w:val="006F087B"/>
    <w:rsid w:val="006F2DAE"/>
    <w:rsid w:val="007113C5"/>
    <w:rsid w:val="00712BD2"/>
    <w:rsid w:val="0071568E"/>
    <w:rsid w:val="007219C9"/>
    <w:rsid w:val="00726D3C"/>
    <w:rsid w:val="00726D4A"/>
    <w:rsid w:val="00731436"/>
    <w:rsid w:val="00731B3D"/>
    <w:rsid w:val="007329D0"/>
    <w:rsid w:val="00732FD2"/>
    <w:rsid w:val="00733AA4"/>
    <w:rsid w:val="00733DCB"/>
    <w:rsid w:val="00734747"/>
    <w:rsid w:val="00740C48"/>
    <w:rsid w:val="00754709"/>
    <w:rsid w:val="007725D1"/>
    <w:rsid w:val="007735DD"/>
    <w:rsid w:val="00782038"/>
    <w:rsid w:val="00786FE4"/>
    <w:rsid w:val="00787126"/>
    <w:rsid w:val="00790D70"/>
    <w:rsid w:val="00791231"/>
    <w:rsid w:val="00792795"/>
    <w:rsid w:val="007943FF"/>
    <w:rsid w:val="007A09FC"/>
    <w:rsid w:val="007A2706"/>
    <w:rsid w:val="007A4447"/>
    <w:rsid w:val="007A6352"/>
    <w:rsid w:val="007B6752"/>
    <w:rsid w:val="007B70E7"/>
    <w:rsid w:val="007C36AD"/>
    <w:rsid w:val="007C5472"/>
    <w:rsid w:val="007C66D1"/>
    <w:rsid w:val="007D1BEC"/>
    <w:rsid w:val="007D1C17"/>
    <w:rsid w:val="007D49BA"/>
    <w:rsid w:val="007D5245"/>
    <w:rsid w:val="007D695C"/>
    <w:rsid w:val="007E120F"/>
    <w:rsid w:val="007E148C"/>
    <w:rsid w:val="007E356C"/>
    <w:rsid w:val="007E4637"/>
    <w:rsid w:val="007E480A"/>
    <w:rsid w:val="007E5A7B"/>
    <w:rsid w:val="007E5B0C"/>
    <w:rsid w:val="007E708C"/>
    <w:rsid w:val="007F1725"/>
    <w:rsid w:val="007F177A"/>
    <w:rsid w:val="007F2EC2"/>
    <w:rsid w:val="00800B58"/>
    <w:rsid w:val="008025AB"/>
    <w:rsid w:val="008028C2"/>
    <w:rsid w:val="00803D04"/>
    <w:rsid w:val="00804772"/>
    <w:rsid w:val="00805B21"/>
    <w:rsid w:val="00812004"/>
    <w:rsid w:val="00812659"/>
    <w:rsid w:val="0081479E"/>
    <w:rsid w:val="008217D4"/>
    <w:rsid w:val="00825C0E"/>
    <w:rsid w:val="00826341"/>
    <w:rsid w:val="00826A4A"/>
    <w:rsid w:val="00834E80"/>
    <w:rsid w:val="00834E93"/>
    <w:rsid w:val="0083584B"/>
    <w:rsid w:val="0083683B"/>
    <w:rsid w:val="00837ED0"/>
    <w:rsid w:val="00852AAB"/>
    <w:rsid w:val="00853820"/>
    <w:rsid w:val="008557DA"/>
    <w:rsid w:val="00857C26"/>
    <w:rsid w:val="0086025D"/>
    <w:rsid w:val="00860F36"/>
    <w:rsid w:val="00860FE9"/>
    <w:rsid w:val="00861679"/>
    <w:rsid w:val="00867C70"/>
    <w:rsid w:val="0087199D"/>
    <w:rsid w:val="00886CF5"/>
    <w:rsid w:val="0089487A"/>
    <w:rsid w:val="008959A1"/>
    <w:rsid w:val="008A1264"/>
    <w:rsid w:val="008A45B7"/>
    <w:rsid w:val="008A7C51"/>
    <w:rsid w:val="008B1018"/>
    <w:rsid w:val="008B4162"/>
    <w:rsid w:val="008B4E96"/>
    <w:rsid w:val="008C4E3A"/>
    <w:rsid w:val="008D09BC"/>
    <w:rsid w:val="008D5931"/>
    <w:rsid w:val="008D64D1"/>
    <w:rsid w:val="008E0CAD"/>
    <w:rsid w:val="008E36B3"/>
    <w:rsid w:val="008E49B4"/>
    <w:rsid w:val="008E6E71"/>
    <w:rsid w:val="008E7DD9"/>
    <w:rsid w:val="008F0EBB"/>
    <w:rsid w:val="008F5DF4"/>
    <w:rsid w:val="0090039B"/>
    <w:rsid w:val="009015EC"/>
    <w:rsid w:val="009028FA"/>
    <w:rsid w:val="00903DCB"/>
    <w:rsid w:val="00907A24"/>
    <w:rsid w:val="0091322B"/>
    <w:rsid w:val="00913EF6"/>
    <w:rsid w:val="00923F7F"/>
    <w:rsid w:val="00926E05"/>
    <w:rsid w:val="00933328"/>
    <w:rsid w:val="0093538A"/>
    <w:rsid w:val="00941702"/>
    <w:rsid w:val="00944487"/>
    <w:rsid w:val="00946269"/>
    <w:rsid w:val="0096062D"/>
    <w:rsid w:val="00960B3C"/>
    <w:rsid w:val="009617CB"/>
    <w:rsid w:val="009638A7"/>
    <w:rsid w:val="0096419A"/>
    <w:rsid w:val="0096455A"/>
    <w:rsid w:val="00971D8D"/>
    <w:rsid w:val="00977C0B"/>
    <w:rsid w:val="00981F63"/>
    <w:rsid w:val="0098410D"/>
    <w:rsid w:val="00990599"/>
    <w:rsid w:val="00996173"/>
    <w:rsid w:val="009A2673"/>
    <w:rsid w:val="009A441B"/>
    <w:rsid w:val="009A5DBC"/>
    <w:rsid w:val="009A607F"/>
    <w:rsid w:val="009A77C8"/>
    <w:rsid w:val="009A79EC"/>
    <w:rsid w:val="009B6470"/>
    <w:rsid w:val="009C1521"/>
    <w:rsid w:val="009C4496"/>
    <w:rsid w:val="009C510D"/>
    <w:rsid w:val="009C61D2"/>
    <w:rsid w:val="009C7C22"/>
    <w:rsid w:val="009E47BA"/>
    <w:rsid w:val="009F58D1"/>
    <w:rsid w:val="00A02EFE"/>
    <w:rsid w:val="00A0358E"/>
    <w:rsid w:val="00A03C3D"/>
    <w:rsid w:val="00A07E6B"/>
    <w:rsid w:val="00A07EC8"/>
    <w:rsid w:val="00A108FA"/>
    <w:rsid w:val="00A11C9F"/>
    <w:rsid w:val="00A1373C"/>
    <w:rsid w:val="00A14F59"/>
    <w:rsid w:val="00A17F7B"/>
    <w:rsid w:val="00A21EEE"/>
    <w:rsid w:val="00A26C76"/>
    <w:rsid w:val="00A32C3D"/>
    <w:rsid w:val="00A32F5E"/>
    <w:rsid w:val="00A40ADA"/>
    <w:rsid w:val="00A40B32"/>
    <w:rsid w:val="00A467AE"/>
    <w:rsid w:val="00A50462"/>
    <w:rsid w:val="00A534A7"/>
    <w:rsid w:val="00A53B2C"/>
    <w:rsid w:val="00A544B9"/>
    <w:rsid w:val="00A561DB"/>
    <w:rsid w:val="00A64040"/>
    <w:rsid w:val="00A71705"/>
    <w:rsid w:val="00A777A5"/>
    <w:rsid w:val="00A8331D"/>
    <w:rsid w:val="00A842F9"/>
    <w:rsid w:val="00A84F57"/>
    <w:rsid w:val="00A876CE"/>
    <w:rsid w:val="00A87F18"/>
    <w:rsid w:val="00A977D8"/>
    <w:rsid w:val="00AA0695"/>
    <w:rsid w:val="00AB2720"/>
    <w:rsid w:val="00AB3749"/>
    <w:rsid w:val="00AB39D5"/>
    <w:rsid w:val="00AB3BF1"/>
    <w:rsid w:val="00AB50FC"/>
    <w:rsid w:val="00AB6945"/>
    <w:rsid w:val="00AC02FA"/>
    <w:rsid w:val="00AC0313"/>
    <w:rsid w:val="00AC1A90"/>
    <w:rsid w:val="00AC343D"/>
    <w:rsid w:val="00AC538A"/>
    <w:rsid w:val="00AD057E"/>
    <w:rsid w:val="00AD05C0"/>
    <w:rsid w:val="00AD0F38"/>
    <w:rsid w:val="00AD4542"/>
    <w:rsid w:val="00AD7864"/>
    <w:rsid w:val="00AE0258"/>
    <w:rsid w:val="00AE462E"/>
    <w:rsid w:val="00AE46B4"/>
    <w:rsid w:val="00AE6025"/>
    <w:rsid w:val="00AF1242"/>
    <w:rsid w:val="00AF3536"/>
    <w:rsid w:val="00AF4230"/>
    <w:rsid w:val="00B01BCB"/>
    <w:rsid w:val="00B0312E"/>
    <w:rsid w:val="00B1392B"/>
    <w:rsid w:val="00B1560D"/>
    <w:rsid w:val="00B15E39"/>
    <w:rsid w:val="00B163FA"/>
    <w:rsid w:val="00B22AE4"/>
    <w:rsid w:val="00B24117"/>
    <w:rsid w:val="00B27AFA"/>
    <w:rsid w:val="00B34E43"/>
    <w:rsid w:val="00B3704F"/>
    <w:rsid w:val="00B379DF"/>
    <w:rsid w:val="00B46663"/>
    <w:rsid w:val="00B53E0E"/>
    <w:rsid w:val="00B54C4D"/>
    <w:rsid w:val="00B54D70"/>
    <w:rsid w:val="00B615CF"/>
    <w:rsid w:val="00B62685"/>
    <w:rsid w:val="00B62F49"/>
    <w:rsid w:val="00B63181"/>
    <w:rsid w:val="00B631EE"/>
    <w:rsid w:val="00B6387D"/>
    <w:rsid w:val="00B73C03"/>
    <w:rsid w:val="00B745EB"/>
    <w:rsid w:val="00B751E5"/>
    <w:rsid w:val="00B83914"/>
    <w:rsid w:val="00B86D0A"/>
    <w:rsid w:val="00B903D5"/>
    <w:rsid w:val="00B9281E"/>
    <w:rsid w:val="00B942E8"/>
    <w:rsid w:val="00B97636"/>
    <w:rsid w:val="00BA09A1"/>
    <w:rsid w:val="00BA1F76"/>
    <w:rsid w:val="00BA7642"/>
    <w:rsid w:val="00BA7E8B"/>
    <w:rsid w:val="00BA7F51"/>
    <w:rsid w:val="00BB699C"/>
    <w:rsid w:val="00BB6E87"/>
    <w:rsid w:val="00BC2719"/>
    <w:rsid w:val="00BD6F77"/>
    <w:rsid w:val="00BD7852"/>
    <w:rsid w:val="00BD7AD2"/>
    <w:rsid w:val="00BE7408"/>
    <w:rsid w:val="00BF640A"/>
    <w:rsid w:val="00C03FBA"/>
    <w:rsid w:val="00C04DE6"/>
    <w:rsid w:val="00C07670"/>
    <w:rsid w:val="00C10E6B"/>
    <w:rsid w:val="00C127D1"/>
    <w:rsid w:val="00C13B44"/>
    <w:rsid w:val="00C14BB0"/>
    <w:rsid w:val="00C21966"/>
    <w:rsid w:val="00C2774C"/>
    <w:rsid w:val="00C37950"/>
    <w:rsid w:val="00C52E9B"/>
    <w:rsid w:val="00C52F9A"/>
    <w:rsid w:val="00C55BE8"/>
    <w:rsid w:val="00C57203"/>
    <w:rsid w:val="00C61532"/>
    <w:rsid w:val="00C658DF"/>
    <w:rsid w:val="00C70D15"/>
    <w:rsid w:val="00C719E5"/>
    <w:rsid w:val="00C77817"/>
    <w:rsid w:val="00C80C9A"/>
    <w:rsid w:val="00C83BFB"/>
    <w:rsid w:val="00C84D00"/>
    <w:rsid w:val="00C9292F"/>
    <w:rsid w:val="00C96C97"/>
    <w:rsid w:val="00CA0C32"/>
    <w:rsid w:val="00CA33E5"/>
    <w:rsid w:val="00CB3768"/>
    <w:rsid w:val="00CB47C9"/>
    <w:rsid w:val="00CB4C1E"/>
    <w:rsid w:val="00CB6EC4"/>
    <w:rsid w:val="00CC1F75"/>
    <w:rsid w:val="00CC4940"/>
    <w:rsid w:val="00CC4D01"/>
    <w:rsid w:val="00CC6366"/>
    <w:rsid w:val="00CD24A9"/>
    <w:rsid w:val="00CD4178"/>
    <w:rsid w:val="00CD7389"/>
    <w:rsid w:val="00CD7822"/>
    <w:rsid w:val="00CE0679"/>
    <w:rsid w:val="00CE094E"/>
    <w:rsid w:val="00CF19A0"/>
    <w:rsid w:val="00D023CA"/>
    <w:rsid w:val="00D04380"/>
    <w:rsid w:val="00D04A88"/>
    <w:rsid w:val="00D05BB9"/>
    <w:rsid w:val="00D10B3A"/>
    <w:rsid w:val="00D1207F"/>
    <w:rsid w:val="00D12B5A"/>
    <w:rsid w:val="00D14899"/>
    <w:rsid w:val="00D17697"/>
    <w:rsid w:val="00D24291"/>
    <w:rsid w:val="00D30E4A"/>
    <w:rsid w:val="00D325CB"/>
    <w:rsid w:val="00D42AB6"/>
    <w:rsid w:val="00D436AE"/>
    <w:rsid w:val="00D44133"/>
    <w:rsid w:val="00D4445B"/>
    <w:rsid w:val="00D5061F"/>
    <w:rsid w:val="00D50931"/>
    <w:rsid w:val="00D520AB"/>
    <w:rsid w:val="00D54E91"/>
    <w:rsid w:val="00D62022"/>
    <w:rsid w:val="00D6251D"/>
    <w:rsid w:val="00D672EF"/>
    <w:rsid w:val="00D67B12"/>
    <w:rsid w:val="00D70654"/>
    <w:rsid w:val="00D7160B"/>
    <w:rsid w:val="00D72B7C"/>
    <w:rsid w:val="00D759C8"/>
    <w:rsid w:val="00D77248"/>
    <w:rsid w:val="00D8016A"/>
    <w:rsid w:val="00D81470"/>
    <w:rsid w:val="00D8571F"/>
    <w:rsid w:val="00D85865"/>
    <w:rsid w:val="00D859B6"/>
    <w:rsid w:val="00D867F6"/>
    <w:rsid w:val="00D86FDA"/>
    <w:rsid w:val="00D97EC5"/>
    <w:rsid w:val="00DA1689"/>
    <w:rsid w:val="00DA4677"/>
    <w:rsid w:val="00DA5A72"/>
    <w:rsid w:val="00DA6774"/>
    <w:rsid w:val="00DA727D"/>
    <w:rsid w:val="00DA7B1D"/>
    <w:rsid w:val="00DA7D4C"/>
    <w:rsid w:val="00DB1464"/>
    <w:rsid w:val="00DB3B15"/>
    <w:rsid w:val="00DB40B0"/>
    <w:rsid w:val="00DB4C03"/>
    <w:rsid w:val="00DC2981"/>
    <w:rsid w:val="00DC4613"/>
    <w:rsid w:val="00DD0F25"/>
    <w:rsid w:val="00DD1DA0"/>
    <w:rsid w:val="00DD3620"/>
    <w:rsid w:val="00DF02FE"/>
    <w:rsid w:val="00DF136B"/>
    <w:rsid w:val="00DF37C5"/>
    <w:rsid w:val="00E06E19"/>
    <w:rsid w:val="00E10558"/>
    <w:rsid w:val="00E127EE"/>
    <w:rsid w:val="00E1442E"/>
    <w:rsid w:val="00E174B6"/>
    <w:rsid w:val="00E21361"/>
    <w:rsid w:val="00E213F4"/>
    <w:rsid w:val="00E2175F"/>
    <w:rsid w:val="00E24D46"/>
    <w:rsid w:val="00E26B38"/>
    <w:rsid w:val="00E27077"/>
    <w:rsid w:val="00E27B4F"/>
    <w:rsid w:val="00E31C83"/>
    <w:rsid w:val="00E3376F"/>
    <w:rsid w:val="00E3524F"/>
    <w:rsid w:val="00E36300"/>
    <w:rsid w:val="00E4032C"/>
    <w:rsid w:val="00E41076"/>
    <w:rsid w:val="00E41F5C"/>
    <w:rsid w:val="00E452AC"/>
    <w:rsid w:val="00E45A5A"/>
    <w:rsid w:val="00E47626"/>
    <w:rsid w:val="00E47FE7"/>
    <w:rsid w:val="00E52A3A"/>
    <w:rsid w:val="00E5336E"/>
    <w:rsid w:val="00E564F7"/>
    <w:rsid w:val="00E63779"/>
    <w:rsid w:val="00E7055A"/>
    <w:rsid w:val="00E73B0F"/>
    <w:rsid w:val="00E76020"/>
    <w:rsid w:val="00E76518"/>
    <w:rsid w:val="00E822F7"/>
    <w:rsid w:val="00E8500C"/>
    <w:rsid w:val="00E86DBA"/>
    <w:rsid w:val="00E9252A"/>
    <w:rsid w:val="00E9497D"/>
    <w:rsid w:val="00E9668F"/>
    <w:rsid w:val="00E96B7F"/>
    <w:rsid w:val="00EA0730"/>
    <w:rsid w:val="00EA52EE"/>
    <w:rsid w:val="00EA7510"/>
    <w:rsid w:val="00EB1CCE"/>
    <w:rsid w:val="00EB3576"/>
    <w:rsid w:val="00EC323F"/>
    <w:rsid w:val="00ED2BD7"/>
    <w:rsid w:val="00ED3E48"/>
    <w:rsid w:val="00ED48F7"/>
    <w:rsid w:val="00ED71B6"/>
    <w:rsid w:val="00EE1583"/>
    <w:rsid w:val="00EE18A2"/>
    <w:rsid w:val="00EE1BE9"/>
    <w:rsid w:val="00EE5F81"/>
    <w:rsid w:val="00EE7728"/>
    <w:rsid w:val="00EE7A2F"/>
    <w:rsid w:val="00EE7FA0"/>
    <w:rsid w:val="00EF0518"/>
    <w:rsid w:val="00EF49DE"/>
    <w:rsid w:val="00F010ED"/>
    <w:rsid w:val="00F01FC3"/>
    <w:rsid w:val="00F050C8"/>
    <w:rsid w:val="00F05FEA"/>
    <w:rsid w:val="00F077BF"/>
    <w:rsid w:val="00F16EE9"/>
    <w:rsid w:val="00F262E2"/>
    <w:rsid w:val="00F30664"/>
    <w:rsid w:val="00F3272F"/>
    <w:rsid w:val="00F33F13"/>
    <w:rsid w:val="00F34FBA"/>
    <w:rsid w:val="00F4125F"/>
    <w:rsid w:val="00F52944"/>
    <w:rsid w:val="00F5477E"/>
    <w:rsid w:val="00F55C33"/>
    <w:rsid w:val="00F57C43"/>
    <w:rsid w:val="00F605DB"/>
    <w:rsid w:val="00F60FE7"/>
    <w:rsid w:val="00F62844"/>
    <w:rsid w:val="00F62FA8"/>
    <w:rsid w:val="00F634F3"/>
    <w:rsid w:val="00F63C37"/>
    <w:rsid w:val="00F63CAF"/>
    <w:rsid w:val="00F706AB"/>
    <w:rsid w:val="00F70B64"/>
    <w:rsid w:val="00F80F57"/>
    <w:rsid w:val="00F80FAD"/>
    <w:rsid w:val="00F85D01"/>
    <w:rsid w:val="00FA31EC"/>
    <w:rsid w:val="00FA373A"/>
    <w:rsid w:val="00FA4569"/>
    <w:rsid w:val="00FA688B"/>
    <w:rsid w:val="00FB4DA1"/>
    <w:rsid w:val="00FB7A72"/>
    <w:rsid w:val="00FC1723"/>
    <w:rsid w:val="00FC2720"/>
    <w:rsid w:val="00FC3638"/>
    <w:rsid w:val="00FD0250"/>
    <w:rsid w:val="00FD41D9"/>
    <w:rsid w:val="00FD730A"/>
    <w:rsid w:val="00FD731C"/>
    <w:rsid w:val="00FE0240"/>
    <w:rsid w:val="00FE66FB"/>
    <w:rsid w:val="00FF0A34"/>
    <w:rsid w:val="00FF25FE"/>
    <w:rsid w:val="00FF3627"/>
    <w:rsid w:val="00FF4584"/>
    <w:rsid w:val="00FF684C"/>
    <w:rsid w:val="01726784"/>
    <w:rsid w:val="021A525B"/>
    <w:rsid w:val="040862AD"/>
    <w:rsid w:val="0A1653C9"/>
    <w:rsid w:val="0A5353BE"/>
    <w:rsid w:val="0BA64232"/>
    <w:rsid w:val="0D0E5602"/>
    <w:rsid w:val="0F1D7D7F"/>
    <w:rsid w:val="132E255A"/>
    <w:rsid w:val="1480756E"/>
    <w:rsid w:val="17217B44"/>
    <w:rsid w:val="173B0CD9"/>
    <w:rsid w:val="17C5035D"/>
    <w:rsid w:val="1BCD0AF8"/>
    <w:rsid w:val="1BF13BA6"/>
    <w:rsid w:val="1C60497E"/>
    <w:rsid w:val="203647FF"/>
    <w:rsid w:val="23E12CD1"/>
    <w:rsid w:val="25145328"/>
    <w:rsid w:val="27433C1D"/>
    <w:rsid w:val="27556697"/>
    <w:rsid w:val="27920F6C"/>
    <w:rsid w:val="28B44CAE"/>
    <w:rsid w:val="29CC3E19"/>
    <w:rsid w:val="29FC4A15"/>
    <w:rsid w:val="31E71DFA"/>
    <w:rsid w:val="32E427DE"/>
    <w:rsid w:val="3437693D"/>
    <w:rsid w:val="377759CE"/>
    <w:rsid w:val="37B87D95"/>
    <w:rsid w:val="381713B4"/>
    <w:rsid w:val="39EC1B10"/>
    <w:rsid w:val="3FC76B4B"/>
    <w:rsid w:val="41E8753E"/>
    <w:rsid w:val="425740F5"/>
    <w:rsid w:val="44103C85"/>
    <w:rsid w:val="44EE4F7B"/>
    <w:rsid w:val="482920E7"/>
    <w:rsid w:val="4B137364"/>
    <w:rsid w:val="4EE87013"/>
    <w:rsid w:val="52354064"/>
    <w:rsid w:val="529E721A"/>
    <w:rsid w:val="53A172EF"/>
    <w:rsid w:val="5809221B"/>
    <w:rsid w:val="5A1B1B76"/>
    <w:rsid w:val="5AC967B9"/>
    <w:rsid w:val="5D374246"/>
    <w:rsid w:val="5D750D61"/>
    <w:rsid w:val="61F050B4"/>
    <w:rsid w:val="63155479"/>
    <w:rsid w:val="64AC6408"/>
    <w:rsid w:val="64FF0C2E"/>
    <w:rsid w:val="651619D8"/>
    <w:rsid w:val="65CD58D4"/>
    <w:rsid w:val="672B29DF"/>
    <w:rsid w:val="67E82E07"/>
    <w:rsid w:val="693B6740"/>
    <w:rsid w:val="6A530707"/>
    <w:rsid w:val="6AD80C9E"/>
    <w:rsid w:val="6CD72490"/>
    <w:rsid w:val="6D620CB0"/>
    <w:rsid w:val="6E2E7D17"/>
    <w:rsid w:val="6EFA59FF"/>
    <w:rsid w:val="72CD17D3"/>
    <w:rsid w:val="736A5E4E"/>
    <w:rsid w:val="74061605"/>
    <w:rsid w:val="74905ACD"/>
    <w:rsid w:val="759C4277"/>
    <w:rsid w:val="76200DBA"/>
    <w:rsid w:val="7715608F"/>
    <w:rsid w:val="7AC24610"/>
    <w:rsid w:val="7BD07BA2"/>
    <w:rsid w:val="7E9B47F6"/>
    <w:rsid w:val="EFFFF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line="600" w:lineRule="exact"/>
      <w:ind w:firstLine="200" w:firstLineChars="200"/>
      <w:outlineLvl w:val="0"/>
    </w:pPr>
    <w:rPr>
      <w:rFonts w:ascii="Calibri" w:hAnsi="Calibri" w:eastAsia="黑体"/>
      <w:kern w:val="44"/>
      <w:sz w:val="32"/>
    </w:rPr>
  </w:style>
  <w:style w:type="paragraph" w:styleId="5">
    <w:name w:val="heading 2"/>
    <w:basedOn w:val="1"/>
    <w:next w:val="1"/>
    <w:qFormat/>
    <w:uiPriority w:val="0"/>
    <w:pPr>
      <w:keepNext/>
      <w:keepLines/>
      <w:spacing w:line="600" w:lineRule="exact"/>
      <w:ind w:firstLine="200" w:firstLineChars="200"/>
      <w:outlineLvl w:val="1"/>
    </w:pPr>
    <w:rPr>
      <w:rFonts w:ascii="Arial" w:hAnsi="Arial" w:eastAsia="楷体_GB2312" w:cs="Times New Roman"/>
      <w:b/>
      <w:kern w:val="0"/>
      <w:sz w:val="32"/>
      <w:szCs w:val="20"/>
    </w:rPr>
  </w:style>
  <w:style w:type="paragraph" w:styleId="6">
    <w:name w:val="heading 3"/>
    <w:basedOn w:val="1"/>
    <w:next w:val="1"/>
    <w:link w:val="22"/>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ind w:left="220"/>
    </w:pPr>
    <w:rPr>
      <w:rFonts w:ascii="仿宋_GB2312" w:hAnsi="仿宋_GB2312" w:cs="仿宋_GB2312"/>
      <w:szCs w:val="32"/>
      <w:lang w:val="zh-CN" w:bidi="zh-CN"/>
    </w:rPr>
  </w:style>
  <w:style w:type="paragraph" w:styleId="3">
    <w:name w:val="Body Text First Indent"/>
    <w:basedOn w:val="2"/>
    <w:qFormat/>
    <w:uiPriority w:val="0"/>
    <w:pPr>
      <w:spacing w:after="120"/>
      <w:ind w:left="0" w:firstLine="420" w:firstLineChars="100"/>
    </w:pPr>
    <w:rPr>
      <w:rFonts w:ascii="Calibri" w:hAnsi="Calibri" w:eastAsia="宋体" w:cs="Times New Roman"/>
      <w:szCs w:val="22"/>
      <w:lang w:val="en-US" w:bidi="ar-SA"/>
    </w:rPr>
  </w:style>
  <w:style w:type="paragraph" w:styleId="7">
    <w:name w:val="annotation text"/>
    <w:basedOn w:val="1"/>
    <w:link w:val="19"/>
    <w:semiHidden/>
    <w:unhideWhenUsed/>
    <w:qFormat/>
    <w:uiPriority w:val="99"/>
    <w:pPr>
      <w:jc w:val="left"/>
    </w:pPr>
  </w:style>
  <w:style w:type="paragraph" w:styleId="8">
    <w:name w:val="Balloon Text"/>
    <w:basedOn w:val="1"/>
    <w:link w:val="18"/>
    <w:qFormat/>
    <w:uiPriority w:val="0"/>
    <w:rPr>
      <w:sz w:val="18"/>
      <w:szCs w:val="18"/>
    </w:rPr>
  </w:style>
  <w:style w:type="paragraph" w:styleId="9">
    <w:name w:val="footer"/>
    <w:basedOn w:val="1"/>
    <w:link w:val="17"/>
    <w:qFormat/>
    <w:uiPriority w:val="99"/>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sz w:val="24"/>
      <w:szCs w:val="24"/>
    </w:rPr>
  </w:style>
  <w:style w:type="paragraph" w:styleId="12">
    <w:name w:val="annotation subject"/>
    <w:basedOn w:val="7"/>
    <w:next w:val="7"/>
    <w:link w:val="20"/>
    <w:qFormat/>
    <w:uiPriority w:val="0"/>
    <w:rPr>
      <w:b/>
      <w:bCs/>
    </w:rPr>
  </w:style>
  <w:style w:type="character" w:styleId="15">
    <w:name w:val="annotation reference"/>
    <w:basedOn w:val="14"/>
    <w:qFormat/>
    <w:uiPriority w:val="0"/>
    <w:rPr>
      <w:sz w:val="21"/>
      <w:szCs w:val="21"/>
    </w:rPr>
  </w:style>
  <w:style w:type="paragraph" w:customStyle="1" w:styleId="16">
    <w:name w:val="正文new"/>
    <w:basedOn w:val="1"/>
    <w:qFormat/>
    <w:uiPriority w:val="0"/>
    <w:pPr>
      <w:adjustRightInd w:val="0"/>
      <w:snapToGrid w:val="0"/>
      <w:spacing w:line="600" w:lineRule="exact"/>
      <w:ind w:firstLine="200" w:firstLineChars="200"/>
      <w:outlineLvl w:val="1"/>
    </w:pPr>
    <w:rPr>
      <w:rFonts w:ascii="仿宋_GB2312" w:hAnsi="仿宋" w:eastAsia="仿宋_GB2312" w:cs="Times New Roman"/>
      <w:kern w:val="0"/>
      <w:sz w:val="32"/>
      <w:szCs w:val="40"/>
    </w:rPr>
  </w:style>
  <w:style w:type="character" w:customStyle="1" w:styleId="17">
    <w:name w:val="页脚 字符"/>
    <w:basedOn w:val="14"/>
    <w:link w:val="9"/>
    <w:qFormat/>
    <w:uiPriority w:val="99"/>
    <w:rPr>
      <w:rFonts w:asciiTheme="minorHAnsi" w:hAnsiTheme="minorHAnsi" w:eastAsiaTheme="minorEastAsia" w:cstheme="minorBidi"/>
      <w:kern w:val="2"/>
      <w:sz w:val="18"/>
      <w:szCs w:val="22"/>
    </w:rPr>
  </w:style>
  <w:style w:type="character" w:customStyle="1" w:styleId="18">
    <w:name w:val="批注框文本 字符"/>
    <w:basedOn w:val="14"/>
    <w:link w:val="8"/>
    <w:qFormat/>
    <w:uiPriority w:val="0"/>
    <w:rPr>
      <w:rFonts w:asciiTheme="minorHAnsi" w:hAnsiTheme="minorHAnsi" w:eastAsiaTheme="minorEastAsia" w:cstheme="minorBidi"/>
      <w:kern w:val="2"/>
      <w:sz w:val="18"/>
      <w:szCs w:val="18"/>
    </w:rPr>
  </w:style>
  <w:style w:type="character" w:customStyle="1" w:styleId="19">
    <w:name w:val="批注文字 字符"/>
    <w:basedOn w:val="14"/>
    <w:link w:val="7"/>
    <w:semiHidden/>
    <w:qFormat/>
    <w:uiPriority w:val="99"/>
    <w:rPr>
      <w:rFonts w:asciiTheme="minorHAnsi" w:hAnsiTheme="minorHAnsi" w:eastAsiaTheme="minorEastAsia" w:cstheme="minorBidi"/>
      <w:kern w:val="2"/>
      <w:sz w:val="21"/>
      <w:szCs w:val="22"/>
    </w:rPr>
  </w:style>
  <w:style w:type="character" w:customStyle="1" w:styleId="20">
    <w:name w:val="批注主题 字符"/>
    <w:basedOn w:val="19"/>
    <w:link w:val="12"/>
    <w:qFormat/>
    <w:uiPriority w:val="0"/>
    <w:rPr>
      <w:rFonts w:asciiTheme="minorHAnsi" w:hAnsiTheme="minorHAnsi" w:eastAsiaTheme="minorEastAsia" w:cstheme="minorBidi"/>
      <w:b/>
      <w:bCs/>
      <w:kern w:val="2"/>
      <w:sz w:val="21"/>
      <w:szCs w:val="22"/>
    </w:rPr>
  </w:style>
  <w:style w:type="paragraph" w:customStyle="1" w:styleId="21">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2">
    <w:name w:val="标题 3 字符"/>
    <w:basedOn w:val="14"/>
    <w:link w:val="6"/>
    <w:qFormat/>
    <w:uiPriority w:val="0"/>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1021</Words>
  <Characters>5825</Characters>
  <Lines>48</Lines>
  <Paragraphs>13</Paragraphs>
  <TotalTime>4380</TotalTime>
  <ScaleCrop>false</ScaleCrop>
  <LinksUpToDate>false</LinksUpToDate>
  <CharactersWithSpaces>6833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2024-01-11T09:52:00Z</dcterms:created>
  <dc:creator>ID189623</dc:creator>
  <cp:lastModifiedBy>kylin</cp:lastModifiedBy>
  <cp:lastPrinted>2024-03-17T14:42:00Z</cp:lastPrinted>
  <dcterms:modified xsi:type="dcterms:W3CDTF">2024-04-10T10:59:38Z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354EC89237FC41A290F53CBDC11A8AC6_13</vt:lpwstr>
  </property>
</Properties>
</file>