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val="0"/>
        <w:snapToGrid w:val="0"/>
        <w:ind w:firstLine="0" w:firstLineChars="0"/>
        <w:rPr>
          <w:rFonts w:ascii="黑体" w:hAnsi="黑体" w:eastAsia="黑体" w:cs="黑体"/>
          <w:sz w:val="32"/>
          <w:szCs w:val="32"/>
        </w:rPr>
      </w:pPr>
      <w:bookmarkStart w:id="0" w:name="_GoBack"/>
      <w:bookmarkEnd w:id="0"/>
    </w:p>
    <w:p>
      <w:pPr>
        <w:pStyle w:val="37"/>
        <w:ind w:firstLine="0" w:firstLineChars="0"/>
        <w:rPr>
          <w:rFonts w:ascii="仿宋_GB2312"/>
        </w:rPr>
      </w:pPr>
    </w:p>
    <w:p>
      <w:pPr>
        <w:pStyle w:val="37"/>
        <w:spacing w:line="700" w:lineRule="exact"/>
        <w:ind w:firstLine="0" w:firstLineChars="0"/>
        <w:jc w:val="center"/>
        <w:rPr>
          <w:rFonts w:ascii="方正小标宋_GBK" w:hAnsi="方正小标宋_GBK" w:eastAsia="方正小标宋_GBK" w:cs="方正小标宋_GBK"/>
          <w:color w:val="auto"/>
          <w:sz w:val="40"/>
          <w:szCs w:val="40"/>
          <w:highlight w:val="none"/>
        </w:rPr>
      </w:pPr>
      <w:commentRangeStart w:id="0"/>
      <w:r>
        <w:rPr>
          <w:rFonts w:hint="eastAsia" w:ascii="方正小标宋_GBK" w:hAnsi="方正小标宋_GBK" w:eastAsia="方正小标宋_GBK" w:cs="方正小标宋_GBK"/>
          <w:color w:val="auto"/>
          <w:sz w:val="40"/>
          <w:szCs w:val="40"/>
          <w:highlight w:val="none"/>
        </w:rPr>
        <w:t>长株潭及传输通道城市</w:t>
      </w:r>
    </w:p>
    <w:p>
      <w:pPr>
        <w:pStyle w:val="37"/>
        <w:spacing w:line="700" w:lineRule="exact"/>
        <w:ind w:firstLine="0" w:firstLineChars="0"/>
        <w:jc w:val="center"/>
        <w:rPr>
          <w:color w:val="auto"/>
          <w:highlight w:val="none"/>
        </w:rPr>
      </w:pPr>
      <w:r>
        <w:rPr>
          <w:rFonts w:hint="eastAsia" w:ascii="方正小标宋_GBK" w:hAnsi="方正小标宋_GBK" w:eastAsia="方正小标宋_GBK" w:cs="方正小标宋_GBK"/>
          <w:color w:val="auto"/>
          <w:sz w:val="40"/>
          <w:szCs w:val="40"/>
          <w:highlight w:val="none"/>
        </w:rPr>
        <w:t>环境空气质量达标攻坚行动计划</w:t>
      </w:r>
      <w:commentRangeEnd w:id="0"/>
      <w:r>
        <w:rPr>
          <w:color w:val="auto"/>
          <w:highlight w:val="none"/>
        </w:rPr>
        <w:commentReference w:id="0"/>
      </w:r>
    </w:p>
    <w:p>
      <w:pPr>
        <w:pStyle w:val="37"/>
        <w:spacing w:line="580" w:lineRule="exact"/>
        <w:ind w:left="0" w:leftChars="0" w:firstLine="0" w:firstLineChars="0"/>
        <w:jc w:val="center"/>
        <w:rPr>
          <w:rFonts w:hint="eastAsia" w:ascii="仿宋_GB2312"/>
          <w:color w:val="auto"/>
          <w:sz w:val="32"/>
          <w:szCs w:val="32"/>
          <w:highlight w:val="none"/>
          <w:lang w:eastAsia="zh-CN"/>
        </w:rPr>
      </w:pP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征求意见稿</w:t>
      </w:r>
      <w:r>
        <w:rPr>
          <w:rFonts w:hint="eastAsia" w:ascii="仿宋_GB2312"/>
          <w:color w:val="auto"/>
          <w:sz w:val="32"/>
          <w:szCs w:val="32"/>
          <w:highlight w:val="none"/>
          <w:lang w:eastAsia="zh-CN"/>
        </w:rPr>
        <w:t>）</w:t>
      </w:r>
    </w:p>
    <w:p>
      <w:pPr>
        <w:pStyle w:val="37"/>
        <w:spacing w:line="600" w:lineRule="exact"/>
        <w:ind w:firstLine="600"/>
        <w:rPr>
          <w:color w:val="auto"/>
          <w:highlight w:val="none"/>
        </w:rPr>
      </w:pPr>
    </w:p>
    <w:p>
      <w:pPr>
        <w:pStyle w:val="2"/>
        <w:spacing w:before="0" w:beforeLines="0" w:line="580" w:lineRule="exact"/>
        <w:ind w:firstLine="640" w:firstLineChars="200"/>
        <w:rPr>
          <w:color w:val="auto"/>
          <w:szCs w:val="32"/>
          <w:highlight w:val="none"/>
        </w:rPr>
      </w:pPr>
      <w:r>
        <w:rPr>
          <w:rFonts w:hint="eastAsia"/>
          <w:color w:val="auto"/>
          <w:szCs w:val="32"/>
          <w:highlight w:val="none"/>
        </w:rPr>
        <w:t>一、现状与问题</w:t>
      </w:r>
    </w:p>
    <w:p>
      <w:pPr>
        <w:pStyle w:val="3"/>
        <w:spacing w:before="0" w:beforeLines="0" w:line="58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（一）环境空气质量现状</w:t>
      </w:r>
    </w:p>
    <w:p>
      <w:pPr>
        <w:pStyle w:val="37"/>
        <w:spacing w:line="580" w:lineRule="exact"/>
        <w:ind w:firstLine="640"/>
        <w:rPr>
          <w:rFonts w:ascii="仿宋_GB2312"/>
          <w:color w:val="auto"/>
          <w:sz w:val="32"/>
          <w:szCs w:val="32"/>
          <w:highlight w:val="none"/>
        </w:rPr>
      </w:pPr>
      <w:r>
        <w:rPr>
          <w:rFonts w:hint="eastAsia" w:ascii="仿宋_GB2312"/>
          <w:color w:val="auto"/>
          <w:sz w:val="32"/>
          <w:szCs w:val="32"/>
          <w:highlight w:val="none"/>
        </w:rPr>
        <w:t>近年来，长株潭及传输通道城市PM</w:t>
      </w:r>
      <w:r>
        <w:rPr>
          <w:rFonts w:hint="eastAsia" w:ascii="仿宋_GB2312"/>
          <w:color w:val="auto"/>
          <w:sz w:val="32"/>
          <w:szCs w:val="32"/>
          <w:highlight w:val="none"/>
          <w:vertAlign w:val="subscript"/>
        </w:rPr>
        <w:t>10</w:t>
      </w:r>
      <w:r>
        <w:rPr>
          <w:rFonts w:hint="eastAsia" w:ascii="仿宋_GB2312"/>
          <w:color w:val="auto"/>
          <w:sz w:val="32"/>
          <w:szCs w:val="32"/>
          <w:highlight w:val="none"/>
        </w:rPr>
        <w:t>、PM</w:t>
      </w:r>
      <w:r>
        <w:rPr>
          <w:rFonts w:hint="eastAsia" w:ascii="仿宋_GB2312"/>
          <w:color w:val="auto"/>
          <w:sz w:val="32"/>
          <w:szCs w:val="32"/>
          <w:highlight w:val="none"/>
          <w:vertAlign w:val="subscript"/>
        </w:rPr>
        <w:t>2.5</w:t>
      </w:r>
      <w:r>
        <w:rPr>
          <w:rFonts w:hint="eastAsia" w:ascii="仿宋_GB2312"/>
          <w:color w:val="auto"/>
          <w:sz w:val="32"/>
          <w:szCs w:val="32"/>
          <w:highlight w:val="none"/>
        </w:rPr>
        <w:t>、SO</w:t>
      </w:r>
      <w:r>
        <w:rPr>
          <w:rFonts w:hint="eastAsia" w:ascii="仿宋_GB2312"/>
          <w:color w:val="auto"/>
          <w:sz w:val="32"/>
          <w:szCs w:val="32"/>
          <w:highlight w:val="none"/>
          <w:vertAlign w:val="subscript"/>
        </w:rPr>
        <w:t>2</w:t>
      </w:r>
      <w:r>
        <w:rPr>
          <w:rFonts w:hint="eastAsia" w:ascii="仿宋_GB2312"/>
          <w:color w:val="auto"/>
          <w:sz w:val="32"/>
          <w:szCs w:val="32"/>
          <w:highlight w:val="none"/>
        </w:rPr>
        <w:t>、NO</w:t>
      </w:r>
      <w:r>
        <w:rPr>
          <w:rFonts w:hint="eastAsia" w:ascii="仿宋_GB2312"/>
          <w:color w:val="auto"/>
          <w:sz w:val="32"/>
          <w:szCs w:val="32"/>
          <w:highlight w:val="none"/>
          <w:vertAlign w:val="subscript"/>
        </w:rPr>
        <w:t>2</w:t>
      </w:r>
      <w:r>
        <w:rPr>
          <w:rFonts w:hint="eastAsia" w:ascii="仿宋_GB2312"/>
          <w:color w:val="auto"/>
          <w:sz w:val="32"/>
          <w:szCs w:val="32"/>
          <w:highlight w:val="none"/>
        </w:rPr>
        <w:t>和CO浓度下降幅度逐年变小，臭氧浓度整体呈波动上升趋势。2021年，区域PM</w:t>
      </w:r>
      <w:r>
        <w:rPr>
          <w:rFonts w:hint="eastAsia" w:ascii="仿宋_GB2312"/>
          <w:color w:val="auto"/>
          <w:sz w:val="32"/>
          <w:szCs w:val="32"/>
          <w:highlight w:val="none"/>
          <w:vertAlign w:val="subscript"/>
        </w:rPr>
        <w:t>2.5</w:t>
      </w:r>
      <w:r>
        <w:rPr>
          <w:rFonts w:hint="eastAsia" w:ascii="仿宋_GB2312"/>
          <w:color w:val="auto"/>
          <w:sz w:val="32"/>
          <w:szCs w:val="32"/>
          <w:highlight w:val="none"/>
        </w:rPr>
        <w:t>和臭氧平均浓度分别为40、138微克/立方米,较全省均值分别高5、11微克/立方米；城市优良天数比例平均为86.0%，较全省均值低5个百分点，其中，以PM</w:t>
      </w:r>
      <w:r>
        <w:rPr>
          <w:rFonts w:hint="eastAsia" w:ascii="仿宋_GB2312"/>
          <w:color w:val="auto"/>
          <w:sz w:val="32"/>
          <w:szCs w:val="32"/>
          <w:highlight w:val="none"/>
          <w:vertAlign w:val="subscript"/>
        </w:rPr>
        <w:t>2.5</w:t>
      </w:r>
      <w:r>
        <w:rPr>
          <w:rFonts w:hint="eastAsia" w:ascii="仿宋_GB2312"/>
          <w:color w:val="auto"/>
          <w:sz w:val="32"/>
          <w:szCs w:val="32"/>
          <w:highlight w:val="none"/>
        </w:rPr>
        <w:t>和臭氧为首要污染物的污染天数平均占比分别为66.1%和28.7%，重度及以上污染天数总计22天，占全省总数的88.0%。PM</w:t>
      </w:r>
      <w:r>
        <w:rPr>
          <w:rFonts w:hint="eastAsia" w:ascii="仿宋_GB2312"/>
          <w:color w:val="auto"/>
          <w:sz w:val="32"/>
          <w:szCs w:val="32"/>
          <w:highlight w:val="none"/>
          <w:vertAlign w:val="subscript"/>
        </w:rPr>
        <w:t>2.5</w:t>
      </w:r>
      <w:r>
        <w:rPr>
          <w:rFonts w:hint="eastAsia" w:ascii="仿宋_GB2312"/>
          <w:color w:val="auto"/>
          <w:sz w:val="32"/>
          <w:szCs w:val="32"/>
          <w:highlight w:val="none"/>
        </w:rPr>
        <w:t>和臭氧是当前影响区域空气质量的关键大气污染物，在全国168个重点城市中，长沙、株洲、湘潭、岳阳、常德和益阳PM</w:t>
      </w:r>
      <w:r>
        <w:rPr>
          <w:rFonts w:hint="eastAsia" w:ascii="仿宋_GB2312"/>
          <w:color w:val="auto"/>
          <w:sz w:val="32"/>
          <w:szCs w:val="32"/>
          <w:highlight w:val="none"/>
          <w:vertAlign w:val="subscript"/>
        </w:rPr>
        <w:t>2.5</w:t>
      </w:r>
      <w:r>
        <w:rPr>
          <w:rFonts w:hint="eastAsia" w:ascii="仿宋_GB2312"/>
          <w:color w:val="auto"/>
          <w:sz w:val="32"/>
          <w:szCs w:val="32"/>
          <w:highlight w:val="none"/>
        </w:rPr>
        <w:t>浓度排名分别为第120、106、120、78、110和78位。</w:t>
      </w:r>
    </w:p>
    <w:p>
      <w:pPr>
        <w:pStyle w:val="37"/>
        <w:spacing w:line="580" w:lineRule="exact"/>
        <w:ind w:firstLine="640"/>
        <w:rPr>
          <w:rFonts w:ascii="仿宋_GB2312"/>
          <w:color w:val="auto"/>
          <w:sz w:val="32"/>
          <w:szCs w:val="32"/>
          <w:highlight w:val="none"/>
        </w:rPr>
      </w:pPr>
      <w:r>
        <w:rPr>
          <w:rFonts w:hint="eastAsia" w:ascii="仿宋_GB2312"/>
          <w:color w:val="auto"/>
          <w:sz w:val="32"/>
          <w:szCs w:val="32"/>
          <w:highlight w:val="none"/>
        </w:rPr>
        <w:t>2021年，长株潭城市群PM</w:t>
      </w:r>
      <w:r>
        <w:rPr>
          <w:rFonts w:hint="eastAsia" w:ascii="仿宋_GB2312"/>
          <w:color w:val="auto"/>
          <w:sz w:val="32"/>
          <w:szCs w:val="32"/>
          <w:highlight w:val="none"/>
          <w:vertAlign w:val="subscript"/>
        </w:rPr>
        <w:t>2.5</w:t>
      </w:r>
      <w:r>
        <w:rPr>
          <w:rFonts w:hint="eastAsia" w:ascii="仿宋_GB2312"/>
          <w:color w:val="auto"/>
          <w:sz w:val="32"/>
          <w:szCs w:val="32"/>
          <w:highlight w:val="none"/>
        </w:rPr>
        <w:t>和臭氧平均浓度分别为42、142微克/立方米，优良天数比例平均为84.2%，以PM</w:t>
      </w:r>
      <w:r>
        <w:rPr>
          <w:rFonts w:hint="eastAsia" w:ascii="仿宋_GB2312"/>
          <w:color w:val="auto"/>
          <w:sz w:val="32"/>
          <w:szCs w:val="32"/>
          <w:highlight w:val="none"/>
          <w:vertAlign w:val="subscript"/>
        </w:rPr>
        <w:t>2.5</w:t>
      </w:r>
      <w:r>
        <w:rPr>
          <w:rFonts w:hint="eastAsia" w:ascii="仿宋_GB2312"/>
          <w:color w:val="auto"/>
          <w:sz w:val="32"/>
          <w:szCs w:val="32"/>
          <w:highlight w:val="none"/>
        </w:rPr>
        <w:t>和臭氧为首要污染物的污染天数平均占比分别为65.3%和30.1%，重度及以上污染天数总计17天，其中长沙在全国31个省会城市中，环境空气质量综合指数、优良天数比例和PM</w:t>
      </w:r>
      <w:r>
        <w:rPr>
          <w:rFonts w:hint="eastAsia" w:ascii="仿宋_GB2312"/>
          <w:color w:val="auto"/>
          <w:sz w:val="32"/>
          <w:szCs w:val="32"/>
          <w:highlight w:val="none"/>
          <w:vertAlign w:val="subscript"/>
        </w:rPr>
        <w:t>2.5</w:t>
      </w:r>
      <w:r>
        <w:rPr>
          <w:rFonts w:hint="eastAsia" w:ascii="仿宋_GB2312"/>
          <w:color w:val="auto"/>
          <w:sz w:val="32"/>
          <w:szCs w:val="32"/>
          <w:highlight w:val="none"/>
        </w:rPr>
        <w:t>平均浓度排名分别为第1</w:t>
      </w:r>
      <w:r>
        <w:rPr>
          <w:rFonts w:ascii="仿宋_GB2312"/>
          <w:color w:val="auto"/>
          <w:sz w:val="32"/>
          <w:szCs w:val="32"/>
          <w:highlight w:val="none"/>
        </w:rPr>
        <w:t>8</w:t>
      </w:r>
      <w:r>
        <w:rPr>
          <w:rFonts w:hint="eastAsia" w:ascii="仿宋_GB2312"/>
          <w:color w:val="auto"/>
          <w:sz w:val="32"/>
          <w:szCs w:val="32"/>
          <w:highlight w:val="none"/>
        </w:rPr>
        <w:t>、1</w:t>
      </w:r>
      <w:r>
        <w:rPr>
          <w:rFonts w:ascii="仿宋_GB2312"/>
          <w:color w:val="auto"/>
          <w:sz w:val="32"/>
          <w:szCs w:val="32"/>
          <w:highlight w:val="none"/>
        </w:rPr>
        <w:t>9</w:t>
      </w:r>
      <w:r>
        <w:rPr>
          <w:rFonts w:hint="eastAsia" w:ascii="仿宋_GB2312"/>
          <w:color w:val="auto"/>
          <w:sz w:val="32"/>
          <w:szCs w:val="32"/>
          <w:highlight w:val="none"/>
        </w:rPr>
        <w:t>和2</w:t>
      </w:r>
      <w:r>
        <w:rPr>
          <w:rFonts w:ascii="仿宋_GB2312"/>
          <w:color w:val="auto"/>
          <w:sz w:val="32"/>
          <w:szCs w:val="32"/>
          <w:highlight w:val="none"/>
        </w:rPr>
        <w:t>9</w:t>
      </w:r>
      <w:r>
        <w:rPr>
          <w:rFonts w:hint="eastAsia" w:ascii="仿宋_GB2312"/>
          <w:color w:val="auto"/>
          <w:sz w:val="32"/>
          <w:szCs w:val="32"/>
          <w:highlight w:val="none"/>
        </w:rPr>
        <w:t>位。近五年来，长株潭PM</w:t>
      </w:r>
      <w:r>
        <w:rPr>
          <w:rFonts w:hint="eastAsia" w:ascii="仿宋_GB2312"/>
          <w:color w:val="auto"/>
          <w:sz w:val="32"/>
          <w:szCs w:val="32"/>
          <w:highlight w:val="none"/>
          <w:vertAlign w:val="subscript"/>
        </w:rPr>
        <w:t>2.5</w:t>
      </w:r>
      <w:r>
        <w:rPr>
          <w:rFonts w:hint="eastAsia" w:ascii="仿宋_GB2312"/>
          <w:color w:val="auto"/>
          <w:sz w:val="32"/>
          <w:szCs w:val="32"/>
          <w:highlight w:val="none"/>
        </w:rPr>
        <w:t>浓度改善率较京津冀、长三角和珠三角分别低24.4、17.7和15.1个百分点，长沙PM</w:t>
      </w:r>
      <w:r>
        <w:rPr>
          <w:rFonts w:hint="eastAsia" w:ascii="仿宋_GB2312"/>
          <w:color w:val="auto"/>
          <w:sz w:val="32"/>
          <w:szCs w:val="32"/>
          <w:highlight w:val="none"/>
          <w:vertAlign w:val="subscript"/>
        </w:rPr>
        <w:t>2.5</w:t>
      </w:r>
      <w:r>
        <w:rPr>
          <w:rFonts w:hint="eastAsia" w:ascii="仿宋_GB2312"/>
          <w:color w:val="auto"/>
          <w:sz w:val="32"/>
          <w:szCs w:val="32"/>
          <w:highlight w:val="none"/>
        </w:rPr>
        <w:t>浓度改善率较南昌、广州、武汉、重庆等周边省会（直辖市）低</w:t>
      </w:r>
      <w:r>
        <w:rPr>
          <w:rFonts w:ascii="仿宋_GB2312"/>
          <w:color w:val="auto"/>
          <w:sz w:val="32"/>
          <w:szCs w:val="32"/>
          <w:highlight w:val="none"/>
        </w:rPr>
        <w:t>9.0</w:t>
      </w:r>
      <w:r>
        <w:rPr>
          <w:rFonts w:hint="eastAsia" w:ascii="仿宋_GB2312"/>
          <w:color w:val="auto"/>
          <w:sz w:val="32"/>
          <w:szCs w:val="32"/>
          <w:highlight w:val="none"/>
        </w:rPr>
        <w:t>～</w:t>
      </w:r>
      <w:r>
        <w:rPr>
          <w:rFonts w:ascii="仿宋_GB2312"/>
          <w:color w:val="auto"/>
          <w:sz w:val="32"/>
          <w:szCs w:val="32"/>
          <w:highlight w:val="none"/>
        </w:rPr>
        <w:t>16.3</w:t>
      </w:r>
      <w:r>
        <w:rPr>
          <w:rFonts w:hint="eastAsia" w:ascii="仿宋_GB2312"/>
          <w:color w:val="auto"/>
          <w:sz w:val="32"/>
          <w:szCs w:val="32"/>
          <w:highlight w:val="none"/>
        </w:rPr>
        <w:t>个百分点。</w:t>
      </w:r>
    </w:p>
    <w:p>
      <w:pPr>
        <w:pStyle w:val="3"/>
        <w:spacing w:before="0" w:beforeLines="0" w:line="58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（二）面临的主要问题</w:t>
      </w:r>
    </w:p>
    <w:p>
      <w:pPr>
        <w:pStyle w:val="37"/>
        <w:spacing w:line="580" w:lineRule="exact"/>
        <w:ind w:firstLine="643"/>
        <w:rPr>
          <w:rFonts w:ascii="仿宋_GB2312"/>
          <w:color w:val="auto"/>
          <w:sz w:val="32"/>
          <w:szCs w:val="32"/>
          <w:highlight w:val="none"/>
        </w:rPr>
      </w:pPr>
      <w:r>
        <w:rPr>
          <w:rFonts w:hint="eastAsia" w:ascii="仿宋_GB2312"/>
          <w:b/>
          <w:bCs/>
          <w:color w:val="auto"/>
          <w:sz w:val="32"/>
          <w:szCs w:val="32"/>
          <w:highlight w:val="none"/>
        </w:rPr>
        <w:t>三大结构整体不优，清洁低碳发展水平有待提高。</w:t>
      </w:r>
      <w:r>
        <w:rPr>
          <w:rFonts w:hint="eastAsia" w:ascii="仿宋_GB2312"/>
          <w:color w:val="auto"/>
          <w:sz w:val="32"/>
          <w:szCs w:val="32"/>
          <w:highlight w:val="none"/>
        </w:rPr>
        <w:t>产业结构方面</w:t>
      </w:r>
      <w:r>
        <w:rPr>
          <w:rFonts w:hint="eastAsia" w:ascii="仿宋_GB2312"/>
          <w:b/>
          <w:bCs/>
          <w:color w:val="auto"/>
          <w:sz w:val="32"/>
          <w:szCs w:val="32"/>
          <w:highlight w:val="none"/>
        </w:rPr>
        <w:t>，</w:t>
      </w:r>
      <w:r>
        <w:rPr>
          <w:rFonts w:hint="eastAsia" w:ascii="仿宋_GB2312"/>
          <w:color w:val="auto"/>
          <w:sz w:val="32"/>
          <w:szCs w:val="32"/>
          <w:highlight w:val="none"/>
        </w:rPr>
        <w:t>202</w:t>
      </w:r>
      <w:r>
        <w:rPr>
          <w:rFonts w:ascii="仿宋_GB2312"/>
          <w:color w:val="auto"/>
          <w:sz w:val="32"/>
          <w:szCs w:val="32"/>
          <w:highlight w:val="none"/>
        </w:rPr>
        <w:t>1</w:t>
      </w:r>
      <w:r>
        <w:rPr>
          <w:rFonts w:hint="eastAsia" w:ascii="仿宋_GB2312"/>
          <w:color w:val="auto"/>
          <w:sz w:val="32"/>
          <w:szCs w:val="32"/>
          <w:highlight w:val="none"/>
        </w:rPr>
        <w:t>年区域第一、二、三产业结构比重为7.</w:t>
      </w:r>
      <w:r>
        <w:rPr>
          <w:rFonts w:ascii="仿宋_GB2312"/>
          <w:color w:val="auto"/>
          <w:sz w:val="32"/>
          <w:szCs w:val="32"/>
          <w:highlight w:val="none"/>
        </w:rPr>
        <w:t>1</w:t>
      </w:r>
      <w:r>
        <w:rPr>
          <w:rFonts w:hint="eastAsia" w:ascii="仿宋_GB2312"/>
          <w:color w:val="auto"/>
          <w:sz w:val="32"/>
          <w:szCs w:val="32"/>
          <w:highlight w:val="none"/>
        </w:rPr>
        <w:t>：4</w:t>
      </w:r>
      <w:r>
        <w:rPr>
          <w:rFonts w:ascii="仿宋_GB2312"/>
          <w:color w:val="auto"/>
          <w:sz w:val="32"/>
          <w:szCs w:val="32"/>
          <w:highlight w:val="none"/>
        </w:rPr>
        <w:t>2</w:t>
      </w:r>
      <w:r>
        <w:rPr>
          <w:rFonts w:hint="eastAsia" w:ascii="仿宋_GB2312"/>
          <w:color w:val="auto"/>
          <w:sz w:val="32"/>
          <w:szCs w:val="32"/>
          <w:highlight w:val="none"/>
        </w:rPr>
        <w:t>.</w:t>
      </w:r>
      <w:r>
        <w:rPr>
          <w:rFonts w:ascii="仿宋_GB2312"/>
          <w:color w:val="auto"/>
          <w:sz w:val="32"/>
          <w:szCs w:val="32"/>
          <w:highlight w:val="none"/>
        </w:rPr>
        <w:t>4</w:t>
      </w:r>
      <w:r>
        <w:rPr>
          <w:rFonts w:hint="eastAsia" w:ascii="仿宋_GB2312"/>
          <w:color w:val="auto"/>
          <w:sz w:val="32"/>
          <w:szCs w:val="32"/>
          <w:highlight w:val="none"/>
        </w:rPr>
        <w:t>：50.</w:t>
      </w:r>
      <w:r>
        <w:rPr>
          <w:rFonts w:ascii="仿宋_GB2312"/>
          <w:color w:val="auto"/>
          <w:sz w:val="32"/>
          <w:szCs w:val="32"/>
          <w:highlight w:val="none"/>
        </w:rPr>
        <w:t>5</w:t>
      </w:r>
      <w:r>
        <w:rPr>
          <w:rFonts w:hint="eastAsia" w:ascii="仿宋_GB2312"/>
          <w:color w:val="auto"/>
          <w:sz w:val="32"/>
          <w:szCs w:val="32"/>
          <w:highlight w:val="none"/>
        </w:rPr>
        <w:t>，其中，“两高”行业占比仍较大，落后产能淘汰力度还需加强。能源消费方面，区域煤炭消费占比较大，新能源发展不充分，2020年湘潭、益阳、常德煤炭消费占比分别达</w:t>
      </w:r>
      <w:r>
        <w:rPr>
          <w:rFonts w:ascii="仿宋_GB2312"/>
          <w:color w:val="auto"/>
          <w:sz w:val="32"/>
          <w:szCs w:val="32"/>
          <w:highlight w:val="none"/>
        </w:rPr>
        <w:t>80.0</w:t>
      </w:r>
      <w:r>
        <w:rPr>
          <w:rFonts w:hint="eastAsia" w:ascii="仿宋_GB2312"/>
          <w:color w:val="auto"/>
          <w:sz w:val="32"/>
          <w:szCs w:val="32"/>
          <w:highlight w:val="none"/>
        </w:rPr>
        <w:t>%、75.8%、</w:t>
      </w:r>
      <w:r>
        <w:rPr>
          <w:rFonts w:ascii="仿宋_GB2312"/>
          <w:color w:val="auto"/>
          <w:sz w:val="32"/>
          <w:szCs w:val="32"/>
          <w:highlight w:val="none"/>
        </w:rPr>
        <w:t>68.0%</w:t>
      </w:r>
      <w:r>
        <w:rPr>
          <w:rFonts w:hint="eastAsia" w:ascii="仿宋_GB2312"/>
          <w:color w:val="auto"/>
          <w:sz w:val="32"/>
          <w:szCs w:val="32"/>
          <w:highlight w:val="none"/>
        </w:rPr>
        <w:t>，六市非化石能源消耗占比平均仅为</w:t>
      </w:r>
      <w:r>
        <w:rPr>
          <w:rFonts w:ascii="仿宋_GB2312"/>
          <w:color w:val="auto"/>
          <w:sz w:val="32"/>
          <w:szCs w:val="32"/>
          <w:highlight w:val="none"/>
        </w:rPr>
        <w:t>15.3</w:t>
      </w:r>
      <w:r>
        <w:rPr>
          <w:rFonts w:hint="eastAsia" w:ascii="仿宋_GB2312"/>
          <w:color w:val="auto"/>
          <w:sz w:val="32"/>
          <w:szCs w:val="32"/>
          <w:highlight w:val="none"/>
        </w:rPr>
        <w:t>%。运输结构方面，公路货物运输量占比大，其中长株潭公路货物运输量总体占比超过85.0%，远高于全国平均水平（73.0%）。</w:t>
      </w:r>
    </w:p>
    <w:p>
      <w:pPr>
        <w:pStyle w:val="37"/>
        <w:spacing w:line="580" w:lineRule="exact"/>
        <w:ind w:firstLine="643"/>
        <w:rPr>
          <w:rFonts w:ascii="仿宋_GB2312"/>
          <w:color w:val="auto"/>
          <w:sz w:val="32"/>
          <w:szCs w:val="32"/>
          <w:highlight w:val="none"/>
        </w:rPr>
      </w:pPr>
      <w:r>
        <w:rPr>
          <w:rFonts w:hint="eastAsia" w:ascii="仿宋_GB2312"/>
          <w:b/>
          <w:bCs/>
          <w:color w:val="auto"/>
          <w:sz w:val="32"/>
          <w:szCs w:val="32"/>
          <w:highlight w:val="none"/>
        </w:rPr>
        <w:t>重点领域排放居高，污染专项治理力度亟待加强。</w:t>
      </w:r>
      <w:r>
        <w:rPr>
          <w:rFonts w:hint="eastAsia" w:ascii="仿宋_GB2312"/>
          <w:color w:val="auto"/>
          <w:sz w:val="32"/>
          <w:szCs w:val="32"/>
          <w:highlight w:val="none"/>
        </w:rPr>
        <w:t>区域移动源NOx和VOCs排放量分别占区域人为源排放总量的50.8%和24.8%，其中中、重型柴油货车与非道路移动源NOx排放占区域排放总量的32.5%。区域水泥、砖瓦、钢铁等行业污染物排放显著，各主要大气污染物排放量占工业污染物总排放的35.6%～63.0%。工业涂装、包装印刷、石油化工对区域人为源VOCs贡献凸显，占工业源VOCs排放总量的30.2%。以扬尘、农业氨源为代表的面源污染排放对大气PM</w:t>
      </w:r>
      <w:r>
        <w:rPr>
          <w:rFonts w:hint="eastAsia" w:ascii="仿宋_GB2312"/>
          <w:color w:val="auto"/>
          <w:sz w:val="32"/>
          <w:szCs w:val="32"/>
          <w:highlight w:val="none"/>
          <w:vertAlign w:val="subscript"/>
        </w:rPr>
        <w:t>2.5</w:t>
      </w:r>
      <w:r>
        <w:rPr>
          <w:rFonts w:hint="eastAsia" w:ascii="仿宋_GB2312"/>
          <w:color w:val="auto"/>
          <w:sz w:val="32"/>
          <w:szCs w:val="32"/>
          <w:highlight w:val="none"/>
        </w:rPr>
        <w:t>的贡献依然突出，在长株潭贡献可达30.0%。</w:t>
      </w:r>
    </w:p>
    <w:p>
      <w:pPr>
        <w:pStyle w:val="37"/>
        <w:spacing w:line="580" w:lineRule="exact"/>
        <w:ind w:firstLine="643"/>
        <w:rPr>
          <w:color w:val="auto"/>
          <w:sz w:val="32"/>
          <w:szCs w:val="32"/>
          <w:highlight w:val="none"/>
        </w:rPr>
      </w:pPr>
      <w:r>
        <w:rPr>
          <w:rFonts w:hint="eastAsia"/>
          <w:b/>
          <w:bCs/>
          <w:color w:val="auto"/>
          <w:sz w:val="32"/>
          <w:szCs w:val="32"/>
          <w:highlight w:val="none"/>
        </w:rPr>
        <w:t>基础能力有所欠缺</w:t>
      </w:r>
      <w:r>
        <w:rPr>
          <w:rFonts w:hint="eastAsia"/>
          <w:color w:val="auto"/>
          <w:sz w:val="32"/>
          <w:szCs w:val="32"/>
          <w:highlight w:val="none"/>
        </w:rPr>
        <w:t>，</w:t>
      </w:r>
      <w:r>
        <w:rPr>
          <w:rFonts w:hint="eastAsia"/>
          <w:b/>
          <w:bCs/>
          <w:color w:val="auto"/>
          <w:sz w:val="32"/>
          <w:szCs w:val="32"/>
          <w:highlight w:val="none"/>
        </w:rPr>
        <w:t>科学精细监管体系仍需完善</w:t>
      </w:r>
      <w:r>
        <w:rPr>
          <w:rFonts w:hint="eastAsia"/>
          <w:color w:val="auto"/>
          <w:sz w:val="32"/>
          <w:szCs w:val="32"/>
          <w:highlight w:val="none"/>
        </w:rPr>
        <w:t>。空气质量监测网络有待优化，组分站、边界站、小微站、光化学监测站等的建设还需加强，工业源自动监控覆盖范围较小，移动源监管手段不足，区域监测数据联网共享与分析运用水平亟需提升。大气污染源排放清单编制、颗粒物与臭氧来源解析等基础研究工作尚未常态化开展，污染过程预警预报和成因分析能力还有待提高。综合、智慧、精细、动态的环境管理和决策支撑平台需进一步升级，部门联合执法能力和区域联防联控机制体制尚需提升和优化。</w:t>
      </w:r>
    </w:p>
    <w:p>
      <w:pPr>
        <w:pStyle w:val="37"/>
        <w:spacing w:line="580" w:lineRule="exact"/>
        <w:ind w:firstLine="640"/>
        <w:rPr>
          <w:color w:val="auto"/>
          <w:sz w:val="32"/>
          <w:szCs w:val="32"/>
          <w:highlight w:val="none"/>
        </w:rPr>
      </w:pPr>
      <w:r>
        <w:rPr>
          <w:rFonts w:hint="eastAsia"/>
          <w:color w:val="auto"/>
          <w:sz w:val="32"/>
          <w:szCs w:val="32"/>
          <w:highlight w:val="none"/>
        </w:rPr>
        <w:t>当前，区域大气污染治理已进入瓶颈期和攻坚期，要进一步改善区域空气质量，实现全面达标，亟需全面开展产业、能源和运输三大结构调整行动，系统实施重污染天气消除、臭氧污染防治、柴油货车治理、面源系统整治四大攻坚行动，深入推进监测监控、执法监管、科技支撑能力提升行动。</w:t>
      </w:r>
    </w:p>
    <w:p>
      <w:pPr>
        <w:pStyle w:val="2"/>
        <w:spacing w:before="0" w:beforeLines="0" w:line="580" w:lineRule="exact"/>
        <w:ind w:firstLine="640" w:firstLineChars="200"/>
        <w:rPr>
          <w:color w:val="auto"/>
          <w:szCs w:val="32"/>
          <w:highlight w:val="none"/>
        </w:rPr>
      </w:pPr>
      <w:r>
        <w:rPr>
          <w:rFonts w:hint="eastAsia"/>
          <w:color w:val="auto"/>
          <w:szCs w:val="32"/>
          <w:highlight w:val="none"/>
        </w:rPr>
        <w:t>二、总体要求</w:t>
      </w:r>
    </w:p>
    <w:p>
      <w:pPr>
        <w:pStyle w:val="3"/>
        <w:spacing w:before="0" w:beforeLines="0" w:line="58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（三）指导思想</w:t>
      </w:r>
    </w:p>
    <w:p>
      <w:pPr>
        <w:pStyle w:val="37"/>
        <w:spacing w:line="580" w:lineRule="exact"/>
        <w:ind w:firstLine="640"/>
        <w:rPr>
          <w:color w:val="auto"/>
          <w:sz w:val="32"/>
          <w:szCs w:val="32"/>
          <w:highlight w:val="none"/>
        </w:rPr>
      </w:pPr>
      <w:r>
        <w:rPr>
          <w:rFonts w:hint="eastAsia"/>
          <w:color w:val="auto"/>
          <w:sz w:val="32"/>
          <w:szCs w:val="32"/>
          <w:highlight w:val="none"/>
        </w:rPr>
        <w:t>以习近平新时代中国特色社会主义思想为指导，深入贯彻习近平生态文明思想，全面贯彻党的十九大和十九届</w:t>
      </w:r>
      <w:r>
        <w:rPr>
          <w:rFonts w:hint="eastAsia"/>
          <w:color w:val="auto"/>
          <w:sz w:val="32"/>
          <w:szCs w:val="32"/>
          <w:highlight w:val="none"/>
          <w:lang w:val="en-US" w:eastAsia="zh-CN"/>
        </w:rPr>
        <w:t>历次</w:t>
      </w:r>
      <w:r>
        <w:rPr>
          <w:rFonts w:hint="eastAsia"/>
          <w:color w:val="auto"/>
          <w:sz w:val="32"/>
          <w:szCs w:val="32"/>
          <w:highlight w:val="none"/>
        </w:rPr>
        <w:t>全会精神，认真落实减污降碳协同增效总要求。以全面改善大气环境质量为核心，以三大结构调整和多污染物协同减排为抓手，以重污染天气消除、臭氧污染防治、柴油货车污染治理、面源系统整治四大标志性战役为重点，坚持精准、科学、依法治污，补齐大气污染防治突出短板，解决大气环境突出问题，完善大气环境管理制度，推进治理体系和治理能力现代化，着力构建具有区域特色多元共治、协同高效的大气污染治理格局，实现环境空气质量达标，增强人民群众蓝天幸福感和获得感。</w:t>
      </w:r>
    </w:p>
    <w:p>
      <w:pPr>
        <w:pStyle w:val="3"/>
        <w:spacing w:before="0" w:beforeLines="0" w:line="58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（四）基本原则</w:t>
      </w:r>
    </w:p>
    <w:p>
      <w:pPr>
        <w:pStyle w:val="37"/>
        <w:spacing w:line="580" w:lineRule="exact"/>
        <w:ind w:firstLine="643"/>
        <w:rPr>
          <w:b/>
          <w:bCs/>
          <w:color w:val="auto"/>
          <w:sz w:val="32"/>
          <w:szCs w:val="32"/>
          <w:highlight w:val="none"/>
        </w:rPr>
      </w:pPr>
      <w:r>
        <w:rPr>
          <w:rFonts w:hint="eastAsia"/>
          <w:b/>
          <w:bCs/>
          <w:color w:val="auto"/>
          <w:sz w:val="32"/>
          <w:szCs w:val="32"/>
          <w:highlight w:val="none"/>
        </w:rPr>
        <w:t>坚持优化结构、标本兼治。</w:t>
      </w:r>
      <w:r>
        <w:rPr>
          <w:rFonts w:hint="eastAsia"/>
          <w:color w:val="auto"/>
          <w:sz w:val="32"/>
          <w:szCs w:val="32"/>
          <w:highlight w:val="none"/>
        </w:rPr>
        <w:t>大力推进能源、产业、运输结构优化调整，提升重点领域清洁低碳发展水平。持续推进重点行业污染深度治理，深入开展柴油货车、</w:t>
      </w:r>
      <w:r>
        <w:rPr>
          <w:color w:val="auto"/>
          <w:sz w:val="32"/>
          <w:szCs w:val="32"/>
          <w:highlight w:val="none"/>
        </w:rPr>
        <w:t>扬尘</w:t>
      </w:r>
      <w:r>
        <w:rPr>
          <w:rFonts w:hint="eastAsia"/>
          <w:color w:val="auto"/>
          <w:sz w:val="32"/>
          <w:szCs w:val="32"/>
          <w:highlight w:val="none"/>
        </w:rPr>
        <w:t>及农业面源等</w:t>
      </w:r>
      <w:r>
        <w:rPr>
          <w:color w:val="auto"/>
          <w:sz w:val="32"/>
          <w:szCs w:val="32"/>
          <w:highlight w:val="none"/>
        </w:rPr>
        <w:t>专项</w:t>
      </w:r>
      <w:r>
        <w:rPr>
          <w:rFonts w:hint="eastAsia"/>
          <w:color w:val="auto"/>
          <w:sz w:val="32"/>
          <w:szCs w:val="32"/>
          <w:highlight w:val="none"/>
        </w:rPr>
        <w:t>整治。</w:t>
      </w:r>
    </w:p>
    <w:p>
      <w:pPr>
        <w:pStyle w:val="37"/>
        <w:spacing w:line="580" w:lineRule="exact"/>
        <w:ind w:firstLine="643"/>
        <w:rPr>
          <w:rFonts w:ascii="仿宋_GB2312"/>
          <w:color w:val="auto"/>
          <w:sz w:val="32"/>
          <w:szCs w:val="32"/>
          <w:highlight w:val="none"/>
        </w:rPr>
      </w:pPr>
      <w:r>
        <w:rPr>
          <w:rFonts w:hint="eastAsia" w:ascii="仿宋_GB2312"/>
          <w:b/>
          <w:bCs/>
          <w:color w:val="auto"/>
          <w:sz w:val="32"/>
          <w:szCs w:val="32"/>
          <w:highlight w:val="none"/>
        </w:rPr>
        <w:t>坚持系统科学、协同增效。</w:t>
      </w:r>
      <w:r>
        <w:rPr>
          <w:rFonts w:hint="eastAsia" w:ascii="仿宋_GB2312"/>
          <w:color w:val="auto"/>
          <w:sz w:val="32"/>
          <w:szCs w:val="32"/>
          <w:highlight w:val="none"/>
        </w:rPr>
        <w:t>聚焦PM</w:t>
      </w:r>
      <w:r>
        <w:rPr>
          <w:rFonts w:hint="eastAsia" w:ascii="仿宋_GB2312"/>
          <w:color w:val="auto"/>
          <w:sz w:val="32"/>
          <w:szCs w:val="32"/>
          <w:highlight w:val="none"/>
          <w:vertAlign w:val="subscript"/>
        </w:rPr>
        <w:t>2.5</w:t>
      </w:r>
      <w:r>
        <w:rPr>
          <w:rFonts w:hint="eastAsia" w:ascii="仿宋_GB2312"/>
          <w:color w:val="auto"/>
          <w:sz w:val="32"/>
          <w:szCs w:val="32"/>
          <w:highlight w:val="none"/>
        </w:rPr>
        <w:t>和臭氧协同控制，加强监测监管与成因分析，突出重点时段、对象，科学确定有效实施防治措施。强化多污染物协同减排，推进区域协同治理和联防联控。</w:t>
      </w:r>
    </w:p>
    <w:p>
      <w:pPr>
        <w:pStyle w:val="37"/>
        <w:spacing w:line="580" w:lineRule="exact"/>
        <w:ind w:firstLine="643"/>
        <w:rPr>
          <w:b/>
          <w:bCs/>
          <w:color w:val="auto"/>
          <w:sz w:val="32"/>
          <w:szCs w:val="32"/>
          <w:highlight w:val="none"/>
        </w:rPr>
      </w:pPr>
      <w:r>
        <w:rPr>
          <w:rFonts w:hint="eastAsia"/>
          <w:b/>
          <w:bCs/>
          <w:color w:val="auto"/>
          <w:sz w:val="32"/>
          <w:szCs w:val="32"/>
          <w:highlight w:val="none"/>
        </w:rPr>
        <w:t>坚持齐抓共治、压实责任。</w:t>
      </w:r>
      <w:r>
        <w:rPr>
          <w:rFonts w:hint="eastAsia"/>
          <w:color w:val="auto"/>
          <w:sz w:val="32"/>
          <w:szCs w:val="32"/>
          <w:highlight w:val="none"/>
        </w:rPr>
        <w:t>明确主体责任、任务分工和职责清单</w:t>
      </w:r>
      <w:r>
        <w:rPr>
          <w:rFonts w:hint="eastAsia"/>
          <w:b/>
          <w:bCs/>
          <w:color w:val="auto"/>
          <w:sz w:val="32"/>
          <w:szCs w:val="32"/>
          <w:highlight w:val="none"/>
        </w:rPr>
        <w:t>，</w:t>
      </w:r>
      <w:r>
        <w:rPr>
          <w:rFonts w:hint="eastAsia"/>
          <w:color w:val="auto"/>
          <w:sz w:val="32"/>
          <w:szCs w:val="32"/>
          <w:highlight w:val="none"/>
        </w:rPr>
        <w:t>加强部门协作和统筹指导，形成治污合力。开展联合执法和专项督察，严格监督考核，推动大气污染治理责任落实、措施落地。</w:t>
      </w:r>
    </w:p>
    <w:p>
      <w:pPr>
        <w:pStyle w:val="3"/>
        <w:spacing w:before="0" w:beforeLines="0" w:line="58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（五）行动目标</w:t>
      </w:r>
    </w:p>
    <w:p>
      <w:pPr>
        <w:pStyle w:val="37"/>
        <w:spacing w:line="580" w:lineRule="exact"/>
        <w:ind w:firstLine="640"/>
        <w:rPr>
          <w:rFonts w:ascii="仿宋_GB2312"/>
          <w:color w:val="auto"/>
          <w:sz w:val="32"/>
          <w:szCs w:val="32"/>
          <w:highlight w:val="none"/>
        </w:rPr>
      </w:pPr>
      <w:r>
        <w:rPr>
          <w:rFonts w:hint="eastAsia" w:ascii="仿宋_GB2312"/>
          <w:color w:val="auto"/>
          <w:sz w:val="32"/>
          <w:szCs w:val="32"/>
          <w:highlight w:val="none"/>
        </w:rPr>
        <w:t>到2025年，长株潭及传输通道六城市（长沙、株洲、湘潭、岳阳、常德、益阳）PM</w:t>
      </w:r>
      <w:r>
        <w:rPr>
          <w:rFonts w:hint="eastAsia" w:ascii="仿宋_GB2312"/>
          <w:color w:val="auto"/>
          <w:sz w:val="32"/>
          <w:szCs w:val="32"/>
          <w:highlight w:val="none"/>
          <w:vertAlign w:val="subscript"/>
        </w:rPr>
        <w:t>2.5</w:t>
      </w:r>
      <w:r>
        <w:rPr>
          <w:rFonts w:hint="eastAsia" w:ascii="仿宋_GB2312"/>
          <w:color w:val="auto"/>
          <w:sz w:val="32"/>
          <w:szCs w:val="32"/>
          <w:highlight w:val="none"/>
        </w:rPr>
        <w:t>年均浓度均达到国家环境空气质量二级标准（PM</w:t>
      </w:r>
      <w:r>
        <w:rPr>
          <w:rFonts w:hint="eastAsia" w:ascii="仿宋_GB2312"/>
          <w:color w:val="auto"/>
          <w:sz w:val="32"/>
          <w:szCs w:val="32"/>
          <w:highlight w:val="none"/>
          <w:vertAlign w:val="subscript"/>
        </w:rPr>
        <w:t>2.5</w:t>
      </w:r>
      <w:r>
        <w:rPr>
          <w:rFonts w:hint="eastAsia" w:ascii="仿宋_GB2312"/>
          <w:color w:val="auto"/>
          <w:sz w:val="32"/>
          <w:szCs w:val="32"/>
          <w:highlight w:val="none"/>
        </w:rPr>
        <w:t>≤35微克/立方米）。臭氧超标风险显著降低，优良天数平均比例达到87.1%，区域重度及以上污染天数总数控制在9天以内，各市基本消除重污染天气。区域氮氧化物及挥发性有机物重点工程累计减排量合计分别达到2.16万吨和1.52万吨。各市分阶段具体目标见表1～表2。</w:t>
      </w:r>
    </w:p>
    <w:p>
      <w:pPr>
        <w:pStyle w:val="37"/>
        <w:ind w:firstLine="600"/>
        <w:rPr>
          <w:rFonts w:ascii="仿宋_GB2312"/>
          <w:color w:val="auto"/>
          <w:highlight w:val="none"/>
        </w:rPr>
      </w:pPr>
    </w:p>
    <w:p>
      <w:pPr>
        <w:pStyle w:val="37"/>
        <w:ind w:firstLine="600"/>
        <w:rPr>
          <w:rFonts w:ascii="仿宋_GB2312"/>
          <w:color w:val="auto"/>
          <w:highlight w:val="none"/>
        </w:rPr>
      </w:pPr>
    </w:p>
    <w:p>
      <w:pPr>
        <w:pStyle w:val="63"/>
        <w:spacing w:before="156"/>
        <w:rPr>
          <w:color w:val="auto"/>
          <w:highlight w:val="none"/>
        </w:rPr>
      </w:pPr>
      <w:r>
        <w:rPr>
          <w:rFonts w:hint="eastAsia"/>
          <w:color w:val="auto"/>
          <w:highlight w:val="none"/>
        </w:rPr>
        <w:t>表1</w:t>
      </w:r>
      <w:r>
        <w:rPr>
          <w:color w:val="auto"/>
          <w:highlight w:val="none"/>
        </w:rPr>
        <w:t xml:space="preserve"> </w:t>
      </w:r>
      <w:r>
        <w:rPr>
          <w:rFonts w:hint="eastAsia"/>
          <w:color w:val="auto"/>
          <w:highlight w:val="none"/>
        </w:rPr>
        <w:t>各市空气质量改善阶段目标</w:t>
      </w:r>
    </w:p>
    <w:tbl>
      <w:tblPr>
        <w:tblStyle w:val="152"/>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274"/>
        <w:gridCol w:w="1275"/>
        <w:gridCol w:w="1417"/>
        <w:gridCol w:w="1417"/>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90" w:type="dxa"/>
            <w:vMerge w:val="restart"/>
            <w:vAlign w:val="center"/>
          </w:tcPr>
          <w:p>
            <w:pPr>
              <w:widowControl/>
              <w:jc w:val="center"/>
              <w:rPr>
                <w:rFonts w:ascii="仿宋_GB2312" w:hAnsi="Times New Roman" w:eastAsia="仿宋_GB2312" w:cs="Times New Roman"/>
                <w:b/>
                <w:bCs/>
                <w:color w:val="auto"/>
                <w:kern w:val="0"/>
                <w:sz w:val="24"/>
                <w:szCs w:val="24"/>
                <w:highlight w:val="none"/>
              </w:rPr>
            </w:pPr>
            <w:r>
              <w:rPr>
                <w:rFonts w:hint="eastAsia" w:ascii="仿宋_GB2312" w:hAnsi="Times New Roman" w:eastAsia="仿宋_GB2312" w:cs="Times New Roman"/>
                <w:b/>
                <w:bCs/>
                <w:color w:val="auto"/>
                <w:kern w:val="0"/>
                <w:sz w:val="24"/>
                <w:szCs w:val="24"/>
                <w:highlight w:val="none"/>
              </w:rPr>
              <w:t>城市</w:t>
            </w:r>
          </w:p>
        </w:tc>
        <w:tc>
          <w:tcPr>
            <w:tcW w:w="2549" w:type="dxa"/>
            <w:gridSpan w:val="2"/>
            <w:vAlign w:val="center"/>
          </w:tcPr>
          <w:p>
            <w:pPr>
              <w:widowControl/>
              <w:jc w:val="center"/>
              <w:rPr>
                <w:rFonts w:ascii="仿宋_GB2312" w:hAnsi="Times New Roman" w:eastAsia="仿宋_GB2312" w:cs="Times New Roman"/>
                <w:b/>
                <w:bCs/>
                <w:color w:val="auto"/>
                <w:kern w:val="0"/>
                <w:sz w:val="24"/>
                <w:szCs w:val="24"/>
                <w:highlight w:val="none"/>
              </w:rPr>
            </w:pPr>
            <w:r>
              <w:rPr>
                <w:rFonts w:hint="eastAsia" w:ascii="仿宋_GB2312" w:hAnsi="Times New Roman" w:eastAsia="仿宋_GB2312" w:cs="Times New Roman"/>
                <w:b/>
                <w:bCs/>
                <w:color w:val="auto"/>
                <w:kern w:val="0"/>
                <w:sz w:val="24"/>
                <w:szCs w:val="24"/>
                <w:highlight w:val="none"/>
              </w:rPr>
              <w:t>PM</w:t>
            </w:r>
            <w:r>
              <w:rPr>
                <w:rFonts w:hint="eastAsia" w:ascii="仿宋_GB2312" w:hAnsi="Times New Roman" w:eastAsia="仿宋_GB2312" w:cs="Times New Roman"/>
                <w:b/>
                <w:bCs/>
                <w:color w:val="auto"/>
                <w:kern w:val="0"/>
                <w:sz w:val="24"/>
                <w:szCs w:val="24"/>
                <w:highlight w:val="none"/>
                <w:vertAlign w:val="subscript"/>
              </w:rPr>
              <w:t>2.5</w:t>
            </w:r>
            <w:r>
              <w:rPr>
                <w:rFonts w:hint="eastAsia" w:ascii="仿宋_GB2312" w:hAnsi="Times New Roman" w:eastAsia="仿宋_GB2312" w:cs="Times New Roman"/>
                <w:b/>
                <w:bCs/>
                <w:color w:val="auto"/>
                <w:kern w:val="0"/>
                <w:sz w:val="24"/>
                <w:szCs w:val="24"/>
                <w:highlight w:val="none"/>
              </w:rPr>
              <w:t>浓度(μg/m</w:t>
            </w:r>
            <w:r>
              <w:rPr>
                <w:rFonts w:hint="eastAsia" w:ascii="仿宋_GB2312" w:hAnsi="Times New Roman" w:eastAsia="仿宋_GB2312" w:cs="Times New Roman"/>
                <w:b/>
                <w:bCs/>
                <w:color w:val="auto"/>
                <w:kern w:val="0"/>
                <w:sz w:val="24"/>
                <w:szCs w:val="24"/>
                <w:highlight w:val="none"/>
                <w:vertAlign w:val="superscript"/>
              </w:rPr>
              <w:t>3</w:t>
            </w:r>
            <w:r>
              <w:rPr>
                <w:rFonts w:hint="eastAsia" w:ascii="仿宋_GB2312" w:hAnsi="Times New Roman" w:eastAsia="仿宋_GB2312" w:cs="Times New Roman"/>
                <w:b/>
                <w:bCs/>
                <w:color w:val="auto"/>
                <w:kern w:val="0"/>
                <w:sz w:val="24"/>
                <w:szCs w:val="24"/>
                <w:highlight w:val="none"/>
              </w:rPr>
              <w:t>)</w:t>
            </w:r>
          </w:p>
        </w:tc>
        <w:tc>
          <w:tcPr>
            <w:tcW w:w="2834" w:type="dxa"/>
            <w:gridSpan w:val="2"/>
            <w:vAlign w:val="center"/>
          </w:tcPr>
          <w:p>
            <w:pPr>
              <w:widowControl/>
              <w:jc w:val="center"/>
              <w:rPr>
                <w:rFonts w:ascii="仿宋_GB2312" w:hAnsi="Times New Roman" w:eastAsia="仿宋_GB2312" w:cs="Times New Roman"/>
                <w:b/>
                <w:bCs/>
                <w:color w:val="auto"/>
                <w:kern w:val="0"/>
                <w:sz w:val="24"/>
                <w:szCs w:val="24"/>
                <w:highlight w:val="none"/>
              </w:rPr>
            </w:pPr>
            <w:r>
              <w:rPr>
                <w:rFonts w:hint="eastAsia" w:ascii="仿宋_GB2312" w:hAnsi="Times New Roman" w:eastAsia="仿宋_GB2312" w:cs="Times New Roman"/>
                <w:b/>
                <w:bCs/>
                <w:color w:val="auto"/>
                <w:kern w:val="0"/>
                <w:sz w:val="24"/>
                <w:szCs w:val="24"/>
                <w:highlight w:val="none"/>
              </w:rPr>
              <w:t>优良天数比例(%)</w:t>
            </w:r>
          </w:p>
        </w:tc>
        <w:tc>
          <w:tcPr>
            <w:tcW w:w="2977" w:type="dxa"/>
            <w:gridSpan w:val="2"/>
            <w:vAlign w:val="center"/>
          </w:tcPr>
          <w:p>
            <w:pPr>
              <w:widowControl/>
              <w:jc w:val="center"/>
              <w:rPr>
                <w:rFonts w:ascii="仿宋_GB2312" w:hAnsi="Times New Roman" w:eastAsia="仿宋_GB2312" w:cs="Times New Roman"/>
                <w:b/>
                <w:bCs/>
                <w:color w:val="auto"/>
                <w:kern w:val="0"/>
                <w:sz w:val="24"/>
                <w:szCs w:val="24"/>
                <w:highlight w:val="none"/>
              </w:rPr>
            </w:pPr>
            <w:r>
              <w:rPr>
                <w:rFonts w:hint="eastAsia" w:ascii="仿宋_GB2312" w:hAnsi="Times New Roman" w:eastAsia="仿宋_GB2312" w:cs="Times New Roman"/>
                <w:b/>
                <w:bCs/>
                <w:color w:val="auto"/>
                <w:kern w:val="0"/>
                <w:sz w:val="24"/>
                <w:szCs w:val="24"/>
                <w:highlight w:val="none"/>
              </w:rPr>
              <w:t>重度及以上污染天数(天)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90" w:type="dxa"/>
            <w:vMerge w:val="continue"/>
            <w:vAlign w:val="center"/>
          </w:tcPr>
          <w:p>
            <w:pPr>
              <w:widowControl/>
              <w:jc w:val="center"/>
              <w:rPr>
                <w:rFonts w:ascii="仿宋_GB2312" w:hAnsi="Times New Roman" w:eastAsia="仿宋_GB2312" w:cs="Times New Roman"/>
                <w:color w:val="auto"/>
                <w:kern w:val="0"/>
                <w:sz w:val="24"/>
                <w:szCs w:val="24"/>
                <w:highlight w:val="none"/>
              </w:rPr>
            </w:pP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2023年</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2025年</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2023年</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2025年</w:t>
            </w:r>
          </w:p>
        </w:tc>
        <w:tc>
          <w:tcPr>
            <w:tcW w:w="156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2023年</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长沙市</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38</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w:t>
            </w:r>
            <w:r>
              <w:rPr>
                <w:rFonts w:ascii="仿宋_GB2312" w:hAnsi="Calibri" w:eastAsia="仿宋_GB2312" w:cs="Times New Roman"/>
                <w:color w:val="auto"/>
                <w:kern w:val="0"/>
                <w:sz w:val="24"/>
                <w:szCs w:val="24"/>
                <w:highlight w:val="none"/>
              </w:rPr>
              <w:t>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84.0</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86.0</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2</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株洲市</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37</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85.0</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86.8</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1</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湘潭市</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38</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84.5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86.5</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1</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岳阳市</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35</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34</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90.0</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90.9</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1</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lang w:eastAsia="zh-CN"/>
              </w:rPr>
              <w:t xml:space="preserve"> </w:t>
            </w:r>
            <w:r>
              <w:rPr>
                <w:rFonts w:hint="eastAsia" w:ascii="仿宋_GB2312" w:hAnsi="Times New Roman" w:eastAsia="仿宋_GB2312" w:cs="Times New Roman"/>
                <w:color w:val="auto"/>
                <w:kern w:val="0"/>
                <w:sz w:val="24"/>
                <w:szCs w:val="24"/>
                <w:highlight w:val="none"/>
              </w:rPr>
              <w:t>常德市</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38</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w:t>
            </w:r>
            <w:r>
              <w:rPr>
                <w:rFonts w:ascii="仿宋_GB2312" w:hAnsi="Calibri" w:eastAsia="仿宋_GB2312" w:cs="Times New Roman"/>
                <w:color w:val="auto"/>
                <w:kern w:val="0"/>
                <w:sz w:val="24"/>
                <w:szCs w:val="24"/>
                <w:highlight w:val="none"/>
              </w:rPr>
              <w:t>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85.0</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86.5</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2</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益阳市</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36</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3</w:t>
            </w:r>
            <w:r>
              <w:rPr>
                <w:rFonts w:ascii="仿宋_GB2312" w:hAnsi="Calibri" w:eastAsia="仿宋_GB2312" w:cs="Times New Roman"/>
                <w:color w:val="auto"/>
                <w:kern w:val="0"/>
                <w:sz w:val="24"/>
                <w:szCs w:val="24"/>
                <w:highlight w:val="none"/>
              </w:rPr>
              <w:t>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85.0</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86.0</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2</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90"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平均/总计</w:t>
            </w:r>
          </w:p>
        </w:tc>
        <w:tc>
          <w:tcPr>
            <w:tcW w:w="1274"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37</w:t>
            </w:r>
          </w:p>
        </w:tc>
        <w:tc>
          <w:tcPr>
            <w:tcW w:w="1275" w:type="dxa"/>
            <w:vAlign w:val="center"/>
          </w:tcPr>
          <w:p>
            <w:pPr>
              <w:widowControl/>
              <w:jc w:val="center"/>
              <w:rPr>
                <w:rFonts w:ascii="仿宋_GB2312" w:hAnsi="Times New Roman" w:eastAsia="仿宋_GB2312" w:cs="Times New Roman"/>
                <w:color w:val="auto"/>
                <w:kern w:val="0"/>
                <w:sz w:val="24"/>
                <w:szCs w:val="24"/>
                <w:highlight w:val="none"/>
              </w:rPr>
            </w:pPr>
            <w:commentRangeStart w:id="1"/>
            <w:r>
              <w:rPr>
                <w:rFonts w:hint="eastAsia" w:ascii="仿宋_GB2312" w:hAnsi="Times New Roman" w:eastAsia="仿宋_GB2312" w:cs="Times New Roman"/>
                <w:color w:val="auto"/>
                <w:kern w:val="0"/>
                <w:sz w:val="24"/>
                <w:szCs w:val="24"/>
                <w:highlight w:val="none"/>
              </w:rPr>
              <w:t>35</w:t>
            </w:r>
            <w:commentRangeEnd w:id="1"/>
            <w:r>
              <w:rPr>
                <w:color w:val="auto"/>
                <w:highlight w:val="none"/>
              </w:rPr>
              <w:commentReference w:id="1"/>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85.5</w:t>
            </w:r>
          </w:p>
        </w:tc>
        <w:tc>
          <w:tcPr>
            <w:tcW w:w="1417" w:type="dxa"/>
            <w:vAlign w:val="center"/>
          </w:tcPr>
          <w:p>
            <w:pPr>
              <w:widowControl/>
              <w:jc w:val="center"/>
              <w:rPr>
                <w:rFonts w:ascii="仿宋_GB2312" w:hAnsi="Times New Roman" w:eastAsia="仿宋_GB2312" w:cs="Times New Roman"/>
                <w:color w:val="auto"/>
                <w:kern w:val="0"/>
                <w:sz w:val="24"/>
                <w:szCs w:val="24"/>
                <w:highlight w:val="none"/>
              </w:rPr>
            </w:pPr>
            <w:r>
              <w:rPr>
                <w:rFonts w:hint="eastAsia" w:ascii="仿宋_GB2312" w:hAnsi="Calibri" w:eastAsia="仿宋_GB2312" w:cs="Times New Roman"/>
                <w:color w:val="auto"/>
                <w:kern w:val="0"/>
                <w:sz w:val="24"/>
                <w:szCs w:val="24"/>
                <w:highlight w:val="none"/>
              </w:rPr>
              <w:t>87.1</w:t>
            </w:r>
          </w:p>
        </w:tc>
        <w:tc>
          <w:tcPr>
            <w:tcW w:w="1560"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9</w:t>
            </w:r>
          </w:p>
        </w:tc>
        <w:tc>
          <w:tcPr>
            <w:tcW w:w="1417" w:type="dxa"/>
            <w:vAlign w:val="center"/>
          </w:tcPr>
          <w:p>
            <w:pPr>
              <w:widowControl/>
              <w:jc w:val="center"/>
              <w:rPr>
                <w:rFonts w:ascii="仿宋_GB2312" w:hAnsi="Calibri" w:eastAsia="仿宋_GB2312" w:cs="Times New Roman"/>
                <w:color w:val="auto"/>
                <w:kern w:val="0"/>
                <w:sz w:val="24"/>
                <w:szCs w:val="24"/>
                <w:highlight w:val="none"/>
              </w:rPr>
            </w:pPr>
            <w:r>
              <w:rPr>
                <w:rFonts w:hint="eastAsia" w:ascii="仿宋_GB2312" w:hAnsi="Times New Roman" w:eastAsia="仿宋_GB2312" w:cs="Times New Roman"/>
                <w:color w:val="auto"/>
                <w:kern w:val="0"/>
                <w:sz w:val="24"/>
                <w:szCs w:val="24"/>
                <w:highlight w:val="none"/>
              </w:rPr>
              <w:t>9</w:t>
            </w:r>
          </w:p>
        </w:tc>
      </w:tr>
    </w:tbl>
    <w:p>
      <w:pPr>
        <w:pStyle w:val="63"/>
        <w:spacing w:before="156"/>
        <w:rPr>
          <w:color w:val="auto"/>
          <w:highlight w:val="none"/>
        </w:rPr>
      </w:pPr>
      <w:r>
        <w:rPr>
          <w:rFonts w:hint="eastAsia"/>
          <w:color w:val="auto"/>
          <w:highlight w:val="none"/>
        </w:rPr>
        <w:t>表</w:t>
      </w:r>
      <w:r>
        <w:rPr>
          <w:color w:val="auto"/>
          <w:highlight w:val="none"/>
        </w:rPr>
        <w:t xml:space="preserve">2 </w:t>
      </w:r>
      <w:r>
        <w:rPr>
          <w:rFonts w:hint="eastAsia"/>
          <w:color w:val="auto"/>
          <w:highlight w:val="none"/>
        </w:rPr>
        <w:t>各市主要污染物重点工程减排阶段目标</w:t>
      </w:r>
    </w:p>
    <w:tbl>
      <w:tblPr>
        <w:tblStyle w:val="3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092"/>
        <w:gridCol w:w="2092"/>
        <w:gridCol w:w="2092"/>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88" w:type="dxa"/>
            <w:vMerge w:val="restart"/>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b/>
                <w:bCs/>
                <w:color w:val="auto"/>
                <w:sz w:val="24"/>
                <w:szCs w:val="24"/>
                <w:highlight w:val="none"/>
              </w:rPr>
              <w:t>城市</w:t>
            </w:r>
          </w:p>
        </w:tc>
        <w:tc>
          <w:tcPr>
            <w:tcW w:w="4184" w:type="dxa"/>
            <w:gridSpan w:val="2"/>
            <w:shd w:val="clear" w:color="auto" w:fill="auto"/>
            <w:vAlign w:val="center"/>
          </w:tcPr>
          <w:p>
            <w:pPr>
              <w:widowControl/>
              <w:adjustRightInd w:val="0"/>
              <w:snapToGrid w:val="0"/>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氮氧化物累计减排量（吨）</w:t>
            </w:r>
          </w:p>
        </w:tc>
        <w:tc>
          <w:tcPr>
            <w:tcW w:w="4184" w:type="dxa"/>
            <w:gridSpan w:val="2"/>
            <w:shd w:val="clear" w:color="auto" w:fill="auto"/>
            <w:vAlign w:val="center"/>
          </w:tcPr>
          <w:p>
            <w:pPr>
              <w:widowControl/>
              <w:adjustRightInd w:val="0"/>
              <w:snapToGrid w:val="0"/>
              <w:jc w:val="center"/>
              <w:rPr>
                <w:rFonts w:ascii="仿宋_GB2312" w:hAnsi="Times New Roman" w:eastAsia="仿宋_GB2312"/>
                <w:b/>
                <w:bCs/>
                <w:color w:val="auto"/>
                <w:sz w:val="24"/>
                <w:szCs w:val="24"/>
                <w:highlight w:val="none"/>
              </w:rPr>
            </w:pPr>
            <w:r>
              <w:rPr>
                <w:rFonts w:hint="eastAsia" w:ascii="仿宋_GB2312" w:hAnsi="Times New Roman" w:eastAsia="仿宋_GB2312"/>
                <w:b/>
                <w:bCs/>
                <w:color w:val="auto"/>
                <w:sz w:val="24"/>
                <w:szCs w:val="24"/>
                <w:highlight w:val="none"/>
              </w:rPr>
              <w:t>挥发性有机物累计减排量（吨）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8" w:type="dxa"/>
            <w:vMerge w:val="continue"/>
            <w:vAlign w:val="center"/>
          </w:tcPr>
          <w:p>
            <w:pPr>
              <w:widowControl/>
              <w:adjustRightInd w:val="0"/>
              <w:snapToGrid w:val="0"/>
              <w:jc w:val="center"/>
              <w:rPr>
                <w:rFonts w:ascii="仿宋_GB2312" w:hAnsi="Times New Roman" w:eastAsia="仿宋_GB2312"/>
                <w:color w:val="auto"/>
                <w:sz w:val="24"/>
                <w:szCs w:val="24"/>
                <w:highlight w:val="none"/>
              </w:rPr>
            </w:pP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截至2023年</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截至2025年</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截至2023年</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截至2025年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长沙市</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1970</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3030</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3821</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株洲市</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2172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3342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1002</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湘潭市</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4182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6434</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1556</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2394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岳阳市</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1821</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2802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1662</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常德市</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2699</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4152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1136</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1747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益阳市</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1210</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1862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725</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合计</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14054</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21622</w:t>
            </w:r>
          </w:p>
        </w:tc>
        <w:tc>
          <w:tcPr>
            <w:tcW w:w="2092" w:type="dxa"/>
            <w:shd w:val="clear" w:color="auto" w:fill="auto"/>
            <w:vAlign w:val="center"/>
          </w:tcPr>
          <w:p>
            <w:pPr>
              <w:widowControl/>
              <w:adjustRightInd w:val="0"/>
              <w:snapToGrid w:val="0"/>
              <w:jc w:val="center"/>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9902</w:t>
            </w:r>
          </w:p>
        </w:tc>
        <w:tc>
          <w:tcPr>
            <w:tcW w:w="2092" w:type="dxa"/>
            <w:shd w:val="clear" w:color="auto" w:fill="auto"/>
            <w:vAlign w:val="center"/>
          </w:tcPr>
          <w:p>
            <w:pPr>
              <w:pStyle w:val="63"/>
              <w:adjustRightInd w:val="0"/>
              <w:snapToGrid w:val="0"/>
              <w:spacing w:before="0" w:beforeLines="0" w:line="240" w:lineRule="auto"/>
              <w:rPr>
                <w:rFonts w:ascii="仿宋_GB2312" w:eastAsia="仿宋_GB2312"/>
                <w:color w:val="auto"/>
                <w:highlight w:val="none"/>
              </w:rPr>
            </w:pPr>
            <w:r>
              <w:rPr>
                <w:rFonts w:hint="eastAsia" w:ascii="仿宋_GB2312" w:eastAsia="仿宋_GB2312"/>
                <w:color w:val="auto"/>
                <w:highlight w:val="none"/>
              </w:rPr>
              <w:t>15232</w:t>
            </w:r>
          </w:p>
        </w:tc>
      </w:tr>
    </w:tbl>
    <w:p>
      <w:pPr>
        <w:pStyle w:val="2"/>
        <w:spacing w:before="0" w:beforeLines="0" w:line="600" w:lineRule="exact"/>
        <w:ind w:firstLine="640" w:firstLineChars="200"/>
        <w:rPr>
          <w:color w:val="auto"/>
          <w:szCs w:val="32"/>
          <w:highlight w:val="none"/>
        </w:rPr>
      </w:pPr>
      <w:r>
        <w:rPr>
          <w:rFonts w:hint="eastAsia"/>
          <w:color w:val="auto"/>
          <w:szCs w:val="32"/>
          <w:highlight w:val="none"/>
        </w:rPr>
        <w:t>三、主要任务</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（六）实施能源结构调整专项行动</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能源清洁供应和输配网络建设行动。</w:t>
      </w:r>
      <w:r>
        <w:rPr>
          <w:rFonts w:hint="eastAsia" w:ascii="仿宋_GB2312"/>
          <w:color w:val="auto"/>
          <w:sz w:val="32"/>
          <w:szCs w:val="32"/>
          <w:highlight w:val="none"/>
        </w:rPr>
        <w:t>完善能源基础设施建设，大力引入省外优质能源，构建能源高效调运体系。加快推进现役煤电机组节能降碳改造、灵活性改造、供热改造“三改联动”，</w:t>
      </w:r>
      <w:r>
        <w:rPr>
          <w:rFonts w:hint="eastAsia" w:ascii="仿宋_GB2312" w:hAnsi="Times New Roman"/>
          <w:color w:val="auto"/>
          <w:sz w:val="32"/>
          <w:szCs w:val="32"/>
          <w:highlight w:val="none"/>
        </w:rPr>
        <w:t>到2025年，六市煤电机组平均供电煤耗均降至300克标煤/千瓦时以内</w:t>
      </w:r>
      <w:r>
        <w:rPr>
          <w:rFonts w:hint="eastAsia" w:ascii="仿宋_GB2312"/>
          <w:color w:val="auto"/>
          <w:sz w:val="32"/>
          <w:szCs w:val="32"/>
          <w:highlight w:val="none"/>
        </w:rPr>
        <w:t>。积极发展太阳能、风能、生物质能等新能源，提高新能源装机占比。推进</w:t>
      </w:r>
      <w:r>
        <w:rPr>
          <w:rFonts w:hint="eastAsia" w:ascii="仿宋_GB2312" w:hAnsi="Times New Roman"/>
          <w:color w:val="auto"/>
          <w:sz w:val="32"/>
          <w:szCs w:val="32"/>
          <w:highlight w:val="none"/>
        </w:rPr>
        <w:t>“宁电入湘”直流特高压和</w:t>
      </w:r>
      <w:r>
        <w:rPr>
          <w:rFonts w:hint="eastAsia" w:ascii="仿宋_GB2312"/>
          <w:color w:val="auto"/>
          <w:sz w:val="32"/>
          <w:szCs w:val="32"/>
          <w:highlight w:val="none"/>
        </w:rPr>
        <w:t>荆门-长沙1000千伏交流特高压建设，构建以特高压为骨干网络，各级电网协调发展的坚强智能电网。加快油气运输管网建设，不断提升油气管网覆盖范围和输配能力。</w:t>
      </w:r>
      <w:r>
        <w:rPr>
          <w:rFonts w:hint="eastAsia" w:ascii="仿宋_GB2312"/>
          <w:b/>
          <w:color w:val="auto"/>
          <w:sz w:val="32"/>
          <w:szCs w:val="32"/>
          <w:highlight w:val="none"/>
        </w:rPr>
        <w:t>（省发展改革委</w:t>
      </w:r>
      <w:r>
        <w:rPr>
          <w:rFonts w:hint="eastAsia" w:ascii="仿宋_GB2312" w:hAnsi="Times New Roman"/>
          <w:b/>
          <w:color w:val="auto"/>
          <w:sz w:val="32"/>
          <w:szCs w:val="32"/>
          <w:highlight w:val="none"/>
        </w:rPr>
        <w:t>（省能源局）</w:t>
      </w:r>
      <w:r>
        <w:rPr>
          <w:rFonts w:hint="eastAsia" w:ascii="仿宋_GB2312"/>
          <w:b/>
          <w:color w:val="auto"/>
          <w:sz w:val="32"/>
          <w:szCs w:val="32"/>
          <w:highlight w:val="none"/>
        </w:rPr>
        <w:t>牵头，省自然资源厅、省交通运输厅、省生态环境厅、省电力公司参与，长沙市、株洲市、湘潭市、岳阳市、常德市、益阳市人民政府落实；以下各项任务均需六市人民政府落实，不再列出）</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能源利用低碳化和高效化行动。</w:t>
      </w:r>
      <w:r>
        <w:rPr>
          <w:rFonts w:hint="eastAsia" w:ascii="仿宋_GB2312"/>
          <w:color w:val="auto"/>
          <w:sz w:val="32"/>
          <w:szCs w:val="32"/>
          <w:highlight w:val="none"/>
        </w:rPr>
        <w:t>严格控制煤炭消费总量，推进煤炭清洁化利用，降低煤炭消费占一次能源消费比重，提高电煤消费占比。有序推进工业、服务业、公共机构、居民领域“煤改气”“煤改电”工作，加快天然气在工业生产领域的应用，在长沙、岳阳等负荷中心建设一批天然气调峰电厂，推进天然气进镇入乡，扩大居民商服用气市场；加快实施电能替代，推广使用工业电锅炉、电窑炉、电热釜等生产用电设备，持续开展“家电下乡”活动，提升终端消费领域电气化水平。</w:t>
      </w:r>
      <w:r>
        <w:rPr>
          <w:rFonts w:hint="eastAsia" w:ascii="仿宋_GB2312" w:hAnsi="Times New Roman"/>
          <w:color w:val="auto"/>
          <w:sz w:val="32"/>
          <w:szCs w:val="32"/>
          <w:highlight w:val="none"/>
        </w:rPr>
        <w:t>按照“整体推进、一企一策”的要求，对标国家明确的钢铁、有色、建材等19个重点行业企业，</w:t>
      </w:r>
      <w:r>
        <w:rPr>
          <w:rFonts w:hint="eastAsia" w:ascii="仿宋_GB2312"/>
          <w:color w:val="auto"/>
          <w:sz w:val="32"/>
          <w:szCs w:val="32"/>
          <w:highlight w:val="none"/>
        </w:rPr>
        <w:t>积极推进节能降碳工作。推动建筑、工业、交通、公共机构等重点领域的能效提升，推进智慧能源管理，促进能源灵活高效利用，</w:t>
      </w:r>
      <w:r>
        <w:rPr>
          <w:rFonts w:hint="eastAsia" w:ascii="仿宋_GB2312" w:hAnsi="Times New Roman"/>
          <w:color w:val="auto"/>
          <w:sz w:val="32"/>
          <w:szCs w:val="32"/>
          <w:highlight w:val="none"/>
        </w:rPr>
        <w:t>推进长株潭综合能源示范中心建设</w:t>
      </w:r>
      <w:r>
        <w:rPr>
          <w:rFonts w:hint="eastAsia" w:ascii="仿宋_GB2312"/>
          <w:color w:val="auto"/>
          <w:sz w:val="32"/>
          <w:szCs w:val="32"/>
          <w:highlight w:val="none"/>
        </w:rPr>
        <w:t>。</w:t>
      </w:r>
      <w:r>
        <w:rPr>
          <w:rFonts w:hint="eastAsia" w:ascii="仿宋_GB2312"/>
          <w:b/>
          <w:color w:val="auto"/>
          <w:sz w:val="32"/>
          <w:szCs w:val="32"/>
          <w:highlight w:val="none"/>
        </w:rPr>
        <w:t>（省发展改革委</w:t>
      </w:r>
      <w:r>
        <w:rPr>
          <w:rFonts w:hint="eastAsia" w:ascii="仿宋_GB2312" w:hAnsi="Times New Roman"/>
          <w:b/>
          <w:color w:val="auto"/>
          <w:sz w:val="32"/>
          <w:szCs w:val="32"/>
          <w:highlight w:val="none"/>
        </w:rPr>
        <w:t>（省能源局）</w:t>
      </w:r>
      <w:r>
        <w:rPr>
          <w:rFonts w:hint="eastAsia" w:ascii="仿宋_GB2312"/>
          <w:b/>
          <w:color w:val="auto"/>
          <w:sz w:val="32"/>
          <w:szCs w:val="32"/>
          <w:highlight w:val="none"/>
        </w:rPr>
        <w:t>牵头，省工业和信息化厅、省生态环境厅、省住房城乡建设厅、省交通运输厅、</w:t>
      </w:r>
      <w:r>
        <w:rPr>
          <w:rFonts w:hint="eastAsia" w:ascii="仿宋_GB2312" w:hAnsi="Times New Roman"/>
          <w:b/>
          <w:bCs/>
          <w:color w:val="auto"/>
          <w:sz w:val="32"/>
          <w:szCs w:val="32"/>
          <w:highlight w:val="none"/>
        </w:rPr>
        <w:t>省市场监管局</w:t>
      </w:r>
      <w:r>
        <w:rPr>
          <w:rFonts w:hint="eastAsia" w:ascii="仿宋_GB2312"/>
          <w:b/>
          <w:color w:val="auto"/>
          <w:sz w:val="32"/>
          <w:szCs w:val="32"/>
          <w:highlight w:val="none"/>
        </w:rPr>
        <w:t>参与）</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（七）实施产业结构调整专项行动</w:t>
      </w:r>
    </w:p>
    <w:p>
      <w:pPr>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b/>
          <w:bCs/>
          <w:color w:val="auto"/>
          <w:sz w:val="32"/>
          <w:szCs w:val="32"/>
          <w:highlight w:val="none"/>
        </w:rPr>
        <w:t>严格新建项目准入。</w:t>
      </w:r>
      <w:r>
        <w:rPr>
          <w:rFonts w:hint="eastAsia" w:ascii="仿宋_GB2312" w:hAnsi="仿宋" w:eastAsia="仿宋_GB2312" w:cs="Times New Roman"/>
          <w:color w:val="auto"/>
          <w:sz w:val="32"/>
          <w:szCs w:val="32"/>
          <w:highlight w:val="none"/>
        </w:rPr>
        <w:t>坚决遏制高耗能高排放低水平项目盲目发展，建立在建、拟建、存量“两高”项目清单，实行动态调整和台账管理，深化“两高”项目准入及管控要求，落实产能淘汰任务，严格审批涉VOCs排放的工业项目，建成区原则上不再新建生产和使用非低VOCs含量原辅材料的建设项目，严格执行污染物排放减量替代要求。</w:t>
      </w:r>
      <w:r>
        <w:rPr>
          <w:rFonts w:hint="eastAsia" w:ascii="仿宋_GB2312" w:hAnsi="仿宋" w:eastAsia="仿宋_GB2312" w:cs="Times New Roman"/>
          <w:b/>
          <w:bCs/>
          <w:color w:val="auto"/>
          <w:sz w:val="32"/>
          <w:szCs w:val="32"/>
          <w:highlight w:val="none"/>
        </w:rPr>
        <w:t>（省发展改革委、省工业和信息化厅、省生态环境厅按职责分工负责）</w:t>
      </w:r>
    </w:p>
    <w:p>
      <w:pPr>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b/>
          <w:bCs/>
          <w:color w:val="auto"/>
          <w:sz w:val="32"/>
          <w:szCs w:val="32"/>
          <w:highlight w:val="none"/>
        </w:rPr>
        <w:t>提升行业绩效水平。</w:t>
      </w:r>
      <w:r>
        <w:rPr>
          <w:rFonts w:hint="eastAsia" w:ascii="仿宋_GB2312" w:hAnsi="仿宋" w:eastAsia="仿宋_GB2312" w:cs="Times New Roman"/>
          <w:color w:val="auto"/>
          <w:sz w:val="32"/>
          <w:szCs w:val="32"/>
          <w:highlight w:val="none"/>
        </w:rPr>
        <w:t>推动传统产业绿色转型，科学制定重点行业和领域碳达峰实施方案。长沙市以先进装备制造、先进计算、航空航天、新一代信息技术、新材料、生物技术及生命健康等产业，带动产业结构优化升级，打造区域特色制造业龙头品牌。重点企业全面完成一轮清洁生产审核，开展重点行业全流程清洁化、低碳化改造。完善绿色供应链管理体系，加强绿色制造体系建设，有计划支持六市创建工作，“十四五”期间力争新增国家级绿色示范园区</w:t>
      </w:r>
      <w:r>
        <w:rPr>
          <w:rFonts w:ascii="仿宋_GB2312" w:hAnsi="仿宋" w:eastAsia="仿宋_GB2312" w:cs="Times New Roman"/>
          <w:color w:val="auto"/>
          <w:sz w:val="32"/>
          <w:szCs w:val="32"/>
          <w:highlight w:val="none"/>
        </w:rPr>
        <w:t>3家，国家级绿色示范工厂12家，省级绿色园区17家，省级绿色示范工厂60家。</w:t>
      </w:r>
      <w:r>
        <w:rPr>
          <w:rFonts w:hint="eastAsia" w:ascii="仿宋_GB2312" w:hAnsi="仿宋" w:eastAsia="仿宋_GB2312" w:cs="Times New Roman"/>
          <w:b/>
          <w:bCs/>
          <w:color w:val="auto"/>
          <w:sz w:val="32"/>
          <w:szCs w:val="32"/>
          <w:highlight w:val="none"/>
        </w:rPr>
        <w:t>（省发展改革委、省工业和信息化厅、省生态环境厅按职责分工负责）</w:t>
      </w:r>
    </w:p>
    <w:p>
      <w:pPr>
        <w:spacing w:line="600" w:lineRule="exact"/>
        <w:ind w:firstLine="643"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b/>
          <w:bCs/>
          <w:color w:val="auto"/>
          <w:sz w:val="32"/>
          <w:szCs w:val="32"/>
          <w:highlight w:val="none"/>
        </w:rPr>
        <w:t>传统产业集群综合整治。</w:t>
      </w:r>
      <w:r>
        <w:rPr>
          <w:rFonts w:hint="eastAsia" w:ascii="仿宋_GB2312" w:hAnsi="仿宋" w:eastAsia="仿宋_GB2312" w:cs="Times New Roman"/>
          <w:color w:val="auto"/>
          <w:sz w:val="32"/>
          <w:szCs w:val="32"/>
          <w:highlight w:val="none"/>
        </w:rPr>
        <w:t>按照“一群一策”原则制定整治提升方案，组织完成产业集群排查，开展涉气产业集群排查及分类治理。统筹园区布局和产业衔接，到2025年，制造业企业入园率提高到85%以上。优化产业链区域布局，强化中心城区空间管控，适当降低中心城区开发强度。着力推动长株潭三地产业园区深度合作，加强长株潭产业链供应链一体化布局。严防“散乱污”企业反弹。</w:t>
      </w:r>
      <w:r>
        <w:rPr>
          <w:rFonts w:hint="eastAsia" w:ascii="仿宋_GB2312" w:hAnsi="仿宋" w:eastAsia="仿宋_GB2312" w:cs="Times New Roman"/>
          <w:b/>
          <w:bCs/>
          <w:color w:val="auto"/>
          <w:sz w:val="32"/>
          <w:szCs w:val="32"/>
          <w:highlight w:val="none"/>
        </w:rPr>
        <w:t>（省发展改革委、省工业和信息化厅、省生态环境厅按职责分工负责）</w:t>
      </w:r>
    </w:p>
    <w:p>
      <w:pPr>
        <w:spacing w:line="600" w:lineRule="exact"/>
        <w:ind w:firstLine="643" w:firstLineChars="200"/>
        <w:rPr>
          <w:rFonts w:ascii="仿宋_GB2312" w:hAnsi="仿宋" w:eastAsia="仿宋_GB2312" w:cs="Times New Roman"/>
          <w:b/>
          <w:bCs/>
          <w:color w:val="auto"/>
          <w:sz w:val="32"/>
          <w:szCs w:val="32"/>
          <w:highlight w:val="none"/>
        </w:rPr>
      </w:pPr>
      <w:r>
        <w:rPr>
          <w:rFonts w:hint="eastAsia" w:ascii="仿宋_GB2312" w:hAnsi="仿宋" w:eastAsia="仿宋_GB2312" w:cs="Times New Roman"/>
          <w:b/>
          <w:bCs/>
          <w:color w:val="auto"/>
          <w:sz w:val="32"/>
          <w:szCs w:val="32"/>
          <w:highlight w:val="none"/>
        </w:rPr>
        <w:t>推动绿色环保产业健康发展。</w:t>
      </w:r>
      <w:r>
        <w:rPr>
          <w:rFonts w:hint="eastAsia" w:ascii="仿宋_GB2312" w:hAnsi="仿宋" w:eastAsia="仿宋_GB2312" w:cs="Times New Roman"/>
          <w:color w:val="auto"/>
          <w:sz w:val="32"/>
          <w:szCs w:val="32"/>
          <w:highlight w:val="none"/>
        </w:rPr>
        <w:t>培育壮大节能环保产业链，支持培育一批具有国内竞争力的龙头企业，打造国内领先的节能环保新能源产业集群。支持相关核心技术研发，促进大气污染治理技术和装备产业化发展。推进政府绿色采购，鼓励汽车维修等政府定点招标采购企业使用低挥发性原辅材料，对使用财政资金的政府采购项目，明确将两型（绿色）产品作为评审因素，在采购文件中明确具体的优先政策</w:t>
      </w:r>
      <w:r>
        <w:rPr>
          <w:rFonts w:ascii="仿宋_GB2312" w:hAnsi="仿宋" w:eastAsia="仿宋_GB2312" w:cs="Times New Roman"/>
          <w:color w:val="auto"/>
          <w:sz w:val="32"/>
          <w:szCs w:val="32"/>
          <w:highlight w:val="none"/>
        </w:rPr>
        <w:t>。</w:t>
      </w:r>
      <w:r>
        <w:rPr>
          <w:rFonts w:hint="eastAsia" w:ascii="仿宋_GB2312" w:hAnsi="仿宋" w:eastAsia="仿宋_GB2312" w:cs="Times New Roman"/>
          <w:b/>
          <w:bCs/>
          <w:color w:val="auto"/>
          <w:sz w:val="32"/>
          <w:szCs w:val="32"/>
          <w:highlight w:val="none"/>
        </w:rPr>
        <w:t>（省发展改革委、省工业和信息化厅、省财政厅、省生态环境厅按职责分工负责）</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（八）实施运输结构调整专项行动</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交通运输轨道化行动。</w:t>
      </w:r>
      <w:r>
        <w:rPr>
          <w:rFonts w:hint="eastAsia" w:ascii="仿宋_GB2312"/>
          <w:color w:val="auto"/>
          <w:sz w:val="32"/>
          <w:szCs w:val="32"/>
          <w:highlight w:val="none"/>
        </w:rPr>
        <w:t>构建客货统筹铁路网，贯通区域铁路运输主要通道，加快</w:t>
      </w:r>
      <w:r>
        <w:rPr>
          <w:rFonts w:hint="eastAsia" w:ascii="仿宋_GB2312" w:hAnsi="Times New Roman"/>
          <w:color w:val="auto"/>
          <w:sz w:val="32"/>
          <w:szCs w:val="32"/>
          <w:highlight w:val="none"/>
        </w:rPr>
        <w:t>发展高铁快运</w:t>
      </w:r>
      <w:r>
        <w:rPr>
          <w:rFonts w:hint="eastAsia" w:ascii="仿宋_GB2312" w:hAnsi="宋体" w:cs="仿宋_GB2312"/>
          <w:color w:val="auto"/>
          <w:kern w:val="0"/>
          <w:sz w:val="32"/>
          <w:szCs w:val="32"/>
          <w:highlight w:val="none"/>
          <w:lang w:bidi="ar"/>
        </w:rPr>
        <w:t>，在有条件的通道实现客货分线运输。推进既有普速铁路通道能力紧张路段扩能提质，</w:t>
      </w:r>
      <w:r>
        <w:rPr>
          <w:rFonts w:hint="eastAsia" w:ascii="仿宋_GB2312"/>
          <w:color w:val="auto"/>
          <w:sz w:val="32"/>
          <w:szCs w:val="32"/>
          <w:highlight w:val="none"/>
        </w:rPr>
        <w:t>加快实施电气化改造，</w:t>
      </w:r>
      <w:r>
        <w:rPr>
          <w:rFonts w:hint="eastAsia" w:ascii="仿宋_GB2312" w:hAnsi="宋体" w:cs="仿宋_GB2312"/>
          <w:color w:val="auto"/>
          <w:kern w:val="0"/>
          <w:sz w:val="32"/>
          <w:szCs w:val="32"/>
          <w:highlight w:val="none"/>
          <w:lang w:bidi="ar"/>
        </w:rPr>
        <w:t>推动铁路</w:t>
      </w:r>
      <w:r>
        <w:rPr>
          <w:rFonts w:hint="eastAsia" w:ascii="仿宋_GB2312" w:hAnsi="Times New Roman"/>
          <w:color w:val="auto"/>
          <w:sz w:val="32"/>
          <w:szCs w:val="32"/>
          <w:highlight w:val="none"/>
        </w:rPr>
        <w:t>场站进行适货化改造，</w:t>
      </w:r>
      <w:r>
        <w:rPr>
          <w:rFonts w:hint="eastAsia" w:ascii="仿宋_GB2312"/>
          <w:color w:val="auto"/>
          <w:sz w:val="32"/>
          <w:szCs w:val="32"/>
          <w:highlight w:val="none"/>
        </w:rPr>
        <w:t>重点补强浩吉线、石长线、益湛线等既有通道货运能力。精准补齐工矿企业、港口、物流园区铁路专用线短板，新建及迁建大宗货物年货运量150万吨以上的物流园区、工矿企业，原则上具备铁路专用线。</w:t>
      </w:r>
      <w:r>
        <w:rPr>
          <w:rFonts w:hint="eastAsia" w:ascii="仿宋_GB2312"/>
          <w:b/>
          <w:color w:val="auto"/>
          <w:sz w:val="32"/>
          <w:szCs w:val="32"/>
          <w:highlight w:val="none"/>
        </w:rPr>
        <w:t>（省发展改革委牵头，省交通运输厅、中国铁路广州局集团参与）</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内河航道网络化行动。</w:t>
      </w:r>
      <w:r>
        <w:rPr>
          <w:rFonts w:hint="eastAsia" w:ascii="仿宋_GB2312"/>
          <w:color w:val="auto"/>
          <w:sz w:val="32"/>
          <w:szCs w:val="32"/>
          <w:highlight w:val="none"/>
        </w:rPr>
        <w:t>加快构建以“一江一湖四水”为骨干的区域航道网，推进建设益芦、澧资等湖区骨干航道，实现湖区高等级航道通江达海，加快城陵矶现代化港口群及集疏运体系项目建设，完善岳阳港江海直达和江海联运配套设施。以长沙港、岳阳港多式联运主骨架为节点，形成辐射周边及流域的综合集疏运通道，推动区域港区规模化、标准化协同发展。完善港口岸电设施建设，推进打造绿色低碳港口，加强港口智慧技术推广应用，引导新一代自动化集装箱码头、堆场库场智慧化改造。</w:t>
      </w:r>
      <w:r>
        <w:rPr>
          <w:rFonts w:hint="eastAsia" w:ascii="仿宋_GB2312"/>
          <w:b/>
          <w:color w:val="auto"/>
          <w:sz w:val="32"/>
          <w:szCs w:val="32"/>
          <w:highlight w:val="none"/>
        </w:rPr>
        <w:t>（省交通运输厅牵头）</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交通工具清洁化行动。</w:t>
      </w:r>
      <w:r>
        <w:rPr>
          <w:rFonts w:hint="eastAsia" w:ascii="仿宋_GB2312"/>
          <w:color w:val="auto"/>
          <w:sz w:val="32"/>
          <w:szCs w:val="32"/>
          <w:highlight w:val="none"/>
        </w:rPr>
        <w:t>加速新能源汽车的推广，以公共领域用车为重点推进新能源化，区域新增或更新的城市公交、城市物流配送、邮政快递、出租车、网约车、公务用车、环卫车辆等优先使用新能源。到2025年，六市新能源汽车销售占比均不低于20%，城市公交车均实现新能源化。开展全面电动化城市试点，因地制宜推进相关领域车辆全面电动化。</w:t>
      </w:r>
      <w:r>
        <w:rPr>
          <w:rFonts w:hint="eastAsia" w:ascii="仿宋_GB2312" w:hAnsi="Times New Roman"/>
          <w:color w:val="auto"/>
          <w:sz w:val="32"/>
          <w:szCs w:val="32"/>
          <w:highlight w:val="none"/>
        </w:rPr>
        <w:t>积极推进电能等清洁能源动力船舶发展，全力打造港口船舶绿色低碳样板，鼓励LNG动力船舶建造和改造。</w:t>
      </w:r>
      <w:r>
        <w:rPr>
          <w:rFonts w:hint="eastAsia" w:ascii="仿宋_GB2312"/>
          <w:color w:val="auto"/>
          <w:sz w:val="32"/>
          <w:szCs w:val="32"/>
          <w:highlight w:val="none"/>
        </w:rPr>
        <w:t>加强新能源基础设施建设，</w:t>
      </w:r>
      <w:r>
        <w:rPr>
          <w:rFonts w:hint="eastAsia" w:ascii="仿宋_GB2312" w:hAnsi="Times New Roman"/>
          <w:color w:val="auto"/>
          <w:sz w:val="32"/>
          <w:szCs w:val="32"/>
          <w:highlight w:val="none"/>
        </w:rPr>
        <w:t>有序推进六市充电桩和洞庭湖区、湘江下游LNG加注站建设，</w:t>
      </w:r>
      <w:r>
        <w:rPr>
          <w:rFonts w:hint="eastAsia" w:ascii="仿宋_GB2312"/>
          <w:color w:val="auto"/>
          <w:sz w:val="32"/>
          <w:szCs w:val="32"/>
          <w:highlight w:val="none"/>
        </w:rPr>
        <w:t>推进民用机场在用廊桥配备APU替代设施建设，桥电使用率达到95%以上。</w:t>
      </w:r>
      <w:r>
        <w:rPr>
          <w:rFonts w:hint="eastAsia" w:ascii="仿宋_GB2312"/>
          <w:b/>
          <w:color w:val="auto"/>
          <w:sz w:val="32"/>
          <w:szCs w:val="32"/>
          <w:highlight w:val="none"/>
        </w:rPr>
        <w:t>（省发展改革委（省能源局）、省工业和信息化厅、省交通运输厅、省商务厅、省机关事务管理局、省机场管理集团按职责分工负责）</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交通运输低碳化行动。</w:t>
      </w:r>
      <w:r>
        <w:rPr>
          <w:rFonts w:hint="eastAsia" w:ascii="仿宋_GB2312"/>
          <w:color w:val="auto"/>
          <w:sz w:val="32"/>
          <w:szCs w:val="32"/>
          <w:highlight w:val="none"/>
        </w:rPr>
        <w:t>大力发展多式联运，持续提高铁路与水路集装箱联运效率，</w:t>
      </w:r>
      <w:r>
        <w:rPr>
          <w:rFonts w:hint="eastAsia" w:ascii="仿宋_GB2312" w:hAnsi="Times New Roman"/>
          <w:color w:val="auto"/>
          <w:sz w:val="32"/>
          <w:szCs w:val="32"/>
          <w:highlight w:val="none"/>
        </w:rPr>
        <w:t>积极推动岳阳城陵矶国际集装箱港无轨站的铁水联运发展。</w:t>
      </w:r>
      <w:r>
        <w:rPr>
          <w:rFonts w:hint="eastAsia" w:ascii="仿宋_GB2312"/>
          <w:color w:val="auto"/>
          <w:sz w:val="32"/>
          <w:szCs w:val="32"/>
          <w:highlight w:val="none"/>
        </w:rPr>
        <w:t>推广“外集内配”的城市物流公铁联运和旅客联程联运发展，推动六市高铁、动车、城铁的多式联运。</w:t>
      </w:r>
      <w:r>
        <w:rPr>
          <w:rFonts w:hint="eastAsia" w:ascii="仿宋_GB2312" w:hAnsi="宋体" w:cs="仿宋_GB2312"/>
          <w:color w:val="auto"/>
          <w:kern w:val="0"/>
          <w:sz w:val="32"/>
          <w:szCs w:val="32"/>
          <w:highlight w:val="none"/>
          <w:lang w:bidi="ar"/>
        </w:rPr>
        <w:t>推进</w:t>
      </w:r>
      <w:r>
        <w:rPr>
          <w:rFonts w:hint="eastAsia" w:ascii="仿宋_GB2312"/>
          <w:color w:val="auto"/>
          <w:sz w:val="32"/>
          <w:szCs w:val="32"/>
          <w:highlight w:val="none"/>
        </w:rPr>
        <w:t>大宗货物通过铁路、水路、管道、新能源或国六货车等清洁方式运输，到2025年，六市火电、钢铁、石化、化工、有色、建材（含砂石骨料）等行业大宗货物清洁运输比例达到国家相关要求。完善“最后一公里”公共交通网络，提高城市绿色出行比例。</w:t>
      </w:r>
      <w:r>
        <w:rPr>
          <w:rFonts w:hint="eastAsia" w:ascii="仿宋_GB2312"/>
          <w:b/>
          <w:color w:val="auto"/>
          <w:sz w:val="32"/>
          <w:szCs w:val="32"/>
          <w:highlight w:val="none"/>
        </w:rPr>
        <w:t>（省发展改革委、省交通运输厅、省商务厅按职责分工负责）</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（九）实施重污染天气消除攻坚专项行动</w:t>
      </w:r>
    </w:p>
    <w:p>
      <w:pPr>
        <w:pStyle w:val="37"/>
        <w:spacing w:line="600" w:lineRule="exact"/>
        <w:ind w:firstLine="643"/>
        <w:rPr>
          <w:rFonts w:ascii="仿宋_GB2312"/>
          <w:color w:val="auto"/>
          <w:sz w:val="32"/>
          <w:szCs w:val="32"/>
          <w:highlight w:val="none"/>
        </w:rPr>
      </w:pPr>
      <w:r>
        <w:rPr>
          <w:rFonts w:hint="eastAsia"/>
          <w:b/>
          <w:bCs/>
          <w:color w:val="auto"/>
          <w:sz w:val="32"/>
          <w:szCs w:val="32"/>
          <w:highlight w:val="none"/>
        </w:rPr>
        <w:t>重污染天气有效防范行动。</w:t>
      </w:r>
      <w:r>
        <w:rPr>
          <w:rFonts w:hint="eastAsia"/>
          <w:color w:val="auto"/>
          <w:sz w:val="32"/>
          <w:szCs w:val="32"/>
          <w:highlight w:val="none"/>
        </w:rPr>
        <w:t>强化轻中度污染天气分级分类管控，确保污染源常规防治措施落实到位，有效开展错峰生产和错时作业计划。深化区域大气污染联防联控，推动区域大气污染防治工作利益协同、制度协同、技术协同、资金协同。建立区域人工影响天气协同作业制度，加强与湖北、江西等周边省份区域协作和信息交流，探索建立省际预警与联动体系。六市结合实际制定针对绩效先进企业的激励政策，推动重点行业企业提升绩效水平，严格绩效评定程序和各环节把关，</w:t>
      </w:r>
      <w:r>
        <w:rPr>
          <w:rFonts w:hint="eastAsia" w:ascii="仿宋_GB2312"/>
          <w:color w:val="auto"/>
          <w:sz w:val="32"/>
          <w:szCs w:val="32"/>
          <w:highlight w:val="none"/>
        </w:rPr>
        <w:t>到2025年，六市应急减排重点行业中非最低等级绩效水平企业比例不低于</w:t>
      </w:r>
      <w:r>
        <w:rPr>
          <w:rFonts w:ascii="仿宋_GB2312"/>
          <w:color w:val="auto"/>
          <w:sz w:val="32"/>
          <w:szCs w:val="32"/>
          <w:highlight w:val="none"/>
        </w:rPr>
        <w:t>3</w:t>
      </w:r>
      <w:r>
        <w:rPr>
          <w:rFonts w:hint="eastAsia" w:ascii="仿宋_GB2312"/>
          <w:color w:val="auto"/>
          <w:sz w:val="32"/>
          <w:szCs w:val="32"/>
          <w:highlight w:val="none"/>
        </w:rPr>
        <w:t>0%。</w:t>
      </w:r>
      <w:r>
        <w:rPr>
          <w:rFonts w:hint="eastAsia"/>
          <w:b/>
          <w:bCs/>
          <w:color w:val="auto"/>
          <w:sz w:val="32"/>
          <w:szCs w:val="32"/>
          <w:highlight w:val="none"/>
        </w:rPr>
        <w:t>（省生态环境厅牵头，省发展改革委、省工业和信息化厅、省气象局参与）</w:t>
      </w:r>
    </w:p>
    <w:p>
      <w:pPr>
        <w:pStyle w:val="37"/>
        <w:spacing w:line="600" w:lineRule="exact"/>
        <w:ind w:firstLine="643"/>
        <w:rPr>
          <w:rFonts w:ascii="仿宋_GB2312"/>
          <w:color w:val="auto"/>
          <w:sz w:val="32"/>
          <w:szCs w:val="32"/>
          <w:highlight w:val="none"/>
        </w:rPr>
      </w:pPr>
      <w:r>
        <w:rPr>
          <w:rFonts w:hint="eastAsia" w:ascii="仿宋_GB2312"/>
          <w:b/>
          <w:bCs/>
          <w:color w:val="auto"/>
          <w:sz w:val="32"/>
          <w:szCs w:val="32"/>
          <w:highlight w:val="none"/>
        </w:rPr>
        <w:t>重污染天气应对能力提升行动。</w:t>
      </w:r>
      <w:r>
        <w:rPr>
          <w:rFonts w:hint="eastAsia" w:ascii="仿宋_GB2312"/>
          <w:color w:val="auto"/>
          <w:sz w:val="32"/>
          <w:szCs w:val="32"/>
          <w:highlight w:val="none"/>
        </w:rPr>
        <w:t>修订和完善三级重污染天气应急预案体系，优化预警启动门槛，细化应急响应措施。深化应急减排措施清单化管理和绩效分级差异化管控，完善企业应急减排管理能力，严格运输源头监管，切实压减污染物排放。推进省、市预报中心能力建设和业务平台协同共建，强化会商研判和预警预报合作，</w:t>
      </w:r>
      <w:r>
        <w:rPr>
          <w:rFonts w:ascii="仿宋_GB2312"/>
          <w:color w:val="auto"/>
          <w:sz w:val="32"/>
          <w:szCs w:val="32"/>
          <w:highlight w:val="none"/>
        </w:rPr>
        <w:t>2025年六市</w:t>
      </w:r>
      <w:r>
        <w:rPr>
          <w:rFonts w:hint="eastAsia" w:ascii="仿宋_GB2312"/>
          <w:color w:val="auto"/>
          <w:sz w:val="32"/>
          <w:szCs w:val="32"/>
          <w:highlight w:val="none"/>
        </w:rPr>
        <w:t>2</w:t>
      </w:r>
      <w:r>
        <w:rPr>
          <w:rFonts w:ascii="仿宋_GB2312"/>
          <w:color w:val="auto"/>
          <w:sz w:val="32"/>
          <w:szCs w:val="32"/>
          <w:highlight w:val="none"/>
        </w:rPr>
        <w:t>4</w:t>
      </w:r>
      <w:r>
        <w:rPr>
          <w:rFonts w:hint="eastAsia" w:ascii="仿宋_GB2312"/>
          <w:color w:val="auto"/>
          <w:sz w:val="32"/>
          <w:szCs w:val="32"/>
          <w:highlight w:val="none"/>
        </w:rPr>
        <w:t>小时</w:t>
      </w:r>
      <w:r>
        <w:rPr>
          <w:rFonts w:ascii="仿宋_GB2312"/>
          <w:color w:val="auto"/>
          <w:sz w:val="32"/>
          <w:szCs w:val="32"/>
          <w:highlight w:val="none"/>
        </w:rPr>
        <w:t>AQI中值级别预报</w:t>
      </w:r>
      <w:r>
        <w:rPr>
          <w:rFonts w:hint="eastAsia" w:ascii="仿宋_GB2312"/>
          <w:color w:val="auto"/>
          <w:sz w:val="32"/>
          <w:szCs w:val="32"/>
          <w:highlight w:val="none"/>
        </w:rPr>
        <w:t>平均</w:t>
      </w:r>
      <w:r>
        <w:rPr>
          <w:rFonts w:ascii="仿宋_GB2312"/>
          <w:color w:val="auto"/>
          <w:sz w:val="32"/>
          <w:szCs w:val="32"/>
          <w:highlight w:val="none"/>
        </w:rPr>
        <w:t>准确率达到68.0%以上</w:t>
      </w:r>
      <w:r>
        <w:rPr>
          <w:rFonts w:hint="eastAsia" w:ascii="仿宋_GB2312"/>
          <w:color w:val="auto"/>
          <w:sz w:val="32"/>
          <w:szCs w:val="32"/>
          <w:highlight w:val="none"/>
        </w:rPr>
        <w:t>。持续开展涉气污染源活动水平调查及其排放治理情况排查，定期更新城市大气污染源排放清单，夯实精细化管控基础。</w:t>
      </w:r>
      <w:r>
        <w:rPr>
          <w:rFonts w:hint="eastAsia" w:ascii="仿宋_GB2312"/>
          <w:b/>
          <w:bCs/>
          <w:color w:val="auto"/>
          <w:sz w:val="32"/>
          <w:szCs w:val="32"/>
          <w:highlight w:val="none"/>
        </w:rPr>
        <w:t>（省生态环境厅牵头，省气象局参与）</w:t>
      </w:r>
    </w:p>
    <w:p>
      <w:pPr>
        <w:pStyle w:val="37"/>
        <w:spacing w:line="600" w:lineRule="exact"/>
        <w:ind w:firstLine="643"/>
        <w:rPr>
          <w:rFonts w:ascii="仿宋_GB2312"/>
          <w:color w:val="auto"/>
          <w:sz w:val="32"/>
          <w:szCs w:val="32"/>
          <w:highlight w:val="none"/>
        </w:rPr>
      </w:pPr>
      <w:r>
        <w:rPr>
          <w:rFonts w:hint="eastAsia" w:ascii="仿宋_GB2312"/>
          <w:b/>
          <w:bCs/>
          <w:color w:val="auto"/>
          <w:sz w:val="32"/>
          <w:szCs w:val="32"/>
          <w:highlight w:val="none"/>
        </w:rPr>
        <w:t>重污染天气应急管控质效提升行动。</w:t>
      </w:r>
      <w:r>
        <w:rPr>
          <w:rFonts w:hint="eastAsia" w:ascii="仿宋_GB2312"/>
          <w:color w:val="auto"/>
          <w:sz w:val="32"/>
          <w:szCs w:val="32"/>
          <w:highlight w:val="none"/>
        </w:rPr>
        <w:t>有效开展应急响应专项检查与督查，强化省级帮扶督导，</w:t>
      </w:r>
      <w:r>
        <w:rPr>
          <w:rFonts w:hint="eastAsia"/>
          <w:color w:val="auto"/>
          <w:sz w:val="32"/>
          <w:szCs w:val="32"/>
          <w:highlight w:val="none"/>
        </w:rPr>
        <w:t>加大六市交叉执法力度，严厉打击应急减排措施不落实、自动监控数据造假、生产记录造假等违法行为。加强电力大数据、污染源自动监控、城市车流量等多源数据分析，提升监管督查效能。建立应急响应全过程总结评估常态化制度，系统梳理各环节工作成效和存在的问题，不断完善相关应对机制。</w:t>
      </w:r>
      <w:r>
        <w:rPr>
          <w:rFonts w:hint="eastAsia" w:ascii="仿宋_GB2312"/>
          <w:b/>
          <w:bCs/>
          <w:color w:val="auto"/>
          <w:sz w:val="32"/>
          <w:szCs w:val="32"/>
          <w:highlight w:val="none"/>
        </w:rPr>
        <w:t>（省生态环境厅牵头，省工业和信息化厅、省公安厅、省住房城乡建设厅、省气象局参与）</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（十）实施臭氧污染防治攻坚专项行动</w:t>
      </w:r>
    </w:p>
    <w:p>
      <w:pPr>
        <w:pStyle w:val="37"/>
        <w:spacing w:line="600" w:lineRule="exact"/>
        <w:ind w:firstLine="643"/>
        <w:rPr>
          <w:rFonts w:ascii="仿宋_GB2312"/>
          <w:bCs/>
          <w:color w:val="auto"/>
          <w:sz w:val="32"/>
          <w:szCs w:val="32"/>
          <w:highlight w:val="none"/>
        </w:rPr>
      </w:pPr>
      <w:r>
        <w:rPr>
          <w:rFonts w:hint="eastAsia" w:ascii="仿宋_GB2312"/>
          <w:b/>
          <w:color w:val="auto"/>
          <w:sz w:val="32"/>
          <w:szCs w:val="32"/>
          <w:highlight w:val="none"/>
        </w:rPr>
        <w:t>VOCs原辅材料源头替代行动。</w:t>
      </w:r>
      <w:r>
        <w:rPr>
          <w:rFonts w:hint="eastAsia" w:ascii="仿宋_GB2312"/>
          <w:bCs/>
          <w:color w:val="auto"/>
          <w:sz w:val="32"/>
          <w:szCs w:val="32"/>
          <w:highlight w:val="none"/>
        </w:rPr>
        <w:t>全面摸排不同类型VOCs原辅材料的使用现状，指导企业制定低VOCs含量原辅材料替代计划，加大低VOCs原辅材料和产品源头替代力度，以工业涂装、包装印刷等行业为重点，推动使用低VOCs含量的涂料、油墨、胶粘剂、清洗剂。</w:t>
      </w:r>
      <w:r>
        <w:rPr>
          <w:rFonts w:hint="eastAsia" w:ascii="仿宋_GB2312" w:hAnsi="Times New Roman"/>
          <w:color w:val="auto"/>
          <w:sz w:val="32"/>
          <w:szCs w:val="32"/>
          <w:highlight w:val="none"/>
        </w:rPr>
        <w:t>2025年前，长沙市、株洲市、湘潭市、岳阳市、常德市、益阳市每年推广使用低VOCs含量原辅材料替代的企业分别不少于30、5、5、10、10、5家。严格执行涂料、油墨、胶粘剂、清洗剂VOCs含量限值标准，建立多部门联合执法机制，每年对生产企业、销售场所进行抽检抽查不少于2次。</w:t>
      </w:r>
      <w:r>
        <w:rPr>
          <w:rFonts w:hint="eastAsia" w:ascii="仿宋_GB2312"/>
          <w:b/>
          <w:color w:val="auto"/>
          <w:sz w:val="32"/>
          <w:szCs w:val="32"/>
          <w:highlight w:val="none"/>
        </w:rPr>
        <w:t>（省工业和信息化厅、省生态环境厅、</w:t>
      </w:r>
      <w:r>
        <w:rPr>
          <w:rFonts w:hint="eastAsia" w:ascii="仿宋_GB2312" w:hAnsi="Times New Roman"/>
          <w:b/>
          <w:bCs/>
          <w:color w:val="auto"/>
          <w:sz w:val="32"/>
          <w:szCs w:val="32"/>
          <w:highlight w:val="none"/>
        </w:rPr>
        <w:t>省市场监管局</w:t>
      </w:r>
      <w:r>
        <w:rPr>
          <w:rFonts w:hint="eastAsia" w:ascii="仿宋_GB2312"/>
          <w:b/>
          <w:color w:val="auto"/>
          <w:sz w:val="32"/>
          <w:szCs w:val="32"/>
          <w:highlight w:val="none"/>
        </w:rPr>
        <w:t>按职责分工负责）。</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VOCs污染治理达标行动。</w:t>
      </w:r>
      <w:r>
        <w:rPr>
          <w:rFonts w:hint="eastAsia" w:ascii="仿宋_GB2312"/>
          <w:color w:val="auto"/>
          <w:sz w:val="32"/>
          <w:szCs w:val="32"/>
          <w:highlight w:val="none"/>
        </w:rPr>
        <w:t>开展VOCs排放突出问题排查整治，能立行立改的，督促企业抓紧整改到位；对其他问题，2022年底前基本完成整改；清理整顿简易低效治理设施，2022年底前完成212家，2025年底前累计完成不少于500家企业的综合整治；强化无组织排放整治，</w:t>
      </w:r>
      <w:r>
        <w:rPr>
          <w:rFonts w:hint="eastAsia" w:ascii="仿宋_GB2312" w:hAnsi="Times New Roman"/>
          <w:color w:val="auto"/>
          <w:sz w:val="32"/>
          <w:szCs w:val="32"/>
          <w:highlight w:val="none"/>
        </w:rPr>
        <w:t>2023年底前完成100家，2025年底前完成200家重点企业“一企一策”综合整治。</w:t>
      </w:r>
      <w:r>
        <w:rPr>
          <w:rFonts w:hint="eastAsia" w:ascii="仿宋_GB2312"/>
          <w:color w:val="auto"/>
          <w:sz w:val="32"/>
          <w:szCs w:val="32"/>
          <w:highlight w:val="none"/>
        </w:rPr>
        <w:t>加强非正常工况废气排放管控，全面排查使用溶剂型VOCs原辅料以及涉及有机化工生产的产业集群，制定专项整治提升计划，全面提升VOCs废气收集率、治理设施同步运行率和去除率。推进工业园区和企业集群建设涉VOCs“绿岛”项目，2023年底前，六市分别完成1个，2025年底前分别完成不少于3个“绿岛”示范项目。强化油品VOCs综合管控，2025年底前，区域内原油成品油码头、现役5000总吨及以上的油船全部完成油气回收治理。</w:t>
      </w:r>
      <w:r>
        <w:rPr>
          <w:rFonts w:hint="eastAsia" w:ascii="仿宋_GB2312"/>
          <w:b/>
          <w:color w:val="auto"/>
          <w:sz w:val="32"/>
          <w:szCs w:val="32"/>
          <w:highlight w:val="none"/>
        </w:rPr>
        <w:t>（省工业和信息化厅、省生态环境厅、省交通运输厅、省商务厅按职责分工负责）</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氮氧化物污染治理提升行动。</w:t>
      </w:r>
      <w:r>
        <w:rPr>
          <w:rFonts w:hint="eastAsia" w:ascii="仿宋_GB2312"/>
          <w:color w:val="auto"/>
          <w:sz w:val="32"/>
          <w:szCs w:val="32"/>
          <w:highlight w:val="none"/>
        </w:rPr>
        <w:t>推进钢铁、水泥行业超低排放改造，</w:t>
      </w:r>
      <w:r>
        <w:rPr>
          <w:rFonts w:hint="eastAsia" w:ascii="仿宋_GB2312" w:hAnsi="Times New Roman"/>
          <w:color w:val="auto"/>
          <w:sz w:val="32"/>
          <w:szCs w:val="32"/>
          <w:highlight w:val="none"/>
        </w:rPr>
        <w:t>到2023年底前，湖南钢铁集团湘潭钢铁集团有限公司完成超低排放改造；水泥行业完成全面深度治理改造，力争2025年底前完成超低排放改造，实现氮氧化物排放浓度不高于50毫克/立方米。</w:t>
      </w:r>
      <w:r>
        <w:rPr>
          <w:rFonts w:hint="eastAsia" w:ascii="仿宋_GB2312"/>
          <w:color w:val="auto"/>
          <w:sz w:val="32"/>
          <w:szCs w:val="32"/>
          <w:highlight w:val="none"/>
        </w:rPr>
        <w:t>推进锅炉和工业炉窑提标改造，开展</w:t>
      </w:r>
      <w:r>
        <w:rPr>
          <w:rFonts w:hint="eastAsia" w:ascii="仿宋_GB2312" w:hAnsi="Times New Roman"/>
          <w:color w:val="auto"/>
          <w:sz w:val="32"/>
          <w:szCs w:val="32"/>
          <w:highlight w:val="none"/>
        </w:rPr>
        <w:t>锅炉和炉窑排查抽测，督促不能稳定达标的整改。</w:t>
      </w:r>
      <w:r>
        <w:rPr>
          <w:rFonts w:hint="eastAsia" w:ascii="仿宋_GB2312"/>
          <w:b/>
          <w:color w:val="auto"/>
          <w:sz w:val="32"/>
          <w:szCs w:val="32"/>
          <w:highlight w:val="none"/>
        </w:rPr>
        <w:t>（省生态环境厅负责）</w:t>
      </w:r>
    </w:p>
    <w:p>
      <w:pPr>
        <w:pStyle w:val="37"/>
        <w:spacing w:line="600" w:lineRule="exact"/>
        <w:ind w:firstLine="643"/>
        <w:rPr>
          <w:rFonts w:ascii="仿宋_GB2312"/>
          <w:color w:val="auto"/>
          <w:sz w:val="32"/>
          <w:szCs w:val="32"/>
          <w:highlight w:val="none"/>
        </w:rPr>
      </w:pPr>
      <w:r>
        <w:rPr>
          <w:rFonts w:hint="eastAsia" w:ascii="仿宋_GB2312"/>
          <w:b/>
          <w:color w:val="auto"/>
          <w:sz w:val="32"/>
          <w:szCs w:val="32"/>
          <w:highlight w:val="none"/>
        </w:rPr>
        <w:t>臭氧精准防控体系构建行动。</w:t>
      </w:r>
      <w:r>
        <w:rPr>
          <w:rFonts w:hint="eastAsia" w:ascii="仿宋_GB2312"/>
          <w:color w:val="auto"/>
          <w:sz w:val="32"/>
          <w:szCs w:val="32"/>
          <w:highlight w:val="none"/>
        </w:rPr>
        <w:t>强化科技支撑，有序开展臭氧来源解析、生成机理、传输规律等相关研究，加快VOCs和氮氧化物减排适用技术研发，加强臭氧预报技术研发。支持长沙等城市实施“一市一策”驻点跟踪研究，完善监测监控体系，强化治理设施运维监管。开展夏季臭氧污染区域联防联控和精准监督帮扶。</w:t>
      </w:r>
      <w:r>
        <w:rPr>
          <w:rFonts w:hint="eastAsia" w:ascii="仿宋_GB2312"/>
          <w:b/>
          <w:color w:val="auto"/>
          <w:sz w:val="32"/>
          <w:szCs w:val="32"/>
          <w:highlight w:val="none"/>
        </w:rPr>
        <w:t>（省科技厅、省生态环境厅</w:t>
      </w:r>
      <w:r>
        <w:rPr>
          <w:rFonts w:ascii="Times New Roman" w:hAnsi="Times New Roman"/>
          <w:b/>
          <w:bCs/>
          <w:color w:val="auto"/>
          <w:sz w:val="32"/>
          <w:szCs w:val="32"/>
          <w:highlight w:val="none"/>
        </w:rPr>
        <w:t>按职责分工负责</w:t>
      </w:r>
      <w:r>
        <w:rPr>
          <w:rFonts w:hint="eastAsia" w:ascii="仿宋_GB2312"/>
          <w:b/>
          <w:color w:val="auto"/>
          <w:sz w:val="32"/>
          <w:szCs w:val="32"/>
          <w:highlight w:val="none"/>
        </w:rPr>
        <w:t>）</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（十一）实施柴油货车污染治理攻坚专项行动</w:t>
      </w:r>
    </w:p>
    <w:p>
      <w:pPr>
        <w:pStyle w:val="37"/>
        <w:spacing w:line="600" w:lineRule="exact"/>
        <w:ind w:firstLine="643"/>
        <w:rPr>
          <w:rFonts w:ascii="仿宋_GB2312" w:hAnsi="仿宋_GB2312" w:cs="仿宋_GB2312"/>
          <w:color w:val="auto"/>
          <w:sz w:val="32"/>
          <w:szCs w:val="32"/>
          <w:highlight w:val="none"/>
        </w:rPr>
      </w:pPr>
      <w:r>
        <w:rPr>
          <w:rFonts w:hint="eastAsia" w:ascii="仿宋_GB2312" w:hAnsi="仿宋_GB2312" w:cs="仿宋_GB2312"/>
          <w:b/>
          <w:color w:val="auto"/>
          <w:sz w:val="32"/>
          <w:szCs w:val="32"/>
          <w:highlight w:val="none"/>
        </w:rPr>
        <w:t>柴油货车清洁化行动。</w:t>
      </w:r>
      <w:r>
        <w:rPr>
          <w:rFonts w:hint="eastAsia" w:ascii="仿宋_GB2312" w:hAnsi="仿宋_GB2312" w:cs="仿宋_GB2312"/>
          <w:color w:val="auto"/>
          <w:sz w:val="32"/>
          <w:szCs w:val="32"/>
          <w:highlight w:val="none"/>
        </w:rPr>
        <w:t>加强机动车生产、销售、使用、检验、维修和报废等全流程监管。健全重点企业用车管理制度，突出企业清洁运输主体责任。建立和完善“天地车人”一体化的移动源排放监控体系，推进柴油车OBD设施安装，打通非现场监管手段与执法联动通道。六市制定国三及以下排放标准柴油货车淘汰实施计划，2025年底前，六市按国家要求淘汰国三及以下排放标准的柴油货车，采取经济补偿、禁行限行、加强监管执法等方式，鼓励国四标准柴油货车提前淘汰。</w:t>
      </w:r>
      <w:r>
        <w:rPr>
          <w:rFonts w:hint="eastAsia" w:ascii="仿宋_GB2312" w:hAnsi="仿宋_GB2312" w:cs="仿宋_GB2312"/>
          <w:b/>
          <w:color w:val="auto"/>
          <w:sz w:val="32"/>
          <w:szCs w:val="32"/>
          <w:highlight w:val="none"/>
        </w:rPr>
        <w:t>（</w:t>
      </w:r>
      <w:r>
        <w:rPr>
          <w:rFonts w:hint="eastAsia" w:ascii="仿宋_GB2312" w:hAnsi="仿宋_GB2312" w:cs="仿宋_GB2312"/>
          <w:b/>
          <w:bCs/>
          <w:color w:val="auto"/>
          <w:sz w:val="32"/>
          <w:szCs w:val="32"/>
          <w:highlight w:val="none"/>
        </w:rPr>
        <w:t>省生态环境厅</w:t>
      </w:r>
      <w:r>
        <w:rPr>
          <w:rFonts w:hint="eastAsia" w:ascii="仿宋_GB2312" w:hAnsi="仿宋_GB2312" w:cs="仿宋_GB2312"/>
          <w:b/>
          <w:bCs/>
          <w:color w:val="auto"/>
          <w:sz w:val="32"/>
          <w:szCs w:val="32"/>
          <w:highlight w:val="none"/>
          <w:lang w:eastAsia="zh-CN"/>
        </w:rPr>
        <w:t>、</w:t>
      </w:r>
      <w:r>
        <w:rPr>
          <w:rFonts w:hint="eastAsia" w:ascii="仿宋_GB2312" w:hAnsi="仿宋_GB2312" w:cs="仿宋_GB2312"/>
          <w:b/>
          <w:bCs/>
          <w:color w:val="auto"/>
          <w:sz w:val="32"/>
          <w:szCs w:val="32"/>
          <w:highlight w:val="none"/>
        </w:rPr>
        <w:t>省公安厅牵头</w:t>
      </w:r>
      <w:r>
        <w:rPr>
          <w:rFonts w:hint="eastAsia" w:ascii="仿宋_GB2312" w:hAnsi="仿宋_GB2312" w:cs="仿宋_GB2312"/>
          <w:b/>
          <w:color w:val="auto"/>
          <w:sz w:val="32"/>
          <w:szCs w:val="32"/>
          <w:highlight w:val="none"/>
        </w:rPr>
        <w:t>，省交通运输厅、省商务厅、省市场监管局、长沙海关参与）</w:t>
      </w:r>
    </w:p>
    <w:p>
      <w:pPr>
        <w:pStyle w:val="37"/>
        <w:spacing w:line="600" w:lineRule="exact"/>
        <w:ind w:firstLine="643"/>
        <w:rPr>
          <w:rFonts w:ascii="仿宋_GB2312" w:hAnsi="仿宋_GB2312" w:cs="仿宋_GB2312"/>
          <w:color w:val="auto"/>
          <w:sz w:val="32"/>
          <w:szCs w:val="32"/>
          <w:highlight w:val="none"/>
        </w:rPr>
      </w:pPr>
      <w:r>
        <w:rPr>
          <w:rFonts w:hint="eastAsia" w:ascii="仿宋_GB2312" w:hAnsi="仿宋_GB2312" w:cs="仿宋_GB2312"/>
          <w:b/>
          <w:color w:val="auto"/>
          <w:sz w:val="32"/>
          <w:szCs w:val="32"/>
          <w:highlight w:val="none"/>
        </w:rPr>
        <w:t>非道路移动源综合治理行动。</w:t>
      </w:r>
      <w:r>
        <w:rPr>
          <w:rFonts w:hint="eastAsia" w:ascii="仿宋_GB2312" w:hAnsi="仿宋_GB2312" w:cs="仿宋_GB2312"/>
          <w:color w:val="auto"/>
          <w:sz w:val="32"/>
          <w:szCs w:val="32"/>
          <w:highlight w:val="none"/>
        </w:rPr>
        <w:t>加强本地生产、进口、销售柴油机械源头管控力度，强化非道路移动机械排放监管，常态化开展非道路移动源专项执法。推动区域内工程机械和农业机械新能源化，到2025年底前，六市基本淘汰国一及以下排放标准的工程机械（含按非道路排放标准生产的非道路用车），具备条件的可更换国四及以上排放标准的发动机或加装污染控制系统。实施农机报废更新补贴，加快淘汰耗能高、污染重、安全性能低的老旧农业机具。鼓励淘汰使用25年以上的内河航运船舶，推动港口靠泊船舶基本使用岸电。</w:t>
      </w:r>
      <w:r>
        <w:rPr>
          <w:rFonts w:hint="eastAsia" w:ascii="仿宋_GB2312" w:hAnsi="仿宋_GB2312" w:cs="仿宋_GB2312"/>
          <w:b/>
          <w:color w:val="auto"/>
          <w:sz w:val="32"/>
          <w:szCs w:val="32"/>
          <w:highlight w:val="none"/>
        </w:rPr>
        <w:t>（省生态环境厅、省住房城乡建设厅、省交通运输厅、省农业农村厅牵头，省商务厅、省市场监管局、长沙海关参与）</w:t>
      </w:r>
    </w:p>
    <w:p>
      <w:pPr>
        <w:pStyle w:val="37"/>
        <w:spacing w:line="600" w:lineRule="exact"/>
        <w:ind w:firstLine="643"/>
        <w:rPr>
          <w:rFonts w:ascii="仿宋_GB2312"/>
          <w:color w:val="auto"/>
          <w:sz w:val="32"/>
          <w:szCs w:val="32"/>
          <w:highlight w:val="none"/>
        </w:rPr>
      </w:pPr>
      <w:r>
        <w:rPr>
          <w:rFonts w:hint="eastAsia" w:ascii="仿宋_GB2312" w:hAnsi="仿宋_GB2312" w:cs="仿宋_GB2312"/>
          <w:b/>
          <w:color w:val="auto"/>
          <w:sz w:val="32"/>
          <w:szCs w:val="32"/>
          <w:highlight w:val="none"/>
        </w:rPr>
        <w:t>燃油清洁化行动。</w:t>
      </w:r>
      <w:r>
        <w:rPr>
          <w:rFonts w:hint="eastAsia" w:ascii="仿宋_GB2312" w:hAnsi="仿宋_GB2312" w:cs="仿宋_GB2312"/>
          <w:color w:val="auto"/>
          <w:sz w:val="32"/>
          <w:szCs w:val="32"/>
          <w:highlight w:val="none"/>
        </w:rPr>
        <w:t>持续开展非标油专项联合执法行动，集中打击和清理取缔黑加油站、流动加油车，对使用非标油品的运输企业和施工单位进行严厉处罚。六市开展常态化油品和车用尿素质量监督抽查工作。到2025年底前，柴油和车用尿素抽检合格率均达到97%以上。</w:t>
      </w:r>
      <w:r>
        <w:rPr>
          <w:rFonts w:hint="eastAsia" w:ascii="仿宋_GB2312" w:hAnsi="仿宋_GB2312" w:cs="仿宋_GB2312"/>
          <w:b/>
          <w:bCs/>
          <w:color w:val="auto"/>
          <w:sz w:val="32"/>
          <w:szCs w:val="32"/>
          <w:highlight w:val="none"/>
        </w:rPr>
        <w:t>（省商务厅、省市场监管局牵头，省公安厅、省交通运输厅、省商务厅、省应急厅、省税务局参与）</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（十二）实施面源系统整治攻坚专项行动</w:t>
      </w:r>
    </w:p>
    <w:p>
      <w:pPr>
        <w:spacing w:line="600" w:lineRule="exact"/>
        <w:ind w:firstLine="643" w:firstLineChars="200"/>
        <w:rPr>
          <w:rFonts w:ascii="仿宋_GB2312" w:hAnsi="Times New Roman" w:eastAsia="仿宋_GB2312" w:cs="Times New Roman"/>
          <w:b/>
          <w:bCs/>
          <w:color w:val="auto"/>
          <w:sz w:val="32"/>
          <w:szCs w:val="32"/>
          <w:highlight w:val="none"/>
        </w:rPr>
      </w:pPr>
      <w:r>
        <w:rPr>
          <w:rFonts w:hint="eastAsia" w:ascii="仿宋_GB2312" w:hAnsi="Times New Roman" w:eastAsia="仿宋_GB2312" w:cs="Times New Roman"/>
          <w:b/>
          <w:color w:val="auto"/>
          <w:sz w:val="32"/>
          <w:szCs w:val="32"/>
          <w:highlight w:val="none"/>
        </w:rPr>
        <w:t>扬尘污染综合整治行动。</w:t>
      </w:r>
      <w:r>
        <w:rPr>
          <w:rFonts w:hint="eastAsia" w:ascii="仿宋_GB2312" w:hAnsi="Times New Roman" w:eastAsia="仿宋_GB2312"/>
          <w:color w:val="auto"/>
          <w:sz w:val="32"/>
          <w:szCs w:val="32"/>
          <w:highlight w:val="none"/>
        </w:rPr>
        <w:t>完善施工、道路扬尘精细化治理监管机制，</w:t>
      </w:r>
      <w:r>
        <w:rPr>
          <w:rFonts w:hint="eastAsia" w:ascii="仿宋_GB2312" w:hAnsi="Times New Roman" w:eastAsia="仿宋_GB2312" w:cs="Times New Roman"/>
          <w:color w:val="auto"/>
          <w:sz w:val="32"/>
          <w:szCs w:val="32"/>
          <w:highlight w:val="none"/>
        </w:rPr>
        <w:t>严格执行“6个100%”措施标准，</w:t>
      </w:r>
      <w:r>
        <w:rPr>
          <w:rFonts w:hint="eastAsia" w:ascii="仿宋_GB2312" w:hAnsi="Times New Roman" w:eastAsia="仿宋_GB2312"/>
          <w:color w:val="auto"/>
          <w:sz w:val="32"/>
          <w:szCs w:val="32"/>
          <w:highlight w:val="none"/>
        </w:rPr>
        <w:t>提高道路保洁机械化装备水平和作业能力，推行渣土车标准化管理和道路积尘负荷评价，稳步推进装配式建筑发展，到2025年底前，六市装配式建筑占新建建筑面积的比例均达到35%。加强露天矿山、堆场扬尘综合整治，持续推进绿色矿山建设，加快历史遗留矿山的生态修复，有效实施堆场防尘抑尘措施。到2025年底前，长沙、株洲、湘潭平均降尘量均较2021年下降10%以上，常德、益阳和岳阳PM</w:t>
      </w:r>
      <w:r>
        <w:rPr>
          <w:rFonts w:hint="eastAsia" w:ascii="仿宋_GB2312" w:hAnsi="Times New Roman" w:eastAsia="仿宋_GB2312"/>
          <w:color w:val="auto"/>
          <w:sz w:val="32"/>
          <w:szCs w:val="32"/>
          <w:highlight w:val="none"/>
          <w:vertAlign w:val="subscript"/>
        </w:rPr>
        <w:t>10</w:t>
      </w:r>
      <w:r>
        <w:rPr>
          <w:rFonts w:hint="eastAsia" w:ascii="仿宋_GB2312" w:hAnsi="Times New Roman" w:eastAsia="仿宋_GB2312"/>
          <w:color w:val="auto"/>
          <w:sz w:val="32"/>
          <w:szCs w:val="32"/>
          <w:highlight w:val="none"/>
        </w:rPr>
        <w:t>年均浓度较2021年下降5%以上，力争达到全省平均水平，并尽快启动降尘量监测工作。</w:t>
      </w:r>
      <w:r>
        <w:rPr>
          <w:rFonts w:hint="eastAsia" w:ascii="仿宋_GB2312" w:hAnsi="Times New Roman" w:eastAsia="仿宋_GB2312" w:cs="Times New Roman"/>
          <w:b/>
          <w:bCs/>
          <w:color w:val="auto"/>
          <w:sz w:val="32"/>
          <w:szCs w:val="32"/>
          <w:highlight w:val="none"/>
        </w:rPr>
        <w:t>（省自然资源厅、省生态环境厅、省住房城乡建设厅、省交通运输厅、省水利厅按职责分工负责）</w:t>
      </w:r>
    </w:p>
    <w:p>
      <w:pPr>
        <w:spacing w:line="600" w:lineRule="exact"/>
        <w:ind w:firstLine="643" w:firstLineChars="200"/>
        <w:rPr>
          <w:rFonts w:ascii="仿宋_GB2312" w:hAnsi="Times New Roman" w:eastAsia="仿宋_GB2312"/>
          <w:color w:val="auto"/>
          <w:sz w:val="32"/>
          <w:szCs w:val="32"/>
          <w:highlight w:val="none"/>
        </w:rPr>
      </w:pPr>
      <w:r>
        <w:rPr>
          <w:rFonts w:hint="eastAsia" w:ascii="仿宋_GB2312" w:hAnsi="Times New Roman" w:eastAsia="仿宋_GB2312" w:cs="Times New Roman"/>
          <w:b/>
          <w:color w:val="auto"/>
          <w:sz w:val="32"/>
          <w:szCs w:val="32"/>
          <w:highlight w:val="none"/>
        </w:rPr>
        <w:t>餐饮油烟污染整治行动。</w:t>
      </w:r>
      <w:r>
        <w:rPr>
          <w:rFonts w:hint="eastAsia" w:ascii="仿宋_GB2312" w:hAnsi="Times New Roman" w:eastAsia="仿宋_GB2312"/>
          <w:color w:val="auto"/>
          <w:sz w:val="32"/>
          <w:szCs w:val="32"/>
          <w:highlight w:val="none"/>
        </w:rPr>
        <w:t>推广应用高效餐饮油烟治理技术装备，推动油烟净化设施第三方运维服务，</w:t>
      </w:r>
      <w:r>
        <w:rPr>
          <w:rFonts w:hint="eastAsia" w:ascii="仿宋_GB2312" w:eastAsia="仿宋_GB2312"/>
          <w:color w:val="auto"/>
          <w:sz w:val="32"/>
          <w:szCs w:val="32"/>
          <w:highlight w:val="none"/>
        </w:rPr>
        <w:t>加强城市建成区餐饮服务单位油烟排放监督性检测，</w:t>
      </w:r>
      <w:r>
        <w:rPr>
          <w:rFonts w:hint="eastAsia" w:ascii="仿宋_GB2312" w:hAnsi="Times New Roman" w:eastAsia="仿宋_GB2312"/>
          <w:color w:val="auto"/>
          <w:sz w:val="32"/>
          <w:szCs w:val="32"/>
          <w:highlight w:val="none"/>
        </w:rPr>
        <w:t>加大老旧居民区油烟控制设施改造力度，实现规模以上餐饮企业在线监控设施全覆盖。建立健全餐饮油烟防治动态监管机制，监督油烟净化设施运行维护正常，严格执法要求，依法查处餐饮行业环境违法行为。</w:t>
      </w:r>
      <w:r>
        <w:rPr>
          <w:rFonts w:hint="eastAsia" w:ascii="仿宋_GB2312" w:eastAsia="仿宋_GB2312"/>
          <w:b/>
          <w:bCs/>
          <w:color w:val="auto"/>
          <w:sz w:val="32"/>
          <w:szCs w:val="32"/>
          <w:highlight w:val="none"/>
        </w:rPr>
        <w:t>（省生态环境厅、省住房城乡建设厅按职责分工负责）</w:t>
      </w:r>
    </w:p>
    <w:p>
      <w:pPr>
        <w:pStyle w:val="37"/>
        <w:spacing w:line="600" w:lineRule="exact"/>
        <w:ind w:firstLine="643"/>
        <w:rPr>
          <w:rFonts w:ascii="仿宋_GB2312"/>
          <w:b/>
          <w:bCs/>
          <w:color w:val="auto"/>
          <w:sz w:val="32"/>
          <w:szCs w:val="32"/>
          <w:highlight w:val="none"/>
        </w:rPr>
      </w:pPr>
      <w:r>
        <w:rPr>
          <w:rFonts w:hint="eastAsia" w:ascii="仿宋_GB2312" w:hAnsi="Times New Roman"/>
          <w:b/>
          <w:bCs/>
          <w:color w:val="auto"/>
          <w:sz w:val="32"/>
          <w:szCs w:val="32"/>
          <w:highlight w:val="none"/>
        </w:rPr>
        <w:t>秸秆综合利用和露天禁烧行动。</w:t>
      </w:r>
      <w:r>
        <w:rPr>
          <w:rFonts w:hint="eastAsia" w:ascii="仿宋_GB2312" w:hAnsi="Times New Roman"/>
          <w:bCs/>
          <w:color w:val="auto"/>
          <w:sz w:val="32"/>
          <w:szCs w:val="32"/>
          <w:highlight w:val="none"/>
        </w:rPr>
        <w:t>加快秸秆综合利用技术探索和推广，因地制宜推进秸秆“五化”综合利用，推进秸秆收储运体系建设，进一步完善秸秆资源台账建设，提升秸秆综合利用率，到2025年底前，六市秸秆综合利用率稳定在88%以上。</w:t>
      </w:r>
      <w:r>
        <w:rPr>
          <w:rFonts w:hint="eastAsia" w:ascii="仿宋_GB2312"/>
          <w:color w:val="auto"/>
          <w:sz w:val="32"/>
          <w:szCs w:val="32"/>
          <w:highlight w:val="none"/>
        </w:rPr>
        <w:t>六市结合实际逐步扩大秸秆露天禁烧区域，</w:t>
      </w:r>
      <w:r>
        <w:rPr>
          <w:rFonts w:hint="eastAsia" w:ascii="仿宋_GB2312" w:hAnsi="Times New Roman"/>
          <w:bCs/>
          <w:color w:val="auto"/>
          <w:sz w:val="32"/>
          <w:szCs w:val="32"/>
          <w:highlight w:val="none"/>
        </w:rPr>
        <w:t>持续深化秸秆、垃圾网格化管理和“三执两巡”工作机制，提升监管水平和处置效率；加大秸秆、垃圾露天禁烧指导和巡查力度。</w:t>
      </w:r>
      <w:r>
        <w:rPr>
          <w:rFonts w:hint="eastAsia" w:ascii="仿宋_GB2312"/>
          <w:color w:val="auto"/>
          <w:sz w:val="32"/>
          <w:szCs w:val="32"/>
          <w:highlight w:val="none"/>
        </w:rPr>
        <w:t>加强烟花爆竹燃放管理，</w:t>
      </w:r>
      <w:r>
        <w:rPr>
          <w:rFonts w:hint="eastAsia" w:ascii="仿宋_GB2312" w:hAnsi="Times New Roman"/>
          <w:color w:val="auto"/>
          <w:sz w:val="32"/>
          <w:szCs w:val="32"/>
          <w:highlight w:val="none"/>
        </w:rPr>
        <w:t>推动六市完善烟花爆竹禁放政策。</w:t>
      </w:r>
      <w:r>
        <w:rPr>
          <w:rFonts w:hint="eastAsia" w:ascii="仿宋_GB2312"/>
          <w:b/>
          <w:bCs/>
          <w:color w:val="auto"/>
          <w:sz w:val="32"/>
          <w:szCs w:val="32"/>
          <w:highlight w:val="none"/>
        </w:rPr>
        <w:t>（省公安厅、省生态环境厅、省住房城乡建设厅、省农业农村厅、省应急管理厅按职责分工负责）</w:t>
      </w:r>
    </w:p>
    <w:p>
      <w:pPr>
        <w:pStyle w:val="37"/>
        <w:spacing w:line="600" w:lineRule="exact"/>
        <w:ind w:firstLine="643"/>
        <w:rPr>
          <w:rFonts w:ascii="仿宋_GB2312"/>
          <w:color w:val="auto"/>
          <w:sz w:val="32"/>
          <w:szCs w:val="32"/>
          <w:highlight w:val="none"/>
        </w:rPr>
      </w:pPr>
      <w:r>
        <w:rPr>
          <w:rFonts w:hint="eastAsia" w:ascii="仿宋_GB2312" w:hAnsi="Times New Roman"/>
          <w:b/>
          <w:bCs/>
          <w:color w:val="auto"/>
          <w:sz w:val="32"/>
          <w:szCs w:val="32"/>
          <w:highlight w:val="none"/>
        </w:rPr>
        <w:t>农业氨源污染防控行动。</w:t>
      </w:r>
      <w:r>
        <w:rPr>
          <w:rFonts w:hint="eastAsia" w:ascii="仿宋_GB2312" w:hAnsi="Times New Roman"/>
          <w:color w:val="auto"/>
          <w:sz w:val="32"/>
          <w:szCs w:val="32"/>
          <w:highlight w:val="none"/>
        </w:rPr>
        <w:t>持续推进畜禽粪污处理和资源化利用，到</w:t>
      </w:r>
      <w:r>
        <w:rPr>
          <w:rFonts w:ascii="仿宋_GB2312" w:hAnsi="Times New Roman"/>
          <w:color w:val="auto"/>
          <w:sz w:val="32"/>
          <w:szCs w:val="32"/>
          <w:highlight w:val="none"/>
        </w:rPr>
        <w:t>2025年底</w:t>
      </w:r>
      <w:r>
        <w:rPr>
          <w:rFonts w:hint="eastAsia" w:ascii="仿宋_GB2312" w:hAnsi="Times New Roman"/>
          <w:bCs/>
          <w:color w:val="auto"/>
          <w:sz w:val="32"/>
          <w:szCs w:val="32"/>
          <w:highlight w:val="none"/>
        </w:rPr>
        <w:t>前</w:t>
      </w:r>
      <w:r>
        <w:rPr>
          <w:rFonts w:ascii="仿宋_GB2312" w:hAnsi="Times New Roman"/>
          <w:color w:val="auto"/>
          <w:sz w:val="32"/>
          <w:szCs w:val="32"/>
          <w:highlight w:val="none"/>
        </w:rPr>
        <w:t>，六市畜禽粪污综合利用率达到80%以上，规模养殖场粪污处理设施装备配套率稳定在97%以上。</w:t>
      </w:r>
      <w:r>
        <w:rPr>
          <w:rFonts w:hint="eastAsia" w:ascii="仿宋_GB2312" w:hAnsi="Times New Roman"/>
          <w:color w:val="auto"/>
          <w:sz w:val="32"/>
          <w:szCs w:val="32"/>
          <w:highlight w:val="none"/>
        </w:rPr>
        <w:t>推广化肥减量增效技术，改进施肥方式、增施有机肥料，到</w:t>
      </w:r>
      <w:r>
        <w:rPr>
          <w:rFonts w:ascii="仿宋_GB2312" w:hAnsi="Times New Roman"/>
          <w:color w:val="auto"/>
          <w:sz w:val="32"/>
          <w:szCs w:val="32"/>
          <w:highlight w:val="none"/>
        </w:rPr>
        <w:t>2025年底</w:t>
      </w:r>
      <w:r>
        <w:rPr>
          <w:rFonts w:hint="eastAsia" w:ascii="仿宋_GB2312" w:hAnsi="Times New Roman"/>
          <w:bCs/>
          <w:color w:val="auto"/>
          <w:sz w:val="32"/>
          <w:szCs w:val="32"/>
          <w:highlight w:val="none"/>
        </w:rPr>
        <w:t>前</w:t>
      </w:r>
      <w:r>
        <w:rPr>
          <w:rFonts w:ascii="仿宋_GB2312" w:hAnsi="Times New Roman"/>
          <w:color w:val="auto"/>
          <w:sz w:val="32"/>
          <w:szCs w:val="32"/>
          <w:highlight w:val="none"/>
        </w:rPr>
        <w:t>，六市主要农作物测土配方施肥技术覆盖率达到90%以上，主要农作物化肥利用率达到43%以上。</w:t>
      </w:r>
      <w:r>
        <w:rPr>
          <w:rFonts w:hint="eastAsia" w:ascii="仿宋_GB2312"/>
          <w:b/>
          <w:bCs/>
          <w:color w:val="auto"/>
          <w:sz w:val="32"/>
          <w:szCs w:val="32"/>
          <w:highlight w:val="none"/>
        </w:rPr>
        <w:t>（省农业农村厅牵头）</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（十三）实施能力提升专项行动</w:t>
      </w:r>
    </w:p>
    <w:p>
      <w:pPr>
        <w:pStyle w:val="37"/>
        <w:spacing w:line="600" w:lineRule="exact"/>
        <w:ind w:firstLine="643"/>
        <w:rPr>
          <w:color w:val="auto"/>
          <w:sz w:val="32"/>
          <w:szCs w:val="32"/>
          <w:highlight w:val="none"/>
        </w:rPr>
      </w:pPr>
      <w:r>
        <w:rPr>
          <w:rFonts w:hint="eastAsia"/>
          <w:b/>
          <w:bCs/>
          <w:color w:val="auto"/>
          <w:sz w:val="32"/>
          <w:szCs w:val="32"/>
          <w:highlight w:val="none"/>
        </w:rPr>
        <w:t>监测监控能力提升行动。</w:t>
      </w:r>
      <w:r>
        <w:rPr>
          <w:rFonts w:hint="eastAsia"/>
          <w:color w:val="auto"/>
          <w:sz w:val="32"/>
          <w:szCs w:val="32"/>
          <w:highlight w:val="none"/>
        </w:rPr>
        <w:t>完善“天空地”一体化监测体系，加强数据应用与融合，推进大气重点排污单位依法安装自动监测设备，并联网稳定运行。对企业自行监测和第三方检测机构加大监督抽查力度，严格落实信用评价制度，公开不合格监测数据机构名单。</w:t>
      </w:r>
      <w:r>
        <w:rPr>
          <w:rFonts w:hint="eastAsia"/>
          <w:b/>
          <w:bCs/>
          <w:color w:val="auto"/>
          <w:sz w:val="32"/>
          <w:szCs w:val="32"/>
          <w:highlight w:val="none"/>
        </w:rPr>
        <w:t>（省生态环境厅牵头）</w:t>
      </w:r>
    </w:p>
    <w:p>
      <w:pPr>
        <w:pStyle w:val="37"/>
        <w:spacing w:line="600" w:lineRule="exact"/>
        <w:ind w:firstLine="643"/>
        <w:rPr>
          <w:rFonts w:ascii="仿宋_GB2312"/>
          <w:color w:val="auto"/>
          <w:sz w:val="32"/>
          <w:szCs w:val="32"/>
          <w:highlight w:val="none"/>
        </w:rPr>
      </w:pPr>
      <w:r>
        <w:rPr>
          <w:rFonts w:hint="eastAsia" w:ascii="仿宋_GB2312"/>
          <w:b/>
          <w:bCs/>
          <w:color w:val="auto"/>
          <w:sz w:val="32"/>
          <w:szCs w:val="32"/>
          <w:highlight w:val="none"/>
        </w:rPr>
        <w:t>执法监管能力提升行动。</w:t>
      </w:r>
      <w:r>
        <w:rPr>
          <w:rFonts w:hint="eastAsia" w:ascii="仿宋_GB2312"/>
          <w:color w:val="auto"/>
          <w:sz w:val="32"/>
          <w:szCs w:val="32"/>
          <w:highlight w:val="none"/>
        </w:rPr>
        <w:t>推动差异化执法监管，围绕标志性战役任务开展精准、高效环境执法行动，提升利用电力大数据、在线监测数据、视频监控网络、OBD系统等非现场手段环境监督执法水平，在油品质量、柴油车尾气排放等领域实施多部门联合执法。加强监督执法正面清单管理。</w:t>
      </w:r>
      <w:r>
        <w:rPr>
          <w:rFonts w:hint="eastAsia" w:ascii="仿宋_GB2312"/>
          <w:b/>
          <w:bCs/>
          <w:color w:val="auto"/>
          <w:sz w:val="32"/>
          <w:szCs w:val="32"/>
          <w:highlight w:val="none"/>
        </w:rPr>
        <w:t>（省生态环境厅</w:t>
      </w:r>
      <w:r>
        <w:rPr>
          <w:rFonts w:hint="eastAsia" w:ascii="仿宋_GB2312"/>
          <w:b/>
          <w:bCs/>
          <w:color w:val="auto"/>
          <w:sz w:val="32"/>
          <w:szCs w:val="32"/>
          <w:highlight w:val="none"/>
          <w:lang w:eastAsia="zh-CN"/>
        </w:rPr>
        <w:t>、</w:t>
      </w:r>
      <w:r>
        <w:rPr>
          <w:rFonts w:hint="eastAsia" w:ascii="仿宋_GB2312"/>
          <w:b/>
          <w:bCs/>
          <w:color w:val="auto"/>
          <w:sz w:val="32"/>
          <w:szCs w:val="32"/>
          <w:highlight w:val="none"/>
        </w:rPr>
        <w:t>省公安厅牵头，省住房城乡建设厅、省农业农村厅、省电力公司参与）</w:t>
      </w:r>
    </w:p>
    <w:p>
      <w:pPr>
        <w:pStyle w:val="37"/>
        <w:spacing w:line="600" w:lineRule="exact"/>
        <w:ind w:firstLine="643"/>
        <w:rPr>
          <w:color w:val="auto"/>
          <w:sz w:val="32"/>
          <w:szCs w:val="32"/>
          <w:highlight w:val="none"/>
        </w:rPr>
      </w:pPr>
      <w:r>
        <w:rPr>
          <w:rFonts w:hint="eastAsia"/>
          <w:b/>
          <w:bCs/>
          <w:color w:val="auto"/>
          <w:sz w:val="32"/>
          <w:szCs w:val="32"/>
          <w:highlight w:val="none"/>
        </w:rPr>
        <w:t>科技支撑能力提升行动。</w:t>
      </w:r>
      <w:r>
        <w:rPr>
          <w:rFonts w:hint="eastAsia"/>
          <w:color w:val="auto"/>
          <w:sz w:val="32"/>
          <w:szCs w:val="32"/>
          <w:highlight w:val="none"/>
        </w:rPr>
        <w:t>构建复合污染监测预报、精准溯源、深度治理、智慧监管、科学评估的全过程科技支撑体系。鼓励开展“一市一策”驻点跟踪研究，加强省级大气污染防治专家技术团队建设。培育壮大技术创新主体，加强大气污染防治科技基础能力建设。</w:t>
      </w:r>
      <w:r>
        <w:rPr>
          <w:rFonts w:hint="eastAsia"/>
          <w:b/>
          <w:bCs/>
          <w:color w:val="auto"/>
          <w:sz w:val="32"/>
          <w:szCs w:val="32"/>
          <w:highlight w:val="none"/>
        </w:rPr>
        <w:t>（</w:t>
      </w:r>
      <w:commentRangeStart w:id="2"/>
      <w:r>
        <w:rPr>
          <w:rFonts w:hint="eastAsia"/>
          <w:b/>
          <w:bCs/>
          <w:color w:val="auto"/>
          <w:sz w:val="32"/>
          <w:szCs w:val="32"/>
          <w:highlight w:val="none"/>
        </w:rPr>
        <w:t>省生态环境厅牵头</w:t>
      </w:r>
      <w:commentRangeEnd w:id="2"/>
      <w:r>
        <w:rPr>
          <w:color w:val="auto"/>
          <w:highlight w:val="none"/>
        </w:rPr>
        <w:commentReference w:id="2"/>
      </w:r>
      <w:r>
        <w:rPr>
          <w:rFonts w:hint="eastAsia"/>
          <w:b/>
          <w:bCs/>
          <w:color w:val="auto"/>
          <w:sz w:val="32"/>
          <w:szCs w:val="32"/>
          <w:highlight w:val="none"/>
        </w:rPr>
        <w:t>，省科技厅、省工业和信息化厅、省财政厅参与）</w:t>
      </w:r>
    </w:p>
    <w:p>
      <w:pPr>
        <w:pStyle w:val="2"/>
        <w:spacing w:before="0" w:beforeLines="0" w:line="600" w:lineRule="exact"/>
        <w:ind w:firstLine="640" w:firstLineChars="200"/>
        <w:rPr>
          <w:color w:val="auto"/>
          <w:szCs w:val="32"/>
          <w:highlight w:val="none"/>
        </w:rPr>
      </w:pPr>
      <w:r>
        <w:rPr>
          <w:rFonts w:hint="eastAsia"/>
          <w:color w:val="auto"/>
          <w:szCs w:val="32"/>
          <w:highlight w:val="none"/>
        </w:rPr>
        <w:t>四、保障措施</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（十四）加强组织领导、严格监督考核</w:t>
      </w:r>
    </w:p>
    <w:p>
      <w:pPr>
        <w:pStyle w:val="37"/>
        <w:spacing w:line="600" w:lineRule="exact"/>
        <w:ind w:firstLine="640"/>
        <w:rPr>
          <w:color w:val="auto"/>
          <w:sz w:val="32"/>
          <w:szCs w:val="32"/>
          <w:highlight w:val="none"/>
        </w:rPr>
      </w:pPr>
      <w:r>
        <w:rPr>
          <w:rFonts w:hint="eastAsia"/>
          <w:color w:val="auto"/>
          <w:sz w:val="32"/>
          <w:szCs w:val="32"/>
          <w:highlight w:val="none"/>
        </w:rPr>
        <w:t>各地市人民政府作为本市环境空气质量达标及大气污染防治工作的责任主体，结合本地实际制定行动计划实施方案，明确任务分工和部门职责，细化具体措施。省直相关部门按国家和省决策部署牵头抓好主管领域相关工作，建立部门推进计划落实的分工协作、联络会商等机制，研究存在的问题，提出工作建议，制订完善相关政策措施。省生环委办公室组织开展行动计划具体实施工作，健全统筹协调与调度考核相关制度，组织审议重点和难点问题，指导、督促地方政府和有关部门按期落实各项任务措施。</w:t>
      </w:r>
    </w:p>
    <w:p>
      <w:pPr>
        <w:pStyle w:val="37"/>
        <w:spacing w:line="600" w:lineRule="exact"/>
        <w:ind w:firstLine="640"/>
        <w:rPr>
          <w:color w:val="auto"/>
          <w:sz w:val="32"/>
          <w:szCs w:val="32"/>
          <w:highlight w:val="none"/>
        </w:rPr>
      </w:pPr>
      <w:r>
        <w:rPr>
          <w:rFonts w:hint="eastAsia"/>
          <w:color w:val="auto"/>
          <w:sz w:val="32"/>
          <w:szCs w:val="32"/>
          <w:highlight w:val="none"/>
        </w:rPr>
        <w:t>将空气质量达标阶段和终期目标完成情况作为深入打好污染防治攻坚战成效考核的重要内容，对超额完成改善目标的地市给予奖励，对未完成目标任务的地市依法依规实行通报批评，约谈问责主要责任人。有关任务落实情况纳入省级生态环境保护督察，对不作为、慢作为、乱作为以及问题突出的市、县（区）开展点穴式、机动式专项督察。组织开展六市常态化交叉监督检查，完善交叉监督检查相关实施规范和行动准则。六市人民政府要健全监督考核机制，建立和完善“季讲评”“月调度”“周通报”等定期监督考核形式。</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（十五）完善法规政策、落实资金保障</w:t>
      </w:r>
    </w:p>
    <w:p>
      <w:pPr>
        <w:pStyle w:val="37"/>
        <w:spacing w:line="600" w:lineRule="exact"/>
        <w:ind w:firstLine="640"/>
        <w:rPr>
          <w:color w:val="auto"/>
          <w:sz w:val="32"/>
          <w:szCs w:val="32"/>
          <w:highlight w:val="none"/>
        </w:rPr>
      </w:pPr>
      <w:r>
        <w:rPr>
          <w:rFonts w:hint="eastAsia"/>
          <w:color w:val="auto"/>
          <w:sz w:val="32"/>
          <w:szCs w:val="32"/>
          <w:highlight w:val="none"/>
        </w:rPr>
        <w:t>结合最新防治要求和本地实际，推动大气污染防治地方性法规的制修订，推进移动源、扬尘等事项专项立法。加大用电、用水价格政策支持力度，对限制类、淘汰类企业，以及满足超低排放要求、环境绩效先进的工业企业实施阶梯电价、水价政策，港口和机场岸基供电执行大工业电价，降低岸电使用服务费。六市加快制定新能源货车、国六柴油货车路权通行等鼓励性政策，探索开展按车辆排放清洁水平实施高速公路差异化收费</w:t>
      </w:r>
      <w:r>
        <w:rPr>
          <w:color w:val="auto"/>
          <w:sz w:val="32"/>
          <w:szCs w:val="32"/>
          <w:highlight w:val="none"/>
        </w:rPr>
        <w:t>。</w:t>
      </w:r>
    </w:p>
    <w:p>
      <w:pPr>
        <w:pStyle w:val="37"/>
        <w:spacing w:line="600" w:lineRule="exact"/>
        <w:ind w:firstLine="640"/>
        <w:rPr>
          <w:color w:val="auto"/>
          <w:sz w:val="32"/>
          <w:szCs w:val="32"/>
          <w:highlight w:val="none"/>
        </w:rPr>
      </w:pPr>
      <w:r>
        <w:rPr>
          <w:rFonts w:hint="eastAsia"/>
          <w:color w:val="auto"/>
          <w:sz w:val="32"/>
          <w:szCs w:val="32"/>
          <w:highlight w:val="none"/>
        </w:rPr>
        <w:t>各级人民政府要统筹做好大气污染防治经费保障。拓宽资金来源渠道，</w:t>
      </w:r>
      <w:r>
        <w:rPr>
          <w:color w:val="auto"/>
          <w:sz w:val="32"/>
          <w:szCs w:val="32"/>
          <w:highlight w:val="none"/>
        </w:rPr>
        <w:t>加大信贷融资支持力度</w:t>
      </w:r>
      <w:r>
        <w:rPr>
          <w:rFonts w:hint="eastAsia"/>
          <w:color w:val="auto"/>
          <w:sz w:val="32"/>
          <w:szCs w:val="32"/>
          <w:highlight w:val="none"/>
        </w:rPr>
        <w:t>，</w:t>
      </w:r>
      <w:r>
        <w:rPr>
          <w:color w:val="auto"/>
          <w:sz w:val="32"/>
          <w:szCs w:val="32"/>
          <w:highlight w:val="none"/>
        </w:rPr>
        <w:t>支持符合条件的企业通过债券市场进行直接融资，募集资金用于大气污染治理等</w:t>
      </w:r>
      <w:r>
        <w:rPr>
          <w:rFonts w:hint="eastAsia"/>
          <w:color w:val="auto"/>
          <w:sz w:val="32"/>
          <w:szCs w:val="32"/>
          <w:highlight w:val="none"/>
        </w:rPr>
        <w:t>。</w:t>
      </w:r>
      <w:r>
        <w:rPr>
          <w:color w:val="auto"/>
          <w:sz w:val="32"/>
          <w:szCs w:val="32"/>
          <w:highlight w:val="none"/>
        </w:rPr>
        <w:t>全面开放铁路专用线投资建设市场，鼓励金融机构加大对铁路和多式联运企业金融服务的支持力度，积极引导社会资本参与投资建设铁路专用</w:t>
      </w:r>
      <w:r>
        <w:rPr>
          <w:rFonts w:hint="eastAsia"/>
          <w:color w:val="auto"/>
          <w:sz w:val="32"/>
          <w:szCs w:val="32"/>
          <w:highlight w:val="none"/>
        </w:rPr>
        <w:t>线。推进六市制定和完善柴油车提前淘汰</w:t>
      </w:r>
      <w:r>
        <w:rPr>
          <w:color w:val="auto"/>
          <w:sz w:val="32"/>
          <w:szCs w:val="32"/>
          <w:highlight w:val="none"/>
        </w:rPr>
        <w:t>财政补贴</w:t>
      </w:r>
      <w:r>
        <w:rPr>
          <w:rFonts w:hint="eastAsia"/>
          <w:color w:val="auto"/>
          <w:sz w:val="32"/>
          <w:szCs w:val="32"/>
          <w:highlight w:val="none"/>
        </w:rPr>
        <w:t>政策</w:t>
      </w:r>
      <w:r>
        <w:rPr>
          <w:color w:val="auto"/>
          <w:sz w:val="32"/>
          <w:szCs w:val="32"/>
          <w:highlight w:val="none"/>
        </w:rPr>
        <w:t>。</w:t>
      </w:r>
      <w:r>
        <w:rPr>
          <w:rFonts w:hint="eastAsia"/>
          <w:color w:val="auto"/>
          <w:sz w:val="32"/>
          <w:szCs w:val="32"/>
          <w:highlight w:val="none"/>
        </w:rPr>
        <w:t>优化省级大气污染防治资金和奖补资金分配方案，向重点项目、改善力度大的地区</w:t>
      </w:r>
      <w:r>
        <w:rPr>
          <w:color w:val="auto"/>
          <w:sz w:val="32"/>
          <w:szCs w:val="32"/>
          <w:highlight w:val="none"/>
        </w:rPr>
        <w:t>倾斜</w:t>
      </w:r>
      <w:r>
        <w:rPr>
          <w:rFonts w:hint="eastAsia"/>
          <w:color w:val="auto"/>
          <w:sz w:val="32"/>
          <w:szCs w:val="32"/>
          <w:highlight w:val="none"/>
        </w:rPr>
        <w:t>。</w:t>
      </w:r>
    </w:p>
    <w:p>
      <w:pPr>
        <w:pStyle w:val="3"/>
        <w:spacing w:before="0" w:beforeLines="0" w:line="600" w:lineRule="exact"/>
        <w:ind w:left="0" w:leftChars="0" w:firstLine="640" w:firstLineChars="200"/>
        <w:rPr>
          <w:rFonts w:ascii="CESI楷体-GB2312" w:hAnsi="CESI楷体-GB2312" w:eastAsia="CESI楷体-GB2312" w:cs="CESI楷体-GB2312"/>
          <w:b w:val="0"/>
          <w:bCs w:val="0"/>
          <w:color w:val="auto"/>
          <w:highlight w:val="none"/>
        </w:rPr>
      </w:pPr>
      <w:r>
        <w:rPr>
          <w:rFonts w:hint="eastAsia" w:ascii="CESI楷体-GB2312" w:hAnsi="CESI楷体-GB2312" w:eastAsia="CESI楷体-GB2312" w:cs="CESI楷体-GB2312"/>
          <w:b w:val="0"/>
          <w:bCs w:val="0"/>
          <w:color w:val="auto"/>
          <w:highlight w:val="none"/>
        </w:rPr>
        <w:t>（十六）推进信息公开、强化帮扶宣传</w:t>
      </w:r>
    </w:p>
    <w:p>
      <w:pPr>
        <w:pStyle w:val="37"/>
        <w:spacing w:line="600" w:lineRule="exact"/>
        <w:ind w:firstLine="640"/>
        <w:rPr>
          <w:color w:val="auto"/>
          <w:sz w:val="32"/>
          <w:szCs w:val="32"/>
          <w:highlight w:val="none"/>
        </w:rPr>
      </w:pPr>
      <w:r>
        <w:rPr>
          <w:rFonts w:hint="eastAsia"/>
          <w:color w:val="auto"/>
          <w:sz w:val="32"/>
          <w:szCs w:val="32"/>
          <w:highlight w:val="none"/>
        </w:rPr>
        <w:t>完善空气质量排名、空气质量预报信息、任务落实情况等发布机制，建立大气污染防治专项问题督查、执法、整改情况信息公开制度。</w:t>
      </w:r>
      <w:r>
        <w:rPr>
          <w:color w:val="auto"/>
          <w:sz w:val="32"/>
          <w:szCs w:val="32"/>
          <w:highlight w:val="none"/>
        </w:rPr>
        <w:t>重点排污单位及时公布自行监测和污染排放数据、污染治理措施、环保违法处罚及整改等信息</w:t>
      </w:r>
      <w:r>
        <w:rPr>
          <w:rFonts w:hint="eastAsia"/>
          <w:color w:val="auto"/>
          <w:sz w:val="32"/>
          <w:szCs w:val="32"/>
          <w:highlight w:val="none"/>
        </w:rPr>
        <w:t>，</w:t>
      </w:r>
      <w:r>
        <w:rPr>
          <w:color w:val="auto"/>
          <w:sz w:val="32"/>
          <w:szCs w:val="32"/>
          <w:highlight w:val="none"/>
        </w:rPr>
        <w:t>已核发排污许可证的排污单位按要求公开污染物排放信息。</w:t>
      </w:r>
      <w:r>
        <w:rPr>
          <w:rFonts w:hint="eastAsia"/>
          <w:color w:val="auto"/>
          <w:sz w:val="32"/>
          <w:szCs w:val="32"/>
          <w:highlight w:val="none"/>
        </w:rPr>
        <w:t>将建设工程质量低劣、运营管理水平低、存在弄虚作假行为的排污单位和第三方治理、运维、检测机构依法依规列入失信联合惩戒对象名单，并定期向社会公布。</w:t>
      </w:r>
    </w:p>
    <w:p>
      <w:pPr>
        <w:pStyle w:val="37"/>
        <w:spacing w:line="600" w:lineRule="exact"/>
        <w:ind w:firstLine="640"/>
        <w:rPr>
          <w:rFonts w:ascii="仿宋_GB2312" w:hAnsi="Times New Roman"/>
          <w:color w:val="auto"/>
          <w:sz w:val="32"/>
          <w:szCs w:val="32"/>
          <w:highlight w:val="none"/>
        </w:rPr>
      </w:pPr>
      <w:r>
        <w:rPr>
          <w:rFonts w:hint="eastAsia" w:ascii="Times New Roman" w:hAnsi="Times New Roman"/>
          <w:color w:val="auto"/>
          <w:sz w:val="32"/>
          <w:szCs w:val="32"/>
          <w:highlight w:val="none"/>
        </w:rPr>
        <w:t>加强省级大气污染防治专家技术团队建设，针对地方和企业反映的技术困难和政策问题，持续开展“送政策、送技术、送服务”等帮扶活动。</w:t>
      </w:r>
      <w:r>
        <w:rPr>
          <w:rFonts w:hint="eastAsia"/>
          <w:color w:val="auto"/>
          <w:sz w:val="32"/>
          <w:szCs w:val="32"/>
          <w:highlight w:val="none"/>
        </w:rPr>
        <w:t>创新传播手段，</w:t>
      </w:r>
      <w:r>
        <w:rPr>
          <w:color w:val="auto"/>
          <w:sz w:val="32"/>
          <w:szCs w:val="32"/>
          <w:highlight w:val="none"/>
        </w:rPr>
        <w:t>广泛宣传解读</w:t>
      </w:r>
      <w:r>
        <w:rPr>
          <w:rFonts w:hint="eastAsia"/>
          <w:color w:val="auto"/>
          <w:sz w:val="32"/>
          <w:szCs w:val="32"/>
          <w:highlight w:val="none"/>
        </w:rPr>
        <w:t>大气污染防治政策举措、经验成效，推广大气污染防治实用技术及典型案例。普及大气环境与健康的基本理念知识，提升公民大气环境保护意识，做好重污染天气舆论与健康防护引导。</w:t>
      </w:r>
      <w:r>
        <w:rPr>
          <w:color w:val="auto"/>
          <w:sz w:val="32"/>
          <w:szCs w:val="32"/>
          <w:highlight w:val="none"/>
        </w:rPr>
        <w:t>完善举报奖励机制</w:t>
      </w:r>
      <w:r>
        <w:rPr>
          <w:rFonts w:hint="eastAsia"/>
          <w:color w:val="auto"/>
          <w:sz w:val="32"/>
          <w:szCs w:val="32"/>
          <w:highlight w:val="none"/>
        </w:rPr>
        <w:t>，</w:t>
      </w:r>
      <w:r>
        <w:rPr>
          <w:color w:val="auto"/>
          <w:sz w:val="32"/>
          <w:szCs w:val="32"/>
          <w:highlight w:val="none"/>
        </w:rPr>
        <w:t>鼓励公众</w:t>
      </w:r>
      <w:r>
        <w:rPr>
          <w:rFonts w:hint="eastAsia"/>
          <w:color w:val="auto"/>
          <w:sz w:val="32"/>
          <w:szCs w:val="32"/>
          <w:highlight w:val="none"/>
        </w:rPr>
        <w:t>积极</w:t>
      </w:r>
      <w:r>
        <w:rPr>
          <w:color w:val="auto"/>
          <w:sz w:val="32"/>
          <w:szCs w:val="32"/>
          <w:highlight w:val="none"/>
        </w:rPr>
        <w:t>提供环境违法行为线索</w:t>
      </w:r>
      <w:r>
        <w:rPr>
          <w:rFonts w:hint="eastAsia"/>
          <w:color w:val="auto"/>
          <w:sz w:val="32"/>
          <w:szCs w:val="32"/>
          <w:highlight w:val="none"/>
        </w:rPr>
        <w:t>。</w:t>
      </w:r>
      <w:r>
        <w:rPr>
          <w:rFonts w:hint="eastAsia" w:ascii="仿宋_GB2312" w:hAnsi="Times New Roman"/>
          <w:color w:val="auto"/>
          <w:sz w:val="32"/>
          <w:szCs w:val="32"/>
          <w:highlight w:val="none"/>
        </w:rPr>
        <w:t>倡导全社会“同呼吸共奋斗”，推动形成简约适度、绿色低碳、文明健康的生活方式和消费模式。</w:t>
      </w:r>
    </w:p>
    <w:p>
      <w:pPr>
        <w:pStyle w:val="37"/>
        <w:ind w:firstLine="0" w:firstLineChars="0"/>
        <w:rPr>
          <w:color w:val="auto"/>
          <w:highlight w:val="none"/>
        </w:rPr>
      </w:pPr>
    </w:p>
    <w:p>
      <w:pPr>
        <w:widowControl/>
        <w:jc w:val="left"/>
        <w:rPr>
          <w:rFonts w:ascii="仿宋" w:hAnsi="仿宋" w:eastAsia="仿宋_GB2312" w:cs="Times New Roman"/>
          <w:color w:val="auto"/>
          <w:sz w:val="30"/>
          <w:szCs w:val="28"/>
          <w:highlight w:val="none"/>
        </w:rPr>
      </w:pPr>
    </w:p>
    <w:sectPr>
      <w:footerReference r:id="rId5" w:type="default"/>
      <w:pgSz w:w="11906" w:h="16838"/>
      <w:pgMar w:top="1440" w:right="1701" w:bottom="1440" w:left="1701" w:header="709" w:footer="709"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8-12T09:20:18Z" w:initials="A">
    <w:p w14:paraId="53303C19">
      <w:pPr>
        <w:pStyle w:val="10"/>
      </w:pPr>
      <w:r>
        <w:rPr>
          <w:rFonts w:hint="eastAsia"/>
          <w:lang w:eastAsia="zh-CN"/>
        </w:rPr>
        <w:t>《达标计划》属于重大行政决策事项，应按照《重大行政决策程序暂行条例》规定程序作出。</w:t>
      </w:r>
    </w:p>
  </w:comment>
  <w:comment w:id="1" w:author="Administrator" w:date="2022-07-27T10:31:07Z" w:initials="A">
    <w:p w14:paraId="682203B9">
      <w:pPr>
        <w:pStyle w:val="10"/>
        <w:rPr>
          <w:rFonts w:hint="default" w:eastAsia="宋体"/>
          <w:lang w:val="en-US" w:eastAsia="zh-CN"/>
        </w:rPr>
      </w:pPr>
      <w:r>
        <w:rPr>
          <w:rFonts w:hint="eastAsia"/>
          <w:lang w:val="en-US" w:eastAsia="zh-CN"/>
        </w:rPr>
        <w:t>建议核实。</w:t>
      </w:r>
    </w:p>
  </w:comment>
  <w:comment w:id="2" w:author="Administrator" w:date="2022-08-12T11:59:57Z" w:initials="A">
    <w:p w14:paraId="1F43128E">
      <w:pPr>
        <w:pStyle w:val="10"/>
        <w:rPr>
          <w:rFonts w:hint="default" w:eastAsia="宋体"/>
          <w:lang w:val="en-US" w:eastAsia="zh-CN"/>
        </w:rPr>
      </w:pPr>
      <w:r>
        <w:rPr>
          <w:rFonts w:hint="eastAsia"/>
          <w:lang w:eastAsia="zh-CN"/>
        </w:rPr>
        <w:t>与意见采纳情况表第</w:t>
      </w:r>
      <w:r>
        <w:rPr>
          <w:rFonts w:hint="eastAsia"/>
          <w:lang w:val="en-US" w:eastAsia="zh-CN"/>
        </w:rPr>
        <w:t>7点采纳意见不一致，建议核实。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303C19" w15:done="1"/>
  <w15:commentEx w15:paraId="682203B9" w15:done="1"/>
  <w15:commentEx w15:paraId="1F43128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ESI楷体-GB2312">
    <w:altName w:val="微软雅黑"/>
    <w:panose1 w:val="000000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1565517962"/>
                          </w:sdtPr>
                          <w:sdtEndPr>
                            <w:rPr>
                              <w:rFonts w:hint="eastAsia" w:ascii="仿宋_GB2312" w:hAnsi="仿宋_GB2312" w:eastAsia="仿宋_GB2312" w:cs="仿宋_GB2312"/>
                              <w:sz w:val="28"/>
                              <w:szCs w:val="28"/>
                            </w:rPr>
                          </w:sdtEndPr>
                          <w:sdtContent>
                            <w:p>
                              <w:pPr>
                                <w:pStyle w:val="19"/>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1565517962"/>
                    </w:sdtPr>
                    <w:sdtEndPr>
                      <w:rPr>
                        <w:rFonts w:hint="eastAsia" w:ascii="仿宋_GB2312" w:hAnsi="仿宋_GB2312" w:eastAsia="仿宋_GB2312" w:cs="仿宋_GB2312"/>
                        <w:sz w:val="28"/>
                        <w:szCs w:val="28"/>
                      </w:rPr>
                    </w:sdtEndPr>
                    <w:sdtContent>
                      <w:p>
                        <w:pPr>
                          <w:pStyle w:val="19"/>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pPr>
                      <w:rPr>
                        <w:rFonts w:ascii="Times New Roman" w:hAnsi="Times New Roman" w:cs="Times New Roman"/>
                        <w:sz w:val="24"/>
                        <w:szCs w:val="24"/>
                      </w:rPr>
                    </w:pP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zNTQxMDO1tDQyMzBT0lEKTi0uzszPAykwqgUAK2i6uCwAAAA="/>
    <w:docVar w:name="commondata" w:val="eyJoZGlkIjoiZDllNTliOWNmMWVlNmZlOWEwMjU5OWRiY2NmMGI3NDMifQ=="/>
  </w:docVars>
  <w:rsids>
    <w:rsidRoot w:val="005A09F7"/>
    <w:rsid w:val="00000A65"/>
    <w:rsid w:val="00001911"/>
    <w:rsid w:val="000026AD"/>
    <w:rsid w:val="00002B1B"/>
    <w:rsid w:val="0000400F"/>
    <w:rsid w:val="000049A3"/>
    <w:rsid w:val="00005CE3"/>
    <w:rsid w:val="00006D8B"/>
    <w:rsid w:val="00007022"/>
    <w:rsid w:val="0000720A"/>
    <w:rsid w:val="0000788B"/>
    <w:rsid w:val="00011D20"/>
    <w:rsid w:val="000121A7"/>
    <w:rsid w:val="000140D3"/>
    <w:rsid w:val="0001442E"/>
    <w:rsid w:val="000160B3"/>
    <w:rsid w:val="000167B4"/>
    <w:rsid w:val="00016F58"/>
    <w:rsid w:val="0002173E"/>
    <w:rsid w:val="000222B5"/>
    <w:rsid w:val="000231D1"/>
    <w:rsid w:val="00023505"/>
    <w:rsid w:val="00023A3D"/>
    <w:rsid w:val="00024873"/>
    <w:rsid w:val="00024B05"/>
    <w:rsid w:val="000258DC"/>
    <w:rsid w:val="000263A3"/>
    <w:rsid w:val="00026D21"/>
    <w:rsid w:val="00027269"/>
    <w:rsid w:val="000307FE"/>
    <w:rsid w:val="00032DBB"/>
    <w:rsid w:val="000338AA"/>
    <w:rsid w:val="00034C6E"/>
    <w:rsid w:val="0003751D"/>
    <w:rsid w:val="00040D20"/>
    <w:rsid w:val="00041326"/>
    <w:rsid w:val="00045312"/>
    <w:rsid w:val="0004630C"/>
    <w:rsid w:val="000470F6"/>
    <w:rsid w:val="00047E73"/>
    <w:rsid w:val="00050284"/>
    <w:rsid w:val="00050356"/>
    <w:rsid w:val="000514F1"/>
    <w:rsid w:val="00051DCB"/>
    <w:rsid w:val="00053634"/>
    <w:rsid w:val="00054028"/>
    <w:rsid w:val="00054AD9"/>
    <w:rsid w:val="00054F79"/>
    <w:rsid w:val="00057113"/>
    <w:rsid w:val="000576A3"/>
    <w:rsid w:val="000603FB"/>
    <w:rsid w:val="000637B0"/>
    <w:rsid w:val="00064B50"/>
    <w:rsid w:val="00071BF6"/>
    <w:rsid w:val="00072B6A"/>
    <w:rsid w:val="0007340E"/>
    <w:rsid w:val="000736F4"/>
    <w:rsid w:val="00073FB5"/>
    <w:rsid w:val="00074793"/>
    <w:rsid w:val="00074BE5"/>
    <w:rsid w:val="00075F17"/>
    <w:rsid w:val="00075F40"/>
    <w:rsid w:val="000773E4"/>
    <w:rsid w:val="000774FD"/>
    <w:rsid w:val="000810A6"/>
    <w:rsid w:val="00083A5D"/>
    <w:rsid w:val="00086073"/>
    <w:rsid w:val="00087CAF"/>
    <w:rsid w:val="00090C48"/>
    <w:rsid w:val="00091FF2"/>
    <w:rsid w:val="00093118"/>
    <w:rsid w:val="00093BFF"/>
    <w:rsid w:val="00094CB7"/>
    <w:rsid w:val="000952FC"/>
    <w:rsid w:val="0009697F"/>
    <w:rsid w:val="00097049"/>
    <w:rsid w:val="00097D93"/>
    <w:rsid w:val="000A1948"/>
    <w:rsid w:val="000A2C53"/>
    <w:rsid w:val="000A61EC"/>
    <w:rsid w:val="000A6959"/>
    <w:rsid w:val="000A6AEA"/>
    <w:rsid w:val="000A70A9"/>
    <w:rsid w:val="000A73F3"/>
    <w:rsid w:val="000B0E13"/>
    <w:rsid w:val="000B2E8B"/>
    <w:rsid w:val="000B437D"/>
    <w:rsid w:val="000B5629"/>
    <w:rsid w:val="000B6844"/>
    <w:rsid w:val="000B7EA3"/>
    <w:rsid w:val="000C22BC"/>
    <w:rsid w:val="000C2D20"/>
    <w:rsid w:val="000C318C"/>
    <w:rsid w:val="000C5EF5"/>
    <w:rsid w:val="000C710A"/>
    <w:rsid w:val="000C71EB"/>
    <w:rsid w:val="000D171B"/>
    <w:rsid w:val="000D3324"/>
    <w:rsid w:val="000D659C"/>
    <w:rsid w:val="000D6654"/>
    <w:rsid w:val="000D6B45"/>
    <w:rsid w:val="000E1796"/>
    <w:rsid w:val="000E283E"/>
    <w:rsid w:val="000E4119"/>
    <w:rsid w:val="000E4FD2"/>
    <w:rsid w:val="000E52DD"/>
    <w:rsid w:val="000E5543"/>
    <w:rsid w:val="000F0250"/>
    <w:rsid w:val="000F0288"/>
    <w:rsid w:val="000F07A9"/>
    <w:rsid w:val="000F0877"/>
    <w:rsid w:val="000F2A5C"/>
    <w:rsid w:val="000F3CAB"/>
    <w:rsid w:val="000F3CEE"/>
    <w:rsid w:val="000F6618"/>
    <w:rsid w:val="000F7195"/>
    <w:rsid w:val="00100F55"/>
    <w:rsid w:val="001013AA"/>
    <w:rsid w:val="0010388F"/>
    <w:rsid w:val="00103EA9"/>
    <w:rsid w:val="00105261"/>
    <w:rsid w:val="0010649D"/>
    <w:rsid w:val="00106ACA"/>
    <w:rsid w:val="00107CDF"/>
    <w:rsid w:val="00107F59"/>
    <w:rsid w:val="00107F66"/>
    <w:rsid w:val="001105C2"/>
    <w:rsid w:val="001151D3"/>
    <w:rsid w:val="00120152"/>
    <w:rsid w:val="00121D9A"/>
    <w:rsid w:val="00121DC8"/>
    <w:rsid w:val="001227F2"/>
    <w:rsid w:val="0012308E"/>
    <w:rsid w:val="0012329A"/>
    <w:rsid w:val="0012365B"/>
    <w:rsid w:val="00123DB9"/>
    <w:rsid w:val="00123EFB"/>
    <w:rsid w:val="001257D5"/>
    <w:rsid w:val="001305CD"/>
    <w:rsid w:val="001308D9"/>
    <w:rsid w:val="00132494"/>
    <w:rsid w:val="00133018"/>
    <w:rsid w:val="001331ED"/>
    <w:rsid w:val="001349D3"/>
    <w:rsid w:val="00136A7D"/>
    <w:rsid w:val="00136AFB"/>
    <w:rsid w:val="001442C7"/>
    <w:rsid w:val="00145214"/>
    <w:rsid w:val="0014562F"/>
    <w:rsid w:val="0014626E"/>
    <w:rsid w:val="001469F9"/>
    <w:rsid w:val="001476FD"/>
    <w:rsid w:val="00150516"/>
    <w:rsid w:val="001506E5"/>
    <w:rsid w:val="00150795"/>
    <w:rsid w:val="00151F97"/>
    <w:rsid w:val="001523C7"/>
    <w:rsid w:val="00152497"/>
    <w:rsid w:val="00153970"/>
    <w:rsid w:val="00153C47"/>
    <w:rsid w:val="00153EDC"/>
    <w:rsid w:val="001541D6"/>
    <w:rsid w:val="00155F85"/>
    <w:rsid w:val="001574B3"/>
    <w:rsid w:val="001602AC"/>
    <w:rsid w:val="001615D8"/>
    <w:rsid w:val="00164819"/>
    <w:rsid w:val="0016648F"/>
    <w:rsid w:val="0017043F"/>
    <w:rsid w:val="00170BEC"/>
    <w:rsid w:val="00171DD3"/>
    <w:rsid w:val="001737F9"/>
    <w:rsid w:val="00173DA3"/>
    <w:rsid w:val="00175019"/>
    <w:rsid w:val="00175BAC"/>
    <w:rsid w:val="00175BF0"/>
    <w:rsid w:val="001771B5"/>
    <w:rsid w:val="00180189"/>
    <w:rsid w:val="0018031C"/>
    <w:rsid w:val="001807FF"/>
    <w:rsid w:val="001819E0"/>
    <w:rsid w:val="00187392"/>
    <w:rsid w:val="00191118"/>
    <w:rsid w:val="00191244"/>
    <w:rsid w:val="00194231"/>
    <w:rsid w:val="0019445A"/>
    <w:rsid w:val="00194E33"/>
    <w:rsid w:val="00195482"/>
    <w:rsid w:val="00195716"/>
    <w:rsid w:val="001969AD"/>
    <w:rsid w:val="00196FC9"/>
    <w:rsid w:val="001973B9"/>
    <w:rsid w:val="001A1B6C"/>
    <w:rsid w:val="001A2B6C"/>
    <w:rsid w:val="001A5FB3"/>
    <w:rsid w:val="001B183D"/>
    <w:rsid w:val="001B1ACF"/>
    <w:rsid w:val="001B1DCE"/>
    <w:rsid w:val="001B245C"/>
    <w:rsid w:val="001B2C69"/>
    <w:rsid w:val="001B3652"/>
    <w:rsid w:val="001B3755"/>
    <w:rsid w:val="001B3FD5"/>
    <w:rsid w:val="001B6057"/>
    <w:rsid w:val="001B728E"/>
    <w:rsid w:val="001C06C3"/>
    <w:rsid w:val="001C07BF"/>
    <w:rsid w:val="001C22C7"/>
    <w:rsid w:val="001C33AE"/>
    <w:rsid w:val="001C3EA0"/>
    <w:rsid w:val="001C56A4"/>
    <w:rsid w:val="001C5DA9"/>
    <w:rsid w:val="001C639A"/>
    <w:rsid w:val="001C7799"/>
    <w:rsid w:val="001C7CB1"/>
    <w:rsid w:val="001D07A6"/>
    <w:rsid w:val="001D361A"/>
    <w:rsid w:val="001D3D4A"/>
    <w:rsid w:val="001D6970"/>
    <w:rsid w:val="001D79EC"/>
    <w:rsid w:val="001E159C"/>
    <w:rsid w:val="001E221E"/>
    <w:rsid w:val="001E246A"/>
    <w:rsid w:val="001E2E5A"/>
    <w:rsid w:val="001E70B3"/>
    <w:rsid w:val="001E740A"/>
    <w:rsid w:val="001E7B5E"/>
    <w:rsid w:val="001E7ECB"/>
    <w:rsid w:val="001F0236"/>
    <w:rsid w:val="001F10AE"/>
    <w:rsid w:val="001F143A"/>
    <w:rsid w:val="001F197B"/>
    <w:rsid w:val="001F1A31"/>
    <w:rsid w:val="001F240C"/>
    <w:rsid w:val="001F38D3"/>
    <w:rsid w:val="001F4D70"/>
    <w:rsid w:val="001F56C4"/>
    <w:rsid w:val="001F5E3D"/>
    <w:rsid w:val="001F652C"/>
    <w:rsid w:val="00200128"/>
    <w:rsid w:val="00201383"/>
    <w:rsid w:val="002016DA"/>
    <w:rsid w:val="002019ED"/>
    <w:rsid w:val="00201BE0"/>
    <w:rsid w:val="0020323A"/>
    <w:rsid w:val="00205032"/>
    <w:rsid w:val="0020517E"/>
    <w:rsid w:val="00205695"/>
    <w:rsid w:val="0020787F"/>
    <w:rsid w:val="00213139"/>
    <w:rsid w:val="0021398B"/>
    <w:rsid w:val="00213B06"/>
    <w:rsid w:val="0021421B"/>
    <w:rsid w:val="0021459D"/>
    <w:rsid w:val="00216C52"/>
    <w:rsid w:val="00223F8B"/>
    <w:rsid w:val="00225E32"/>
    <w:rsid w:val="00226958"/>
    <w:rsid w:val="00226E71"/>
    <w:rsid w:val="002274D5"/>
    <w:rsid w:val="00227F4D"/>
    <w:rsid w:val="00231170"/>
    <w:rsid w:val="00231196"/>
    <w:rsid w:val="00231396"/>
    <w:rsid w:val="00231B72"/>
    <w:rsid w:val="00231D43"/>
    <w:rsid w:val="00231E5B"/>
    <w:rsid w:val="002322A0"/>
    <w:rsid w:val="00233DED"/>
    <w:rsid w:val="002342E7"/>
    <w:rsid w:val="00234500"/>
    <w:rsid w:val="00235D32"/>
    <w:rsid w:val="00237313"/>
    <w:rsid w:val="0024217A"/>
    <w:rsid w:val="00242605"/>
    <w:rsid w:val="00244B01"/>
    <w:rsid w:val="00246A2A"/>
    <w:rsid w:val="00251DD0"/>
    <w:rsid w:val="00252DFD"/>
    <w:rsid w:val="00253E22"/>
    <w:rsid w:val="002540F3"/>
    <w:rsid w:val="002543F6"/>
    <w:rsid w:val="002546AB"/>
    <w:rsid w:val="00254900"/>
    <w:rsid w:val="00254ABD"/>
    <w:rsid w:val="00255D64"/>
    <w:rsid w:val="0025607C"/>
    <w:rsid w:val="002564A3"/>
    <w:rsid w:val="002569C0"/>
    <w:rsid w:val="00256A94"/>
    <w:rsid w:val="00257B08"/>
    <w:rsid w:val="00260172"/>
    <w:rsid w:val="00261301"/>
    <w:rsid w:val="00261D92"/>
    <w:rsid w:val="0026301D"/>
    <w:rsid w:val="00263492"/>
    <w:rsid w:val="00263F42"/>
    <w:rsid w:val="00264FC9"/>
    <w:rsid w:val="002650B0"/>
    <w:rsid w:val="0026782D"/>
    <w:rsid w:val="0027079E"/>
    <w:rsid w:val="002709C3"/>
    <w:rsid w:val="00271ED1"/>
    <w:rsid w:val="00272527"/>
    <w:rsid w:val="00272680"/>
    <w:rsid w:val="00272896"/>
    <w:rsid w:val="002729E8"/>
    <w:rsid w:val="00272DA9"/>
    <w:rsid w:val="00272DF0"/>
    <w:rsid w:val="0027483B"/>
    <w:rsid w:val="00274F5C"/>
    <w:rsid w:val="00277598"/>
    <w:rsid w:val="00277A5C"/>
    <w:rsid w:val="0028060A"/>
    <w:rsid w:val="00281494"/>
    <w:rsid w:val="0028261F"/>
    <w:rsid w:val="00282F75"/>
    <w:rsid w:val="00284D73"/>
    <w:rsid w:val="002850D7"/>
    <w:rsid w:val="00285559"/>
    <w:rsid w:val="002864D3"/>
    <w:rsid w:val="002866A2"/>
    <w:rsid w:val="00286E75"/>
    <w:rsid w:val="002875AD"/>
    <w:rsid w:val="00287AFC"/>
    <w:rsid w:val="0029158D"/>
    <w:rsid w:val="0029334B"/>
    <w:rsid w:val="0029471F"/>
    <w:rsid w:val="00295281"/>
    <w:rsid w:val="00296AE4"/>
    <w:rsid w:val="00297B4C"/>
    <w:rsid w:val="002A03A5"/>
    <w:rsid w:val="002A29E6"/>
    <w:rsid w:val="002A38D0"/>
    <w:rsid w:val="002A3D6F"/>
    <w:rsid w:val="002A4E0C"/>
    <w:rsid w:val="002A6EF7"/>
    <w:rsid w:val="002A71F0"/>
    <w:rsid w:val="002A7396"/>
    <w:rsid w:val="002B09CA"/>
    <w:rsid w:val="002B14A4"/>
    <w:rsid w:val="002B4E16"/>
    <w:rsid w:val="002B72A0"/>
    <w:rsid w:val="002C0C85"/>
    <w:rsid w:val="002C1074"/>
    <w:rsid w:val="002C138E"/>
    <w:rsid w:val="002C1F00"/>
    <w:rsid w:val="002C2AC9"/>
    <w:rsid w:val="002C3339"/>
    <w:rsid w:val="002C35AA"/>
    <w:rsid w:val="002C3E23"/>
    <w:rsid w:val="002C5057"/>
    <w:rsid w:val="002C5430"/>
    <w:rsid w:val="002D0075"/>
    <w:rsid w:val="002D1331"/>
    <w:rsid w:val="002D1665"/>
    <w:rsid w:val="002D19BC"/>
    <w:rsid w:val="002D1F3F"/>
    <w:rsid w:val="002D21B1"/>
    <w:rsid w:val="002D2BD0"/>
    <w:rsid w:val="002D3CF2"/>
    <w:rsid w:val="002D3F21"/>
    <w:rsid w:val="002D5444"/>
    <w:rsid w:val="002D5D31"/>
    <w:rsid w:val="002D7170"/>
    <w:rsid w:val="002D7897"/>
    <w:rsid w:val="002E18C4"/>
    <w:rsid w:val="002E285E"/>
    <w:rsid w:val="002E317B"/>
    <w:rsid w:val="002E357A"/>
    <w:rsid w:val="002E6AC9"/>
    <w:rsid w:val="002E6F17"/>
    <w:rsid w:val="002E74E6"/>
    <w:rsid w:val="002F0A86"/>
    <w:rsid w:val="002F1140"/>
    <w:rsid w:val="002F11A7"/>
    <w:rsid w:val="002F1220"/>
    <w:rsid w:val="002F12F4"/>
    <w:rsid w:val="002F33AA"/>
    <w:rsid w:val="002F3450"/>
    <w:rsid w:val="002F3A9D"/>
    <w:rsid w:val="002F4442"/>
    <w:rsid w:val="002F534D"/>
    <w:rsid w:val="002F53DB"/>
    <w:rsid w:val="002F79B0"/>
    <w:rsid w:val="003016B3"/>
    <w:rsid w:val="0030175D"/>
    <w:rsid w:val="003025B4"/>
    <w:rsid w:val="0030449A"/>
    <w:rsid w:val="00305BA5"/>
    <w:rsid w:val="00306AC6"/>
    <w:rsid w:val="00306B67"/>
    <w:rsid w:val="0030705D"/>
    <w:rsid w:val="003070A0"/>
    <w:rsid w:val="00310F47"/>
    <w:rsid w:val="003115AA"/>
    <w:rsid w:val="0031327D"/>
    <w:rsid w:val="0031383B"/>
    <w:rsid w:val="00317B8C"/>
    <w:rsid w:val="003205A0"/>
    <w:rsid w:val="00321FF9"/>
    <w:rsid w:val="00322012"/>
    <w:rsid w:val="0032246D"/>
    <w:rsid w:val="0032259F"/>
    <w:rsid w:val="003229AD"/>
    <w:rsid w:val="00324AB9"/>
    <w:rsid w:val="00324B60"/>
    <w:rsid w:val="0032547F"/>
    <w:rsid w:val="00327862"/>
    <w:rsid w:val="003302F4"/>
    <w:rsid w:val="00330467"/>
    <w:rsid w:val="00330A25"/>
    <w:rsid w:val="00332E5D"/>
    <w:rsid w:val="00332F20"/>
    <w:rsid w:val="00333086"/>
    <w:rsid w:val="00334F22"/>
    <w:rsid w:val="00341330"/>
    <w:rsid w:val="0034201A"/>
    <w:rsid w:val="00343680"/>
    <w:rsid w:val="00345992"/>
    <w:rsid w:val="00346937"/>
    <w:rsid w:val="003478C3"/>
    <w:rsid w:val="00347CE9"/>
    <w:rsid w:val="00350E96"/>
    <w:rsid w:val="003520B7"/>
    <w:rsid w:val="0035282E"/>
    <w:rsid w:val="00352AD7"/>
    <w:rsid w:val="00352D7E"/>
    <w:rsid w:val="0035362B"/>
    <w:rsid w:val="00353BDF"/>
    <w:rsid w:val="00354698"/>
    <w:rsid w:val="00355272"/>
    <w:rsid w:val="00355C67"/>
    <w:rsid w:val="003601B1"/>
    <w:rsid w:val="0036089B"/>
    <w:rsid w:val="003612A7"/>
    <w:rsid w:val="00361A73"/>
    <w:rsid w:val="00363064"/>
    <w:rsid w:val="003630D0"/>
    <w:rsid w:val="003633B7"/>
    <w:rsid w:val="003639E4"/>
    <w:rsid w:val="00365C36"/>
    <w:rsid w:val="00366C70"/>
    <w:rsid w:val="00367033"/>
    <w:rsid w:val="00367D2C"/>
    <w:rsid w:val="00370C01"/>
    <w:rsid w:val="00371191"/>
    <w:rsid w:val="0037191A"/>
    <w:rsid w:val="003722D0"/>
    <w:rsid w:val="003729BA"/>
    <w:rsid w:val="00373C88"/>
    <w:rsid w:val="0037413F"/>
    <w:rsid w:val="003742E8"/>
    <w:rsid w:val="00374A1E"/>
    <w:rsid w:val="00374EA0"/>
    <w:rsid w:val="003802CC"/>
    <w:rsid w:val="00380779"/>
    <w:rsid w:val="00380944"/>
    <w:rsid w:val="00381008"/>
    <w:rsid w:val="00381680"/>
    <w:rsid w:val="00381C38"/>
    <w:rsid w:val="00383332"/>
    <w:rsid w:val="00383AA8"/>
    <w:rsid w:val="00384E9E"/>
    <w:rsid w:val="00386B23"/>
    <w:rsid w:val="003879B4"/>
    <w:rsid w:val="00390AC5"/>
    <w:rsid w:val="0039144A"/>
    <w:rsid w:val="00393D4D"/>
    <w:rsid w:val="00394AEC"/>
    <w:rsid w:val="00394F91"/>
    <w:rsid w:val="0039571A"/>
    <w:rsid w:val="003960AB"/>
    <w:rsid w:val="00397DD0"/>
    <w:rsid w:val="003A0698"/>
    <w:rsid w:val="003A266E"/>
    <w:rsid w:val="003A47C1"/>
    <w:rsid w:val="003A527D"/>
    <w:rsid w:val="003A5AB5"/>
    <w:rsid w:val="003A7273"/>
    <w:rsid w:val="003A72A8"/>
    <w:rsid w:val="003A7B4C"/>
    <w:rsid w:val="003A7E72"/>
    <w:rsid w:val="003B1A82"/>
    <w:rsid w:val="003B35EB"/>
    <w:rsid w:val="003B3A3F"/>
    <w:rsid w:val="003B3EBE"/>
    <w:rsid w:val="003B46C3"/>
    <w:rsid w:val="003B5694"/>
    <w:rsid w:val="003B5BA9"/>
    <w:rsid w:val="003B6EA6"/>
    <w:rsid w:val="003B78FC"/>
    <w:rsid w:val="003C05BD"/>
    <w:rsid w:val="003C0F52"/>
    <w:rsid w:val="003C2CF9"/>
    <w:rsid w:val="003C2EB8"/>
    <w:rsid w:val="003C3C76"/>
    <w:rsid w:val="003C685C"/>
    <w:rsid w:val="003C6D6E"/>
    <w:rsid w:val="003C7E06"/>
    <w:rsid w:val="003D0237"/>
    <w:rsid w:val="003D1DE6"/>
    <w:rsid w:val="003D1E95"/>
    <w:rsid w:val="003D2404"/>
    <w:rsid w:val="003D5F1C"/>
    <w:rsid w:val="003D602A"/>
    <w:rsid w:val="003D659A"/>
    <w:rsid w:val="003D675E"/>
    <w:rsid w:val="003D7715"/>
    <w:rsid w:val="003E00E7"/>
    <w:rsid w:val="003E24F9"/>
    <w:rsid w:val="003E367C"/>
    <w:rsid w:val="003E3DF6"/>
    <w:rsid w:val="003E51E3"/>
    <w:rsid w:val="003E59CA"/>
    <w:rsid w:val="003E65D3"/>
    <w:rsid w:val="003E6BBD"/>
    <w:rsid w:val="003E71BB"/>
    <w:rsid w:val="003E78FB"/>
    <w:rsid w:val="003E79A8"/>
    <w:rsid w:val="003E79C8"/>
    <w:rsid w:val="003F01EE"/>
    <w:rsid w:val="003F0C82"/>
    <w:rsid w:val="003F24DD"/>
    <w:rsid w:val="003F2547"/>
    <w:rsid w:val="003F3BB1"/>
    <w:rsid w:val="003F415B"/>
    <w:rsid w:val="003F4BB4"/>
    <w:rsid w:val="003F4F78"/>
    <w:rsid w:val="004002AD"/>
    <w:rsid w:val="004034ED"/>
    <w:rsid w:val="004039D5"/>
    <w:rsid w:val="004050F5"/>
    <w:rsid w:val="00405696"/>
    <w:rsid w:val="004062AB"/>
    <w:rsid w:val="0040768B"/>
    <w:rsid w:val="00411A69"/>
    <w:rsid w:val="00411F3E"/>
    <w:rsid w:val="00413602"/>
    <w:rsid w:val="0041379B"/>
    <w:rsid w:val="004147E4"/>
    <w:rsid w:val="0041596B"/>
    <w:rsid w:val="00415CB2"/>
    <w:rsid w:val="00415ECF"/>
    <w:rsid w:val="004172C9"/>
    <w:rsid w:val="00420312"/>
    <w:rsid w:val="00420A0E"/>
    <w:rsid w:val="00423F9B"/>
    <w:rsid w:val="00425A16"/>
    <w:rsid w:val="00425E80"/>
    <w:rsid w:val="00431913"/>
    <w:rsid w:val="004322A4"/>
    <w:rsid w:val="0043255D"/>
    <w:rsid w:val="00432708"/>
    <w:rsid w:val="00432FF5"/>
    <w:rsid w:val="00433D6D"/>
    <w:rsid w:val="00434BDC"/>
    <w:rsid w:val="00436993"/>
    <w:rsid w:val="0044054E"/>
    <w:rsid w:val="00440DDA"/>
    <w:rsid w:val="004416F9"/>
    <w:rsid w:val="00441720"/>
    <w:rsid w:val="00441A47"/>
    <w:rsid w:val="00441C43"/>
    <w:rsid w:val="00442112"/>
    <w:rsid w:val="004421A7"/>
    <w:rsid w:val="00442478"/>
    <w:rsid w:val="00444733"/>
    <w:rsid w:val="00446BD9"/>
    <w:rsid w:val="00447CC0"/>
    <w:rsid w:val="00450973"/>
    <w:rsid w:val="004516D8"/>
    <w:rsid w:val="00451BBB"/>
    <w:rsid w:val="004530AA"/>
    <w:rsid w:val="004536EF"/>
    <w:rsid w:val="0045406C"/>
    <w:rsid w:val="0045532F"/>
    <w:rsid w:val="00456DF3"/>
    <w:rsid w:val="0045746C"/>
    <w:rsid w:val="004577B3"/>
    <w:rsid w:val="004611A1"/>
    <w:rsid w:val="004627CA"/>
    <w:rsid w:val="00462A76"/>
    <w:rsid w:val="00462D6C"/>
    <w:rsid w:val="00463324"/>
    <w:rsid w:val="004678A8"/>
    <w:rsid w:val="00467FA3"/>
    <w:rsid w:val="00472271"/>
    <w:rsid w:val="00472506"/>
    <w:rsid w:val="00473040"/>
    <w:rsid w:val="0047349A"/>
    <w:rsid w:val="00473E5F"/>
    <w:rsid w:val="0047480B"/>
    <w:rsid w:val="004748E0"/>
    <w:rsid w:val="00475151"/>
    <w:rsid w:val="004764A2"/>
    <w:rsid w:val="00480076"/>
    <w:rsid w:val="00480476"/>
    <w:rsid w:val="00480BF2"/>
    <w:rsid w:val="004810E8"/>
    <w:rsid w:val="0048139F"/>
    <w:rsid w:val="00481CFA"/>
    <w:rsid w:val="004826F9"/>
    <w:rsid w:val="00484D4C"/>
    <w:rsid w:val="004860A1"/>
    <w:rsid w:val="00486816"/>
    <w:rsid w:val="00486AD7"/>
    <w:rsid w:val="00486D2C"/>
    <w:rsid w:val="00486E91"/>
    <w:rsid w:val="0048731F"/>
    <w:rsid w:val="00487B13"/>
    <w:rsid w:val="00487E86"/>
    <w:rsid w:val="00490045"/>
    <w:rsid w:val="004916D4"/>
    <w:rsid w:val="00492BA3"/>
    <w:rsid w:val="0049315A"/>
    <w:rsid w:val="00493B38"/>
    <w:rsid w:val="00494F43"/>
    <w:rsid w:val="0049507A"/>
    <w:rsid w:val="00495701"/>
    <w:rsid w:val="004A1373"/>
    <w:rsid w:val="004A1B07"/>
    <w:rsid w:val="004A2959"/>
    <w:rsid w:val="004A2E5F"/>
    <w:rsid w:val="004A4D51"/>
    <w:rsid w:val="004A5064"/>
    <w:rsid w:val="004A6691"/>
    <w:rsid w:val="004A6B01"/>
    <w:rsid w:val="004A7970"/>
    <w:rsid w:val="004B37A9"/>
    <w:rsid w:val="004B39E1"/>
    <w:rsid w:val="004B54D4"/>
    <w:rsid w:val="004B5C42"/>
    <w:rsid w:val="004B6439"/>
    <w:rsid w:val="004C1D74"/>
    <w:rsid w:val="004C266B"/>
    <w:rsid w:val="004C3467"/>
    <w:rsid w:val="004C3857"/>
    <w:rsid w:val="004C5104"/>
    <w:rsid w:val="004C5C55"/>
    <w:rsid w:val="004C5D51"/>
    <w:rsid w:val="004C5DB8"/>
    <w:rsid w:val="004C63BD"/>
    <w:rsid w:val="004C7C6D"/>
    <w:rsid w:val="004D13DC"/>
    <w:rsid w:val="004D3012"/>
    <w:rsid w:val="004D3A76"/>
    <w:rsid w:val="004D3FD1"/>
    <w:rsid w:val="004D63A1"/>
    <w:rsid w:val="004D6761"/>
    <w:rsid w:val="004D6C71"/>
    <w:rsid w:val="004D7B6B"/>
    <w:rsid w:val="004E0640"/>
    <w:rsid w:val="004E0672"/>
    <w:rsid w:val="004E1F3D"/>
    <w:rsid w:val="004E2BA1"/>
    <w:rsid w:val="004E39CA"/>
    <w:rsid w:val="004E4177"/>
    <w:rsid w:val="004E714D"/>
    <w:rsid w:val="004F10F9"/>
    <w:rsid w:val="004F167F"/>
    <w:rsid w:val="004F2354"/>
    <w:rsid w:val="004F3A9F"/>
    <w:rsid w:val="004F6C01"/>
    <w:rsid w:val="00500DC1"/>
    <w:rsid w:val="005023B2"/>
    <w:rsid w:val="00502619"/>
    <w:rsid w:val="005035F1"/>
    <w:rsid w:val="00505572"/>
    <w:rsid w:val="00506A32"/>
    <w:rsid w:val="00506CEF"/>
    <w:rsid w:val="00506D5E"/>
    <w:rsid w:val="00507390"/>
    <w:rsid w:val="00511C83"/>
    <w:rsid w:val="005120D1"/>
    <w:rsid w:val="005136F1"/>
    <w:rsid w:val="00513C83"/>
    <w:rsid w:val="0051600C"/>
    <w:rsid w:val="00516449"/>
    <w:rsid w:val="0051749F"/>
    <w:rsid w:val="00520864"/>
    <w:rsid w:val="00522BB9"/>
    <w:rsid w:val="00523375"/>
    <w:rsid w:val="005238E9"/>
    <w:rsid w:val="00524426"/>
    <w:rsid w:val="005246D2"/>
    <w:rsid w:val="00525EEF"/>
    <w:rsid w:val="00525FC1"/>
    <w:rsid w:val="00526629"/>
    <w:rsid w:val="005271CC"/>
    <w:rsid w:val="00530332"/>
    <w:rsid w:val="00530AD5"/>
    <w:rsid w:val="0053217B"/>
    <w:rsid w:val="00533BDA"/>
    <w:rsid w:val="005361D4"/>
    <w:rsid w:val="005368B0"/>
    <w:rsid w:val="005371DC"/>
    <w:rsid w:val="0053755F"/>
    <w:rsid w:val="005400FF"/>
    <w:rsid w:val="005423CD"/>
    <w:rsid w:val="00542C5E"/>
    <w:rsid w:val="00543ADD"/>
    <w:rsid w:val="005441CB"/>
    <w:rsid w:val="00545288"/>
    <w:rsid w:val="00545A00"/>
    <w:rsid w:val="00547A4E"/>
    <w:rsid w:val="00547BC4"/>
    <w:rsid w:val="00547DF9"/>
    <w:rsid w:val="00547F9B"/>
    <w:rsid w:val="0055012F"/>
    <w:rsid w:val="00551296"/>
    <w:rsid w:val="00552293"/>
    <w:rsid w:val="00554374"/>
    <w:rsid w:val="00554CC1"/>
    <w:rsid w:val="005565C4"/>
    <w:rsid w:val="0056011E"/>
    <w:rsid w:val="00561022"/>
    <w:rsid w:val="00562237"/>
    <w:rsid w:val="005625D3"/>
    <w:rsid w:val="005627F1"/>
    <w:rsid w:val="00562E23"/>
    <w:rsid w:val="005630B5"/>
    <w:rsid w:val="00563344"/>
    <w:rsid w:val="005636E1"/>
    <w:rsid w:val="00563BBB"/>
    <w:rsid w:val="00564612"/>
    <w:rsid w:val="00565692"/>
    <w:rsid w:val="005668CB"/>
    <w:rsid w:val="0056727D"/>
    <w:rsid w:val="00567437"/>
    <w:rsid w:val="00567631"/>
    <w:rsid w:val="0056795D"/>
    <w:rsid w:val="00567BC1"/>
    <w:rsid w:val="00567BEC"/>
    <w:rsid w:val="0057143A"/>
    <w:rsid w:val="00571D6A"/>
    <w:rsid w:val="0057201A"/>
    <w:rsid w:val="00572673"/>
    <w:rsid w:val="0057341B"/>
    <w:rsid w:val="0057428C"/>
    <w:rsid w:val="005751EA"/>
    <w:rsid w:val="005751F3"/>
    <w:rsid w:val="005755A9"/>
    <w:rsid w:val="0057628D"/>
    <w:rsid w:val="00576B94"/>
    <w:rsid w:val="005772EA"/>
    <w:rsid w:val="00577E7F"/>
    <w:rsid w:val="00582EA3"/>
    <w:rsid w:val="0058501C"/>
    <w:rsid w:val="005850A2"/>
    <w:rsid w:val="00585F79"/>
    <w:rsid w:val="0058653A"/>
    <w:rsid w:val="005872FA"/>
    <w:rsid w:val="005931C0"/>
    <w:rsid w:val="0059491A"/>
    <w:rsid w:val="00594A4A"/>
    <w:rsid w:val="00594FCC"/>
    <w:rsid w:val="00597CED"/>
    <w:rsid w:val="005A09F7"/>
    <w:rsid w:val="005A32D9"/>
    <w:rsid w:val="005A35CB"/>
    <w:rsid w:val="005A4A29"/>
    <w:rsid w:val="005A577D"/>
    <w:rsid w:val="005A6484"/>
    <w:rsid w:val="005A6B53"/>
    <w:rsid w:val="005A6BB9"/>
    <w:rsid w:val="005B0497"/>
    <w:rsid w:val="005B0D8B"/>
    <w:rsid w:val="005B1BA9"/>
    <w:rsid w:val="005B1D70"/>
    <w:rsid w:val="005B46CE"/>
    <w:rsid w:val="005B527C"/>
    <w:rsid w:val="005B5C9A"/>
    <w:rsid w:val="005C0039"/>
    <w:rsid w:val="005C3C1B"/>
    <w:rsid w:val="005C411F"/>
    <w:rsid w:val="005C4D3C"/>
    <w:rsid w:val="005C510A"/>
    <w:rsid w:val="005C5DB6"/>
    <w:rsid w:val="005C6FE3"/>
    <w:rsid w:val="005C7ECF"/>
    <w:rsid w:val="005C7FDE"/>
    <w:rsid w:val="005D0FE8"/>
    <w:rsid w:val="005D3426"/>
    <w:rsid w:val="005D4F63"/>
    <w:rsid w:val="005D533E"/>
    <w:rsid w:val="005D5C92"/>
    <w:rsid w:val="005D670A"/>
    <w:rsid w:val="005D6823"/>
    <w:rsid w:val="005D6A04"/>
    <w:rsid w:val="005D77F6"/>
    <w:rsid w:val="005E037E"/>
    <w:rsid w:val="005E08CA"/>
    <w:rsid w:val="005E3BD6"/>
    <w:rsid w:val="005E4510"/>
    <w:rsid w:val="005E457D"/>
    <w:rsid w:val="005E4B03"/>
    <w:rsid w:val="005E77F9"/>
    <w:rsid w:val="005F036A"/>
    <w:rsid w:val="005F33DA"/>
    <w:rsid w:val="005F6537"/>
    <w:rsid w:val="005F71FD"/>
    <w:rsid w:val="005F7555"/>
    <w:rsid w:val="005F7B47"/>
    <w:rsid w:val="006014A4"/>
    <w:rsid w:val="00601F37"/>
    <w:rsid w:val="006021A3"/>
    <w:rsid w:val="00602F36"/>
    <w:rsid w:val="00603865"/>
    <w:rsid w:val="00603B5F"/>
    <w:rsid w:val="0060533B"/>
    <w:rsid w:val="006056B6"/>
    <w:rsid w:val="00606D8A"/>
    <w:rsid w:val="006102CE"/>
    <w:rsid w:val="0061125D"/>
    <w:rsid w:val="00611433"/>
    <w:rsid w:val="00611C1F"/>
    <w:rsid w:val="00612277"/>
    <w:rsid w:val="00612E7E"/>
    <w:rsid w:val="00613686"/>
    <w:rsid w:val="00613EBD"/>
    <w:rsid w:val="00616CC4"/>
    <w:rsid w:val="00621054"/>
    <w:rsid w:val="0062148C"/>
    <w:rsid w:val="00624BD9"/>
    <w:rsid w:val="0062664C"/>
    <w:rsid w:val="006278B1"/>
    <w:rsid w:val="00627F0A"/>
    <w:rsid w:val="0063168F"/>
    <w:rsid w:val="006316E6"/>
    <w:rsid w:val="006317E8"/>
    <w:rsid w:val="00633946"/>
    <w:rsid w:val="00634741"/>
    <w:rsid w:val="00635A14"/>
    <w:rsid w:val="00636051"/>
    <w:rsid w:val="0063716D"/>
    <w:rsid w:val="00637D2B"/>
    <w:rsid w:val="00640302"/>
    <w:rsid w:val="00640D63"/>
    <w:rsid w:val="00642A9C"/>
    <w:rsid w:val="006450AB"/>
    <w:rsid w:val="006453E0"/>
    <w:rsid w:val="006455D5"/>
    <w:rsid w:val="00645684"/>
    <w:rsid w:val="00646603"/>
    <w:rsid w:val="0064672C"/>
    <w:rsid w:val="006475B1"/>
    <w:rsid w:val="00647D92"/>
    <w:rsid w:val="00647FD8"/>
    <w:rsid w:val="00652460"/>
    <w:rsid w:val="00655091"/>
    <w:rsid w:val="006554C1"/>
    <w:rsid w:val="00655C04"/>
    <w:rsid w:val="006566D7"/>
    <w:rsid w:val="0065715D"/>
    <w:rsid w:val="00657F6D"/>
    <w:rsid w:val="00661785"/>
    <w:rsid w:val="006617A7"/>
    <w:rsid w:val="00661C7A"/>
    <w:rsid w:val="00663012"/>
    <w:rsid w:val="006632A6"/>
    <w:rsid w:val="00663EAB"/>
    <w:rsid w:val="0066447E"/>
    <w:rsid w:val="006645BE"/>
    <w:rsid w:val="006656EE"/>
    <w:rsid w:val="00665D59"/>
    <w:rsid w:val="00665F75"/>
    <w:rsid w:val="0067042D"/>
    <w:rsid w:val="006707F6"/>
    <w:rsid w:val="00670864"/>
    <w:rsid w:val="00670E99"/>
    <w:rsid w:val="00672B01"/>
    <w:rsid w:val="0067305C"/>
    <w:rsid w:val="006730C9"/>
    <w:rsid w:val="006749DB"/>
    <w:rsid w:val="006751D3"/>
    <w:rsid w:val="006755AA"/>
    <w:rsid w:val="00676153"/>
    <w:rsid w:val="0067616C"/>
    <w:rsid w:val="00677763"/>
    <w:rsid w:val="00680537"/>
    <w:rsid w:val="00680E59"/>
    <w:rsid w:val="006841AA"/>
    <w:rsid w:val="006844C1"/>
    <w:rsid w:val="006846BB"/>
    <w:rsid w:val="00685247"/>
    <w:rsid w:val="00685B51"/>
    <w:rsid w:val="00686769"/>
    <w:rsid w:val="0068720B"/>
    <w:rsid w:val="00687CF4"/>
    <w:rsid w:val="0069068C"/>
    <w:rsid w:val="00691DD4"/>
    <w:rsid w:val="006929E2"/>
    <w:rsid w:val="0069417F"/>
    <w:rsid w:val="00695ED7"/>
    <w:rsid w:val="00695F27"/>
    <w:rsid w:val="00696757"/>
    <w:rsid w:val="006972A0"/>
    <w:rsid w:val="006A17A2"/>
    <w:rsid w:val="006A27CE"/>
    <w:rsid w:val="006A3C07"/>
    <w:rsid w:val="006A4C04"/>
    <w:rsid w:val="006A52BA"/>
    <w:rsid w:val="006A5897"/>
    <w:rsid w:val="006A71A2"/>
    <w:rsid w:val="006A7BB5"/>
    <w:rsid w:val="006B0BDA"/>
    <w:rsid w:val="006B1217"/>
    <w:rsid w:val="006B12A1"/>
    <w:rsid w:val="006B3298"/>
    <w:rsid w:val="006B351F"/>
    <w:rsid w:val="006B4D82"/>
    <w:rsid w:val="006B5830"/>
    <w:rsid w:val="006B59E6"/>
    <w:rsid w:val="006B7402"/>
    <w:rsid w:val="006B7D36"/>
    <w:rsid w:val="006C0179"/>
    <w:rsid w:val="006C0913"/>
    <w:rsid w:val="006C0B0B"/>
    <w:rsid w:val="006C4B43"/>
    <w:rsid w:val="006C5A86"/>
    <w:rsid w:val="006C6185"/>
    <w:rsid w:val="006C63C5"/>
    <w:rsid w:val="006C6AA5"/>
    <w:rsid w:val="006C7093"/>
    <w:rsid w:val="006D034E"/>
    <w:rsid w:val="006D0921"/>
    <w:rsid w:val="006D0E62"/>
    <w:rsid w:val="006D2859"/>
    <w:rsid w:val="006D5355"/>
    <w:rsid w:val="006D5CD6"/>
    <w:rsid w:val="006D5E80"/>
    <w:rsid w:val="006D7172"/>
    <w:rsid w:val="006D7B9E"/>
    <w:rsid w:val="006D7D15"/>
    <w:rsid w:val="006E05D8"/>
    <w:rsid w:val="006E35F0"/>
    <w:rsid w:val="006E37C4"/>
    <w:rsid w:val="006E4766"/>
    <w:rsid w:val="006E6E98"/>
    <w:rsid w:val="006E6F68"/>
    <w:rsid w:val="006E776A"/>
    <w:rsid w:val="006F156C"/>
    <w:rsid w:val="006F2317"/>
    <w:rsid w:val="006F37FE"/>
    <w:rsid w:val="006F7110"/>
    <w:rsid w:val="00700109"/>
    <w:rsid w:val="0070012A"/>
    <w:rsid w:val="0070048C"/>
    <w:rsid w:val="0070173A"/>
    <w:rsid w:val="0070174B"/>
    <w:rsid w:val="007017C0"/>
    <w:rsid w:val="00704587"/>
    <w:rsid w:val="0070470C"/>
    <w:rsid w:val="00706D11"/>
    <w:rsid w:val="00707E54"/>
    <w:rsid w:val="0071059B"/>
    <w:rsid w:val="0071069D"/>
    <w:rsid w:val="00710D24"/>
    <w:rsid w:val="00713C35"/>
    <w:rsid w:val="00713E88"/>
    <w:rsid w:val="00713ECA"/>
    <w:rsid w:val="00714661"/>
    <w:rsid w:val="00715D5A"/>
    <w:rsid w:val="00720488"/>
    <w:rsid w:val="00720973"/>
    <w:rsid w:val="007218F6"/>
    <w:rsid w:val="00722862"/>
    <w:rsid w:val="00722AB5"/>
    <w:rsid w:val="007240EE"/>
    <w:rsid w:val="007247E8"/>
    <w:rsid w:val="00724A80"/>
    <w:rsid w:val="00725B21"/>
    <w:rsid w:val="00726CA0"/>
    <w:rsid w:val="00727AC0"/>
    <w:rsid w:val="00730B83"/>
    <w:rsid w:val="0073223C"/>
    <w:rsid w:val="00733EA3"/>
    <w:rsid w:val="0073430D"/>
    <w:rsid w:val="00735F3F"/>
    <w:rsid w:val="00736F38"/>
    <w:rsid w:val="00737B5A"/>
    <w:rsid w:val="00737BDB"/>
    <w:rsid w:val="0074028C"/>
    <w:rsid w:val="0074315B"/>
    <w:rsid w:val="00743482"/>
    <w:rsid w:val="007442F4"/>
    <w:rsid w:val="007442F8"/>
    <w:rsid w:val="00744411"/>
    <w:rsid w:val="0074474E"/>
    <w:rsid w:val="00747904"/>
    <w:rsid w:val="007515AE"/>
    <w:rsid w:val="00754CC0"/>
    <w:rsid w:val="0075661F"/>
    <w:rsid w:val="00756A04"/>
    <w:rsid w:val="00757EFC"/>
    <w:rsid w:val="007608DA"/>
    <w:rsid w:val="00764308"/>
    <w:rsid w:val="007645AC"/>
    <w:rsid w:val="0076591C"/>
    <w:rsid w:val="007664EE"/>
    <w:rsid w:val="007665DB"/>
    <w:rsid w:val="007723F9"/>
    <w:rsid w:val="0077345A"/>
    <w:rsid w:val="00774AB9"/>
    <w:rsid w:val="00774EE4"/>
    <w:rsid w:val="00777132"/>
    <w:rsid w:val="00777A39"/>
    <w:rsid w:val="007801A3"/>
    <w:rsid w:val="00780D26"/>
    <w:rsid w:val="00781CA7"/>
    <w:rsid w:val="00782706"/>
    <w:rsid w:val="00783953"/>
    <w:rsid w:val="00783BCE"/>
    <w:rsid w:val="00783DD0"/>
    <w:rsid w:val="0078502B"/>
    <w:rsid w:val="00786429"/>
    <w:rsid w:val="00786C05"/>
    <w:rsid w:val="00787A95"/>
    <w:rsid w:val="00794077"/>
    <w:rsid w:val="00794AA6"/>
    <w:rsid w:val="0079750C"/>
    <w:rsid w:val="007A068B"/>
    <w:rsid w:val="007A09E8"/>
    <w:rsid w:val="007A1BF4"/>
    <w:rsid w:val="007A30BA"/>
    <w:rsid w:val="007A3619"/>
    <w:rsid w:val="007A50A1"/>
    <w:rsid w:val="007A5CB8"/>
    <w:rsid w:val="007A74DF"/>
    <w:rsid w:val="007A75A9"/>
    <w:rsid w:val="007A77FF"/>
    <w:rsid w:val="007A7CDC"/>
    <w:rsid w:val="007B01F9"/>
    <w:rsid w:val="007B096F"/>
    <w:rsid w:val="007B1B9F"/>
    <w:rsid w:val="007B2B73"/>
    <w:rsid w:val="007B5384"/>
    <w:rsid w:val="007B5A64"/>
    <w:rsid w:val="007B5DDF"/>
    <w:rsid w:val="007B6CF8"/>
    <w:rsid w:val="007B7522"/>
    <w:rsid w:val="007C0E59"/>
    <w:rsid w:val="007C2362"/>
    <w:rsid w:val="007C5EE3"/>
    <w:rsid w:val="007C6A60"/>
    <w:rsid w:val="007D0173"/>
    <w:rsid w:val="007D0A4D"/>
    <w:rsid w:val="007D0DD1"/>
    <w:rsid w:val="007D1820"/>
    <w:rsid w:val="007D19AA"/>
    <w:rsid w:val="007D3171"/>
    <w:rsid w:val="007D71ED"/>
    <w:rsid w:val="007E08AF"/>
    <w:rsid w:val="007E09BA"/>
    <w:rsid w:val="007E10BA"/>
    <w:rsid w:val="007E2A73"/>
    <w:rsid w:val="007E346A"/>
    <w:rsid w:val="007E3D14"/>
    <w:rsid w:val="007E4C13"/>
    <w:rsid w:val="007F080D"/>
    <w:rsid w:val="007F0BB7"/>
    <w:rsid w:val="007F1890"/>
    <w:rsid w:val="007F21DA"/>
    <w:rsid w:val="007F2FAE"/>
    <w:rsid w:val="007F46F0"/>
    <w:rsid w:val="007F52D7"/>
    <w:rsid w:val="007F694D"/>
    <w:rsid w:val="007F77C5"/>
    <w:rsid w:val="007F7A34"/>
    <w:rsid w:val="007F7F17"/>
    <w:rsid w:val="00800F4B"/>
    <w:rsid w:val="00800F56"/>
    <w:rsid w:val="00801C0C"/>
    <w:rsid w:val="0080310E"/>
    <w:rsid w:val="008042F9"/>
    <w:rsid w:val="0080436A"/>
    <w:rsid w:val="00804BC3"/>
    <w:rsid w:val="00804E22"/>
    <w:rsid w:val="00805617"/>
    <w:rsid w:val="0080713A"/>
    <w:rsid w:val="008071F9"/>
    <w:rsid w:val="00807DE7"/>
    <w:rsid w:val="00812A25"/>
    <w:rsid w:val="00812DA8"/>
    <w:rsid w:val="008145DE"/>
    <w:rsid w:val="0081547D"/>
    <w:rsid w:val="00815825"/>
    <w:rsid w:val="008163AB"/>
    <w:rsid w:val="008177E1"/>
    <w:rsid w:val="00817874"/>
    <w:rsid w:val="0082048E"/>
    <w:rsid w:val="0082057E"/>
    <w:rsid w:val="0082201B"/>
    <w:rsid w:val="00823B53"/>
    <w:rsid w:val="00823DAE"/>
    <w:rsid w:val="008256BB"/>
    <w:rsid w:val="00826AA2"/>
    <w:rsid w:val="00827B55"/>
    <w:rsid w:val="00831688"/>
    <w:rsid w:val="00831DD9"/>
    <w:rsid w:val="00833D50"/>
    <w:rsid w:val="0083453A"/>
    <w:rsid w:val="00834C73"/>
    <w:rsid w:val="008351C0"/>
    <w:rsid w:val="00835F84"/>
    <w:rsid w:val="0083684C"/>
    <w:rsid w:val="00836951"/>
    <w:rsid w:val="008372DE"/>
    <w:rsid w:val="008378C3"/>
    <w:rsid w:val="00837DDE"/>
    <w:rsid w:val="00841907"/>
    <w:rsid w:val="00841E94"/>
    <w:rsid w:val="0084453C"/>
    <w:rsid w:val="0084485C"/>
    <w:rsid w:val="008453F3"/>
    <w:rsid w:val="00846EDE"/>
    <w:rsid w:val="008471C0"/>
    <w:rsid w:val="00850C14"/>
    <w:rsid w:val="0085229B"/>
    <w:rsid w:val="0085364F"/>
    <w:rsid w:val="00853A8B"/>
    <w:rsid w:val="008543A5"/>
    <w:rsid w:val="00854BBE"/>
    <w:rsid w:val="008551C9"/>
    <w:rsid w:val="00855A33"/>
    <w:rsid w:val="008565D5"/>
    <w:rsid w:val="00861811"/>
    <w:rsid w:val="00863820"/>
    <w:rsid w:val="00864640"/>
    <w:rsid w:val="00864D5E"/>
    <w:rsid w:val="00865831"/>
    <w:rsid w:val="00866CC8"/>
    <w:rsid w:val="00866E9A"/>
    <w:rsid w:val="00866F65"/>
    <w:rsid w:val="00867FA1"/>
    <w:rsid w:val="00870768"/>
    <w:rsid w:val="00870E16"/>
    <w:rsid w:val="00871C09"/>
    <w:rsid w:val="0087269C"/>
    <w:rsid w:val="00873100"/>
    <w:rsid w:val="0087463A"/>
    <w:rsid w:val="008753A4"/>
    <w:rsid w:val="008765CB"/>
    <w:rsid w:val="00877993"/>
    <w:rsid w:val="00880283"/>
    <w:rsid w:val="00880479"/>
    <w:rsid w:val="00881D94"/>
    <w:rsid w:val="00882C95"/>
    <w:rsid w:val="0088328C"/>
    <w:rsid w:val="00883CF8"/>
    <w:rsid w:val="00883D17"/>
    <w:rsid w:val="00883E32"/>
    <w:rsid w:val="00884592"/>
    <w:rsid w:val="0088471F"/>
    <w:rsid w:val="00884F30"/>
    <w:rsid w:val="0088508C"/>
    <w:rsid w:val="00885BBB"/>
    <w:rsid w:val="00885D18"/>
    <w:rsid w:val="0088610E"/>
    <w:rsid w:val="00890E19"/>
    <w:rsid w:val="008927D8"/>
    <w:rsid w:val="008929CB"/>
    <w:rsid w:val="00893F6F"/>
    <w:rsid w:val="00894396"/>
    <w:rsid w:val="008961B7"/>
    <w:rsid w:val="00896EEC"/>
    <w:rsid w:val="008A1070"/>
    <w:rsid w:val="008A2EFC"/>
    <w:rsid w:val="008A42E8"/>
    <w:rsid w:val="008A608F"/>
    <w:rsid w:val="008A621B"/>
    <w:rsid w:val="008B2335"/>
    <w:rsid w:val="008B36D6"/>
    <w:rsid w:val="008B3BAD"/>
    <w:rsid w:val="008B401D"/>
    <w:rsid w:val="008B4089"/>
    <w:rsid w:val="008B6113"/>
    <w:rsid w:val="008C07ED"/>
    <w:rsid w:val="008C1A14"/>
    <w:rsid w:val="008C318E"/>
    <w:rsid w:val="008C451B"/>
    <w:rsid w:val="008D0A50"/>
    <w:rsid w:val="008D0E23"/>
    <w:rsid w:val="008D2520"/>
    <w:rsid w:val="008D3168"/>
    <w:rsid w:val="008D4E3C"/>
    <w:rsid w:val="008D568C"/>
    <w:rsid w:val="008D62C5"/>
    <w:rsid w:val="008D65E5"/>
    <w:rsid w:val="008D7369"/>
    <w:rsid w:val="008D73D8"/>
    <w:rsid w:val="008E16E6"/>
    <w:rsid w:val="008E2242"/>
    <w:rsid w:val="008E2C5D"/>
    <w:rsid w:val="008E3448"/>
    <w:rsid w:val="008E38A9"/>
    <w:rsid w:val="008E3AF6"/>
    <w:rsid w:val="008E78A6"/>
    <w:rsid w:val="008E78DF"/>
    <w:rsid w:val="008E7EE6"/>
    <w:rsid w:val="008F03FC"/>
    <w:rsid w:val="008F05B7"/>
    <w:rsid w:val="008F06C6"/>
    <w:rsid w:val="008F2B8A"/>
    <w:rsid w:val="008F32CB"/>
    <w:rsid w:val="008F4094"/>
    <w:rsid w:val="008F5BFE"/>
    <w:rsid w:val="008F71F9"/>
    <w:rsid w:val="009028D8"/>
    <w:rsid w:val="009048BC"/>
    <w:rsid w:val="00904CA3"/>
    <w:rsid w:val="00904DD6"/>
    <w:rsid w:val="00906653"/>
    <w:rsid w:val="00907D20"/>
    <w:rsid w:val="00907E90"/>
    <w:rsid w:val="009112BF"/>
    <w:rsid w:val="009123E7"/>
    <w:rsid w:val="00914AD7"/>
    <w:rsid w:val="00915003"/>
    <w:rsid w:val="009154E7"/>
    <w:rsid w:val="00916210"/>
    <w:rsid w:val="00920163"/>
    <w:rsid w:val="009203C7"/>
    <w:rsid w:val="00921A25"/>
    <w:rsid w:val="0092210F"/>
    <w:rsid w:val="0092355B"/>
    <w:rsid w:val="00924252"/>
    <w:rsid w:val="009244E5"/>
    <w:rsid w:val="0092547D"/>
    <w:rsid w:val="00926388"/>
    <w:rsid w:val="009274F9"/>
    <w:rsid w:val="00930307"/>
    <w:rsid w:val="009316C3"/>
    <w:rsid w:val="0093203A"/>
    <w:rsid w:val="00932778"/>
    <w:rsid w:val="00940935"/>
    <w:rsid w:val="00941000"/>
    <w:rsid w:val="009419AE"/>
    <w:rsid w:val="009419D2"/>
    <w:rsid w:val="00943014"/>
    <w:rsid w:val="00943270"/>
    <w:rsid w:val="00943C1D"/>
    <w:rsid w:val="00947577"/>
    <w:rsid w:val="00950FE3"/>
    <w:rsid w:val="0095122C"/>
    <w:rsid w:val="009516C1"/>
    <w:rsid w:val="00951BBC"/>
    <w:rsid w:val="00954CB4"/>
    <w:rsid w:val="00955D81"/>
    <w:rsid w:val="00955DE9"/>
    <w:rsid w:val="00955FDF"/>
    <w:rsid w:val="0095610A"/>
    <w:rsid w:val="009601E2"/>
    <w:rsid w:val="009603B8"/>
    <w:rsid w:val="00961F97"/>
    <w:rsid w:val="009628EC"/>
    <w:rsid w:val="00962FFC"/>
    <w:rsid w:val="009638EC"/>
    <w:rsid w:val="00965CAA"/>
    <w:rsid w:val="00966790"/>
    <w:rsid w:val="00967B27"/>
    <w:rsid w:val="0097065B"/>
    <w:rsid w:val="00970722"/>
    <w:rsid w:val="00971732"/>
    <w:rsid w:val="0097243E"/>
    <w:rsid w:val="00972DB0"/>
    <w:rsid w:val="00974F3A"/>
    <w:rsid w:val="009759DA"/>
    <w:rsid w:val="00975BEB"/>
    <w:rsid w:val="00976DBE"/>
    <w:rsid w:val="00980B2C"/>
    <w:rsid w:val="009856E1"/>
    <w:rsid w:val="0099000D"/>
    <w:rsid w:val="00990071"/>
    <w:rsid w:val="00990523"/>
    <w:rsid w:val="00991AC2"/>
    <w:rsid w:val="00993FC7"/>
    <w:rsid w:val="0099445C"/>
    <w:rsid w:val="0099492A"/>
    <w:rsid w:val="00994E5B"/>
    <w:rsid w:val="00996D87"/>
    <w:rsid w:val="009A1855"/>
    <w:rsid w:val="009A1DD3"/>
    <w:rsid w:val="009A1DF4"/>
    <w:rsid w:val="009A4EC7"/>
    <w:rsid w:val="009A6AF5"/>
    <w:rsid w:val="009A7530"/>
    <w:rsid w:val="009A7CF1"/>
    <w:rsid w:val="009B0D21"/>
    <w:rsid w:val="009B2541"/>
    <w:rsid w:val="009B3099"/>
    <w:rsid w:val="009B404A"/>
    <w:rsid w:val="009B5556"/>
    <w:rsid w:val="009B58B9"/>
    <w:rsid w:val="009B61B7"/>
    <w:rsid w:val="009B64B6"/>
    <w:rsid w:val="009B7CF5"/>
    <w:rsid w:val="009C0809"/>
    <w:rsid w:val="009C1102"/>
    <w:rsid w:val="009C1156"/>
    <w:rsid w:val="009C18A7"/>
    <w:rsid w:val="009C1BCB"/>
    <w:rsid w:val="009C47C1"/>
    <w:rsid w:val="009C4DCC"/>
    <w:rsid w:val="009C643C"/>
    <w:rsid w:val="009C7173"/>
    <w:rsid w:val="009C7964"/>
    <w:rsid w:val="009C7C7A"/>
    <w:rsid w:val="009C7DB9"/>
    <w:rsid w:val="009C7FAA"/>
    <w:rsid w:val="009D1768"/>
    <w:rsid w:val="009D1A01"/>
    <w:rsid w:val="009D3906"/>
    <w:rsid w:val="009D5B50"/>
    <w:rsid w:val="009E0254"/>
    <w:rsid w:val="009E0832"/>
    <w:rsid w:val="009E13B0"/>
    <w:rsid w:val="009E2A83"/>
    <w:rsid w:val="009E50EB"/>
    <w:rsid w:val="009E5515"/>
    <w:rsid w:val="009E7DD4"/>
    <w:rsid w:val="009F0149"/>
    <w:rsid w:val="009F12D1"/>
    <w:rsid w:val="009F1843"/>
    <w:rsid w:val="009F24CC"/>
    <w:rsid w:val="009F4653"/>
    <w:rsid w:val="009F48B6"/>
    <w:rsid w:val="009F5DFB"/>
    <w:rsid w:val="009F5E7C"/>
    <w:rsid w:val="009F5F82"/>
    <w:rsid w:val="009F70F7"/>
    <w:rsid w:val="009F7321"/>
    <w:rsid w:val="00A002D9"/>
    <w:rsid w:val="00A00A97"/>
    <w:rsid w:val="00A02431"/>
    <w:rsid w:val="00A02D14"/>
    <w:rsid w:val="00A02EB6"/>
    <w:rsid w:val="00A042F9"/>
    <w:rsid w:val="00A04DA8"/>
    <w:rsid w:val="00A050FC"/>
    <w:rsid w:val="00A058FB"/>
    <w:rsid w:val="00A0797E"/>
    <w:rsid w:val="00A10010"/>
    <w:rsid w:val="00A10633"/>
    <w:rsid w:val="00A12E96"/>
    <w:rsid w:val="00A14806"/>
    <w:rsid w:val="00A14E31"/>
    <w:rsid w:val="00A1698F"/>
    <w:rsid w:val="00A2094E"/>
    <w:rsid w:val="00A213D2"/>
    <w:rsid w:val="00A21B19"/>
    <w:rsid w:val="00A2242B"/>
    <w:rsid w:val="00A24A1E"/>
    <w:rsid w:val="00A25367"/>
    <w:rsid w:val="00A2546E"/>
    <w:rsid w:val="00A26CCE"/>
    <w:rsid w:val="00A272C9"/>
    <w:rsid w:val="00A276D9"/>
    <w:rsid w:val="00A31A40"/>
    <w:rsid w:val="00A31AF2"/>
    <w:rsid w:val="00A32087"/>
    <w:rsid w:val="00A32A06"/>
    <w:rsid w:val="00A35EF7"/>
    <w:rsid w:val="00A3617F"/>
    <w:rsid w:val="00A36589"/>
    <w:rsid w:val="00A36815"/>
    <w:rsid w:val="00A378C2"/>
    <w:rsid w:val="00A44803"/>
    <w:rsid w:val="00A46683"/>
    <w:rsid w:val="00A47051"/>
    <w:rsid w:val="00A47079"/>
    <w:rsid w:val="00A504C8"/>
    <w:rsid w:val="00A50FDF"/>
    <w:rsid w:val="00A5392F"/>
    <w:rsid w:val="00A54D01"/>
    <w:rsid w:val="00A55864"/>
    <w:rsid w:val="00A57D3D"/>
    <w:rsid w:val="00A61D97"/>
    <w:rsid w:val="00A62FC0"/>
    <w:rsid w:val="00A66B40"/>
    <w:rsid w:val="00A67918"/>
    <w:rsid w:val="00A709C6"/>
    <w:rsid w:val="00A7148F"/>
    <w:rsid w:val="00A745F1"/>
    <w:rsid w:val="00A76183"/>
    <w:rsid w:val="00A778CD"/>
    <w:rsid w:val="00A77F25"/>
    <w:rsid w:val="00A80C58"/>
    <w:rsid w:val="00A82B74"/>
    <w:rsid w:val="00A82F2F"/>
    <w:rsid w:val="00A84812"/>
    <w:rsid w:val="00A8668C"/>
    <w:rsid w:val="00A86B7D"/>
    <w:rsid w:val="00A876C6"/>
    <w:rsid w:val="00A90380"/>
    <w:rsid w:val="00A90EAA"/>
    <w:rsid w:val="00A90F0E"/>
    <w:rsid w:val="00A9165F"/>
    <w:rsid w:val="00A92569"/>
    <w:rsid w:val="00A931C6"/>
    <w:rsid w:val="00A953DA"/>
    <w:rsid w:val="00A95DBC"/>
    <w:rsid w:val="00A96747"/>
    <w:rsid w:val="00A96F8E"/>
    <w:rsid w:val="00A973C4"/>
    <w:rsid w:val="00AA16AC"/>
    <w:rsid w:val="00AA2766"/>
    <w:rsid w:val="00AA2C77"/>
    <w:rsid w:val="00AA3C8D"/>
    <w:rsid w:val="00AA4732"/>
    <w:rsid w:val="00AA4D92"/>
    <w:rsid w:val="00AA51D3"/>
    <w:rsid w:val="00AA57A1"/>
    <w:rsid w:val="00AA6E5D"/>
    <w:rsid w:val="00AA76E1"/>
    <w:rsid w:val="00AB34C7"/>
    <w:rsid w:val="00AB5ACF"/>
    <w:rsid w:val="00AB65C9"/>
    <w:rsid w:val="00AB682D"/>
    <w:rsid w:val="00AB6D26"/>
    <w:rsid w:val="00AC037E"/>
    <w:rsid w:val="00AC0BD6"/>
    <w:rsid w:val="00AC1175"/>
    <w:rsid w:val="00AC17D3"/>
    <w:rsid w:val="00AC43F1"/>
    <w:rsid w:val="00AC4743"/>
    <w:rsid w:val="00AC4CEF"/>
    <w:rsid w:val="00AC5C1D"/>
    <w:rsid w:val="00AC6365"/>
    <w:rsid w:val="00AD1191"/>
    <w:rsid w:val="00AD1383"/>
    <w:rsid w:val="00AD14E6"/>
    <w:rsid w:val="00AD3DF1"/>
    <w:rsid w:val="00AD3EC6"/>
    <w:rsid w:val="00AD412F"/>
    <w:rsid w:val="00AD56A1"/>
    <w:rsid w:val="00AD6040"/>
    <w:rsid w:val="00AD6811"/>
    <w:rsid w:val="00AD697E"/>
    <w:rsid w:val="00AE04A2"/>
    <w:rsid w:val="00AE0ECA"/>
    <w:rsid w:val="00AE2DB4"/>
    <w:rsid w:val="00AE2F1B"/>
    <w:rsid w:val="00AE2FBD"/>
    <w:rsid w:val="00AE31C8"/>
    <w:rsid w:val="00AE3FB3"/>
    <w:rsid w:val="00AE53FE"/>
    <w:rsid w:val="00AE71F6"/>
    <w:rsid w:val="00AF00D3"/>
    <w:rsid w:val="00AF2244"/>
    <w:rsid w:val="00AF22C1"/>
    <w:rsid w:val="00AF3456"/>
    <w:rsid w:val="00AF47F6"/>
    <w:rsid w:val="00AF5731"/>
    <w:rsid w:val="00AF5F2A"/>
    <w:rsid w:val="00AF6858"/>
    <w:rsid w:val="00AF6BC9"/>
    <w:rsid w:val="00AF7182"/>
    <w:rsid w:val="00B003C0"/>
    <w:rsid w:val="00B00F03"/>
    <w:rsid w:val="00B00F77"/>
    <w:rsid w:val="00B01A6C"/>
    <w:rsid w:val="00B01E95"/>
    <w:rsid w:val="00B03759"/>
    <w:rsid w:val="00B04001"/>
    <w:rsid w:val="00B0612B"/>
    <w:rsid w:val="00B06E9F"/>
    <w:rsid w:val="00B100B3"/>
    <w:rsid w:val="00B10966"/>
    <w:rsid w:val="00B113B3"/>
    <w:rsid w:val="00B13609"/>
    <w:rsid w:val="00B13B87"/>
    <w:rsid w:val="00B13DDE"/>
    <w:rsid w:val="00B14D73"/>
    <w:rsid w:val="00B165E0"/>
    <w:rsid w:val="00B20205"/>
    <w:rsid w:val="00B204AC"/>
    <w:rsid w:val="00B21E7E"/>
    <w:rsid w:val="00B22ED5"/>
    <w:rsid w:val="00B23F29"/>
    <w:rsid w:val="00B25EC2"/>
    <w:rsid w:val="00B25EDE"/>
    <w:rsid w:val="00B26639"/>
    <w:rsid w:val="00B2675B"/>
    <w:rsid w:val="00B30E52"/>
    <w:rsid w:val="00B3251E"/>
    <w:rsid w:val="00B3290D"/>
    <w:rsid w:val="00B32FBB"/>
    <w:rsid w:val="00B34698"/>
    <w:rsid w:val="00B35DFF"/>
    <w:rsid w:val="00B37B50"/>
    <w:rsid w:val="00B40702"/>
    <w:rsid w:val="00B40B1B"/>
    <w:rsid w:val="00B415FC"/>
    <w:rsid w:val="00B42531"/>
    <w:rsid w:val="00B4274A"/>
    <w:rsid w:val="00B44DEB"/>
    <w:rsid w:val="00B44DFB"/>
    <w:rsid w:val="00B4535C"/>
    <w:rsid w:val="00B462D2"/>
    <w:rsid w:val="00B467B1"/>
    <w:rsid w:val="00B467FB"/>
    <w:rsid w:val="00B46FA9"/>
    <w:rsid w:val="00B474C7"/>
    <w:rsid w:val="00B5379E"/>
    <w:rsid w:val="00B53A0C"/>
    <w:rsid w:val="00B54330"/>
    <w:rsid w:val="00B5514E"/>
    <w:rsid w:val="00B55399"/>
    <w:rsid w:val="00B55F24"/>
    <w:rsid w:val="00B6151B"/>
    <w:rsid w:val="00B62456"/>
    <w:rsid w:val="00B637BA"/>
    <w:rsid w:val="00B639F8"/>
    <w:rsid w:val="00B63D93"/>
    <w:rsid w:val="00B645D9"/>
    <w:rsid w:val="00B64677"/>
    <w:rsid w:val="00B64B3B"/>
    <w:rsid w:val="00B65216"/>
    <w:rsid w:val="00B6564A"/>
    <w:rsid w:val="00B657BC"/>
    <w:rsid w:val="00B66561"/>
    <w:rsid w:val="00B6730F"/>
    <w:rsid w:val="00B70692"/>
    <w:rsid w:val="00B72980"/>
    <w:rsid w:val="00B7349B"/>
    <w:rsid w:val="00B74C82"/>
    <w:rsid w:val="00B75EA7"/>
    <w:rsid w:val="00B761FC"/>
    <w:rsid w:val="00B7678C"/>
    <w:rsid w:val="00B77721"/>
    <w:rsid w:val="00B778EB"/>
    <w:rsid w:val="00B77A92"/>
    <w:rsid w:val="00B80839"/>
    <w:rsid w:val="00B80D9C"/>
    <w:rsid w:val="00B826E3"/>
    <w:rsid w:val="00B834B4"/>
    <w:rsid w:val="00B84088"/>
    <w:rsid w:val="00B850B6"/>
    <w:rsid w:val="00B854FB"/>
    <w:rsid w:val="00B8624C"/>
    <w:rsid w:val="00B86DEB"/>
    <w:rsid w:val="00B87C8B"/>
    <w:rsid w:val="00B91B92"/>
    <w:rsid w:val="00B93904"/>
    <w:rsid w:val="00B94B1C"/>
    <w:rsid w:val="00B94F88"/>
    <w:rsid w:val="00B9635E"/>
    <w:rsid w:val="00B9798F"/>
    <w:rsid w:val="00BA048F"/>
    <w:rsid w:val="00BA0A2F"/>
    <w:rsid w:val="00BA35EF"/>
    <w:rsid w:val="00BA5DC0"/>
    <w:rsid w:val="00BA6F26"/>
    <w:rsid w:val="00BB0D69"/>
    <w:rsid w:val="00BB3024"/>
    <w:rsid w:val="00BB3C44"/>
    <w:rsid w:val="00BB45E2"/>
    <w:rsid w:val="00BB4CD4"/>
    <w:rsid w:val="00BB5488"/>
    <w:rsid w:val="00BB5570"/>
    <w:rsid w:val="00BB5734"/>
    <w:rsid w:val="00BB59D7"/>
    <w:rsid w:val="00BB646B"/>
    <w:rsid w:val="00BB6D14"/>
    <w:rsid w:val="00BC0296"/>
    <w:rsid w:val="00BC17D9"/>
    <w:rsid w:val="00BC1E95"/>
    <w:rsid w:val="00BC250B"/>
    <w:rsid w:val="00BC3B43"/>
    <w:rsid w:val="00BC3D6A"/>
    <w:rsid w:val="00BC6243"/>
    <w:rsid w:val="00BC69D5"/>
    <w:rsid w:val="00BC73F8"/>
    <w:rsid w:val="00BD1855"/>
    <w:rsid w:val="00BD2812"/>
    <w:rsid w:val="00BD2B16"/>
    <w:rsid w:val="00BD3F4E"/>
    <w:rsid w:val="00BD61E5"/>
    <w:rsid w:val="00BE0661"/>
    <w:rsid w:val="00BE0794"/>
    <w:rsid w:val="00BE166E"/>
    <w:rsid w:val="00BE38C0"/>
    <w:rsid w:val="00BE4557"/>
    <w:rsid w:val="00BE4824"/>
    <w:rsid w:val="00BE561E"/>
    <w:rsid w:val="00BF164D"/>
    <w:rsid w:val="00BF1DB0"/>
    <w:rsid w:val="00BF2329"/>
    <w:rsid w:val="00BF25F1"/>
    <w:rsid w:val="00BF29FE"/>
    <w:rsid w:val="00BF2C01"/>
    <w:rsid w:val="00BF2D40"/>
    <w:rsid w:val="00BF2DB9"/>
    <w:rsid w:val="00BF4216"/>
    <w:rsid w:val="00BF5428"/>
    <w:rsid w:val="00C002F5"/>
    <w:rsid w:val="00C01211"/>
    <w:rsid w:val="00C027B3"/>
    <w:rsid w:val="00C0552B"/>
    <w:rsid w:val="00C076F9"/>
    <w:rsid w:val="00C079BE"/>
    <w:rsid w:val="00C11706"/>
    <w:rsid w:val="00C12A2A"/>
    <w:rsid w:val="00C153D6"/>
    <w:rsid w:val="00C1592B"/>
    <w:rsid w:val="00C20B0E"/>
    <w:rsid w:val="00C2278C"/>
    <w:rsid w:val="00C23B2D"/>
    <w:rsid w:val="00C246E7"/>
    <w:rsid w:val="00C26DB7"/>
    <w:rsid w:val="00C27459"/>
    <w:rsid w:val="00C2791A"/>
    <w:rsid w:val="00C27F06"/>
    <w:rsid w:val="00C326E5"/>
    <w:rsid w:val="00C32DF7"/>
    <w:rsid w:val="00C345C9"/>
    <w:rsid w:val="00C36345"/>
    <w:rsid w:val="00C411F8"/>
    <w:rsid w:val="00C42B4A"/>
    <w:rsid w:val="00C44674"/>
    <w:rsid w:val="00C44CDB"/>
    <w:rsid w:val="00C45695"/>
    <w:rsid w:val="00C504BD"/>
    <w:rsid w:val="00C509C1"/>
    <w:rsid w:val="00C55D5A"/>
    <w:rsid w:val="00C57EDF"/>
    <w:rsid w:val="00C61921"/>
    <w:rsid w:val="00C6267A"/>
    <w:rsid w:val="00C626A4"/>
    <w:rsid w:val="00C63386"/>
    <w:rsid w:val="00C63BD4"/>
    <w:rsid w:val="00C6431D"/>
    <w:rsid w:val="00C64B2B"/>
    <w:rsid w:val="00C65701"/>
    <w:rsid w:val="00C65A74"/>
    <w:rsid w:val="00C66B16"/>
    <w:rsid w:val="00C670A2"/>
    <w:rsid w:val="00C672FE"/>
    <w:rsid w:val="00C72960"/>
    <w:rsid w:val="00C733B0"/>
    <w:rsid w:val="00C74B64"/>
    <w:rsid w:val="00C74BE1"/>
    <w:rsid w:val="00C74C2E"/>
    <w:rsid w:val="00C75447"/>
    <w:rsid w:val="00C801CD"/>
    <w:rsid w:val="00C817A6"/>
    <w:rsid w:val="00C82F21"/>
    <w:rsid w:val="00C85268"/>
    <w:rsid w:val="00C86095"/>
    <w:rsid w:val="00C8676F"/>
    <w:rsid w:val="00C86892"/>
    <w:rsid w:val="00C877A5"/>
    <w:rsid w:val="00C87E57"/>
    <w:rsid w:val="00C918A7"/>
    <w:rsid w:val="00C91C51"/>
    <w:rsid w:val="00C91E6B"/>
    <w:rsid w:val="00C92287"/>
    <w:rsid w:val="00C928DE"/>
    <w:rsid w:val="00C929EE"/>
    <w:rsid w:val="00C9467A"/>
    <w:rsid w:val="00C95BA9"/>
    <w:rsid w:val="00C96706"/>
    <w:rsid w:val="00C967E4"/>
    <w:rsid w:val="00CA146F"/>
    <w:rsid w:val="00CA1C4D"/>
    <w:rsid w:val="00CA5232"/>
    <w:rsid w:val="00CA58FD"/>
    <w:rsid w:val="00CA6882"/>
    <w:rsid w:val="00CB1172"/>
    <w:rsid w:val="00CB13C0"/>
    <w:rsid w:val="00CB198D"/>
    <w:rsid w:val="00CB258D"/>
    <w:rsid w:val="00CB4D00"/>
    <w:rsid w:val="00CB6204"/>
    <w:rsid w:val="00CB6420"/>
    <w:rsid w:val="00CC0824"/>
    <w:rsid w:val="00CC1679"/>
    <w:rsid w:val="00CC2C12"/>
    <w:rsid w:val="00CC2F78"/>
    <w:rsid w:val="00CC4EA6"/>
    <w:rsid w:val="00CC5682"/>
    <w:rsid w:val="00CC629F"/>
    <w:rsid w:val="00CD19DB"/>
    <w:rsid w:val="00CD220D"/>
    <w:rsid w:val="00CD2611"/>
    <w:rsid w:val="00CD2A45"/>
    <w:rsid w:val="00CD36C2"/>
    <w:rsid w:val="00CD5177"/>
    <w:rsid w:val="00CD5635"/>
    <w:rsid w:val="00CD5D52"/>
    <w:rsid w:val="00CE287E"/>
    <w:rsid w:val="00CE2A21"/>
    <w:rsid w:val="00CE356A"/>
    <w:rsid w:val="00CE3731"/>
    <w:rsid w:val="00CE4626"/>
    <w:rsid w:val="00CE51CE"/>
    <w:rsid w:val="00CE56F1"/>
    <w:rsid w:val="00CE6508"/>
    <w:rsid w:val="00CF0850"/>
    <w:rsid w:val="00CF1779"/>
    <w:rsid w:val="00CF2032"/>
    <w:rsid w:val="00CF22B7"/>
    <w:rsid w:val="00CF290E"/>
    <w:rsid w:val="00CF2ABE"/>
    <w:rsid w:val="00CF3162"/>
    <w:rsid w:val="00CF51A5"/>
    <w:rsid w:val="00CF65C3"/>
    <w:rsid w:val="00D001FC"/>
    <w:rsid w:val="00D005D5"/>
    <w:rsid w:val="00D01A8B"/>
    <w:rsid w:val="00D021FA"/>
    <w:rsid w:val="00D052DC"/>
    <w:rsid w:val="00D06B5C"/>
    <w:rsid w:val="00D074B4"/>
    <w:rsid w:val="00D078D5"/>
    <w:rsid w:val="00D1214E"/>
    <w:rsid w:val="00D1382D"/>
    <w:rsid w:val="00D142A9"/>
    <w:rsid w:val="00D14CC7"/>
    <w:rsid w:val="00D159F6"/>
    <w:rsid w:val="00D15A3F"/>
    <w:rsid w:val="00D17091"/>
    <w:rsid w:val="00D20489"/>
    <w:rsid w:val="00D2052E"/>
    <w:rsid w:val="00D21549"/>
    <w:rsid w:val="00D23351"/>
    <w:rsid w:val="00D24118"/>
    <w:rsid w:val="00D26018"/>
    <w:rsid w:val="00D26AC2"/>
    <w:rsid w:val="00D30F24"/>
    <w:rsid w:val="00D313DA"/>
    <w:rsid w:val="00D31B5D"/>
    <w:rsid w:val="00D321D2"/>
    <w:rsid w:val="00D32BF8"/>
    <w:rsid w:val="00D33315"/>
    <w:rsid w:val="00D33A5C"/>
    <w:rsid w:val="00D33AFA"/>
    <w:rsid w:val="00D34705"/>
    <w:rsid w:val="00D36303"/>
    <w:rsid w:val="00D365A2"/>
    <w:rsid w:val="00D36A54"/>
    <w:rsid w:val="00D36BE4"/>
    <w:rsid w:val="00D36DA4"/>
    <w:rsid w:val="00D36FFE"/>
    <w:rsid w:val="00D374EF"/>
    <w:rsid w:val="00D37C1D"/>
    <w:rsid w:val="00D41742"/>
    <w:rsid w:val="00D42AC9"/>
    <w:rsid w:val="00D44E28"/>
    <w:rsid w:val="00D44F5E"/>
    <w:rsid w:val="00D4561F"/>
    <w:rsid w:val="00D457CF"/>
    <w:rsid w:val="00D50277"/>
    <w:rsid w:val="00D510E5"/>
    <w:rsid w:val="00D516C6"/>
    <w:rsid w:val="00D52C70"/>
    <w:rsid w:val="00D52F67"/>
    <w:rsid w:val="00D53B44"/>
    <w:rsid w:val="00D5407E"/>
    <w:rsid w:val="00D560F2"/>
    <w:rsid w:val="00D57076"/>
    <w:rsid w:val="00D60726"/>
    <w:rsid w:val="00D63BB2"/>
    <w:rsid w:val="00D64BA1"/>
    <w:rsid w:val="00D65B74"/>
    <w:rsid w:val="00D65BF4"/>
    <w:rsid w:val="00D70EFA"/>
    <w:rsid w:val="00D71CF3"/>
    <w:rsid w:val="00D72495"/>
    <w:rsid w:val="00D72E36"/>
    <w:rsid w:val="00D7519B"/>
    <w:rsid w:val="00D75536"/>
    <w:rsid w:val="00D756D5"/>
    <w:rsid w:val="00D75996"/>
    <w:rsid w:val="00D76163"/>
    <w:rsid w:val="00D77373"/>
    <w:rsid w:val="00D8324F"/>
    <w:rsid w:val="00D8359A"/>
    <w:rsid w:val="00D846A7"/>
    <w:rsid w:val="00D84798"/>
    <w:rsid w:val="00D87E7B"/>
    <w:rsid w:val="00D90A16"/>
    <w:rsid w:val="00D92770"/>
    <w:rsid w:val="00D94226"/>
    <w:rsid w:val="00D942C0"/>
    <w:rsid w:val="00D946F5"/>
    <w:rsid w:val="00D95939"/>
    <w:rsid w:val="00DA0E95"/>
    <w:rsid w:val="00DA100D"/>
    <w:rsid w:val="00DA1248"/>
    <w:rsid w:val="00DA20A4"/>
    <w:rsid w:val="00DA317A"/>
    <w:rsid w:val="00DA38FA"/>
    <w:rsid w:val="00DA3F5A"/>
    <w:rsid w:val="00DA4532"/>
    <w:rsid w:val="00DA569F"/>
    <w:rsid w:val="00DA75FA"/>
    <w:rsid w:val="00DA7EAE"/>
    <w:rsid w:val="00DB0DB0"/>
    <w:rsid w:val="00DB18F0"/>
    <w:rsid w:val="00DB2DBD"/>
    <w:rsid w:val="00DB312F"/>
    <w:rsid w:val="00DB368F"/>
    <w:rsid w:val="00DB5E71"/>
    <w:rsid w:val="00DB66E2"/>
    <w:rsid w:val="00DB6762"/>
    <w:rsid w:val="00DB6836"/>
    <w:rsid w:val="00DB6B5B"/>
    <w:rsid w:val="00DB7073"/>
    <w:rsid w:val="00DB7EC3"/>
    <w:rsid w:val="00DC0F69"/>
    <w:rsid w:val="00DC22EC"/>
    <w:rsid w:val="00DC2F3C"/>
    <w:rsid w:val="00DC4A0F"/>
    <w:rsid w:val="00DC4C9A"/>
    <w:rsid w:val="00DC4D55"/>
    <w:rsid w:val="00DC505E"/>
    <w:rsid w:val="00DC5673"/>
    <w:rsid w:val="00DD1055"/>
    <w:rsid w:val="00DD18BE"/>
    <w:rsid w:val="00DD29B8"/>
    <w:rsid w:val="00DD3AD3"/>
    <w:rsid w:val="00DD4814"/>
    <w:rsid w:val="00DD53E3"/>
    <w:rsid w:val="00DD66B3"/>
    <w:rsid w:val="00DD76F9"/>
    <w:rsid w:val="00DD783F"/>
    <w:rsid w:val="00DE0394"/>
    <w:rsid w:val="00DE1A53"/>
    <w:rsid w:val="00DE25A5"/>
    <w:rsid w:val="00DE4D43"/>
    <w:rsid w:val="00DE5AF5"/>
    <w:rsid w:val="00DE747F"/>
    <w:rsid w:val="00DE79B6"/>
    <w:rsid w:val="00DE7CE7"/>
    <w:rsid w:val="00DE7D31"/>
    <w:rsid w:val="00DF0006"/>
    <w:rsid w:val="00DF0830"/>
    <w:rsid w:val="00DF0B31"/>
    <w:rsid w:val="00DF1525"/>
    <w:rsid w:val="00DF398A"/>
    <w:rsid w:val="00DF4008"/>
    <w:rsid w:val="00DF5187"/>
    <w:rsid w:val="00E00707"/>
    <w:rsid w:val="00E00DDD"/>
    <w:rsid w:val="00E01BA4"/>
    <w:rsid w:val="00E04FEB"/>
    <w:rsid w:val="00E11184"/>
    <w:rsid w:val="00E11919"/>
    <w:rsid w:val="00E12681"/>
    <w:rsid w:val="00E134BF"/>
    <w:rsid w:val="00E13EF9"/>
    <w:rsid w:val="00E143C5"/>
    <w:rsid w:val="00E14BD8"/>
    <w:rsid w:val="00E16CA9"/>
    <w:rsid w:val="00E2010C"/>
    <w:rsid w:val="00E2296F"/>
    <w:rsid w:val="00E23533"/>
    <w:rsid w:val="00E23E74"/>
    <w:rsid w:val="00E25EE3"/>
    <w:rsid w:val="00E26B70"/>
    <w:rsid w:val="00E2753B"/>
    <w:rsid w:val="00E27EF0"/>
    <w:rsid w:val="00E316E3"/>
    <w:rsid w:val="00E32194"/>
    <w:rsid w:val="00E33AB2"/>
    <w:rsid w:val="00E33AB6"/>
    <w:rsid w:val="00E35CF4"/>
    <w:rsid w:val="00E3634E"/>
    <w:rsid w:val="00E36B70"/>
    <w:rsid w:val="00E36F15"/>
    <w:rsid w:val="00E37B2F"/>
    <w:rsid w:val="00E40C7A"/>
    <w:rsid w:val="00E418B8"/>
    <w:rsid w:val="00E41DA2"/>
    <w:rsid w:val="00E42477"/>
    <w:rsid w:val="00E42BD8"/>
    <w:rsid w:val="00E435D2"/>
    <w:rsid w:val="00E44394"/>
    <w:rsid w:val="00E443E3"/>
    <w:rsid w:val="00E44455"/>
    <w:rsid w:val="00E444BC"/>
    <w:rsid w:val="00E445FD"/>
    <w:rsid w:val="00E44BF4"/>
    <w:rsid w:val="00E44ED6"/>
    <w:rsid w:val="00E45A5C"/>
    <w:rsid w:val="00E467F1"/>
    <w:rsid w:val="00E503D9"/>
    <w:rsid w:val="00E51162"/>
    <w:rsid w:val="00E51362"/>
    <w:rsid w:val="00E51CEB"/>
    <w:rsid w:val="00E51D3D"/>
    <w:rsid w:val="00E53515"/>
    <w:rsid w:val="00E54B74"/>
    <w:rsid w:val="00E55330"/>
    <w:rsid w:val="00E55F82"/>
    <w:rsid w:val="00E569F6"/>
    <w:rsid w:val="00E56C53"/>
    <w:rsid w:val="00E56F5F"/>
    <w:rsid w:val="00E602C5"/>
    <w:rsid w:val="00E60A1F"/>
    <w:rsid w:val="00E63D3E"/>
    <w:rsid w:val="00E65410"/>
    <w:rsid w:val="00E656AB"/>
    <w:rsid w:val="00E65E43"/>
    <w:rsid w:val="00E70D56"/>
    <w:rsid w:val="00E71691"/>
    <w:rsid w:val="00E721A8"/>
    <w:rsid w:val="00E72225"/>
    <w:rsid w:val="00E730EF"/>
    <w:rsid w:val="00E77BE3"/>
    <w:rsid w:val="00E801B6"/>
    <w:rsid w:val="00E817E3"/>
    <w:rsid w:val="00E819A7"/>
    <w:rsid w:val="00E83734"/>
    <w:rsid w:val="00E85E51"/>
    <w:rsid w:val="00E86115"/>
    <w:rsid w:val="00E870A3"/>
    <w:rsid w:val="00E87113"/>
    <w:rsid w:val="00E87659"/>
    <w:rsid w:val="00E916E6"/>
    <w:rsid w:val="00E941A9"/>
    <w:rsid w:val="00E942EF"/>
    <w:rsid w:val="00E94850"/>
    <w:rsid w:val="00E95EEF"/>
    <w:rsid w:val="00E976D4"/>
    <w:rsid w:val="00EA2886"/>
    <w:rsid w:val="00EA40A8"/>
    <w:rsid w:val="00EA4C1D"/>
    <w:rsid w:val="00EA522E"/>
    <w:rsid w:val="00EB0F49"/>
    <w:rsid w:val="00EB0FAC"/>
    <w:rsid w:val="00EB1050"/>
    <w:rsid w:val="00EB2464"/>
    <w:rsid w:val="00EB37F6"/>
    <w:rsid w:val="00EB4BC3"/>
    <w:rsid w:val="00EB4D71"/>
    <w:rsid w:val="00EB72D1"/>
    <w:rsid w:val="00EB7877"/>
    <w:rsid w:val="00EC06A1"/>
    <w:rsid w:val="00EC1314"/>
    <w:rsid w:val="00EC3B66"/>
    <w:rsid w:val="00EC3CAA"/>
    <w:rsid w:val="00EC54C1"/>
    <w:rsid w:val="00EC5C2A"/>
    <w:rsid w:val="00EC6101"/>
    <w:rsid w:val="00ED07AD"/>
    <w:rsid w:val="00ED0860"/>
    <w:rsid w:val="00ED12F8"/>
    <w:rsid w:val="00ED1560"/>
    <w:rsid w:val="00ED277C"/>
    <w:rsid w:val="00ED2D5E"/>
    <w:rsid w:val="00ED3061"/>
    <w:rsid w:val="00ED357D"/>
    <w:rsid w:val="00ED5FD4"/>
    <w:rsid w:val="00ED7231"/>
    <w:rsid w:val="00ED75BB"/>
    <w:rsid w:val="00EE21F9"/>
    <w:rsid w:val="00EE3792"/>
    <w:rsid w:val="00EE3EA7"/>
    <w:rsid w:val="00EE6114"/>
    <w:rsid w:val="00EE6260"/>
    <w:rsid w:val="00EE7212"/>
    <w:rsid w:val="00EE74C1"/>
    <w:rsid w:val="00EF0CCC"/>
    <w:rsid w:val="00EF4367"/>
    <w:rsid w:val="00EF45C8"/>
    <w:rsid w:val="00EF48F2"/>
    <w:rsid w:val="00EF4A45"/>
    <w:rsid w:val="00EF5916"/>
    <w:rsid w:val="00EF7AB7"/>
    <w:rsid w:val="00F00B19"/>
    <w:rsid w:val="00F02D6D"/>
    <w:rsid w:val="00F0372E"/>
    <w:rsid w:val="00F037FE"/>
    <w:rsid w:val="00F03910"/>
    <w:rsid w:val="00F046FC"/>
    <w:rsid w:val="00F0502E"/>
    <w:rsid w:val="00F050D8"/>
    <w:rsid w:val="00F07081"/>
    <w:rsid w:val="00F07DFC"/>
    <w:rsid w:val="00F10DD8"/>
    <w:rsid w:val="00F12685"/>
    <w:rsid w:val="00F13016"/>
    <w:rsid w:val="00F1471B"/>
    <w:rsid w:val="00F151E9"/>
    <w:rsid w:val="00F17FA7"/>
    <w:rsid w:val="00F216E2"/>
    <w:rsid w:val="00F224D0"/>
    <w:rsid w:val="00F22B88"/>
    <w:rsid w:val="00F23437"/>
    <w:rsid w:val="00F23903"/>
    <w:rsid w:val="00F247D0"/>
    <w:rsid w:val="00F24C30"/>
    <w:rsid w:val="00F24CBE"/>
    <w:rsid w:val="00F302A4"/>
    <w:rsid w:val="00F311AB"/>
    <w:rsid w:val="00F320CD"/>
    <w:rsid w:val="00F321C4"/>
    <w:rsid w:val="00F32DF9"/>
    <w:rsid w:val="00F36B15"/>
    <w:rsid w:val="00F37019"/>
    <w:rsid w:val="00F37F20"/>
    <w:rsid w:val="00F4179C"/>
    <w:rsid w:val="00F42134"/>
    <w:rsid w:val="00F43A6F"/>
    <w:rsid w:val="00F43F25"/>
    <w:rsid w:val="00F45D6B"/>
    <w:rsid w:val="00F47C7F"/>
    <w:rsid w:val="00F502B2"/>
    <w:rsid w:val="00F512B5"/>
    <w:rsid w:val="00F513FC"/>
    <w:rsid w:val="00F514DE"/>
    <w:rsid w:val="00F53AED"/>
    <w:rsid w:val="00F5417C"/>
    <w:rsid w:val="00F549DD"/>
    <w:rsid w:val="00F569FB"/>
    <w:rsid w:val="00F61A08"/>
    <w:rsid w:val="00F62141"/>
    <w:rsid w:val="00F62647"/>
    <w:rsid w:val="00F64807"/>
    <w:rsid w:val="00F657CB"/>
    <w:rsid w:val="00F66082"/>
    <w:rsid w:val="00F70E78"/>
    <w:rsid w:val="00F72261"/>
    <w:rsid w:val="00F724CF"/>
    <w:rsid w:val="00F7266E"/>
    <w:rsid w:val="00F7361A"/>
    <w:rsid w:val="00F737DC"/>
    <w:rsid w:val="00F756B0"/>
    <w:rsid w:val="00F75E3A"/>
    <w:rsid w:val="00F761DA"/>
    <w:rsid w:val="00F771BE"/>
    <w:rsid w:val="00F776FA"/>
    <w:rsid w:val="00F77850"/>
    <w:rsid w:val="00F8198D"/>
    <w:rsid w:val="00F8257D"/>
    <w:rsid w:val="00F84539"/>
    <w:rsid w:val="00F867F7"/>
    <w:rsid w:val="00F87F6B"/>
    <w:rsid w:val="00F9305C"/>
    <w:rsid w:val="00F94974"/>
    <w:rsid w:val="00F9576F"/>
    <w:rsid w:val="00F95B67"/>
    <w:rsid w:val="00F970EA"/>
    <w:rsid w:val="00F97732"/>
    <w:rsid w:val="00FA033E"/>
    <w:rsid w:val="00FA2613"/>
    <w:rsid w:val="00FA349E"/>
    <w:rsid w:val="00FA3F39"/>
    <w:rsid w:val="00FA43FC"/>
    <w:rsid w:val="00FA5C8A"/>
    <w:rsid w:val="00FA6554"/>
    <w:rsid w:val="00FA6817"/>
    <w:rsid w:val="00FA7616"/>
    <w:rsid w:val="00FA77BC"/>
    <w:rsid w:val="00FB4020"/>
    <w:rsid w:val="00FB44E6"/>
    <w:rsid w:val="00FB67F1"/>
    <w:rsid w:val="00FB6D40"/>
    <w:rsid w:val="00FC0E4E"/>
    <w:rsid w:val="00FC10B0"/>
    <w:rsid w:val="00FC2304"/>
    <w:rsid w:val="00FC2C67"/>
    <w:rsid w:val="00FC561E"/>
    <w:rsid w:val="00FC61C2"/>
    <w:rsid w:val="00FC6462"/>
    <w:rsid w:val="00FD05BD"/>
    <w:rsid w:val="00FD0CBE"/>
    <w:rsid w:val="00FD15A4"/>
    <w:rsid w:val="00FD28BA"/>
    <w:rsid w:val="00FD47B4"/>
    <w:rsid w:val="00FD4FB8"/>
    <w:rsid w:val="00FD5C43"/>
    <w:rsid w:val="00FD6AEE"/>
    <w:rsid w:val="00FD6D7C"/>
    <w:rsid w:val="00FE01A8"/>
    <w:rsid w:val="00FE05DD"/>
    <w:rsid w:val="00FE100A"/>
    <w:rsid w:val="00FE1113"/>
    <w:rsid w:val="00FE1A47"/>
    <w:rsid w:val="00FE1E79"/>
    <w:rsid w:val="00FE2D30"/>
    <w:rsid w:val="00FE396E"/>
    <w:rsid w:val="00FE4CFD"/>
    <w:rsid w:val="00FE67DC"/>
    <w:rsid w:val="00FE6EB9"/>
    <w:rsid w:val="00FF13B3"/>
    <w:rsid w:val="00FF36AB"/>
    <w:rsid w:val="00FF46AB"/>
    <w:rsid w:val="00FF4F95"/>
    <w:rsid w:val="00FF50A1"/>
    <w:rsid w:val="00FF6262"/>
    <w:rsid w:val="00FF6BCD"/>
    <w:rsid w:val="01B74A82"/>
    <w:rsid w:val="02E551EB"/>
    <w:rsid w:val="08DD3116"/>
    <w:rsid w:val="0A1762A2"/>
    <w:rsid w:val="0DB80ED2"/>
    <w:rsid w:val="10AB4E58"/>
    <w:rsid w:val="14A52E85"/>
    <w:rsid w:val="185A3607"/>
    <w:rsid w:val="186026C1"/>
    <w:rsid w:val="19852675"/>
    <w:rsid w:val="1E360339"/>
    <w:rsid w:val="1EC3040C"/>
    <w:rsid w:val="1EF5E15E"/>
    <w:rsid w:val="1FA528F3"/>
    <w:rsid w:val="1FD868EC"/>
    <w:rsid w:val="20052CC5"/>
    <w:rsid w:val="227D5C76"/>
    <w:rsid w:val="27160404"/>
    <w:rsid w:val="29C1482B"/>
    <w:rsid w:val="2A3C4791"/>
    <w:rsid w:val="2C3E120D"/>
    <w:rsid w:val="308B713D"/>
    <w:rsid w:val="33380DBC"/>
    <w:rsid w:val="338D69D1"/>
    <w:rsid w:val="33B36FFE"/>
    <w:rsid w:val="341F56B0"/>
    <w:rsid w:val="374069C0"/>
    <w:rsid w:val="384C1121"/>
    <w:rsid w:val="38DC5CBB"/>
    <w:rsid w:val="44370D3A"/>
    <w:rsid w:val="47681F9A"/>
    <w:rsid w:val="48545261"/>
    <w:rsid w:val="4FAB2261"/>
    <w:rsid w:val="50C2790E"/>
    <w:rsid w:val="55FB03D1"/>
    <w:rsid w:val="59EC76FE"/>
    <w:rsid w:val="60042EF3"/>
    <w:rsid w:val="63797C0B"/>
    <w:rsid w:val="637A7AB5"/>
    <w:rsid w:val="659459C7"/>
    <w:rsid w:val="6C6F6A3B"/>
    <w:rsid w:val="6EC6456A"/>
    <w:rsid w:val="70710F4F"/>
    <w:rsid w:val="73661FBF"/>
    <w:rsid w:val="75993B52"/>
    <w:rsid w:val="75B87594"/>
    <w:rsid w:val="76835EA9"/>
    <w:rsid w:val="76FB2F66"/>
    <w:rsid w:val="77CE62A0"/>
    <w:rsid w:val="7B5F4606"/>
    <w:rsid w:val="7DD132A6"/>
    <w:rsid w:val="7E94693B"/>
    <w:rsid w:val="7FFFAB41"/>
    <w:rsid w:val="86D80BC6"/>
    <w:rsid w:val="99AE6B41"/>
    <w:rsid w:val="9F9BBDB7"/>
    <w:rsid w:val="BE2E8866"/>
    <w:rsid w:val="C3BFDE20"/>
    <w:rsid w:val="EDFCF052"/>
    <w:rsid w:val="FBF12004"/>
    <w:rsid w:val="FEFA99FF"/>
    <w:rsid w:val="FF6CC9AF"/>
    <w:rsid w:val="FF7E54B6"/>
    <w:rsid w:val="FF9DAAC3"/>
    <w:rsid w:val="FFDC65DF"/>
    <w:rsid w:val="FFDC9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keepNext/>
      <w:keepLines/>
      <w:spacing w:before="50" w:beforeLines="50" w:line="360" w:lineRule="auto"/>
      <w:outlineLvl w:val="0"/>
    </w:pPr>
    <w:rPr>
      <w:rFonts w:eastAsia="黑体"/>
      <w:bCs/>
      <w:kern w:val="44"/>
      <w:sz w:val="32"/>
      <w:szCs w:val="44"/>
    </w:rPr>
  </w:style>
  <w:style w:type="paragraph" w:styleId="3">
    <w:name w:val="heading 2"/>
    <w:basedOn w:val="1"/>
    <w:next w:val="1"/>
    <w:link w:val="40"/>
    <w:unhideWhenUsed/>
    <w:qFormat/>
    <w:uiPriority w:val="9"/>
    <w:pPr>
      <w:keepNext/>
      <w:keepLines/>
      <w:spacing w:before="50" w:beforeLines="50" w:line="360" w:lineRule="auto"/>
      <w:ind w:left="200" w:leftChars="200"/>
      <w:outlineLvl w:val="1"/>
    </w:pPr>
    <w:rPr>
      <w:rFonts w:ascii="Times New Roman" w:hAnsi="Times New Roman" w:eastAsia="楷体" w:cstheme="majorBidi"/>
      <w:b/>
      <w:bCs/>
      <w:sz w:val="32"/>
      <w:szCs w:val="32"/>
    </w:rPr>
  </w:style>
  <w:style w:type="paragraph" w:styleId="4">
    <w:name w:val="heading 3"/>
    <w:basedOn w:val="1"/>
    <w:next w:val="1"/>
    <w:link w:val="41"/>
    <w:unhideWhenUsed/>
    <w:qFormat/>
    <w:uiPriority w:val="9"/>
    <w:pPr>
      <w:keepNext/>
      <w:keepLines/>
      <w:spacing w:before="50" w:beforeLines="50" w:line="360" w:lineRule="auto"/>
      <w:ind w:left="200" w:leftChars="200"/>
      <w:outlineLvl w:val="2"/>
    </w:pPr>
    <w:rPr>
      <w:rFonts w:ascii="Times New Roman" w:hAnsi="Times New Roman" w:eastAsia="楷体"/>
      <w:b/>
      <w:bCs/>
      <w:sz w:val="30"/>
      <w:szCs w:val="32"/>
    </w:rPr>
  </w:style>
  <w:style w:type="paragraph" w:styleId="5">
    <w:name w:val="heading 4"/>
    <w:basedOn w:val="1"/>
    <w:next w:val="1"/>
    <w:link w:val="44"/>
    <w:unhideWhenUsed/>
    <w:qFormat/>
    <w:uiPriority w:val="9"/>
    <w:pPr>
      <w:keepNext/>
      <w:keepLines/>
      <w:spacing w:after="50" w:afterLines="50" w:line="360" w:lineRule="auto"/>
      <w:outlineLvl w:val="3"/>
    </w:pPr>
    <w:rPr>
      <w:rFonts w:ascii="Times New Roman" w:hAnsi="Times New Roman" w:eastAsia="黑体" w:cstheme="majorBidi"/>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eastAsiaTheme="minorHAnsi"/>
      <w:sz w:val="18"/>
      <w:szCs w:val="18"/>
    </w:rPr>
  </w:style>
  <w:style w:type="paragraph" w:styleId="7">
    <w:name w:val="Normal Indent"/>
    <w:basedOn w:val="1"/>
    <w:link w:val="55"/>
    <w:qFormat/>
    <w:uiPriority w:val="0"/>
    <w:pPr>
      <w:widowControl/>
      <w:spacing w:line="360" w:lineRule="auto"/>
      <w:ind w:firstLine="420"/>
    </w:pPr>
    <w:rPr>
      <w:rFonts w:ascii="Times New Roman" w:hAnsi="Times New Roman" w:eastAsia="仿宋"/>
      <w:kern w:val="0"/>
      <w:sz w:val="24"/>
      <w:szCs w:val="20"/>
    </w:rPr>
  </w:style>
  <w:style w:type="paragraph" w:styleId="8">
    <w:name w:val="caption"/>
    <w:basedOn w:val="1"/>
    <w:next w:val="1"/>
    <w:link w:val="161"/>
    <w:qFormat/>
    <w:uiPriority w:val="0"/>
    <w:pPr>
      <w:keepNext/>
      <w:jc w:val="center"/>
    </w:pPr>
    <w:rPr>
      <w:rFonts w:ascii="Calibri" w:hAnsi="Calibri" w:eastAsia="宋体" w:cs="Arial"/>
      <w:szCs w:val="20"/>
    </w:rPr>
  </w:style>
  <w:style w:type="paragraph" w:styleId="9">
    <w:name w:val="Document Map"/>
    <w:basedOn w:val="1"/>
    <w:link w:val="86"/>
    <w:semiHidden/>
    <w:unhideWhenUsed/>
    <w:qFormat/>
    <w:uiPriority w:val="99"/>
    <w:rPr>
      <w:rFonts w:ascii="宋体"/>
      <w:sz w:val="18"/>
      <w:szCs w:val="18"/>
    </w:rPr>
  </w:style>
  <w:style w:type="paragraph" w:styleId="10">
    <w:name w:val="annotation text"/>
    <w:basedOn w:val="1"/>
    <w:link w:val="128"/>
    <w:unhideWhenUsed/>
    <w:qFormat/>
    <w:uiPriority w:val="0"/>
    <w:pPr>
      <w:jc w:val="left"/>
    </w:pPr>
    <w:rPr>
      <w:rFonts w:ascii="Calibri" w:hAnsi="Calibri" w:eastAsia="宋体" w:cs="Times New Roman"/>
    </w:rPr>
  </w:style>
  <w:style w:type="paragraph" w:styleId="11">
    <w:name w:val="Body Text"/>
    <w:basedOn w:val="1"/>
    <w:next w:val="12"/>
    <w:link w:val="170"/>
    <w:unhideWhenUsed/>
    <w:qFormat/>
    <w:uiPriority w:val="99"/>
    <w:pPr>
      <w:spacing w:after="120"/>
    </w:pPr>
  </w:style>
  <w:style w:type="paragraph" w:styleId="12">
    <w:name w:val="Body Text First Indent"/>
    <w:basedOn w:val="11"/>
    <w:link w:val="171"/>
    <w:semiHidden/>
    <w:unhideWhenUsed/>
    <w:qFormat/>
    <w:uiPriority w:val="99"/>
    <w:pPr>
      <w:ind w:firstLine="420" w:firstLineChars="100"/>
    </w:pPr>
  </w:style>
  <w:style w:type="paragraph" w:styleId="13">
    <w:name w:val="Body Text Indent"/>
    <w:basedOn w:val="1"/>
    <w:link w:val="123"/>
    <w:semiHidden/>
    <w:unhideWhenUsed/>
    <w:qFormat/>
    <w:uiPriority w:val="0"/>
    <w:pPr>
      <w:spacing w:after="120"/>
      <w:ind w:left="420" w:leftChars="200"/>
    </w:pPr>
  </w:style>
  <w:style w:type="paragraph" w:styleId="14">
    <w:name w:val="toc 5"/>
    <w:basedOn w:val="1"/>
    <w:next w:val="1"/>
    <w:unhideWhenUsed/>
    <w:qFormat/>
    <w:uiPriority w:val="39"/>
    <w:pPr>
      <w:ind w:left="840"/>
      <w:jc w:val="left"/>
    </w:pPr>
    <w:rPr>
      <w:rFonts w:eastAsiaTheme="minorHAnsi"/>
      <w:sz w:val="18"/>
      <w:szCs w:val="18"/>
    </w:rPr>
  </w:style>
  <w:style w:type="paragraph" w:styleId="15">
    <w:name w:val="toc 3"/>
    <w:basedOn w:val="1"/>
    <w:next w:val="1"/>
    <w:unhideWhenUsed/>
    <w:qFormat/>
    <w:uiPriority w:val="39"/>
    <w:pPr>
      <w:ind w:left="420"/>
      <w:jc w:val="left"/>
    </w:pPr>
    <w:rPr>
      <w:rFonts w:eastAsiaTheme="minorHAnsi"/>
      <w:i/>
      <w:iCs/>
      <w:sz w:val="20"/>
      <w:szCs w:val="20"/>
    </w:rPr>
  </w:style>
  <w:style w:type="paragraph" w:styleId="16">
    <w:name w:val="toc 8"/>
    <w:basedOn w:val="1"/>
    <w:next w:val="1"/>
    <w:unhideWhenUsed/>
    <w:qFormat/>
    <w:uiPriority w:val="39"/>
    <w:pPr>
      <w:ind w:left="1470"/>
      <w:jc w:val="left"/>
    </w:pPr>
    <w:rPr>
      <w:rFonts w:eastAsiaTheme="minorHAnsi"/>
      <w:sz w:val="18"/>
      <w:szCs w:val="18"/>
    </w:rPr>
  </w:style>
  <w:style w:type="paragraph" w:styleId="17">
    <w:name w:val="Date"/>
    <w:basedOn w:val="1"/>
    <w:next w:val="1"/>
    <w:link w:val="45"/>
    <w:unhideWhenUsed/>
    <w:qFormat/>
    <w:uiPriority w:val="99"/>
    <w:pPr>
      <w:ind w:left="100" w:leftChars="2500"/>
    </w:pPr>
  </w:style>
  <w:style w:type="paragraph" w:styleId="18">
    <w:name w:val="Balloon Text"/>
    <w:basedOn w:val="1"/>
    <w:link w:val="82"/>
    <w:unhideWhenUsed/>
    <w:qFormat/>
    <w:uiPriority w:val="99"/>
    <w:rPr>
      <w:rFonts w:ascii="Calibri" w:hAnsi="Calibri" w:eastAsia="宋体" w:cs="Times New Roman"/>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eastAsiaTheme="minorHAnsi"/>
      <w:b/>
      <w:bCs/>
      <w:caps/>
      <w:sz w:val="20"/>
      <w:szCs w:val="20"/>
    </w:rPr>
  </w:style>
  <w:style w:type="paragraph" w:styleId="22">
    <w:name w:val="toc 4"/>
    <w:basedOn w:val="1"/>
    <w:next w:val="1"/>
    <w:unhideWhenUsed/>
    <w:qFormat/>
    <w:uiPriority w:val="39"/>
    <w:pPr>
      <w:ind w:left="630"/>
      <w:jc w:val="left"/>
    </w:pPr>
    <w:rPr>
      <w:rFonts w:eastAsiaTheme="minorHAnsi"/>
      <w:sz w:val="18"/>
      <w:szCs w:val="18"/>
    </w:rPr>
  </w:style>
  <w:style w:type="paragraph" w:styleId="23">
    <w:name w:val="Subtitle"/>
    <w:basedOn w:val="1"/>
    <w:next w:val="1"/>
    <w:link w:val="85"/>
    <w:qFormat/>
    <w:uiPriority w:val="0"/>
    <w:pPr>
      <w:spacing w:before="240" w:after="60" w:line="312" w:lineRule="auto"/>
      <w:jc w:val="center"/>
      <w:outlineLvl w:val="1"/>
    </w:pPr>
    <w:rPr>
      <w:rFonts w:ascii="Cambria" w:hAnsi="Cambria"/>
      <w:b/>
      <w:bCs/>
      <w:kern w:val="28"/>
      <w:sz w:val="24"/>
      <w:szCs w:val="32"/>
    </w:rPr>
  </w:style>
  <w:style w:type="paragraph" w:styleId="24">
    <w:name w:val="toc 6"/>
    <w:basedOn w:val="1"/>
    <w:next w:val="1"/>
    <w:unhideWhenUsed/>
    <w:qFormat/>
    <w:uiPriority w:val="39"/>
    <w:pPr>
      <w:ind w:left="1050"/>
      <w:jc w:val="left"/>
    </w:pPr>
    <w:rPr>
      <w:rFonts w:eastAsiaTheme="minorHAnsi"/>
      <w:sz w:val="18"/>
      <w:szCs w:val="18"/>
    </w:rPr>
  </w:style>
  <w:style w:type="paragraph" w:styleId="25">
    <w:name w:val="toc 2"/>
    <w:basedOn w:val="1"/>
    <w:next w:val="1"/>
    <w:unhideWhenUsed/>
    <w:qFormat/>
    <w:uiPriority w:val="39"/>
    <w:pPr>
      <w:ind w:left="210"/>
      <w:jc w:val="left"/>
    </w:pPr>
    <w:rPr>
      <w:rFonts w:eastAsiaTheme="minorHAnsi"/>
      <w:smallCaps/>
      <w:sz w:val="20"/>
      <w:szCs w:val="20"/>
    </w:rPr>
  </w:style>
  <w:style w:type="paragraph" w:styleId="26">
    <w:name w:val="toc 9"/>
    <w:basedOn w:val="1"/>
    <w:next w:val="1"/>
    <w:unhideWhenUsed/>
    <w:qFormat/>
    <w:uiPriority w:val="39"/>
    <w:pPr>
      <w:ind w:left="1680"/>
      <w:jc w:val="left"/>
    </w:pPr>
    <w:rPr>
      <w:rFonts w:eastAsiaTheme="minorHAnsi"/>
      <w:sz w:val="18"/>
      <w:szCs w:val="18"/>
    </w:rPr>
  </w:style>
  <w:style w:type="paragraph" w:styleId="27">
    <w:name w:val="HTML Preformatted"/>
    <w:basedOn w:val="1"/>
    <w:link w:val="77"/>
    <w:semiHidden/>
    <w:unhideWhenUsed/>
    <w:qFormat/>
    <w:uiPriority w:val="99"/>
    <w:rPr>
      <w:rFonts w:ascii="宋体" w:hAnsi="宋体" w:cs="宋体"/>
      <w:sz w:val="24"/>
      <w:szCs w:val="24"/>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9">
    <w:name w:val="annotation subject"/>
    <w:basedOn w:val="10"/>
    <w:next w:val="10"/>
    <w:link w:val="124"/>
    <w:semiHidden/>
    <w:unhideWhenUsed/>
    <w:qFormat/>
    <w:uiPriority w:val="99"/>
    <w:rPr>
      <w:rFonts w:ascii="Times New Roman" w:hAnsi="Times New Roman" w:eastAsiaTheme="minorEastAsia" w:cstheme="minorBidi"/>
      <w:b/>
      <w:bCs/>
    </w:rPr>
  </w:style>
  <w:style w:type="paragraph" w:styleId="30">
    <w:name w:val="Body Text First Indent 2"/>
    <w:basedOn w:val="13"/>
    <w:link w:val="168"/>
    <w:qFormat/>
    <w:uiPriority w:val="0"/>
    <w:pPr>
      <w:adjustRightInd w:val="0"/>
      <w:snapToGrid w:val="0"/>
      <w:spacing w:line="360" w:lineRule="auto"/>
      <w:ind w:firstLine="420" w:firstLineChars="200"/>
    </w:pPr>
    <w:rPr>
      <w:rFonts w:ascii="Times New Roman" w:hAnsi="Times New Roman" w:eastAsia="仿宋_GB2312"/>
      <w:sz w:val="24"/>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Hyperlink"/>
    <w:basedOn w:val="33"/>
    <w:unhideWhenUsed/>
    <w:qFormat/>
    <w:uiPriority w:val="99"/>
    <w:rPr>
      <w:color w:val="0000CC"/>
      <w:u w:val="single"/>
    </w:rPr>
  </w:style>
  <w:style w:type="character" w:styleId="36">
    <w:name w:val="annotation reference"/>
    <w:unhideWhenUsed/>
    <w:qFormat/>
    <w:uiPriority w:val="0"/>
    <w:rPr>
      <w:sz w:val="21"/>
      <w:szCs w:val="21"/>
    </w:rPr>
  </w:style>
  <w:style w:type="paragraph" w:customStyle="1" w:styleId="37">
    <w:name w:val="正文new"/>
    <w:basedOn w:val="1"/>
    <w:link w:val="38"/>
    <w:qFormat/>
    <w:uiPriority w:val="0"/>
    <w:pPr>
      <w:ind w:firstLine="200" w:firstLineChars="200"/>
    </w:pPr>
    <w:rPr>
      <w:rFonts w:ascii="仿宋" w:hAnsi="仿宋" w:eastAsia="仿宋_GB2312" w:cs="Times New Roman"/>
      <w:sz w:val="30"/>
      <w:szCs w:val="28"/>
    </w:rPr>
  </w:style>
  <w:style w:type="character" w:customStyle="1" w:styleId="38">
    <w:name w:val="正文new Char"/>
    <w:basedOn w:val="33"/>
    <w:link w:val="37"/>
    <w:qFormat/>
    <w:uiPriority w:val="0"/>
    <w:rPr>
      <w:rFonts w:ascii="仿宋" w:hAnsi="仿宋" w:eastAsia="仿宋_GB2312" w:cs="Times New Roman"/>
      <w:sz w:val="30"/>
      <w:szCs w:val="28"/>
    </w:rPr>
  </w:style>
  <w:style w:type="character" w:customStyle="1" w:styleId="39">
    <w:name w:val="标题 1 字符"/>
    <w:basedOn w:val="33"/>
    <w:link w:val="2"/>
    <w:qFormat/>
    <w:uiPriority w:val="9"/>
    <w:rPr>
      <w:rFonts w:eastAsia="黑体"/>
      <w:bCs/>
      <w:kern w:val="44"/>
      <w:sz w:val="32"/>
      <w:szCs w:val="44"/>
    </w:rPr>
  </w:style>
  <w:style w:type="character" w:customStyle="1" w:styleId="40">
    <w:name w:val="标题 2 字符"/>
    <w:basedOn w:val="33"/>
    <w:link w:val="3"/>
    <w:qFormat/>
    <w:uiPriority w:val="9"/>
    <w:rPr>
      <w:rFonts w:ascii="Times New Roman" w:hAnsi="Times New Roman" w:eastAsia="楷体" w:cstheme="majorBidi"/>
      <w:b/>
      <w:bCs/>
      <w:sz w:val="32"/>
      <w:szCs w:val="32"/>
    </w:rPr>
  </w:style>
  <w:style w:type="character" w:customStyle="1" w:styleId="41">
    <w:name w:val="标题 3 字符"/>
    <w:basedOn w:val="33"/>
    <w:link w:val="4"/>
    <w:qFormat/>
    <w:uiPriority w:val="9"/>
    <w:rPr>
      <w:rFonts w:ascii="Times New Roman" w:hAnsi="Times New Roman" w:eastAsia="楷体"/>
      <w:b/>
      <w:bCs/>
      <w:sz w:val="30"/>
      <w:szCs w:val="32"/>
    </w:rPr>
  </w:style>
  <w:style w:type="character" w:customStyle="1" w:styleId="42">
    <w:name w:val="页眉 字符"/>
    <w:basedOn w:val="33"/>
    <w:link w:val="20"/>
    <w:qFormat/>
    <w:uiPriority w:val="99"/>
    <w:rPr>
      <w:sz w:val="18"/>
      <w:szCs w:val="18"/>
    </w:rPr>
  </w:style>
  <w:style w:type="character" w:customStyle="1" w:styleId="43">
    <w:name w:val="页脚 字符"/>
    <w:basedOn w:val="33"/>
    <w:link w:val="19"/>
    <w:qFormat/>
    <w:uiPriority w:val="99"/>
    <w:rPr>
      <w:sz w:val="18"/>
      <w:szCs w:val="18"/>
    </w:rPr>
  </w:style>
  <w:style w:type="character" w:customStyle="1" w:styleId="44">
    <w:name w:val="标题 4 字符"/>
    <w:basedOn w:val="33"/>
    <w:link w:val="5"/>
    <w:qFormat/>
    <w:uiPriority w:val="9"/>
    <w:rPr>
      <w:rFonts w:ascii="Times New Roman" w:hAnsi="Times New Roman" w:eastAsia="黑体" w:cstheme="majorBidi"/>
      <w:bCs/>
      <w:sz w:val="28"/>
      <w:szCs w:val="28"/>
    </w:rPr>
  </w:style>
  <w:style w:type="character" w:customStyle="1" w:styleId="45">
    <w:name w:val="日期 字符"/>
    <w:basedOn w:val="33"/>
    <w:link w:val="17"/>
    <w:qFormat/>
    <w:uiPriority w:val="99"/>
  </w:style>
  <w:style w:type="paragraph" w:styleId="46">
    <w:name w:val="No Spacing"/>
    <w:link w:val="47"/>
    <w:qFormat/>
    <w:uiPriority w:val="1"/>
    <w:pPr>
      <w:spacing w:before="50" w:beforeLines="50" w:after="50" w:afterLines="50" w:line="288" w:lineRule="auto"/>
      <w:jc w:val="center"/>
    </w:pPr>
    <w:rPr>
      <w:rFonts w:ascii="Times New Roman" w:hAnsi="Times New Roman" w:eastAsia="宋体" w:cstheme="minorBidi"/>
      <w:b/>
      <w:sz w:val="24"/>
      <w:szCs w:val="22"/>
      <w:lang w:val="en-US" w:eastAsia="zh-CN" w:bidi="ar-SA"/>
    </w:rPr>
  </w:style>
  <w:style w:type="character" w:customStyle="1" w:styleId="47">
    <w:name w:val="无间隔 字符"/>
    <w:link w:val="46"/>
    <w:qFormat/>
    <w:uiPriority w:val="1"/>
    <w:rPr>
      <w:rFonts w:ascii="Times New Roman" w:hAnsi="Times New Roman" w:eastAsia="宋体"/>
      <w:b/>
      <w:kern w:val="0"/>
      <w:sz w:val="24"/>
    </w:rPr>
  </w:style>
  <w:style w:type="paragraph" w:customStyle="1" w:styleId="48">
    <w:name w:val="标题3"/>
    <w:basedOn w:val="1"/>
    <w:link w:val="49"/>
    <w:qFormat/>
    <w:uiPriority w:val="0"/>
    <w:pPr>
      <w:spacing w:before="50" w:beforeLines="50" w:after="50" w:afterLines="50" w:line="360" w:lineRule="auto"/>
      <w:outlineLvl w:val="2"/>
    </w:pPr>
    <w:rPr>
      <w:rFonts w:ascii="Times New Roman" w:hAnsi="Times New Roman" w:eastAsiaTheme="majorEastAsia"/>
      <w:b/>
      <w:sz w:val="28"/>
    </w:rPr>
  </w:style>
  <w:style w:type="character" w:customStyle="1" w:styleId="49">
    <w:name w:val="标题3 Char Char"/>
    <w:link w:val="48"/>
    <w:qFormat/>
    <w:uiPriority w:val="0"/>
    <w:rPr>
      <w:rFonts w:ascii="Times New Roman" w:hAnsi="Times New Roman" w:eastAsiaTheme="majorEastAsia"/>
      <w:b/>
      <w:sz w:val="28"/>
    </w:rPr>
  </w:style>
  <w:style w:type="paragraph" w:customStyle="1" w:styleId="50">
    <w:name w:val="标题2"/>
    <w:basedOn w:val="1"/>
    <w:qFormat/>
    <w:uiPriority w:val="0"/>
    <w:pPr>
      <w:spacing w:before="50" w:beforeLines="50" w:after="50" w:afterLines="50" w:line="360" w:lineRule="auto"/>
      <w:outlineLvl w:val="1"/>
    </w:pPr>
    <w:rPr>
      <w:rFonts w:ascii="Times New Roman" w:hAnsi="Times New Roman" w:eastAsiaTheme="majorEastAsia"/>
      <w:b/>
      <w:sz w:val="30"/>
    </w:rPr>
  </w:style>
  <w:style w:type="paragraph" w:styleId="51">
    <w:name w:val="List Paragraph"/>
    <w:basedOn w:val="1"/>
    <w:link w:val="164"/>
    <w:qFormat/>
    <w:uiPriority w:val="34"/>
    <w:pPr>
      <w:widowControl/>
      <w:spacing w:line="360" w:lineRule="auto"/>
      <w:ind w:left="720"/>
      <w:contextualSpacing/>
    </w:pPr>
    <w:rPr>
      <w:rFonts w:ascii="Times New Roman" w:hAnsi="Times New Roman" w:eastAsia="仿宋"/>
      <w:kern w:val="0"/>
      <w:sz w:val="28"/>
    </w:rPr>
  </w:style>
  <w:style w:type="character" w:customStyle="1" w:styleId="52">
    <w:name w:val="不明显强调1"/>
    <w:basedOn w:val="33"/>
    <w:qFormat/>
    <w:uiPriority w:val="19"/>
    <w:rPr>
      <w:i/>
      <w:iCs/>
      <w:color w:val="808080" w:themeColor="text1" w:themeTint="80"/>
      <w14:textFill>
        <w14:solidFill>
          <w14:schemeClr w14:val="tx1">
            <w14:lumMod w14:val="50000"/>
            <w14:lumOff w14:val="50000"/>
          </w14:schemeClr>
        </w14:solidFill>
      </w14:textFill>
    </w:rPr>
  </w:style>
  <w:style w:type="paragraph" w:customStyle="1" w:styleId="53">
    <w:name w:val="标题1"/>
    <w:basedOn w:val="1"/>
    <w:qFormat/>
    <w:uiPriority w:val="10"/>
    <w:pPr>
      <w:spacing w:before="50" w:beforeLines="50" w:after="50" w:afterLines="50" w:line="360" w:lineRule="auto"/>
      <w:outlineLvl w:val="0"/>
    </w:pPr>
    <w:rPr>
      <w:rFonts w:ascii="Times New Roman" w:hAnsi="Times New Roman" w:eastAsiaTheme="majorEastAsia"/>
      <w:b/>
      <w:sz w:val="32"/>
    </w:rPr>
  </w:style>
  <w:style w:type="paragraph" w:customStyle="1" w:styleId="54">
    <w:name w:val="标题4"/>
    <w:basedOn w:val="48"/>
    <w:qFormat/>
    <w:uiPriority w:val="0"/>
    <w:pPr>
      <w:outlineLvl w:val="3"/>
    </w:pPr>
  </w:style>
  <w:style w:type="character" w:customStyle="1" w:styleId="55">
    <w:name w:val="正文缩进 字符"/>
    <w:link w:val="7"/>
    <w:qFormat/>
    <w:uiPriority w:val="0"/>
    <w:rPr>
      <w:rFonts w:ascii="Times New Roman" w:hAnsi="Times New Roman" w:eastAsia="仿宋"/>
      <w:kern w:val="0"/>
      <w:sz w:val="24"/>
      <w:szCs w:val="20"/>
    </w:rPr>
  </w:style>
  <w:style w:type="paragraph" w:customStyle="1" w:styleId="56">
    <w:name w:val="表格文字"/>
    <w:basedOn w:val="1"/>
    <w:qFormat/>
    <w:uiPriority w:val="0"/>
    <w:pPr>
      <w:spacing w:line="320" w:lineRule="exact"/>
      <w:ind w:left="-57" w:right="-57"/>
      <w:jc w:val="center"/>
    </w:pPr>
    <w:rPr>
      <w:rFonts w:ascii="Arial" w:hAnsi="Arial" w:eastAsia="宋体" w:cs="Times New Roman"/>
      <w:szCs w:val="24"/>
    </w:rPr>
  </w:style>
  <w:style w:type="table" w:customStyle="1" w:styleId="57">
    <w:name w:val="无格式表格 21"/>
    <w:basedOn w:val="31"/>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8">
    <w:name w:val="三线表"/>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59">
    <w:name w:val="3级new"/>
    <w:link w:val="60"/>
    <w:qFormat/>
    <w:uiPriority w:val="0"/>
    <w:pPr>
      <w:spacing w:before="50" w:beforeLines="50" w:after="50" w:afterLines="50" w:line="360" w:lineRule="auto"/>
      <w:outlineLvl w:val="2"/>
    </w:pPr>
    <w:rPr>
      <w:rFonts w:ascii="Times New Roman" w:hAnsi="Times New Roman" w:eastAsia="黑体" w:cs="Times New Roman"/>
      <w:color w:val="000000" w:themeColor="text1"/>
      <w:kern w:val="2"/>
      <w:sz w:val="30"/>
      <w:szCs w:val="30"/>
      <w:lang w:val="en-US" w:eastAsia="zh-CN" w:bidi="ar-SA"/>
      <w14:textFill>
        <w14:solidFill>
          <w14:schemeClr w14:val="tx1"/>
        </w14:solidFill>
      </w14:textFill>
    </w:rPr>
  </w:style>
  <w:style w:type="character" w:customStyle="1" w:styleId="60">
    <w:name w:val="3级new Char"/>
    <w:basedOn w:val="38"/>
    <w:link w:val="59"/>
    <w:qFormat/>
    <w:uiPriority w:val="0"/>
    <w:rPr>
      <w:rFonts w:ascii="Times New Roman" w:hAnsi="Times New Roman" w:eastAsia="黑体" w:cs="Times New Roman"/>
      <w:color w:val="000000" w:themeColor="text1"/>
      <w:sz w:val="30"/>
      <w:szCs w:val="30"/>
      <w14:textFill>
        <w14:solidFill>
          <w14:schemeClr w14:val="tx1"/>
        </w14:solidFill>
      </w14:textFill>
    </w:rPr>
  </w:style>
  <w:style w:type="paragraph" w:customStyle="1" w:styleId="61">
    <w:name w:val="2级new"/>
    <w:next w:val="1"/>
    <w:link w:val="62"/>
    <w:qFormat/>
    <w:uiPriority w:val="0"/>
    <w:pPr>
      <w:spacing w:before="50" w:beforeLines="50" w:after="50" w:afterLines="50" w:line="360" w:lineRule="auto"/>
      <w:outlineLvl w:val="1"/>
    </w:pPr>
    <w:rPr>
      <w:rFonts w:ascii="Times New Roman" w:hAnsi="Times New Roman" w:eastAsia="黑体" w:cs="Times New Roman"/>
      <w:color w:val="000000" w:themeColor="text1"/>
      <w:kern w:val="2"/>
      <w:sz w:val="32"/>
      <w:szCs w:val="32"/>
      <w:lang w:val="en-US" w:eastAsia="zh-CN" w:bidi="ar-SA"/>
      <w14:textFill>
        <w14:solidFill>
          <w14:schemeClr w14:val="tx1"/>
        </w14:solidFill>
      </w14:textFill>
    </w:rPr>
  </w:style>
  <w:style w:type="character" w:customStyle="1" w:styleId="62">
    <w:name w:val="2级new Char"/>
    <w:basedOn w:val="38"/>
    <w:link w:val="61"/>
    <w:qFormat/>
    <w:uiPriority w:val="0"/>
    <w:rPr>
      <w:rFonts w:ascii="Times New Roman" w:hAnsi="Times New Roman" w:eastAsia="黑体" w:cs="Times New Roman"/>
      <w:color w:val="000000" w:themeColor="text1"/>
      <w:sz w:val="32"/>
      <w:szCs w:val="32"/>
      <w14:textFill>
        <w14:solidFill>
          <w14:schemeClr w14:val="tx1"/>
        </w14:solidFill>
      </w14:textFill>
    </w:rPr>
  </w:style>
  <w:style w:type="paragraph" w:customStyle="1" w:styleId="63">
    <w:name w:val="图名new"/>
    <w:basedOn w:val="1"/>
    <w:link w:val="64"/>
    <w:qFormat/>
    <w:uiPriority w:val="0"/>
    <w:pPr>
      <w:spacing w:before="50" w:beforeLines="50" w:line="360" w:lineRule="auto"/>
      <w:jc w:val="center"/>
    </w:pPr>
    <w:rPr>
      <w:rFonts w:ascii="Times New Roman" w:hAnsi="Times New Roman" w:eastAsia="黑体" w:cs="Times New Roman"/>
      <w:sz w:val="24"/>
      <w:szCs w:val="24"/>
      <w:lang w:val="zh-CN"/>
    </w:rPr>
  </w:style>
  <w:style w:type="character" w:customStyle="1" w:styleId="64">
    <w:name w:val="图名new 字符"/>
    <w:link w:val="63"/>
    <w:qFormat/>
    <w:uiPriority w:val="0"/>
    <w:rPr>
      <w:rFonts w:ascii="Times New Roman" w:hAnsi="Times New Roman" w:eastAsia="黑体" w:cs="Times New Roman"/>
      <w:sz w:val="24"/>
      <w:szCs w:val="24"/>
      <w:lang w:val="zh-CN" w:eastAsia="zh-CN"/>
    </w:rPr>
  </w:style>
  <w:style w:type="table" w:customStyle="1" w:styleId="65">
    <w:name w:val="三线表1"/>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6">
    <w:name w:val="三线表2"/>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7">
    <w:name w:val="三线表3"/>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8">
    <w:name w:val="三线表4"/>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69">
    <w:name w:val="三线表5"/>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0">
    <w:name w:val="浅色底纹1"/>
    <w:basedOn w:val="31"/>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71">
    <w:name w:val="三线表6"/>
    <w:basedOn w:val="31"/>
    <w:qFormat/>
    <w:uiPriority w:val="42"/>
    <w:pPr>
      <w:jc w:val="center"/>
    </w:pPr>
    <w:rPr>
      <w:rFonts w:ascii="Times New Roman" w:hAnsi="Times New Roman" w:eastAsia="宋体" w:cs="Times New Roman"/>
    </w:rPr>
    <w:tblPr>
      <w:tblBorders>
        <w:top w:val="single" w:color="auto" w:sz="12" w:space="0"/>
        <w:bottom w:val="single" w:color="auto" w:sz="12" w:space="0"/>
      </w:tblBorders>
    </w:tblPr>
    <w:tcPr>
      <w:vAlign w:val="center"/>
    </w:tcPr>
    <w:tblStylePr w:type="firstRow">
      <w:rPr>
        <w:b/>
        <w:bCs/>
      </w:rPr>
      <w:tcPr>
        <w:tcBorders>
          <w:bottom w:val="single" w:color="7F7F7F" w:sz="4" w:space="0"/>
        </w:tcBorders>
      </w:tcPr>
    </w:tblStylePr>
    <w:tblStylePr w:type="lastRow">
      <w:rPr>
        <w:b w:val="0"/>
        <w:bCs/>
      </w:rPr>
      <w:tcPr>
        <w:tcBorders>
          <w:top w:val="single" w:color="7F7F7F" w:sz="4" w:space="0"/>
        </w:tcBorders>
      </w:tcPr>
    </w:tblStylePr>
    <w:tblStylePr w:type="firstCol">
      <w:rPr>
        <w:b w:val="0"/>
        <w:bCs/>
      </w:rPr>
    </w:tblStylePr>
    <w:tblStylePr w:type="lastCol">
      <w:rPr>
        <w:b w:val="0"/>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72">
    <w:name w:val="标题四"/>
    <w:basedOn w:val="1"/>
    <w:qFormat/>
    <w:uiPriority w:val="0"/>
    <w:pPr>
      <w:keepNext/>
      <w:keepLines/>
      <w:spacing w:before="340" w:beforeLines="50" w:after="330" w:afterLines="50"/>
      <w:outlineLvl w:val="3"/>
    </w:pPr>
    <w:rPr>
      <w:rFonts w:ascii="Times New Roman" w:hAnsi="Times New Roman" w:eastAsia="宋体" w:cs="Times New Roman"/>
      <w:b/>
      <w:bCs/>
      <w:kern w:val="44"/>
      <w:sz w:val="24"/>
      <w:szCs w:val="44"/>
    </w:rPr>
  </w:style>
  <w:style w:type="paragraph" w:customStyle="1" w:styleId="73">
    <w:name w:val="图/表标题"/>
    <w:basedOn w:val="1"/>
    <w:link w:val="74"/>
    <w:qFormat/>
    <w:uiPriority w:val="0"/>
    <w:pPr>
      <w:spacing w:line="360" w:lineRule="auto"/>
      <w:jc w:val="center"/>
    </w:pPr>
    <w:rPr>
      <w:rFonts w:ascii="黑体" w:hAnsi="Times New Roman" w:eastAsia="黑体" w:cs="Times New Roman"/>
      <w:kern w:val="0"/>
      <w:sz w:val="24"/>
      <w:szCs w:val="24"/>
    </w:rPr>
  </w:style>
  <w:style w:type="character" w:customStyle="1" w:styleId="74">
    <w:name w:val="图/表标题 Char"/>
    <w:link w:val="73"/>
    <w:qFormat/>
    <w:locked/>
    <w:uiPriority w:val="0"/>
    <w:rPr>
      <w:rFonts w:ascii="黑体" w:hAnsi="Times New Roman" w:eastAsia="黑体" w:cs="Times New Roman"/>
      <w:kern w:val="0"/>
      <w:sz w:val="24"/>
      <w:szCs w:val="24"/>
    </w:rPr>
  </w:style>
  <w:style w:type="paragraph" w:customStyle="1" w:styleId="75">
    <w:name w:val="p0"/>
    <w:basedOn w:val="1"/>
    <w:qFormat/>
    <w:uiPriority w:val="0"/>
    <w:pPr>
      <w:widowControl/>
      <w:spacing w:before="156" w:line="360" w:lineRule="auto"/>
      <w:ind w:firstLine="420"/>
    </w:pPr>
    <w:rPr>
      <w:rFonts w:ascii="Calibri" w:hAnsi="Calibri" w:eastAsia="宋体" w:cs="Times New Roman"/>
      <w:kern w:val="0"/>
      <w:sz w:val="24"/>
    </w:rPr>
  </w:style>
  <w:style w:type="paragraph" w:customStyle="1" w:styleId="76">
    <w:name w:val="样式1"/>
    <w:basedOn w:val="1"/>
    <w:qFormat/>
    <w:uiPriority w:val="0"/>
    <w:pPr>
      <w:spacing w:line="360" w:lineRule="auto"/>
      <w:ind w:firstLine="200" w:firstLineChars="200"/>
    </w:pPr>
    <w:rPr>
      <w:rFonts w:ascii="Arial" w:hAnsi="Arial" w:eastAsia="宋体" w:cs="Times New Roman"/>
      <w:sz w:val="24"/>
    </w:rPr>
  </w:style>
  <w:style w:type="character" w:customStyle="1" w:styleId="77">
    <w:name w:val="HTML 预设格式 字符"/>
    <w:link w:val="27"/>
    <w:qFormat/>
    <w:uiPriority w:val="99"/>
    <w:rPr>
      <w:rFonts w:ascii="宋体" w:hAnsi="宋体" w:cs="宋体"/>
      <w:sz w:val="24"/>
      <w:szCs w:val="24"/>
    </w:rPr>
  </w:style>
  <w:style w:type="character" w:customStyle="1" w:styleId="78">
    <w:name w:val="三级标题 Char"/>
    <w:link w:val="79"/>
    <w:qFormat/>
    <w:uiPriority w:val="0"/>
    <w:rPr>
      <w:rFonts w:ascii="Times New Roman" w:hAnsi="Times New Roman" w:eastAsia="黑体"/>
      <w:b/>
      <w:bCs/>
      <w:kern w:val="44"/>
      <w:sz w:val="24"/>
      <w:szCs w:val="44"/>
    </w:rPr>
  </w:style>
  <w:style w:type="paragraph" w:customStyle="1" w:styleId="79">
    <w:name w:val="三级标题"/>
    <w:basedOn w:val="1"/>
    <w:link w:val="78"/>
    <w:qFormat/>
    <w:uiPriority w:val="0"/>
    <w:pPr>
      <w:keepNext/>
      <w:keepLines/>
      <w:spacing w:line="360" w:lineRule="auto"/>
      <w:outlineLvl w:val="0"/>
    </w:pPr>
    <w:rPr>
      <w:rFonts w:ascii="Times New Roman" w:hAnsi="Times New Roman" w:eastAsia="黑体"/>
      <w:b/>
      <w:bCs/>
      <w:kern w:val="44"/>
      <w:sz w:val="24"/>
      <w:szCs w:val="44"/>
    </w:rPr>
  </w:style>
  <w:style w:type="character" w:customStyle="1" w:styleId="80">
    <w:name w:val="（3）标题 Char"/>
    <w:link w:val="81"/>
    <w:qFormat/>
    <w:uiPriority w:val="0"/>
    <w:rPr>
      <w:rFonts w:ascii="Times New Roman" w:hAnsi="Times New Roman" w:eastAsia="黑体" w:cs="Times New Roman"/>
      <w:sz w:val="28"/>
      <w:szCs w:val="28"/>
    </w:rPr>
  </w:style>
  <w:style w:type="paragraph" w:customStyle="1" w:styleId="81">
    <w:name w:val="（3）标题"/>
    <w:basedOn w:val="1"/>
    <w:link w:val="80"/>
    <w:qFormat/>
    <w:uiPriority w:val="0"/>
    <w:pPr>
      <w:spacing w:line="360" w:lineRule="auto"/>
      <w:outlineLvl w:val="2"/>
    </w:pPr>
    <w:rPr>
      <w:rFonts w:ascii="Times New Roman" w:hAnsi="Times New Roman" w:eastAsia="黑体" w:cs="Times New Roman"/>
      <w:sz w:val="28"/>
      <w:szCs w:val="28"/>
    </w:rPr>
  </w:style>
  <w:style w:type="character" w:customStyle="1" w:styleId="82">
    <w:name w:val="批注框文本 字符"/>
    <w:link w:val="18"/>
    <w:qFormat/>
    <w:uiPriority w:val="99"/>
    <w:rPr>
      <w:rFonts w:ascii="Calibri" w:hAnsi="Calibri" w:eastAsia="宋体" w:cs="Times New Roman"/>
      <w:sz w:val="18"/>
      <w:szCs w:val="18"/>
    </w:rPr>
  </w:style>
  <w:style w:type="character" w:customStyle="1" w:styleId="83">
    <w:name w:val="（4）标题 Char"/>
    <w:link w:val="84"/>
    <w:qFormat/>
    <w:uiPriority w:val="0"/>
    <w:rPr>
      <w:rFonts w:ascii="Times New Roman" w:hAnsi="Times New Roman" w:eastAsia="黑体"/>
      <w:sz w:val="24"/>
      <w:szCs w:val="28"/>
    </w:rPr>
  </w:style>
  <w:style w:type="paragraph" w:customStyle="1" w:styleId="84">
    <w:name w:val="（4）标题"/>
    <w:basedOn w:val="81"/>
    <w:link w:val="83"/>
    <w:qFormat/>
    <w:uiPriority w:val="0"/>
    <w:pPr>
      <w:outlineLvl w:val="3"/>
    </w:pPr>
    <w:rPr>
      <w:rFonts w:cstheme="minorBidi"/>
      <w:sz w:val="24"/>
    </w:rPr>
  </w:style>
  <w:style w:type="character" w:customStyle="1" w:styleId="85">
    <w:name w:val="副标题 字符"/>
    <w:link w:val="23"/>
    <w:qFormat/>
    <w:uiPriority w:val="0"/>
    <w:rPr>
      <w:rFonts w:ascii="Cambria" w:hAnsi="Cambria"/>
      <w:b/>
      <w:bCs/>
      <w:kern w:val="28"/>
      <w:sz w:val="24"/>
      <w:szCs w:val="32"/>
    </w:rPr>
  </w:style>
  <w:style w:type="character" w:customStyle="1" w:styleId="86">
    <w:name w:val="文档结构图 字符"/>
    <w:link w:val="9"/>
    <w:qFormat/>
    <w:uiPriority w:val="99"/>
    <w:rPr>
      <w:rFonts w:ascii="宋体"/>
      <w:sz w:val="18"/>
      <w:szCs w:val="18"/>
    </w:rPr>
  </w:style>
  <w:style w:type="character" w:customStyle="1" w:styleId="87">
    <w:name w:val="副标题 Char1"/>
    <w:qFormat/>
    <w:uiPriority w:val="0"/>
    <w:rPr>
      <w:rFonts w:ascii="Cambria" w:hAnsi="Cambria" w:cs="Times New Roman"/>
      <w:b/>
      <w:bCs/>
      <w:kern w:val="28"/>
      <w:sz w:val="32"/>
      <w:szCs w:val="32"/>
    </w:rPr>
  </w:style>
  <w:style w:type="character" w:customStyle="1" w:styleId="88">
    <w:name w:val="成都正文1 Char"/>
    <w:link w:val="89"/>
    <w:qFormat/>
    <w:uiPriority w:val="0"/>
    <w:rPr>
      <w:rFonts w:ascii="Times New Roman" w:hAnsi="宋体"/>
      <w:sz w:val="24"/>
      <w:szCs w:val="24"/>
    </w:rPr>
  </w:style>
  <w:style w:type="paragraph" w:customStyle="1" w:styleId="89">
    <w:name w:val="成都正文1"/>
    <w:basedOn w:val="51"/>
    <w:link w:val="88"/>
    <w:qFormat/>
    <w:uiPriority w:val="0"/>
    <w:pPr>
      <w:widowControl w:val="0"/>
      <w:ind w:left="0" w:firstLine="480" w:firstLineChars="200"/>
      <w:contextualSpacing w:val="0"/>
    </w:pPr>
    <w:rPr>
      <w:rFonts w:hAnsi="宋体" w:eastAsiaTheme="minorEastAsia"/>
      <w:kern w:val="2"/>
      <w:sz w:val="24"/>
      <w:szCs w:val="24"/>
    </w:rPr>
  </w:style>
  <w:style w:type="character" w:customStyle="1" w:styleId="90">
    <w:name w:val="1.正文 Char"/>
    <w:link w:val="91"/>
    <w:qFormat/>
    <w:uiPriority w:val="0"/>
    <w:rPr>
      <w:rFonts w:ascii="Times New Roman" w:hAnsi="宋体"/>
      <w:sz w:val="28"/>
      <w:szCs w:val="28"/>
    </w:rPr>
  </w:style>
  <w:style w:type="paragraph" w:customStyle="1" w:styleId="91">
    <w:name w:val="1.正文"/>
    <w:basedOn w:val="1"/>
    <w:link w:val="90"/>
    <w:qFormat/>
    <w:uiPriority w:val="0"/>
    <w:pPr>
      <w:spacing w:line="500" w:lineRule="exact"/>
      <w:ind w:firstLine="560" w:firstLineChars="200"/>
    </w:pPr>
    <w:rPr>
      <w:rFonts w:ascii="Times New Roman" w:hAnsi="宋体"/>
      <w:sz w:val="28"/>
      <w:szCs w:val="28"/>
    </w:rPr>
  </w:style>
  <w:style w:type="character" w:customStyle="1" w:styleId="92">
    <w:name w:val="6.表头 Char"/>
    <w:link w:val="93"/>
    <w:qFormat/>
    <w:uiPriority w:val="0"/>
    <w:rPr>
      <w:rFonts w:ascii="Times New Roman" w:hAnsi="Times New Roman" w:eastAsia="黑体"/>
      <w:szCs w:val="24"/>
    </w:rPr>
  </w:style>
  <w:style w:type="paragraph" w:customStyle="1" w:styleId="93">
    <w:name w:val="6.表头"/>
    <w:basedOn w:val="1"/>
    <w:link w:val="92"/>
    <w:qFormat/>
    <w:uiPriority w:val="0"/>
    <w:pPr>
      <w:spacing w:line="360" w:lineRule="auto"/>
      <w:jc w:val="center"/>
    </w:pPr>
    <w:rPr>
      <w:rFonts w:ascii="Times New Roman" w:hAnsi="Times New Roman" w:eastAsia="黑体"/>
      <w:szCs w:val="24"/>
    </w:rPr>
  </w:style>
  <w:style w:type="character" w:customStyle="1" w:styleId="94">
    <w:name w:val="表格 Char"/>
    <w:link w:val="95"/>
    <w:qFormat/>
    <w:uiPriority w:val="0"/>
    <w:rPr>
      <w:rFonts w:ascii="Times New Roman" w:hAnsi="Times New Roman"/>
      <w:sz w:val="24"/>
    </w:rPr>
  </w:style>
  <w:style w:type="paragraph" w:customStyle="1" w:styleId="95">
    <w:name w:val="表格"/>
    <w:link w:val="94"/>
    <w:qFormat/>
    <w:uiPriority w:val="0"/>
    <w:pPr>
      <w:jc w:val="center"/>
    </w:pPr>
    <w:rPr>
      <w:rFonts w:ascii="Times New Roman" w:hAnsi="Times New Roman" w:eastAsiaTheme="minorEastAsia" w:cstheme="minorBidi"/>
      <w:kern w:val="2"/>
      <w:sz w:val="24"/>
      <w:szCs w:val="22"/>
      <w:lang w:val="en-US" w:eastAsia="zh-CN" w:bidi="ar-SA"/>
    </w:rPr>
  </w:style>
  <w:style w:type="character" w:customStyle="1" w:styleId="96">
    <w:name w:val="1.表格标题 Char"/>
    <w:link w:val="97"/>
    <w:qFormat/>
    <w:uiPriority w:val="0"/>
    <w:rPr>
      <w:rFonts w:ascii="Times New Roman" w:hAnsi="Times New Roman" w:eastAsia="黑体"/>
      <w:sz w:val="24"/>
      <w:szCs w:val="24"/>
    </w:rPr>
  </w:style>
  <w:style w:type="paragraph" w:customStyle="1" w:styleId="97">
    <w:name w:val="1.表格标题"/>
    <w:basedOn w:val="1"/>
    <w:link w:val="96"/>
    <w:qFormat/>
    <w:uiPriority w:val="0"/>
    <w:pPr>
      <w:widowControl/>
      <w:ind w:firstLine="480" w:firstLineChars="200"/>
      <w:contextualSpacing/>
      <w:jc w:val="center"/>
    </w:pPr>
    <w:rPr>
      <w:rFonts w:ascii="Times New Roman" w:hAnsi="Times New Roman" w:eastAsia="黑体"/>
      <w:sz w:val="24"/>
      <w:szCs w:val="24"/>
    </w:rPr>
  </w:style>
  <w:style w:type="character" w:customStyle="1" w:styleId="98">
    <w:name w:val="（1）标题 Char"/>
    <w:link w:val="99"/>
    <w:qFormat/>
    <w:uiPriority w:val="0"/>
    <w:rPr>
      <w:rFonts w:ascii="Times New Roman" w:hAnsi="Times New Roman" w:eastAsia="黑体" w:cs="Times New Roman"/>
      <w:sz w:val="32"/>
      <w:szCs w:val="32"/>
    </w:rPr>
  </w:style>
  <w:style w:type="paragraph" w:customStyle="1" w:styleId="99">
    <w:name w:val="（1）标题"/>
    <w:basedOn w:val="1"/>
    <w:link w:val="98"/>
    <w:qFormat/>
    <w:uiPriority w:val="0"/>
    <w:pPr>
      <w:spacing w:line="360" w:lineRule="auto"/>
      <w:outlineLvl w:val="0"/>
    </w:pPr>
    <w:rPr>
      <w:rFonts w:ascii="Times New Roman" w:hAnsi="Times New Roman" w:eastAsia="黑体" w:cs="Times New Roman"/>
      <w:sz w:val="32"/>
      <w:szCs w:val="32"/>
    </w:rPr>
  </w:style>
  <w:style w:type="character" w:customStyle="1" w:styleId="100">
    <w:name w:val="3.标题 Char"/>
    <w:link w:val="101"/>
    <w:qFormat/>
    <w:uiPriority w:val="0"/>
    <w:rPr>
      <w:rFonts w:ascii="方正楷体简体" w:hAnsi="宋体" w:eastAsia="黑体"/>
      <w:b/>
      <w:bCs/>
      <w:sz w:val="28"/>
      <w:szCs w:val="28"/>
    </w:rPr>
  </w:style>
  <w:style w:type="paragraph" w:customStyle="1" w:styleId="101">
    <w:name w:val="3.标题"/>
    <w:basedOn w:val="1"/>
    <w:link w:val="100"/>
    <w:qFormat/>
    <w:uiPriority w:val="0"/>
    <w:pPr>
      <w:spacing w:line="360" w:lineRule="auto"/>
      <w:outlineLvl w:val="2"/>
    </w:pPr>
    <w:rPr>
      <w:rFonts w:ascii="方正楷体简体" w:hAnsi="宋体" w:eastAsia="黑体"/>
      <w:b/>
      <w:bCs/>
      <w:sz w:val="28"/>
      <w:szCs w:val="28"/>
    </w:rPr>
  </w:style>
  <w:style w:type="character" w:customStyle="1" w:styleId="102">
    <w:name w:val="毕业论文规范正文格式 Char"/>
    <w:link w:val="103"/>
    <w:qFormat/>
    <w:locked/>
    <w:uiPriority w:val="0"/>
    <w:rPr>
      <w:rFonts w:ascii="Times New Roman" w:hAnsi="宋体"/>
      <w:sz w:val="24"/>
      <w:szCs w:val="24"/>
    </w:rPr>
  </w:style>
  <w:style w:type="paragraph" w:customStyle="1" w:styleId="103">
    <w:name w:val="毕业论文规范正文格式"/>
    <w:basedOn w:val="1"/>
    <w:link w:val="102"/>
    <w:qFormat/>
    <w:uiPriority w:val="0"/>
    <w:pPr>
      <w:spacing w:line="400" w:lineRule="exact"/>
      <w:ind w:firstLine="482"/>
    </w:pPr>
    <w:rPr>
      <w:rFonts w:ascii="Times New Roman" w:hAnsi="宋体"/>
      <w:sz w:val="24"/>
      <w:szCs w:val="24"/>
    </w:rPr>
  </w:style>
  <w:style w:type="character" w:customStyle="1" w:styleId="104">
    <w:name w:val="图 Char"/>
    <w:link w:val="105"/>
    <w:qFormat/>
    <w:uiPriority w:val="0"/>
    <w:rPr>
      <w:rFonts w:ascii="Times New Roman" w:hAnsi="Times New Roman"/>
      <w:b/>
      <w:sz w:val="24"/>
      <w:szCs w:val="24"/>
    </w:rPr>
  </w:style>
  <w:style w:type="paragraph" w:customStyle="1" w:styleId="105">
    <w:name w:val="图"/>
    <w:basedOn w:val="1"/>
    <w:link w:val="104"/>
    <w:qFormat/>
    <w:uiPriority w:val="0"/>
    <w:pPr>
      <w:spacing w:line="360" w:lineRule="auto"/>
      <w:ind w:firstLine="482" w:firstLineChars="200"/>
      <w:jc w:val="center"/>
    </w:pPr>
    <w:rPr>
      <w:rFonts w:ascii="Times New Roman" w:hAnsi="Times New Roman"/>
      <w:b/>
      <w:sz w:val="24"/>
      <w:szCs w:val="24"/>
    </w:rPr>
  </w:style>
  <w:style w:type="character" w:customStyle="1" w:styleId="106">
    <w:name w:val="1.标题 Char"/>
    <w:link w:val="107"/>
    <w:qFormat/>
    <w:uiPriority w:val="0"/>
    <w:rPr>
      <w:rFonts w:ascii="Times New Roman" w:hAnsi="Times New Roman" w:eastAsia="黑体" w:cs="Times New Roman"/>
      <w:b/>
      <w:bCs/>
      <w:kern w:val="0"/>
      <w:sz w:val="36"/>
      <w:szCs w:val="32"/>
    </w:rPr>
  </w:style>
  <w:style w:type="paragraph" w:customStyle="1" w:styleId="107">
    <w:name w:val="1.标题"/>
    <w:basedOn w:val="1"/>
    <w:link w:val="106"/>
    <w:qFormat/>
    <w:uiPriority w:val="0"/>
    <w:pPr>
      <w:spacing w:line="360" w:lineRule="auto"/>
      <w:jc w:val="center"/>
      <w:outlineLvl w:val="0"/>
    </w:pPr>
    <w:rPr>
      <w:rFonts w:ascii="Times New Roman" w:hAnsi="Times New Roman" w:eastAsia="黑体" w:cs="Times New Roman"/>
      <w:b/>
      <w:bCs/>
      <w:kern w:val="0"/>
      <w:sz w:val="36"/>
      <w:szCs w:val="32"/>
    </w:rPr>
  </w:style>
  <w:style w:type="character" w:customStyle="1" w:styleId="108">
    <w:name w:val="HTML 预设格式 Char1"/>
    <w:semiHidden/>
    <w:qFormat/>
    <w:uiPriority w:val="99"/>
    <w:rPr>
      <w:rFonts w:ascii="Courier New" w:hAnsi="Courier New" w:cs="Courier New"/>
      <w:kern w:val="2"/>
    </w:rPr>
  </w:style>
  <w:style w:type="character" w:customStyle="1" w:styleId="109">
    <w:name w:val="2.标题 Char"/>
    <w:link w:val="110"/>
    <w:qFormat/>
    <w:uiPriority w:val="0"/>
    <w:rPr>
      <w:rFonts w:ascii="方正楷体简体" w:hAnsi="宋体" w:eastAsia="黑体"/>
      <w:b/>
      <w:bCs/>
      <w:sz w:val="30"/>
      <w:szCs w:val="30"/>
    </w:rPr>
  </w:style>
  <w:style w:type="paragraph" w:customStyle="1" w:styleId="110">
    <w:name w:val="2.标题"/>
    <w:basedOn w:val="1"/>
    <w:link w:val="109"/>
    <w:qFormat/>
    <w:uiPriority w:val="0"/>
    <w:pPr>
      <w:spacing w:line="360" w:lineRule="auto"/>
      <w:outlineLvl w:val="1"/>
    </w:pPr>
    <w:rPr>
      <w:rFonts w:ascii="方正楷体简体" w:hAnsi="宋体" w:eastAsia="黑体"/>
      <w:b/>
      <w:bCs/>
      <w:sz w:val="30"/>
      <w:szCs w:val="30"/>
    </w:rPr>
  </w:style>
  <w:style w:type="character" w:customStyle="1" w:styleId="111">
    <w:name w:val="（2）标题 Char"/>
    <w:link w:val="112"/>
    <w:qFormat/>
    <w:uiPriority w:val="0"/>
    <w:rPr>
      <w:rFonts w:ascii="Times New Roman" w:hAnsi="Times New Roman" w:eastAsia="黑体" w:cs="Times New Roman"/>
      <w:sz w:val="30"/>
      <w:szCs w:val="30"/>
    </w:rPr>
  </w:style>
  <w:style w:type="paragraph" w:customStyle="1" w:styleId="112">
    <w:name w:val="（2）标题"/>
    <w:basedOn w:val="1"/>
    <w:link w:val="111"/>
    <w:qFormat/>
    <w:uiPriority w:val="0"/>
    <w:pPr>
      <w:spacing w:line="360" w:lineRule="auto"/>
      <w:outlineLvl w:val="1"/>
    </w:pPr>
    <w:rPr>
      <w:rFonts w:ascii="Times New Roman" w:hAnsi="Times New Roman" w:eastAsia="黑体" w:cs="Times New Roman"/>
      <w:sz w:val="30"/>
      <w:szCs w:val="30"/>
    </w:rPr>
  </w:style>
  <w:style w:type="character" w:styleId="113">
    <w:name w:val="Placeholder Text"/>
    <w:qFormat/>
    <w:uiPriority w:val="99"/>
    <w:rPr>
      <w:color w:val="808080"/>
    </w:rPr>
  </w:style>
  <w:style w:type="character" w:customStyle="1" w:styleId="114">
    <w:name w:val="样式1.正文 Char"/>
    <w:link w:val="115"/>
    <w:qFormat/>
    <w:uiPriority w:val="0"/>
    <w:rPr>
      <w:rFonts w:ascii="Times New Roman" w:hAnsi="Times New Roman"/>
      <w:sz w:val="28"/>
      <w:szCs w:val="28"/>
    </w:rPr>
  </w:style>
  <w:style w:type="paragraph" w:customStyle="1" w:styleId="115">
    <w:name w:val="样式1.正文"/>
    <w:basedOn w:val="1"/>
    <w:link w:val="114"/>
    <w:qFormat/>
    <w:uiPriority w:val="0"/>
    <w:pPr>
      <w:spacing w:line="500" w:lineRule="exact"/>
      <w:ind w:firstLine="560" w:firstLineChars="200"/>
    </w:pPr>
    <w:rPr>
      <w:rFonts w:ascii="Times New Roman" w:hAnsi="Times New Roman"/>
      <w:sz w:val="28"/>
      <w:szCs w:val="28"/>
    </w:rPr>
  </w:style>
  <w:style w:type="character" w:customStyle="1" w:styleId="116">
    <w:name w:val="（0）正文 Char"/>
    <w:link w:val="117"/>
    <w:qFormat/>
    <w:uiPriority w:val="0"/>
    <w:rPr>
      <w:rFonts w:ascii="Times New Roman" w:hAnsi="Times New Roman" w:eastAsia="宋体" w:cs="Times New Roman"/>
      <w:sz w:val="24"/>
      <w:szCs w:val="24"/>
    </w:rPr>
  </w:style>
  <w:style w:type="paragraph" w:customStyle="1" w:styleId="117">
    <w:name w:val="（0）正文"/>
    <w:basedOn w:val="1"/>
    <w:link w:val="116"/>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18">
    <w:name w:val="4.标题 Char"/>
    <w:link w:val="119"/>
    <w:qFormat/>
    <w:uiPriority w:val="0"/>
    <w:rPr>
      <w:rFonts w:ascii="Times New Roman" w:hAnsi="Times New Roman" w:eastAsia="黑体"/>
      <w:b/>
      <w:sz w:val="24"/>
    </w:rPr>
  </w:style>
  <w:style w:type="paragraph" w:customStyle="1" w:styleId="119">
    <w:name w:val="4.标题"/>
    <w:basedOn w:val="1"/>
    <w:link w:val="118"/>
    <w:qFormat/>
    <w:uiPriority w:val="0"/>
    <w:pPr>
      <w:spacing w:line="360" w:lineRule="auto"/>
    </w:pPr>
    <w:rPr>
      <w:rFonts w:ascii="Times New Roman" w:hAnsi="Times New Roman" w:eastAsia="黑体"/>
      <w:b/>
      <w:sz w:val="24"/>
    </w:rPr>
  </w:style>
  <w:style w:type="character" w:customStyle="1" w:styleId="120">
    <w:name w:val="批注文字 Char"/>
    <w:qFormat/>
    <w:uiPriority w:val="0"/>
    <w:rPr>
      <w:rFonts w:ascii="Times New Roman" w:hAnsi="Times New Roman"/>
    </w:rPr>
  </w:style>
  <w:style w:type="character" w:customStyle="1" w:styleId="121">
    <w:name w:val="4.正文 Char"/>
    <w:link w:val="122"/>
    <w:qFormat/>
    <w:uiPriority w:val="0"/>
    <w:rPr>
      <w:rFonts w:ascii="Times New Roman" w:hAnsi="Times New Roman"/>
      <w:color w:val="000000"/>
      <w:sz w:val="24"/>
      <w:szCs w:val="24"/>
    </w:rPr>
  </w:style>
  <w:style w:type="paragraph" w:customStyle="1" w:styleId="122">
    <w:name w:val="4.正文"/>
    <w:basedOn w:val="1"/>
    <w:link w:val="121"/>
    <w:qFormat/>
    <w:uiPriority w:val="0"/>
    <w:pPr>
      <w:spacing w:line="360" w:lineRule="auto"/>
      <w:ind w:firstLine="480" w:firstLineChars="200"/>
    </w:pPr>
    <w:rPr>
      <w:rFonts w:ascii="Times New Roman" w:hAnsi="Times New Roman"/>
      <w:color w:val="000000"/>
      <w:sz w:val="24"/>
      <w:szCs w:val="24"/>
    </w:rPr>
  </w:style>
  <w:style w:type="character" w:customStyle="1" w:styleId="123">
    <w:name w:val="正文文本缩进 字符"/>
    <w:basedOn w:val="33"/>
    <w:link w:val="13"/>
    <w:qFormat/>
    <w:uiPriority w:val="0"/>
  </w:style>
  <w:style w:type="character" w:customStyle="1" w:styleId="124">
    <w:name w:val="批注主题 字符"/>
    <w:link w:val="29"/>
    <w:qFormat/>
    <w:uiPriority w:val="99"/>
    <w:rPr>
      <w:rFonts w:ascii="Times New Roman" w:hAnsi="Times New Roman"/>
      <w:b/>
      <w:bCs/>
    </w:rPr>
  </w:style>
  <w:style w:type="paragraph" w:customStyle="1" w:styleId="125">
    <w:name w:val="文档结构图1"/>
    <w:basedOn w:val="1"/>
    <w:next w:val="9"/>
    <w:unhideWhenUsed/>
    <w:qFormat/>
    <w:uiPriority w:val="99"/>
    <w:rPr>
      <w:rFonts w:ascii="宋体"/>
      <w:sz w:val="18"/>
      <w:szCs w:val="18"/>
    </w:rPr>
  </w:style>
  <w:style w:type="character" w:customStyle="1" w:styleId="126">
    <w:name w:val="文档结构图 字符1"/>
    <w:basedOn w:val="33"/>
    <w:semiHidden/>
    <w:qFormat/>
    <w:uiPriority w:val="99"/>
    <w:rPr>
      <w:rFonts w:ascii="Microsoft YaHei UI" w:hAnsi="Calibri" w:eastAsia="Microsoft YaHei UI" w:cs="Times New Roman"/>
      <w:sz w:val="18"/>
      <w:szCs w:val="18"/>
    </w:rPr>
  </w:style>
  <w:style w:type="character" w:customStyle="1" w:styleId="127">
    <w:name w:val="文档结构图 Char1"/>
    <w:basedOn w:val="33"/>
    <w:semiHidden/>
    <w:qFormat/>
    <w:uiPriority w:val="99"/>
    <w:rPr>
      <w:rFonts w:ascii="Microsoft YaHei UI" w:hAnsi="Calibri" w:eastAsia="Microsoft YaHei UI" w:cs="Times New Roman"/>
      <w:sz w:val="18"/>
      <w:szCs w:val="18"/>
    </w:rPr>
  </w:style>
  <w:style w:type="character" w:customStyle="1" w:styleId="128">
    <w:name w:val="批注文字 字符"/>
    <w:basedOn w:val="33"/>
    <w:link w:val="10"/>
    <w:qFormat/>
    <w:uiPriority w:val="0"/>
    <w:rPr>
      <w:rFonts w:ascii="Calibri" w:hAnsi="Calibri" w:eastAsia="宋体" w:cs="Times New Roman"/>
    </w:rPr>
  </w:style>
  <w:style w:type="paragraph" w:customStyle="1" w:styleId="129">
    <w:name w:val="批注主题1"/>
    <w:basedOn w:val="10"/>
    <w:next w:val="10"/>
    <w:unhideWhenUsed/>
    <w:qFormat/>
    <w:uiPriority w:val="99"/>
    <w:rPr>
      <w:rFonts w:ascii="Times New Roman" w:hAnsi="Times New Roman"/>
      <w:b/>
      <w:bCs/>
    </w:rPr>
  </w:style>
  <w:style w:type="character" w:customStyle="1" w:styleId="130">
    <w:name w:val="批注主题 字符1"/>
    <w:basedOn w:val="128"/>
    <w:semiHidden/>
    <w:qFormat/>
    <w:uiPriority w:val="99"/>
    <w:rPr>
      <w:rFonts w:ascii="Calibri" w:hAnsi="Calibri" w:eastAsia="宋体" w:cs="Times New Roman"/>
      <w:b/>
      <w:bCs/>
    </w:rPr>
  </w:style>
  <w:style w:type="character" w:customStyle="1" w:styleId="131">
    <w:name w:val="批注主题 Char1"/>
    <w:basedOn w:val="128"/>
    <w:semiHidden/>
    <w:qFormat/>
    <w:uiPriority w:val="99"/>
    <w:rPr>
      <w:rFonts w:ascii="Calibri" w:hAnsi="Calibri" w:eastAsia="宋体" w:cs="Times New Roman"/>
      <w:b/>
      <w:bCs/>
    </w:rPr>
  </w:style>
  <w:style w:type="paragraph" w:customStyle="1" w:styleId="132">
    <w:name w:val="正文文本缩进1"/>
    <w:basedOn w:val="1"/>
    <w:next w:val="13"/>
    <w:unhideWhenUsed/>
    <w:qFormat/>
    <w:uiPriority w:val="0"/>
    <w:pPr>
      <w:spacing w:after="120"/>
      <w:ind w:left="420" w:leftChars="200"/>
    </w:pPr>
  </w:style>
  <w:style w:type="character" w:customStyle="1" w:styleId="133">
    <w:name w:val="正文文本缩进 字符1"/>
    <w:basedOn w:val="33"/>
    <w:semiHidden/>
    <w:qFormat/>
    <w:uiPriority w:val="99"/>
    <w:rPr>
      <w:rFonts w:ascii="Calibri" w:hAnsi="Calibri" w:eastAsia="宋体" w:cs="Times New Roman"/>
    </w:rPr>
  </w:style>
  <w:style w:type="character" w:customStyle="1" w:styleId="134">
    <w:name w:val="正文文本缩进 Char1"/>
    <w:basedOn w:val="33"/>
    <w:semiHidden/>
    <w:qFormat/>
    <w:uiPriority w:val="99"/>
    <w:rPr>
      <w:rFonts w:ascii="Calibri" w:hAnsi="Calibri" w:eastAsia="宋体" w:cs="Times New Roman"/>
    </w:rPr>
  </w:style>
  <w:style w:type="character" w:customStyle="1" w:styleId="135">
    <w:name w:val="批注框文本 字符1"/>
    <w:basedOn w:val="33"/>
    <w:semiHidden/>
    <w:qFormat/>
    <w:uiPriority w:val="99"/>
    <w:rPr>
      <w:sz w:val="18"/>
      <w:szCs w:val="18"/>
    </w:rPr>
  </w:style>
  <w:style w:type="character" w:customStyle="1" w:styleId="136">
    <w:name w:val="批注框文本 Char1"/>
    <w:basedOn w:val="33"/>
    <w:semiHidden/>
    <w:qFormat/>
    <w:uiPriority w:val="99"/>
    <w:rPr>
      <w:rFonts w:ascii="Calibri" w:hAnsi="Calibri" w:eastAsia="宋体" w:cs="Times New Roman"/>
      <w:sz w:val="18"/>
      <w:szCs w:val="18"/>
    </w:rPr>
  </w:style>
  <w:style w:type="character" w:customStyle="1" w:styleId="137">
    <w:name w:val="日期 字符1"/>
    <w:basedOn w:val="33"/>
    <w:semiHidden/>
    <w:qFormat/>
    <w:uiPriority w:val="99"/>
    <w:rPr>
      <w:rFonts w:ascii="Calibri" w:hAnsi="Calibri" w:eastAsia="宋体" w:cs="Times New Roman"/>
    </w:rPr>
  </w:style>
  <w:style w:type="character" w:customStyle="1" w:styleId="138">
    <w:name w:val="日期 Char1"/>
    <w:basedOn w:val="33"/>
    <w:semiHidden/>
    <w:qFormat/>
    <w:uiPriority w:val="99"/>
    <w:rPr>
      <w:rFonts w:ascii="Calibri" w:hAnsi="Calibri" w:eastAsia="宋体" w:cs="Times New Roman"/>
    </w:rPr>
  </w:style>
  <w:style w:type="paragraph" w:customStyle="1" w:styleId="139">
    <w:name w:val="副标题1"/>
    <w:basedOn w:val="1"/>
    <w:next w:val="1"/>
    <w:qFormat/>
    <w:uiPriority w:val="0"/>
    <w:pPr>
      <w:spacing w:beforeLines="50" w:afterLines="50" w:line="360" w:lineRule="auto"/>
      <w:ind w:left="300" w:hanging="300" w:hangingChars="300"/>
      <w:jc w:val="left"/>
      <w:outlineLvl w:val="2"/>
    </w:pPr>
    <w:rPr>
      <w:rFonts w:ascii="Cambria" w:hAnsi="Cambria"/>
      <w:b/>
      <w:bCs/>
      <w:kern w:val="28"/>
      <w:sz w:val="24"/>
      <w:szCs w:val="32"/>
    </w:rPr>
  </w:style>
  <w:style w:type="character" w:customStyle="1" w:styleId="140">
    <w:name w:val="副标题 字符1"/>
    <w:basedOn w:val="33"/>
    <w:qFormat/>
    <w:uiPriority w:val="11"/>
    <w:rPr>
      <w:b/>
      <w:bCs/>
      <w:kern w:val="28"/>
      <w:sz w:val="32"/>
      <w:szCs w:val="32"/>
    </w:rPr>
  </w:style>
  <w:style w:type="character" w:customStyle="1" w:styleId="141">
    <w:name w:val="副标题 Char2"/>
    <w:basedOn w:val="33"/>
    <w:qFormat/>
    <w:uiPriority w:val="11"/>
    <w:rPr>
      <w:rFonts w:ascii="Calibri Light" w:hAnsi="Calibri Light" w:eastAsia="宋体" w:cs="Times New Roman"/>
      <w:b/>
      <w:bCs/>
      <w:kern w:val="28"/>
      <w:sz w:val="32"/>
      <w:szCs w:val="32"/>
    </w:rPr>
  </w:style>
  <w:style w:type="paragraph" w:customStyle="1" w:styleId="142">
    <w:name w:val="HTML 预设格式1"/>
    <w:basedOn w:val="1"/>
    <w:next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143">
    <w:name w:val="HTML 预设格式 字符1"/>
    <w:basedOn w:val="33"/>
    <w:semiHidden/>
    <w:qFormat/>
    <w:uiPriority w:val="99"/>
    <w:rPr>
      <w:rFonts w:ascii="Courier New" w:hAnsi="Courier New" w:eastAsia="宋体" w:cs="Courier New"/>
      <w:sz w:val="20"/>
      <w:szCs w:val="20"/>
    </w:rPr>
  </w:style>
  <w:style w:type="character" w:customStyle="1" w:styleId="144">
    <w:name w:val="HTML 预设格式 Char2"/>
    <w:basedOn w:val="33"/>
    <w:semiHidden/>
    <w:qFormat/>
    <w:uiPriority w:val="99"/>
    <w:rPr>
      <w:rFonts w:ascii="Courier New" w:hAnsi="Courier New" w:eastAsia="宋体" w:cs="Courier New"/>
      <w:sz w:val="20"/>
      <w:szCs w:val="20"/>
    </w:rPr>
  </w:style>
  <w:style w:type="paragraph" w:customStyle="1" w:styleId="145">
    <w:name w:val="Char Char Char Char"/>
    <w:basedOn w:val="1"/>
    <w:qFormat/>
    <w:uiPriority w:val="0"/>
    <w:pPr>
      <w:tabs>
        <w:tab w:val="left" w:pos="425"/>
      </w:tabs>
      <w:ind w:left="425" w:hanging="425"/>
    </w:pPr>
    <w:rPr>
      <w:rFonts w:ascii="Times New Roman" w:hAnsi="Times New Roman" w:eastAsia="仿宋_GB2312" w:cs="Times New Roman"/>
      <w:kern w:val="24"/>
      <w:sz w:val="24"/>
      <w:szCs w:val="32"/>
    </w:rPr>
  </w:style>
  <w:style w:type="paragraph" w:customStyle="1" w:styleId="146">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147">
    <w:name w:val="Char"/>
    <w:basedOn w:val="1"/>
    <w:qFormat/>
    <w:uiPriority w:val="0"/>
    <w:rPr>
      <w:rFonts w:ascii="Times New Roman" w:hAnsi="Times New Roman" w:eastAsia="宋体" w:cs="Times New Roman"/>
      <w:szCs w:val="24"/>
    </w:rPr>
  </w:style>
  <w:style w:type="paragraph" w:customStyle="1" w:styleId="148">
    <w:name w:val="Char Char Char Char Char Char Char"/>
    <w:basedOn w:val="1"/>
    <w:qFormat/>
    <w:uiPriority w:val="0"/>
    <w:rPr>
      <w:rFonts w:ascii="Times New Roman" w:hAnsi="Times New Roman" w:eastAsia="宋体" w:cs="Times New Roman"/>
      <w:szCs w:val="20"/>
    </w:rPr>
  </w:style>
  <w:style w:type="paragraph" w:customStyle="1" w:styleId="149">
    <w:name w:val="表 1"/>
    <w:basedOn w:val="1"/>
    <w:qFormat/>
    <w:uiPriority w:val="0"/>
    <w:pPr>
      <w:snapToGrid w:val="0"/>
      <w:spacing w:line="360" w:lineRule="auto"/>
      <w:jc w:val="center"/>
    </w:pPr>
    <w:rPr>
      <w:rFonts w:ascii="Times New Roman" w:hAnsi="宋体" w:eastAsia="宋体" w:cs="Times New Roman"/>
      <w:b/>
      <w:sz w:val="24"/>
      <w:szCs w:val="24"/>
    </w:rPr>
  </w:style>
  <w:style w:type="paragraph" w:customStyle="1" w:styleId="150">
    <w:name w:val="TOC 标题1"/>
    <w:basedOn w:val="2"/>
    <w:next w:val="1"/>
    <w:qFormat/>
    <w:uiPriority w:val="39"/>
    <w:pPr>
      <w:widowControl/>
      <w:spacing w:before="240" w:line="259" w:lineRule="auto"/>
      <w:jc w:val="left"/>
      <w:outlineLvl w:val="9"/>
    </w:pPr>
    <w:rPr>
      <w:rFonts w:ascii="Calibri Light" w:hAnsi="Calibri Light" w:eastAsia="宋体" w:cs="Times New Roman"/>
      <w:bCs w:val="0"/>
      <w:color w:val="2E74B5"/>
      <w:kern w:val="0"/>
      <w:szCs w:val="32"/>
    </w:rPr>
  </w:style>
  <w:style w:type="paragraph" w:customStyle="1" w:styleId="151">
    <w:name w:val="A.标题一"/>
    <w:basedOn w:val="1"/>
    <w:qFormat/>
    <w:uiPriority w:val="0"/>
    <w:pPr>
      <w:spacing w:line="720" w:lineRule="auto"/>
      <w:jc w:val="center"/>
      <w:outlineLvl w:val="0"/>
    </w:pPr>
    <w:rPr>
      <w:rFonts w:ascii="黑体" w:hAnsi="黑体" w:eastAsia="黑体" w:cs="Times New Roman"/>
      <w:b/>
      <w:color w:val="000000"/>
      <w:sz w:val="32"/>
      <w:szCs w:val="32"/>
    </w:rPr>
  </w:style>
  <w:style w:type="table" w:customStyle="1" w:styleId="152">
    <w:name w:val="网格型1"/>
    <w:basedOn w:val="31"/>
    <w:qFormat/>
    <w:uiPriority w:val="9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内容 Char"/>
    <w:link w:val="154"/>
    <w:qFormat/>
    <w:uiPriority w:val="0"/>
    <w:rPr>
      <w:rFonts w:ascii="Times New Roman" w:hAnsi="Times New Roman" w:eastAsia="宋体"/>
      <w:color w:val="000000"/>
      <w:sz w:val="24"/>
      <w:szCs w:val="24"/>
    </w:rPr>
  </w:style>
  <w:style w:type="paragraph" w:customStyle="1" w:styleId="154">
    <w:name w:val="内容"/>
    <w:basedOn w:val="1"/>
    <w:link w:val="153"/>
    <w:qFormat/>
    <w:uiPriority w:val="0"/>
    <w:pPr>
      <w:spacing w:line="360" w:lineRule="auto"/>
      <w:ind w:firstLine="480" w:firstLineChars="200"/>
    </w:pPr>
    <w:rPr>
      <w:rFonts w:ascii="Times New Roman" w:hAnsi="Times New Roman" w:eastAsia="宋体"/>
      <w:color w:val="000000"/>
      <w:sz w:val="24"/>
      <w:szCs w:val="24"/>
    </w:rPr>
  </w:style>
  <w:style w:type="character" w:customStyle="1" w:styleId="155">
    <w:name w:val="HTML 预设格式 字符2"/>
    <w:basedOn w:val="33"/>
    <w:semiHidden/>
    <w:qFormat/>
    <w:uiPriority w:val="99"/>
    <w:rPr>
      <w:rFonts w:ascii="Courier New" w:hAnsi="Courier New" w:cs="Courier New"/>
      <w:sz w:val="20"/>
      <w:szCs w:val="20"/>
    </w:rPr>
  </w:style>
  <w:style w:type="character" w:customStyle="1" w:styleId="156">
    <w:name w:val="副标题 字符2"/>
    <w:basedOn w:val="33"/>
    <w:qFormat/>
    <w:uiPriority w:val="11"/>
    <w:rPr>
      <w:b/>
      <w:bCs/>
      <w:kern w:val="28"/>
      <w:sz w:val="32"/>
      <w:szCs w:val="32"/>
    </w:rPr>
  </w:style>
  <w:style w:type="character" w:customStyle="1" w:styleId="157">
    <w:name w:val="文档结构图 字符2"/>
    <w:basedOn w:val="33"/>
    <w:semiHidden/>
    <w:qFormat/>
    <w:uiPriority w:val="99"/>
    <w:rPr>
      <w:rFonts w:ascii="Microsoft YaHei UI" w:eastAsia="Microsoft YaHei UI"/>
      <w:sz w:val="18"/>
      <w:szCs w:val="18"/>
    </w:rPr>
  </w:style>
  <w:style w:type="character" w:customStyle="1" w:styleId="158">
    <w:name w:val="正文文本缩进 字符2"/>
    <w:basedOn w:val="33"/>
    <w:semiHidden/>
    <w:qFormat/>
    <w:uiPriority w:val="99"/>
  </w:style>
  <w:style w:type="character" w:customStyle="1" w:styleId="159">
    <w:name w:val="批注主题 字符2"/>
    <w:basedOn w:val="128"/>
    <w:semiHidden/>
    <w:qFormat/>
    <w:uiPriority w:val="99"/>
    <w:rPr>
      <w:rFonts w:ascii="Calibri" w:hAnsi="Calibri" w:eastAsia="宋体" w:cs="Times New Roman"/>
      <w:b/>
      <w:bCs/>
    </w:rPr>
  </w:style>
  <w:style w:type="table" w:customStyle="1" w:styleId="160">
    <w:name w:val="样式5"/>
    <w:basedOn w:val="31"/>
    <w:qFormat/>
    <w:uiPriority w:val="99"/>
    <w:tblPr>
      <w:tblBorders>
        <w:top w:val="single" w:color="auto" w:sz="12" w:space="0"/>
        <w:bottom w:val="single" w:color="auto" w:sz="12" w:space="0"/>
      </w:tblBorders>
    </w:tblPr>
    <w:tcPr>
      <w:vAlign w:val="center"/>
    </w:tcPr>
    <w:tblStylePr w:type="firstRow">
      <w:tcPr>
        <w:tcBorders>
          <w:bottom w:val="single" w:color="auto" w:sz="4" w:space="0"/>
        </w:tcBorders>
      </w:tcPr>
    </w:tblStylePr>
  </w:style>
  <w:style w:type="character" w:customStyle="1" w:styleId="161">
    <w:name w:val="题注 字符"/>
    <w:link w:val="8"/>
    <w:qFormat/>
    <w:uiPriority w:val="0"/>
    <w:rPr>
      <w:rFonts w:ascii="Calibri" w:hAnsi="Calibri" w:eastAsia="宋体" w:cs="Arial"/>
      <w:szCs w:val="20"/>
    </w:rPr>
  </w:style>
  <w:style w:type="character" w:customStyle="1" w:styleId="162">
    <w:name w:val="表内容 字符"/>
    <w:basedOn w:val="33"/>
    <w:link w:val="163"/>
    <w:qFormat/>
    <w:locked/>
    <w:uiPriority w:val="0"/>
    <w:rPr>
      <w:rFonts w:ascii="Times New Roman" w:hAnsi="Times New Roman" w:eastAsia="宋体" w:cs="Times New Roman"/>
      <w:bCs/>
    </w:rPr>
  </w:style>
  <w:style w:type="paragraph" w:customStyle="1" w:styleId="163">
    <w:name w:val="表内容"/>
    <w:basedOn w:val="1"/>
    <w:link w:val="162"/>
    <w:qFormat/>
    <w:uiPriority w:val="0"/>
    <w:pPr>
      <w:widowControl/>
      <w:spacing w:line="360" w:lineRule="auto"/>
      <w:jc w:val="center"/>
    </w:pPr>
    <w:rPr>
      <w:rFonts w:ascii="Times New Roman" w:hAnsi="Times New Roman" w:eastAsia="宋体" w:cs="Times New Roman"/>
      <w:bCs/>
    </w:rPr>
  </w:style>
  <w:style w:type="character" w:customStyle="1" w:styleId="164">
    <w:name w:val="列表段落 字符"/>
    <w:basedOn w:val="33"/>
    <w:link w:val="51"/>
    <w:qFormat/>
    <w:locked/>
    <w:uiPriority w:val="34"/>
    <w:rPr>
      <w:rFonts w:ascii="Times New Roman" w:hAnsi="Times New Roman" w:eastAsia="仿宋"/>
      <w:kern w:val="0"/>
      <w:sz w:val="28"/>
    </w:rPr>
  </w:style>
  <w:style w:type="character" w:customStyle="1" w:styleId="165">
    <w:name w:val="未处理的提及1"/>
    <w:basedOn w:val="33"/>
    <w:semiHidden/>
    <w:unhideWhenUsed/>
    <w:qFormat/>
    <w:uiPriority w:val="99"/>
    <w:rPr>
      <w:color w:val="605E5C"/>
      <w:shd w:val="clear" w:color="auto" w:fill="E1DFDD"/>
    </w:rPr>
  </w:style>
  <w:style w:type="paragraph" w:customStyle="1" w:styleId="16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7">
    <w:name w:val="font41"/>
    <w:basedOn w:val="33"/>
    <w:qFormat/>
    <w:uiPriority w:val="0"/>
    <w:rPr>
      <w:rFonts w:hint="eastAsia" w:ascii="宋体" w:hAnsi="宋体" w:eastAsia="宋体" w:cs="宋体"/>
      <w:color w:val="000000"/>
      <w:sz w:val="22"/>
      <w:szCs w:val="22"/>
      <w:u w:val="none"/>
    </w:rPr>
  </w:style>
  <w:style w:type="character" w:customStyle="1" w:styleId="168">
    <w:name w:val="正文文本首行缩进 2 字符"/>
    <w:basedOn w:val="123"/>
    <w:link w:val="30"/>
    <w:qFormat/>
    <w:uiPriority w:val="0"/>
    <w:rPr>
      <w:rFonts w:ascii="Times New Roman" w:hAnsi="Times New Roman" w:eastAsia="仿宋_GB2312"/>
      <w:sz w:val="24"/>
    </w:rPr>
  </w:style>
  <w:style w:type="paragraph" w:customStyle="1" w:styleId="169">
    <w:name w:val="正文文本1"/>
    <w:basedOn w:val="1"/>
    <w:qFormat/>
    <w:uiPriority w:val="0"/>
    <w:pPr>
      <w:spacing w:line="560" w:lineRule="exact"/>
      <w:ind w:firstLine="720" w:firstLineChars="200"/>
    </w:pPr>
    <w:rPr>
      <w:rFonts w:ascii="Calibri" w:hAnsi="Calibri" w:eastAsia="方正仿宋_GBK" w:cs="Times New Roman"/>
      <w:sz w:val="32"/>
      <w:szCs w:val="24"/>
    </w:rPr>
  </w:style>
  <w:style w:type="character" w:customStyle="1" w:styleId="170">
    <w:name w:val="正文文本 字符"/>
    <w:basedOn w:val="33"/>
    <w:link w:val="11"/>
    <w:semiHidden/>
    <w:qFormat/>
    <w:uiPriority w:val="99"/>
    <w:rPr>
      <w:kern w:val="2"/>
      <w:sz w:val="21"/>
      <w:szCs w:val="22"/>
    </w:rPr>
  </w:style>
  <w:style w:type="character" w:customStyle="1" w:styleId="171">
    <w:name w:val="正文文本首行缩进 字符"/>
    <w:basedOn w:val="170"/>
    <w:link w:val="12"/>
    <w:semiHidden/>
    <w:qFormat/>
    <w:uiPriority w:val="99"/>
    <w:rPr>
      <w:kern w:val="2"/>
      <w:sz w:val="21"/>
      <w:szCs w:val="22"/>
    </w:rPr>
  </w:style>
  <w:style w:type="paragraph" w:customStyle="1" w:styleId="1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7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4">
    <w:name w:val="Table Paragraph"/>
    <w:basedOn w:val="1"/>
    <w:qFormat/>
    <w:uiPriority w:val="1"/>
    <w:pPr>
      <w:autoSpaceDE w:val="0"/>
      <w:autoSpaceDN w:val="0"/>
      <w:jc w:val="center"/>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9961</Words>
  <Characters>10579</Characters>
  <Lines>77</Lines>
  <Paragraphs>21</Paragraphs>
  <TotalTime>9</TotalTime>
  <ScaleCrop>false</ScaleCrop>
  <LinksUpToDate>false</LinksUpToDate>
  <CharactersWithSpaces>10582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2022-02-12T07:35:00Z</dcterms:created>
  <dc:creator>Administrator</dc:creator>
  <cp:lastModifiedBy>何莎</cp:lastModifiedBy>
  <cp:lastPrinted>2022-01-27T08:45:00Z</cp:lastPrinted>
  <dcterms:modified xsi:type="dcterms:W3CDTF">2022-08-26T08:59:46Z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FC0A771B6540498A85252796ECAA06FE</vt:lpwstr>
  </property>
</Properties>
</file>