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013D7">
      <w:pPr>
        <w:keepNext w:val="0"/>
        <w:keepLines w:val="0"/>
        <w:pageBreakBefore w:val="0"/>
        <w:widowControl w:val="0"/>
        <w:kinsoku/>
        <w:wordWrap/>
        <w:overflowPunct/>
        <w:topLinePunct w:val="0"/>
        <w:autoSpaceDE/>
        <w:autoSpaceDN/>
        <w:bidi w:val="0"/>
        <w:adjustRightInd/>
        <w:snapToGrid/>
        <w:spacing w:after="0" w:line="800" w:lineRule="exact"/>
        <w:jc w:val="center"/>
        <w:textAlignment w:val="auto"/>
        <w:rPr>
          <w:rFonts w:ascii="Times New Roman" w:hAnsi="Times New Roman" w:eastAsia="方正小标宋_GBK" w:cs="Times New Roman"/>
          <w:b w:val="0"/>
          <w:bCs/>
          <w:sz w:val="44"/>
          <w:szCs w:val="32"/>
          <w14:ligatures w14:val="none"/>
        </w:rPr>
      </w:pPr>
      <w:bookmarkStart w:id="1" w:name="_GoBack"/>
      <w:r>
        <w:rPr>
          <w:rFonts w:ascii="Times New Roman" w:hAnsi="Times New Roman" w:eastAsia="方正小标宋_GBK" w:cs="Times New Roman"/>
          <w:b w:val="0"/>
          <w:bCs/>
          <w:sz w:val="44"/>
          <w:szCs w:val="32"/>
          <w14:ligatures w14:val="none"/>
        </w:rPr>
        <w:t>湖南省生态环境工程建设领域市场主体信用评价管理办法（试行）</w:t>
      </w:r>
    </w:p>
    <w:bookmarkEnd w:id="1"/>
    <w:p w14:paraId="3D5F9E94">
      <w:pPr>
        <w:pStyle w:val="2"/>
        <w:keepNext w:val="0"/>
        <w:keepLines w:val="0"/>
        <w:pageBreakBefore w:val="0"/>
        <w:widowControl w:val="0"/>
        <w:kinsoku/>
        <w:wordWrap/>
        <w:overflowPunct/>
        <w:topLinePunct w:val="0"/>
        <w:autoSpaceDE/>
        <w:autoSpaceDN/>
        <w:bidi w:val="0"/>
        <w:adjustRightInd/>
        <w:snapToGrid/>
        <w:spacing w:before="0" w:after="0" w:line="800" w:lineRule="exact"/>
        <w:jc w:val="center"/>
        <w:textAlignment w:val="auto"/>
        <w:rPr>
          <w:rFonts w:hint="eastAsia" w:ascii="黑体" w:hAnsi="黑体" w:eastAsia="黑体" w:cs="黑体"/>
          <w:bCs/>
          <w:color w:val="auto"/>
          <w:kern w:val="44"/>
          <w:sz w:val="32"/>
          <w:szCs w:val="32"/>
          <w:lang w:val="en-US" w:eastAsia="zh-CN" w:bidi="en-US"/>
          <w14:ligatures w14:val="none"/>
        </w:rPr>
      </w:pPr>
      <w:r>
        <w:rPr>
          <w:rFonts w:hint="default" w:ascii="黑体" w:hAnsi="黑体" w:eastAsia="黑体" w:cs="黑体"/>
          <w:bCs/>
          <w:color w:val="auto"/>
          <w:kern w:val="44"/>
          <w:sz w:val="32"/>
          <w:szCs w:val="32"/>
          <w:lang w:val="en-US" w:bidi="en-US"/>
          <w14:ligatures w14:val="none"/>
        </w:rPr>
        <w:t>(</w:t>
      </w:r>
      <w:r>
        <w:rPr>
          <w:rFonts w:hint="eastAsia" w:ascii="黑体" w:hAnsi="黑体" w:eastAsia="黑体" w:cs="黑体"/>
          <w:bCs/>
          <w:color w:val="auto"/>
          <w:kern w:val="44"/>
          <w:sz w:val="32"/>
          <w:szCs w:val="32"/>
          <w:lang w:val="en-US" w:eastAsia="zh-CN" w:bidi="en-US"/>
          <w14:ligatures w14:val="none"/>
        </w:rPr>
        <w:t>征求意见稿）</w:t>
      </w:r>
    </w:p>
    <w:p w14:paraId="154EAEAF">
      <w:pPr>
        <w:pStyle w:val="2"/>
        <w:keepNext w:val="0"/>
        <w:keepLines w:val="0"/>
        <w:spacing w:before="624" w:beforeLines="200" w:after="312" w:afterLines="100" w:line="240" w:lineRule="auto"/>
        <w:jc w:val="center"/>
        <w:rPr>
          <w:rFonts w:hint="eastAsia" w:ascii="黑体" w:hAnsi="黑体" w:eastAsia="黑体" w:cs="黑体"/>
          <w:bCs/>
          <w:color w:val="auto"/>
          <w:kern w:val="44"/>
          <w:sz w:val="32"/>
          <w:szCs w:val="32"/>
          <w:lang w:bidi="en-US"/>
          <w14:ligatures w14:val="none"/>
        </w:rPr>
      </w:pPr>
      <w:r>
        <w:rPr>
          <w:rFonts w:ascii="黑体" w:hAnsi="黑体" w:eastAsia="黑体" w:cs="黑体"/>
          <w:bCs/>
          <w:color w:val="auto"/>
          <w:kern w:val="44"/>
          <w:sz w:val="32"/>
          <w:szCs w:val="32"/>
          <w:lang w:bidi="en-US"/>
          <w14:ligatures w14:val="none"/>
        </w:rPr>
        <w:t>第一章 总则</w:t>
      </w:r>
    </w:p>
    <w:p w14:paraId="5343FC43">
      <w:pPr>
        <w:ind w:firstLine="643" w:firstLineChars="200"/>
        <w:jc w:val="both"/>
        <w:rPr>
          <w:rFonts w:hint="eastAsia"/>
        </w:rPr>
      </w:pPr>
      <w:r>
        <w:rPr>
          <w:rFonts w:ascii="Times New Roman" w:hAnsi="Times New Roman" w:eastAsia="楷体" w:cs="Times New Roman"/>
          <w:b/>
          <w:bCs/>
          <w:sz w:val="32"/>
          <w:szCs w:val="32"/>
          <w14:ligatures w14:val="none"/>
        </w:rPr>
        <w:t>第一条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14:ligatures w14:val="none"/>
        </w:rPr>
        <w:t>为规范本省生态环境工程建设市场秩序，健全招标投标信用体系，强化守信激励和失信惩戒，优化营商环境，根据《中华人民共和国招标投标法》《湖南省社会信用条例》</w:t>
      </w:r>
      <w:r>
        <w:rPr>
          <w:rFonts w:hint="eastAsia" w:ascii="Times New Roman" w:hAnsi="Times New Roman" w:eastAsia="仿宋" w:cs="Times New Roman"/>
          <w:sz w:val="32"/>
          <w:szCs w:val="32"/>
          <w14:ligatures w14:val="none"/>
        </w:rPr>
        <w:t>《湖南省生态环境工程建设项目招标投标管理办法》</w:t>
      </w:r>
      <w:r>
        <w:rPr>
          <w:rFonts w:ascii="Times New Roman" w:hAnsi="Times New Roman" w:eastAsia="仿宋" w:cs="Times New Roman"/>
          <w:sz w:val="32"/>
          <w:szCs w:val="32"/>
          <w14:ligatures w14:val="none"/>
        </w:rPr>
        <w:t>等法律法规和有关规定，结合我省生态环境工程建设</w:t>
      </w:r>
      <w:r>
        <w:rPr>
          <w:rFonts w:hint="eastAsia" w:ascii="Times New Roman" w:hAnsi="Times New Roman" w:eastAsia="仿宋" w:cs="Times New Roman"/>
          <w:sz w:val="32"/>
          <w:szCs w:val="32"/>
          <w14:ligatures w14:val="none"/>
        </w:rPr>
        <w:t>实际</w:t>
      </w:r>
      <w:r>
        <w:rPr>
          <w:rFonts w:ascii="Times New Roman" w:hAnsi="Times New Roman" w:eastAsia="仿宋" w:cs="Times New Roman"/>
          <w:sz w:val="32"/>
          <w:szCs w:val="32"/>
          <w14:ligatures w14:val="none"/>
        </w:rPr>
        <w:t>，制定本办法。</w:t>
      </w:r>
    </w:p>
    <w:p w14:paraId="0F48E2E7">
      <w:pPr>
        <w:ind w:firstLine="643" w:firstLineChars="200"/>
        <w:jc w:val="both"/>
        <w:rPr>
          <w:rFonts w:ascii="Times New Roman" w:hAnsi="Times New Roman" w:eastAsia="仿宋" w:cs="Times New Roman"/>
          <w:sz w:val="32"/>
          <w:szCs w:val="32"/>
          <w14:ligatures w14:val="none"/>
        </w:rPr>
      </w:pPr>
      <w:r>
        <w:rPr>
          <w:rFonts w:ascii="Times New Roman" w:hAnsi="Times New Roman" w:eastAsia="楷体" w:cs="Times New Roman"/>
          <w:b/>
          <w:bCs/>
          <w:sz w:val="32"/>
          <w:szCs w:val="32"/>
          <w14:ligatures w14:val="none"/>
        </w:rPr>
        <w:t>第二条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14:ligatures w14:val="none"/>
        </w:rPr>
        <w:t>本办法适用于本省行政区域内生态环境工程建设项目的市场主体信用评价与管理。</w:t>
      </w:r>
      <w:r>
        <w:rPr>
          <w:rFonts w:hint="eastAsia" w:ascii="Times New Roman" w:hAnsi="Times New Roman" w:eastAsia="仿宋" w:cs="Times New Roman"/>
          <w:sz w:val="32"/>
          <w:szCs w:val="32"/>
          <w14:ligatures w14:val="none"/>
        </w:rPr>
        <w:t>生态环境工程建设项目范围依照《湖南省生态环境工程建设项目招标投标管理办法》及省级相关规定确定，</w:t>
      </w:r>
      <w:r>
        <w:rPr>
          <w:rFonts w:ascii="Times New Roman" w:hAnsi="Times New Roman" w:eastAsia="仿宋" w:cs="Times New Roman"/>
          <w:sz w:val="32"/>
          <w:szCs w:val="32"/>
          <w14:ligatures w14:val="none"/>
        </w:rPr>
        <w:t>市场主体</w:t>
      </w:r>
      <w:r>
        <w:rPr>
          <w:rFonts w:hint="eastAsia" w:ascii="Times New Roman" w:hAnsi="Times New Roman" w:eastAsia="仿宋" w:cs="Times New Roman"/>
          <w:sz w:val="32"/>
          <w:szCs w:val="32"/>
          <w14:ligatures w14:val="none"/>
        </w:rPr>
        <w:t>包括</w:t>
      </w:r>
      <w:r>
        <w:rPr>
          <w:rFonts w:ascii="Times New Roman" w:hAnsi="Times New Roman" w:eastAsia="仿宋" w:cs="Times New Roman"/>
          <w:sz w:val="32"/>
          <w:szCs w:val="32"/>
          <w14:ligatures w14:val="none"/>
        </w:rPr>
        <w:t>参与生态环境工程建设活动的勘察、设计、施工、监理、咨询、</w:t>
      </w:r>
      <w:r>
        <w:rPr>
          <w:rFonts w:hint="eastAsia" w:ascii="Times New Roman" w:hAnsi="Times New Roman" w:eastAsia="仿宋" w:cs="Times New Roman"/>
          <w:sz w:val="32"/>
          <w:szCs w:val="32"/>
          <w14:ligatures w14:val="none"/>
        </w:rPr>
        <w:t>质量</w:t>
      </w:r>
      <w:r>
        <w:rPr>
          <w:rFonts w:ascii="Times New Roman" w:hAnsi="Times New Roman" w:eastAsia="仿宋" w:cs="Times New Roman"/>
          <w:sz w:val="32"/>
          <w:szCs w:val="32"/>
          <w14:ligatures w14:val="none"/>
        </w:rPr>
        <w:t>检测等单位。</w:t>
      </w:r>
    </w:p>
    <w:p w14:paraId="7A3570DC">
      <w:pPr>
        <w:ind w:firstLine="643" w:firstLineChars="200"/>
        <w:jc w:val="both"/>
        <w:rPr>
          <w:rFonts w:ascii="Times New Roman" w:hAnsi="Times New Roman" w:eastAsia="仿宋" w:cs="Times New Roman"/>
          <w:sz w:val="32"/>
          <w:szCs w:val="32"/>
          <w14:ligatures w14:val="none"/>
        </w:rPr>
      </w:pPr>
      <w:r>
        <w:rPr>
          <w:rFonts w:ascii="Times New Roman" w:hAnsi="Times New Roman" w:eastAsia="楷体" w:cs="Times New Roman"/>
          <w:b/>
          <w:bCs/>
          <w:sz w:val="32"/>
          <w:szCs w:val="32"/>
          <w14:ligatures w14:val="none"/>
        </w:rPr>
        <w:t>第三条</w:t>
      </w:r>
      <w:r>
        <w:rPr>
          <w:rFonts w:hint="eastAsia"/>
        </w:rPr>
        <w:t xml:space="preserve"> </w:t>
      </w:r>
      <w:r>
        <w:rPr>
          <w:rFonts w:ascii="Times New Roman" w:hAnsi="Times New Roman" w:eastAsia="仿宋" w:cs="Times New Roman"/>
          <w:sz w:val="32"/>
          <w:szCs w:val="32"/>
          <w14:ligatures w14:val="none"/>
        </w:rPr>
        <w:t>本办法所称信用评价，</w:t>
      </w:r>
      <w:r>
        <w:rPr>
          <w:rFonts w:hint="eastAsia" w:ascii="Times New Roman" w:hAnsi="Times New Roman" w:eastAsia="仿宋" w:cs="Times New Roman"/>
          <w:sz w:val="32"/>
          <w:szCs w:val="32"/>
          <w14:ligatures w14:val="none"/>
        </w:rPr>
        <w:t>是</w:t>
      </w:r>
      <w:r>
        <w:rPr>
          <w:rFonts w:ascii="Times New Roman" w:hAnsi="Times New Roman" w:eastAsia="仿宋" w:cs="Times New Roman"/>
          <w:sz w:val="32"/>
          <w:szCs w:val="32"/>
          <w14:ligatures w14:val="none"/>
        </w:rPr>
        <w:t>指本省生态环境主管部门依据本办法设定的标准、程序与方法，对参与省内生态环境工程建设活动的各类市场主体，</w:t>
      </w:r>
      <w:r>
        <w:rPr>
          <w:rFonts w:hint="eastAsia" w:ascii="Times New Roman" w:hAnsi="Times New Roman" w:eastAsia="仿宋" w:cs="Times New Roman"/>
          <w:sz w:val="32"/>
          <w:szCs w:val="32"/>
          <w14:ligatures w14:val="none"/>
        </w:rPr>
        <w:t>就其</w:t>
      </w:r>
      <w:r>
        <w:rPr>
          <w:rFonts w:hint="eastAsia" w:ascii="Times New Roman" w:hAnsi="Times New Roman" w:eastAsia="仿宋" w:cs="Times New Roman"/>
          <w:sz w:val="32"/>
          <w:szCs w:val="32"/>
        </w:rPr>
        <w:t>项目履约评价信息</w:t>
      </w:r>
      <w:r>
        <w:rPr>
          <w:rFonts w:ascii="Times New Roman" w:hAnsi="Times New Roman" w:eastAsia="仿宋" w:cs="Times New Roman"/>
          <w:sz w:val="32"/>
          <w:szCs w:val="32"/>
        </w:rPr>
        <w:t>、履约业绩信息、优良激励信息</w:t>
      </w:r>
      <w:r>
        <w:rPr>
          <w:rFonts w:hint="eastAsia" w:ascii="Times New Roman" w:hAnsi="Times New Roman" w:eastAsia="仿宋" w:cs="Times New Roman"/>
          <w:sz w:val="32"/>
          <w:szCs w:val="32"/>
          <w14:ligatures w14:val="none"/>
        </w:rPr>
        <w:t>等进行</w:t>
      </w:r>
      <w:r>
        <w:rPr>
          <w:rFonts w:ascii="Times New Roman" w:hAnsi="Times New Roman" w:eastAsia="仿宋" w:cs="Times New Roman"/>
          <w:sz w:val="32"/>
          <w:szCs w:val="32"/>
          <w14:ligatures w14:val="none"/>
        </w:rPr>
        <w:t>量化分析与综合评定，并确定相应信用</w:t>
      </w:r>
      <w:r>
        <w:rPr>
          <w:rFonts w:hint="eastAsia" w:ascii="Times New Roman" w:hAnsi="Times New Roman" w:eastAsia="仿宋" w:cs="Times New Roman"/>
          <w:sz w:val="32"/>
          <w:szCs w:val="32"/>
          <w14:ligatures w14:val="none"/>
        </w:rPr>
        <w:t>评价结果</w:t>
      </w:r>
      <w:r>
        <w:rPr>
          <w:rFonts w:ascii="Times New Roman" w:hAnsi="Times New Roman" w:eastAsia="仿宋" w:cs="Times New Roman"/>
          <w:sz w:val="32"/>
          <w:szCs w:val="32"/>
          <w14:ligatures w14:val="none"/>
        </w:rPr>
        <w:t>的系统性管理活动。</w:t>
      </w:r>
    </w:p>
    <w:p w14:paraId="6F37A9EB">
      <w:pPr>
        <w:ind w:firstLine="643" w:firstLineChars="200"/>
        <w:jc w:val="both"/>
        <w:rPr>
          <w:rFonts w:hint="eastAsia"/>
        </w:rPr>
      </w:pPr>
      <w:r>
        <w:rPr>
          <w:rFonts w:ascii="Times New Roman" w:hAnsi="Times New Roman" w:eastAsia="楷体" w:cs="Times New Roman"/>
          <w:b/>
          <w:bCs/>
          <w:sz w:val="32"/>
          <w:szCs w:val="32"/>
          <w14:ligatures w14:val="none"/>
        </w:rPr>
        <w:t>第四条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14:ligatures w14:val="none"/>
        </w:rPr>
        <w:t>信用评价管理工作遵循“省级统筹指导、市州具体实施、数据互联共享、监管协同联动”的原则。省生态环境主管部门负责全省信用评价工作的顶层设计、制度规范、平台建设、结果发布与跨部门协调。市州生态环境主管部门承担本行政区域内信用信息的采集核验、日常监督评价及执行落实等主体责任，并配合省级部门完成信用信息的归集、核查与异议处理等工作。</w:t>
      </w:r>
    </w:p>
    <w:p w14:paraId="7CEA8585">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第五条</w:t>
      </w:r>
      <w:r>
        <w:rPr>
          <w:rFonts w:hint="eastAsia"/>
        </w:rPr>
        <w:t xml:space="preserve"> </w:t>
      </w:r>
      <w:r>
        <w:rPr>
          <w:rFonts w:ascii="Times New Roman" w:hAnsi="Times New Roman" w:eastAsia="仿宋" w:cs="Times New Roman"/>
          <w:sz w:val="32"/>
          <w:szCs w:val="32"/>
        </w:rPr>
        <w:t>信用评价管理工作应遵循合法、客观、公平、公正和审慎的原则，不得泄露国家秘密、商业秘密和个人隐私。</w:t>
      </w:r>
    </w:p>
    <w:p w14:paraId="4D6D52DA">
      <w:pPr>
        <w:pStyle w:val="2"/>
        <w:keepNext w:val="0"/>
        <w:keepLines w:val="0"/>
        <w:spacing w:before="624" w:beforeLines="200" w:after="312" w:afterLines="100" w:line="240" w:lineRule="auto"/>
        <w:jc w:val="center"/>
        <w:rPr>
          <w:rFonts w:hint="eastAsia" w:ascii="黑体" w:hAnsi="黑体" w:eastAsia="黑体" w:cs="黑体"/>
          <w:bCs/>
          <w:color w:val="auto"/>
          <w:kern w:val="44"/>
          <w:sz w:val="32"/>
          <w:szCs w:val="32"/>
          <w:lang w:bidi="en-US"/>
          <w14:ligatures w14:val="none"/>
        </w:rPr>
      </w:pPr>
      <w:r>
        <w:rPr>
          <w:rFonts w:ascii="黑体" w:hAnsi="黑体" w:eastAsia="黑体" w:cs="黑体"/>
          <w:bCs/>
          <w:color w:val="auto"/>
          <w:kern w:val="44"/>
          <w:sz w:val="32"/>
          <w:szCs w:val="32"/>
          <w:lang w:bidi="en-US"/>
          <w14:ligatures w14:val="none"/>
        </w:rPr>
        <w:t>第二章 信用信息构成、采集与共享</w:t>
      </w:r>
    </w:p>
    <w:p w14:paraId="51C08A70">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第六条</w:t>
      </w:r>
      <w:r>
        <w:rPr>
          <w:rFonts w:hint="eastAsia"/>
        </w:rPr>
        <w:t xml:space="preserve"> </w:t>
      </w:r>
      <w:r>
        <w:rPr>
          <w:rFonts w:ascii="Times New Roman" w:hAnsi="Times New Roman" w:eastAsia="仿宋" w:cs="Times New Roman"/>
          <w:sz w:val="32"/>
          <w:szCs w:val="32"/>
        </w:rPr>
        <w:t>信用信息体系</w:t>
      </w:r>
      <w:r>
        <w:rPr>
          <w:rFonts w:hint="eastAsia" w:ascii="Times New Roman" w:hAnsi="Times New Roman" w:eastAsia="仿宋" w:cs="Times New Roman"/>
          <w:sz w:val="32"/>
          <w:szCs w:val="32"/>
        </w:rPr>
        <w:t>由市场主体的</w:t>
      </w:r>
      <w:r>
        <w:rPr>
          <w:rFonts w:ascii="Times New Roman" w:hAnsi="Times New Roman" w:eastAsia="仿宋" w:cs="Times New Roman"/>
          <w:sz w:val="32"/>
          <w:szCs w:val="32"/>
        </w:rPr>
        <w:t>履约业绩信息、</w:t>
      </w:r>
      <w:r>
        <w:rPr>
          <w:rFonts w:hint="eastAsia" w:ascii="Times New Roman" w:hAnsi="Times New Roman" w:eastAsia="仿宋" w:cs="Times New Roman"/>
          <w:sz w:val="32"/>
          <w:szCs w:val="32"/>
        </w:rPr>
        <w:t>项目履约评价信息</w:t>
      </w:r>
      <w:r>
        <w:rPr>
          <w:rFonts w:ascii="Times New Roman" w:hAnsi="Times New Roman" w:eastAsia="仿宋" w:cs="Times New Roman"/>
          <w:sz w:val="32"/>
          <w:szCs w:val="32"/>
        </w:rPr>
        <w:t>、优良激励信息</w:t>
      </w:r>
      <w:r>
        <w:rPr>
          <w:rFonts w:hint="eastAsia" w:ascii="Times New Roman" w:hAnsi="Times New Roman" w:eastAsia="仿宋" w:cs="Times New Roman"/>
          <w:sz w:val="32"/>
          <w:szCs w:val="32"/>
        </w:rPr>
        <w:t>构成。</w:t>
      </w:r>
    </w:p>
    <w:p w14:paraId="793A1BBA">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w:t>
      </w:r>
      <w:r>
        <w:rPr>
          <w:rFonts w:hint="eastAsia" w:ascii="Times New Roman" w:hAnsi="Times New Roman" w:eastAsia="楷体" w:cs="Times New Roman"/>
          <w:b/>
          <w:bCs/>
          <w:sz w:val="32"/>
          <w:szCs w:val="32"/>
          <w14:ligatures w14:val="none"/>
        </w:rPr>
        <w:t>七</w:t>
      </w:r>
      <w:r>
        <w:rPr>
          <w:rFonts w:ascii="Times New Roman" w:hAnsi="Times New Roman" w:eastAsia="楷体" w:cs="Times New Roman"/>
          <w:b/>
          <w:bCs/>
          <w:sz w:val="32"/>
          <w:szCs w:val="32"/>
          <w14:ligatures w14:val="none"/>
        </w:rPr>
        <w:t>条</w:t>
      </w:r>
      <w:r>
        <w:rPr>
          <w:rFonts w:hint="eastAsia" w:ascii="Times New Roman" w:hAnsi="Times New Roman" w:eastAsia="仿宋" w:cs="Times New Roman"/>
          <w:sz w:val="32"/>
          <w:szCs w:val="32"/>
        </w:rPr>
        <w:t xml:space="preserve"> 履约业绩信息是指市场主体在本省行政区域内，近三年内完成合同约定建设内容，经建设单位组织勘察、设计、施工、监理等单位竣工验收合格的工程建设项目信息，包括项目名称、履约金额、中标日期、验收日期等信息。</w:t>
      </w:r>
    </w:p>
    <w:p w14:paraId="26283F36">
      <w:pPr>
        <w:ind w:firstLine="643" w:firstLineChars="200"/>
        <w:jc w:val="both"/>
        <w:rPr>
          <w:rFonts w:ascii="Times New Roman" w:hAnsi="Times New Roman" w:eastAsia="仿宋" w:cs="Times New Roman"/>
          <w:sz w:val="32"/>
          <w:szCs w:val="32"/>
        </w:rPr>
      </w:pPr>
      <w:r>
        <w:rPr>
          <w:rFonts w:hint="eastAsia" w:ascii="Times New Roman" w:hAnsi="Times New Roman" w:eastAsia="楷体" w:cs="Times New Roman"/>
          <w:b/>
          <w:bCs/>
          <w:sz w:val="32"/>
          <w:szCs w:val="32"/>
          <w14:ligatures w14:val="none"/>
        </w:rPr>
        <w:t xml:space="preserve">第八条 </w:t>
      </w:r>
      <w:r>
        <w:rPr>
          <w:rFonts w:hint="eastAsia" w:ascii="Times New Roman" w:hAnsi="Times New Roman" w:eastAsia="仿宋" w:cs="Times New Roman"/>
          <w:sz w:val="32"/>
          <w:szCs w:val="32"/>
        </w:rPr>
        <w:t>项目履约评价信息是指</w:t>
      </w:r>
      <w:bookmarkStart w:id="0" w:name="OLE_LINK1"/>
      <w:r>
        <w:rPr>
          <w:rFonts w:hint="eastAsia" w:ascii="Times New Roman" w:hAnsi="Times New Roman" w:eastAsia="仿宋" w:cs="Times New Roman"/>
          <w:sz w:val="32"/>
          <w:szCs w:val="32"/>
        </w:rPr>
        <w:t>市场主体在生态环境工程建设项目实施环节，履行合同约定、遵守工程建设相关法律法规及技术标准，在质量控制、进度控制、人员配备、配合与协调、施工管理等方面的综合表现信息。</w:t>
      </w:r>
    </w:p>
    <w:p w14:paraId="4364A06B">
      <w:pPr>
        <w:ind w:firstLine="643" w:firstLineChars="200"/>
        <w:jc w:val="both"/>
        <w:rPr>
          <w:rFonts w:ascii="Times New Roman" w:hAnsi="Times New Roman" w:eastAsia="仿宋" w:cs="Times New Roman"/>
          <w:sz w:val="32"/>
          <w:szCs w:val="32"/>
        </w:rPr>
      </w:pPr>
      <w:r>
        <w:rPr>
          <w:rFonts w:hint="eastAsia" w:ascii="Times New Roman" w:hAnsi="Times New Roman" w:eastAsia="楷体" w:cs="Times New Roman"/>
          <w:b/>
          <w:bCs/>
          <w:sz w:val="32"/>
          <w:szCs w:val="32"/>
          <w14:ligatures w14:val="none"/>
        </w:rPr>
        <w:t xml:space="preserve">第九条 </w:t>
      </w:r>
      <w:r>
        <w:rPr>
          <w:rFonts w:hint="eastAsia" w:ascii="Times New Roman" w:hAnsi="Times New Roman" w:eastAsia="仿宋" w:cs="Times New Roman"/>
          <w:sz w:val="32"/>
          <w:szCs w:val="32"/>
        </w:rPr>
        <w:t>优良激励信息是指市场主体在生态环境工程建设领域中，获得省部级以上表彰奖励、参与行业标准制定等信息。</w:t>
      </w:r>
    </w:p>
    <w:bookmarkEnd w:id="0"/>
    <w:p w14:paraId="42BD4719">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w:t>
      </w:r>
      <w:r>
        <w:rPr>
          <w:rFonts w:hint="eastAsia" w:ascii="Times New Roman" w:hAnsi="Times New Roman" w:eastAsia="楷体" w:cs="Times New Roman"/>
          <w:b/>
          <w:bCs/>
          <w:sz w:val="32"/>
          <w:szCs w:val="32"/>
          <w14:ligatures w14:val="none"/>
        </w:rPr>
        <w:t>十</w:t>
      </w:r>
      <w:r>
        <w:rPr>
          <w:rFonts w:ascii="Times New Roman" w:hAnsi="Times New Roman" w:eastAsia="楷体" w:cs="Times New Roman"/>
          <w:b/>
          <w:bCs/>
          <w:sz w:val="32"/>
          <w:szCs w:val="32"/>
          <w14:ligatures w14:val="none"/>
        </w:rPr>
        <w:t>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rPr>
        <w:t>履约业绩信息与项目履约评价信息由项目所在地市（州）生态环境主管部门采集初审后报省生态环境主管部门确认，其中项目履约评价工作由</w:t>
      </w:r>
      <w:r>
        <w:rPr>
          <w:rFonts w:hint="eastAsia" w:ascii="Times New Roman" w:hAnsi="Times New Roman" w:eastAsia="仿宋" w:cs="Times New Roman"/>
          <w:sz w:val="32"/>
          <w:szCs w:val="32"/>
        </w:rPr>
        <w:t>招标人（建设单位）作为评价主体</w:t>
      </w:r>
      <w:r>
        <w:rPr>
          <w:rFonts w:ascii="Times New Roman" w:hAnsi="Times New Roman" w:eastAsia="仿宋" w:cs="Times New Roman"/>
          <w:sz w:val="32"/>
          <w:szCs w:val="32"/>
        </w:rPr>
        <w:t>在项目通过竣工验收后完成。</w:t>
      </w:r>
    </w:p>
    <w:p w14:paraId="26443EDA">
      <w:pPr>
        <w:ind w:firstLine="643" w:firstLineChars="200"/>
        <w:jc w:val="both"/>
        <w:rPr>
          <w:rFonts w:ascii="Times New Roman" w:hAnsi="Times New Roman" w:eastAsia="仿宋" w:cs="Times New Roman"/>
          <w:sz w:val="32"/>
          <w:szCs w:val="32"/>
        </w:rPr>
      </w:pPr>
      <w:r>
        <w:rPr>
          <w:rFonts w:hint="eastAsia" w:ascii="Times New Roman" w:hAnsi="Times New Roman" w:eastAsia="楷体" w:cs="Times New Roman"/>
          <w:b/>
          <w:bCs/>
          <w:sz w:val="32"/>
          <w:szCs w:val="32"/>
          <w14:ligatures w14:val="none"/>
        </w:rPr>
        <w:t xml:space="preserve">第十一条 </w:t>
      </w:r>
      <w:r>
        <w:rPr>
          <w:rFonts w:ascii="Times New Roman" w:hAnsi="Times New Roman" w:eastAsia="仿宋" w:cs="Times New Roman"/>
          <w:sz w:val="32"/>
          <w:szCs w:val="32"/>
        </w:rPr>
        <w:t>优良</w:t>
      </w:r>
      <w:r>
        <w:rPr>
          <w:rFonts w:hint="eastAsia" w:ascii="Times New Roman" w:hAnsi="Times New Roman" w:eastAsia="仿宋" w:cs="Times New Roman"/>
          <w:sz w:val="32"/>
          <w:szCs w:val="32"/>
        </w:rPr>
        <w:t>激励</w:t>
      </w:r>
      <w:r>
        <w:rPr>
          <w:rFonts w:ascii="Times New Roman" w:hAnsi="Times New Roman" w:eastAsia="仿宋" w:cs="Times New Roman"/>
          <w:sz w:val="32"/>
          <w:szCs w:val="32"/>
        </w:rPr>
        <w:t>信息由市场主体自主申报，经市</w:t>
      </w:r>
      <w:r>
        <w:rPr>
          <w:rFonts w:hint="eastAsia" w:ascii="Times New Roman" w:hAnsi="Times New Roman" w:eastAsia="仿宋" w:cs="Times New Roman"/>
          <w:sz w:val="32"/>
          <w:szCs w:val="32"/>
        </w:rPr>
        <w:t>（</w:t>
      </w:r>
      <w:r>
        <w:rPr>
          <w:rFonts w:ascii="Times New Roman" w:hAnsi="Times New Roman" w:eastAsia="仿宋" w:cs="Times New Roman"/>
          <w:sz w:val="32"/>
          <w:szCs w:val="32"/>
        </w:rPr>
        <w:t>州</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生态环境主管部门初审</w:t>
      </w:r>
      <w:r>
        <w:rPr>
          <w:rFonts w:hint="eastAsia" w:ascii="Times New Roman" w:hAnsi="Times New Roman" w:eastAsia="仿宋" w:cs="Times New Roman"/>
          <w:sz w:val="32"/>
          <w:szCs w:val="32"/>
        </w:rPr>
        <w:t>后报</w:t>
      </w:r>
      <w:r>
        <w:rPr>
          <w:rFonts w:ascii="Times New Roman" w:hAnsi="Times New Roman" w:eastAsia="仿宋" w:cs="Times New Roman"/>
          <w:sz w:val="32"/>
          <w:szCs w:val="32"/>
        </w:rPr>
        <w:t>省生态环境主管部门</w:t>
      </w:r>
      <w:r>
        <w:rPr>
          <w:rFonts w:hint="eastAsia" w:ascii="Times New Roman" w:hAnsi="Times New Roman" w:eastAsia="仿宋" w:cs="Times New Roman"/>
          <w:sz w:val="32"/>
          <w:szCs w:val="32"/>
        </w:rPr>
        <w:t>确认。</w:t>
      </w:r>
    </w:p>
    <w:p w14:paraId="7275915A">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w:t>
      </w:r>
      <w:r>
        <w:rPr>
          <w:rFonts w:hint="eastAsia" w:ascii="Times New Roman" w:hAnsi="Times New Roman" w:eastAsia="楷体" w:cs="Times New Roman"/>
          <w:b/>
          <w:bCs/>
          <w:sz w:val="32"/>
          <w:szCs w:val="32"/>
          <w14:ligatures w14:val="none"/>
        </w:rPr>
        <w:t>十二</w:t>
      </w:r>
      <w:r>
        <w:rPr>
          <w:rFonts w:ascii="Times New Roman" w:hAnsi="Times New Roman" w:eastAsia="楷体" w:cs="Times New Roman"/>
          <w:b/>
          <w:bCs/>
          <w:sz w:val="32"/>
          <w:szCs w:val="32"/>
          <w14:ligatures w14:val="none"/>
        </w:rPr>
        <w:t>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rPr>
        <w:t>建立“低价中标项目履约风险专项评价”模块</w:t>
      </w:r>
      <w:r>
        <w:rPr>
          <w:rFonts w:hint="eastAsia" w:ascii="Times New Roman" w:hAnsi="Times New Roman" w:eastAsia="仿宋" w:cs="Times New Roman"/>
          <w:sz w:val="32"/>
          <w:szCs w:val="32"/>
        </w:rPr>
        <w:t>，</w:t>
      </w:r>
      <w:r>
        <w:rPr>
          <w:rFonts w:ascii="Times New Roman" w:hAnsi="Times New Roman" w:eastAsia="仿宋" w:cs="Times New Roman"/>
          <w:sz w:val="32"/>
          <w:szCs w:val="32"/>
        </w:rPr>
        <w:t>对采用“经评审的最低投标价法”且中标价下浮率超过一定阈值的项目，市州局应将该项目纳入重点履约监管名单，定期采集并上报履约过程中的人员配备、材料质量、施工工艺、工程进度、资金使用等信息，作为对该中标单位</w:t>
      </w:r>
      <w:r>
        <w:rPr>
          <w:rFonts w:hint="eastAsia" w:ascii="Times New Roman" w:hAnsi="Times New Roman" w:eastAsia="仿宋" w:cs="Times New Roman"/>
          <w:sz w:val="32"/>
          <w:szCs w:val="32"/>
        </w:rPr>
        <w:t>标后履约评价的重要依据</w:t>
      </w:r>
      <w:r>
        <w:rPr>
          <w:rFonts w:ascii="Times New Roman" w:hAnsi="Times New Roman" w:eastAsia="仿宋" w:cs="Times New Roman"/>
          <w:sz w:val="32"/>
          <w:szCs w:val="32"/>
        </w:rPr>
        <w:t>。</w:t>
      </w:r>
    </w:p>
    <w:p w14:paraId="23561153">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w:t>
      </w:r>
      <w:r>
        <w:rPr>
          <w:rFonts w:hint="eastAsia" w:ascii="Times New Roman" w:hAnsi="Times New Roman" w:eastAsia="楷体" w:cs="Times New Roman"/>
          <w:b/>
          <w:bCs/>
          <w:sz w:val="32"/>
          <w:szCs w:val="32"/>
          <w14:ligatures w14:val="none"/>
        </w:rPr>
        <w:t>十三</w:t>
      </w:r>
      <w:r>
        <w:rPr>
          <w:rFonts w:ascii="Times New Roman" w:hAnsi="Times New Roman" w:eastAsia="楷体" w:cs="Times New Roman"/>
          <w:b/>
          <w:bCs/>
          <w:sz w:val="32"/>
          <w:szCs w:val="32"/>
          <w14:ligatures w14:val="none"/>
        </w:rPr>
        <w:t>条</w:t>
      </w:r>
      <w:r>
        <w:rPr>
          <w:rFonts w:hint="eastAsia"/>
        </w:rPr>
        <w:t xml:space="preserve"> </w:t>
      </w:r>
      <w:r>
        <w:rPr>
          <w:rFonts w:ascii="Times New Roman" w:hAnsi="Times New Roman" w:eastAsia="仿宋" w:cs="Times New Roman"/>
          <w:sz w:val="32"/>
          <w:szCs w:val="32"/>
        </w:rPr>
        <w:t>省生态环境主管部门</w:t>
      </w:r>
      <w:r>
        <w:rPr>
          <w:rFonts w:hint="eastAsia" w:ascii="Times New Roman" w:hAnsi="Times New Roman" w:eastAsia="仿宋" w:cs="Times New Roman"/>
          <w:sz w:val="32"/>
          <w:szCs w:val="32"/>
        </w:rPr>
        <w:t>可</w:t>
      </w:r>
      <w:r>
        <w:rPr>
          <w:rFonts w:ascii="Times New Roman" w:hAnsi="Times New Roman" w:eastAsia="仿宋" w:cs="Times New Roman"/>
          <w:sz w:val="32"/>
          <w:szCs w:val="32"/>
        </w:rPr>
        <w:t>根据国家社会信用体系建设政策导向及生态环境工程技术发展、监管需求变化等实际情况，适时对信用信息的具体内容、分类标准、采集方式、归集频率等进行评估与调整，确保信用评价工作与行业发展及政策要求保持同步。</w:t>
      </w:r>
    </w:p>
    <w:p w14:paraId="37E358B9">
      <w:pPr>
        <w:pStyle w:val="2"/>
        <w:keepNext w:val="0"/>
        <w:keepLines w:val="0"/>
        <w:spacing w:before="624" w:beforeLines="200" w:after="312" w:afterLines="100" w:line="240" w:lineRule="auto"/>
        <w:jc w:val="center"/>
        <w:rPr>
          <w:rFonts w:hint="eastAsia" w:ascii="黑体" w:hAnsi="黑体" w:eastAsia="黑体" w:cs="黑体"/>
          <w:bCs/>
          <w:color w:val="auto"/>
          <w:kern w:val="44"/>
          <w:sz w:val="32"/>
          <w:szCs w:val="32"/>
          <w:lang w:bidi="en-US"/>
          <w14:ligatures w14:val="none"/>
        </w:rPr>
      </w:pPr>
      <w:r>
        <w:rPr>
          <w:rFonts w:ascii="黑体" w:hAnsi="黑体" w:eastAsia="黑体" w:cs="黑体"/>
          <w:bCs/>
          <w:color w:val="auto"/>
          <w:kern w:val="44"/>
          <w:sz w:val="32"/>
          <w:szCs w:val="32"/>
          <w:lang w:bidi="en-US"/>
          <w14:ligatures w14:val="none"/>
        </w:rPr>
        <w:t>第三章 信用评价方法</w:t>
      </w:r>
    </w:p>
    <w:p w14:paraId="0111873D">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第十</w:t>
      </w:r>
      <w:r>
        <w:rPr>
          <w:rFonts w:hint="eastAsia" w:ascii="Times New Roman" w:hAnsi="Times New Roman" w:eastAsia="楷体" w:cs="Times New Roman"/>
          <w:b/>
          <w:bCs/>
          <w:sz w:val="32"/>
          <w:szCs w:val="32"/>
          <w14:ligatures w14:val="none"/>
        </w:rPr>
        <w:t>四</w:t>
      </w:r>
      <w:r>
        <w:rPr>
          <w:rFonts w:ascii="Times New Roman" w:hAnsi="Times New Roman" w:eastAsia="楷体" w:cs="Times New Roman"/>
          <w:b/>
          <w:bCs/>
          <w:sz w:val="32"/>
          <w:szCs w:val="32"/>
          <w14:ligatures w14:val="none"/>
        </w:rPr>
        <w:t>条</w:t>
      </w:r>
      <w:r>
        <w:rPr>
          <w:rFonts w:hint="eastAsia" w:ascii="Times New Roman" w:hAnsi="Times New Roman" w:eastAsia="仿宋" w:cs="Times New Roman"/>
          <w:sz w:val="32"/>
          <w:szCs w:val="32"/>
        </w:rPr>
        <w:t xml:space="preserve"> 信用评价以年度综合评分为核心，开展市场主体信用状况常态化评价。年度综合评分是信用评价的基础性、周期性工作，省生态环境主管部门于每年第一季度组织开展对上一年度全省市场主体信用状况的综合评价，依据评价周期内归集的所有有效信用信息，按照本办法设定的统一指标体系和计分规则计算信用评分、确定相应信用评价结果。年度评价结果于当年6月25日前完成核定并统一对外公示，公示期3天，公示内容无异议后发布信用评价结果，有效期自发布之日起至下一年度评价结果发布之日止。</w:t>
      </w:r>
    </w:p>
    <w:p w14:paraId="2045CF80">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第十</w:t>
      </w:r>
      <w:r>
        <w:rPr>
          <w:rFonts w:hint="eastAsia" w:ascii="Times New Roman" w:hAnsi="Times New Roman" w:eastAsia="楷体" w:cs="Times New Roman"/>
          <w:b/>
          <w:bCs/>
          <w:sz w:val="32"/>
          <w:szCs w:val="32"/>
          <w14:ligatures w14:val="none"/>
        </w:rPr>
        <w:t>五</w:t>
      </w:r>
      <w:r>
        <w:rPr>
          <w:rFonts w:ascii="Times New Roman" w:hAnsi="Times New Roman" w:eastAsia="楷体" w:cs="Times New Roman"/>
          <w:b/>
          <w:bCs/>
          <w:sz w:val="32"/>
          <w:szCs w:val="32"/>
          <w14:ligatures w14:val="none"/>
        </w:rPr>
        <w:t>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市场主体信用评价实行评分制，由省级</w:t>
      </w:r>
      <w:r>
        <w:rPr>
          <w:rFonts w:hint="eastAsia" w:ascii="Times New Roman" w:hAnsi="Times New Roman" w:eastAsia="仿宋" w:cs="Times New Roman"/>
          <w:sz w:val="32"/>
          <w:szCs w:val="32"/>
        </w:rPr>
        <w:t>生态环境主管</w:t>
      </w:r>
      <w:r>
        <w:rPr>
          <w:rFonts w:ascii="Times New Roman" w:hAnsi="Times New Roman" w:eastAsia="仿宋" w:cs="Times New Roman"/>
          <w:sz w:val="32"/>
          <w:szCs w:val="32"/>
        </w:rPr>
        <w:t>部门归集全省市场主体近三年（评价工作开展初期不足三年的，按照实际开展评价的年度计算）履约业绩信息、项目履约评价信息及优良</w:t>
      </w:r>
      <w:r>
        <w:rPr>
          <w:rFonts w:hint="eastAsia" w:ascii="Times New Roman" w:hAnsi="Times New Roman" w:eastAsia="仿宋" w:cs="Times New Roman"/>
          <w:sz w:val="32"/>
          <w:szCs w:val="32"/>
        </w:rPr>
        <w:t>激励</w:t>
      </w:r>
      <w:r>
        <w:rPr>
          <w:rFonts w:ascii="Times New Roman" w:hAnsi="Times New Roman" w:eastAsia="仿宋" w:cs="Times New Roman"/>
          <w:sz w:val="32"/>
          <w:szCs w:val="32"/>
        </w:rPr>
        <w:t>信息后统一组织实施评价</w:t>
      </w:r>
      <w:r>
        <w:rPr>
          <w:rFonts w:hint="eastAsia" w:ascii="Times New Roman" w:hAnsi="Times New Roman" w:eastAsia="仿宋" w:cs="Times New Roman"/>
          <w:sz w:val="32"/>
          <w:szCs w:val="32"/>
        </w:rPr>
        <w:t>，评分计算公式如下：</w:t>
      </w:r>
    </w:p>
    <w:p w14:paraId="79A51D05">
      <w:pPr>
        <w:ind w:firstLine="480" w:firstLineChars="200"/>
        <w:jc w:val="both"/>
        <w:rPr>
          <w:rFonts w:ascii="Times New Roman" w:hAnsi="Times New Roman" w:eastAsia="仿宋" w:cs="Times New Roman"/>
          <w:iCs/>
          <w:color w:val="000000"/>
          <w:sz w:val="24"/>
          <w14:ligatures w14:val="none"/>
        </w:rPr>
      </w:pPr>
      <m:oMathPara>
        <m:oMath>
          <m:r>
            <m:rPr>
              <m:sty m:val="p"/>
            </m:rPr>
            <w:rPr>
              <w:rFonts w:hint="eastAsia" w:ascii="Cambria Math" w:hAnsi="Cambria Math" w:eastAsia="宋体" w:cs="Times New Roman"/>
              <w:color w:val="000000"/>
              <w:sz w:val="24"/>
              <w14:ligatures w14:val="none"/>
            </w:rPr>
            <m:t>信用评价得分</m:t>
          </m:r>
          <m:r>
            <m:rPr>
              <m:sty m:val="p"/>
            </m:rPr>
            <w:rPr>
              <w:rFonts w:ascii="Cambria Math" w:hAnsi="Cambria Math" w:eastAsia="宋体" w:cs="Times New Roman"/>
              <w:color w:val="000000"/>
              <w:sz w:val="24"/>
              <w14:ligatures w14:val="none"/>
            </w:rPr>
            <m:t>=</m:t>
          </m:r>
          <m:r>
            <m:rPr>
              <m:sty m:val="p"/>
            </m:rPr>
            <w:rPr>
              <w:rFonts w:hint="eastAsia" w:ascii="Cambria Math" w:hAnsi="Cambria Math" w:eastAsia="宋体" w:cs="Times New Roman"/>
              <w:color w:val="000000"/>
              <w:sz w:val="24"/>
              <w14:ligatures w14:val="none"/>
            </w:rPr>
            <m:t>优良信息得分+</m:t>
          </m:r>
          <m:f>
            <m:fPr>
              <m:ctrlPr>
                <w:rPr>
                  <w:rFonts w:ascii="Cambria Math" w:hAnsi="Cambria Math" w:eastAsia="宋体" w:cs="Times New Roman"/>
                  <w:iCs/>
                  <w:color w:val="000000"/>
                  <w:sz w:val="24"/>
                  <w14:ligatures w14:val="none"/>
                </w:rPr>
              </m:ctrlPr>
            </m:fPr>
            <m:num>
              <m:nary>
                <m:naryPr>
                  <m:chr m:val="∑"/>
                  <m:grow m:val="1"/>
                  <m:limLoc m:val="undOvr"/>
                  <m:ctrlPr>
                    <w:rPr>
                      <w:rFonts w:ascii="Cambria Math" w:hAnsi="Cambria Math" w:eastAsia="宋体" w:cs="Times New Roman"/>
                      <w:iCs/>
                      <w:color w:val="000000"/>
                      <w:sz w:val="24"/>
                      <w14:ligatures w14:val="none"/>
                    </w:rPr>
                  </m:ctrlPr>
                </m:naryPr>
                <m:sub>
                  <m:r>
                    <m:rPr>
                      <m:sty m:val="p"/>
                    </m:rPr>
                    <w:rPr>
                      <w:rFonts w:ascii="Cambria Math" w:hAnsi="Cambria Math" w:eastAsia="宋体" w:cs="Times New Roman"/>
                      <w:color w:val="000000"/>
                      <w:sz w:val="24"/>
                      <w14:ligatures w14:val="none"/>
                    </w:rPr>
                    <m:t>i=1</m:t>
                  </m:r>
                  <m:ctrlPr>
                    <w:rPr>
                      <w:rFonts w:ascii="Cambria Math" w:hAnsi="Cambria Math" w:eastAsia="宋体" w:cs="Times New Roman"/>
                      <w:iCs/>
                      <w:color w:val="000000"/>
                      <w:sz w:val="24"/>
                      <w14:ligatures w14:val="none"/>
                    </w:rPr>
                  </m:ctrlPr>
                </m:sub>
                <m:sup>
                  <m:r>
                    <m:rPr>
                      <m:sty m:val="p"/>
                    </m:rPr>
                    <w:rPr>
                      <w:rFonts w:ascii="Cambria Math" w:hAnsi="Cambria Math" w:eastAsia="宋体" w:cs="Times New Roman"/>
                      <w:color w:val="000000"/>
                      <w:sz w:val="24"/>
                      <w14:ligatures w14:val="none"/>
                    </w:rPr>
                    <m:t>n</m:t>
                  </m:r>
                  <m:ctrlPr>
                    <w:rPr>
                      <w:rFonts w:ascii="Cambria Math" w:hAnsi="Cambria Math" w:eastAsia="宋体" w:cs="Times New Roman"/>
                      <w:iCs/>
                      <w:color w:val="000000"/>
                      <w:sz w:val="24"/>
                      <w14:ligatures w14:val="none"/>
                    </w:rPr>
                  </m:ctrlPr>
                </m:sup>
                <m:e>
                  <m:r>
                    <m:rPr>
                      <m:sty m:val="p"/>
                    </m:rPr>
                    <w:rPr>
                      <w:rFonts w:ascii="Cambria Math" w:hAnsi="Cambria Math" w:eastAsia="宋体" w:cs="Times New Roman"/>
                      <w:color w:val="000000"/>
                      <w:sz w:val="24"/>
                      <w14:ligatures w14:val="none"/>
                    </w:rPr>
                    <m:t xml:space="preserve"> 第i个项目</m:t>
                  </m:r>
                  <m:r>
                    <m:rPr>
                      <m:sty m:val="p"/>
                    </m:rPr>
                    <w:rPr>
                      <w:rFonts w:hint="eastAsia" w:ascii="Cambria Math" w:hAnsi="Cambria Math" w:eastAsia="宋体" w:cs="Times New Roman"/>
                      <w:color w:val="000000"/>
                      <w:sz w:val="24"/>
                      <w14:ligatures w14:val="none"/>
                    </w:rPr>
                    <m:t>（</m:t>
                  </m:r>
                  <m:r>
                    <m:rPr>
                      <m:sty m:val="p"/>
                    </m:rPr>
                    <w:rPr>
                      <w:rFonts w:ascii="Cambria Math" w:hAnsi="Cambria Math" w:eastAsia="宋体" w:cs="Times New Roman"/>
                      <w:color w:val="000000"/>
                      <w:sz w:val="24"/>
                      <w14:ligatures w14:val="none"/>
                    </w:rPr>
                    <m:t>履约评价分×</m:t>
                  </m:r>
                  <m:r>
                    <m:rPr>
                      <m:sty m:val="p"/>
                    </m:rPr>
                    <w:rPr>
                      <w:rFonts w:hint="eastAsia" w:ascii="Cambria Math" w:hAnsi="Cambria Math" w:eastAsia="宋体" w:cs="Times New Roman"/>
                      <w:color w:val="000000"/>
                      <w:sz w:val="24"/>
                      <w14:ligatures w14:val="none"/>
                    </w:rPr>
                    <m:t>履约</m:t>
                  </m:r>
                  <m:r>
                    <m:rPr>
                      <m:sty m:val="p"/>
                    </m:rPr>
                    <w:rPr>
                      <w:rFonts w:ascii="Cambria Math" w:hAnsi="Cambria Math" w:eastAsia="宋体" w:cs="Times New Roman"/>
                      <w:color w:val="000000"/>
                      <w:sz w:val="24"/>
                      <w14:ligatures w14:val="none"/>
                    </w:rPr>
                    <m:t>金额</m:t>
                  </m:r>
                  <m:r>
                    <m:rPr>
                      <m:sty m:val="p"/>
                    </m:rPr>
                    <w:rPr>
                      <w:rFonts w:hint="eastAsia" w:ascii="Cambria Math" w:hAnsi="Cambria Math" w:eastAsia="宋体" w:cs="Times New Roman"/>
                      <w:color w:val="000000"/>
                      <w:sz w:val="24"/>
                      <w14:ligatures w14:val="none"/>
                    </w:rPr>
                    <m:t>）</m:t>
                  </m:r>
                  <m:ctrlPr>
                    <w:rPr>
                      <w:rFonts w:ascii="Cambria Math" w:hAnsi="Cambria Math" w:eastAsia="宋体" w:cs="Times New Roman"/>
                      <w:iCs/>
                      <w:color w:val="000000"/>
                      <w:sz w:val="24"/>
                      <w14:ligatures w14:val="none"/>
                    </w:rPr>
                  </m:ctrlPr>
                </m:e>
              </m:nary>
              <m:ctrlPr>
                <w:rPr>
                  <w:rFonts w:ascii="Cambria Math" w:hAnsi="Cambria Math" w:eastAsia="宋体" w:cs="Times New Roman"/>
                  <w:iCs/>
                  <w:color w:val="000000"/>
                  <w:sz w:val="24"/>
                  <w14:ligatures w14:val="none"/>
                </w:rPr>
              </m:ctrlPr>
            </m:num>
            <m:den>
              <m:nary>
                <m:naryPr>
                  <m:chr m:val="∑"/>
                  <m:grow m:val="1"/>
                  <m:limLoc m:val="undOvr"/>
                  <m:ctrlPr>
                    <w:rPr>
                      <w:rFonts w:ascii="Cambria Math" w:hAnsi="Cambria Math" w:eastAsia="宋体" w:cs="Times New Roman"/>
                      <w:iCs/>
                      <w:color w:val="000000"/>
                      <w:sz w:val="24"/>
                      <w14:ligatures w14:val="none"/>
                    </w:rPr>
                  </m:ctrlPr>
                </m:naryPr>
                <m:sub>
                  <m:r>
                    <m:rPr>
                      <m:sty m:val="p"/>
                    </m:rPr>
                    <w:rPr>
                      <w:rFonts w:ascii="Cambria Math" w:hAnsi="Cambria Math" w:eastAsia="宋体" w:cs="Times New Roman"/>
                      <w:color w:val="000000"/>
                      <w:sz w:val="24"/>
                      <w14:ligatures w14:val="none"/>
                    </w:rPr>
                    <m:t>i=1</m:t>
                  </m:r>
                  <m:ctrlPr>
                    <w:rPr>
                      <w:rFonts w:ascii="Cambria Math" w:hAnsi="Cambria Math" w:eastAsia="宋体" w:cs="Times New Roman"/>
                      <w:iCs/>
                      <w:color w:val="000000"/>
                      <w:sz w:val="24"/>
                      <w14:ligatures w14:val="none"/>
                    </w:rPr>
                  </m:ctrlPr>
                </m:sub>
                <m:sup>
                  <m:r>
                    <m:rPr>
                      <m:sty m:val="p"/>
                    </m:rPr>
                    <w:rPr>
                      <w:rFonts w:ascii="Cambria Math" w:hAnsi="Cambria Math" w:eastAsia="宋体" w:cs="Times New Roman"/>
                      <w:color w:val="000000"/>
                      <w:sz w:val="24"/>
                      <w14:ligatures w14:val="none"/>
                    </w:rPr>
                    <m:t>n</m:t>
                  </m:r>
                  <m:ctrlPr>
                    <w:rPr>
                      <w:rFonts w:ascii="Cambria Math" w:hAnsi="Cambria Math" w:eastAsia="宋体" w:cs="Times New Roman"/>
                      <w:iCs/>
                      <w:color w:val="000000"/>
                      <w:sz w:val="24"/>
                      <w14:ligatures w14:val="none"/>
                    </w:rPr>
                  </m:ctrlPr>
                </m:sup>
                <m:e>
                  <m:r>
                    <m:rPr>
                      <m:sty m:val="p"/>
                    </m:rPr>
                    <w:rPr>
                      <w:rFonts w:ascii="Cambria Math" w:hAnsi="Cambria Math" w:eastAsia="宋体" w:cs="Times New Roman"/>
                      <w:color w:val="000000"/>
                      <w:sz w:val="24"/>
                      <w14:ligatures w14:val="none"/>
                    </w:rPr>
                    <m:t xml:space="preserve"> 第i个项目履约</m:t>
                  </m:r>
                  <m:r>
                    <m:rPr>
                      <m:sty m:val="p"/>
                    </m:rPr>
                    <w:rPr>
                      <w:rFonts w:hint="eastAsia" w:ascii="Cambria Math" w:hAnsi="Cambria Math" w:eastAsia="宋体" w:cs="Times New Roman"/>
                      <w:color w:val="000000"/>
                      <w:sz w:val="24"/>
                      <w14:ligatures w14:val="none"/>
                    </w:rPr>
                    <m:t>金额</m:t>
                  </m:r>
                  <m:ctrlPr>
                    <w:rPr>
                      <w:rFonts w:ascii="Cambria Math" w:hAnsi="Cambria Math" w:eastAsia="宋体" w:cs="Times New Roman"/>
                      <w:iCs/>
                      <w:color w:val="000000"/>
                      <w:sz w:val="24"/>
                      <w14:ligatures w14:val="none"/>
                    </w:rPr>
                  </m:ctrlPr>
                </m:e>
              </m:nary>
              <m:ctrlPr>
                <w:rPr>
                  <w:rFonts w:ascii="Cambria Math" w:hAnsi="Cambria Math" w:eastAsia="宋体" w:cs="Times New Roman"/>
                  <w:iCs/>
                  <w:color w:val="000000"/>
                  <w:sz w:val="24"/>
                  <w14:ligatures w14:val="none"/>
                </w:rPr>
              </m:ctrlPr>
            </m:den>
          </m:f>
        </m:oMath>
      </m:oMathPara>
    </w:p>
    <w:p w14:paraId="1E6855FB">
      <w:pPr>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其</w:t>
      </w:r>
      <w:r>
        <w:rPr>
          <w:rFonts w:ascii="Times New Roman" w:hAnsi="Times New Roman" w:eastAsia="仿宋" w:cs="Times New Roman"/>
          <w:sz w:val="32"/>
          <w:szCs w:val="32"/>
        </w:rPr>
        <w:t>中，n为纳入评价范围的项目总数，即近 3 年实际完成履约评价的项目。市场主体信用评分经优良信息加分后超过 100 分的，按 100 分核定。</w:t>
      </w:r>
    </w:p>
    <w:p w14:paraId="31169F31">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第十</w:t>
      </w:r>
      <w:r>
        <w:rPr>
          <w:rFonts w:hint="eastAsia" w:ascii="Times New Roman" w:hAnsi="Times New Roman" w:eastAsia="楷体" w:cs="Times New Roman"/>
          <w:b/>
          <w:bCs/>
          <w:sz w:val="32"/>
          <w:szCs w:val="32"/>
          <w14:ligatures w14:val="none"/>
        </w:rPr>
        <w:t>六</w:t>
      </w:r>
      <w:r>
        <w:rPr>
          <w:rFonts w:ascii="Times New Roman" w:hAnsi="Times New Roman" w:eastAsia="楷体" w:cs="Times New Roman"/>
          <w:b/>
          <w:bCs/>
          <w:sz w:val="32"/>
          <w:szCs w:val="32"/>
          <w14:ligatures w14:val="none"/>
        </w:rPr>
        <w:t>条</w:t>
      </w:r>
      <w:r>
        <w:rPr>
          <w:rFonts w:hint="eastAsia"/>
        </w:rPr>
        <w:t xml:space="preserve"> </w:t>
      </w:r>
      <w:r>
        <w:rPr>
          <w:rFonts w:ascii="Times New Roman" w:hAnsi="Times New Roman" w:eastAsia="仿宋" w:cs="Times New Roman"/>
          <w:sz w:val="32"/>
          <w:szCs w:val="32"/>
        </w:rPr>
        <w:t>市场主体信用</w:t>
      </w:r>
      <w:r>
        <w:rPr>
          <w:rFonts w:hint="eastAsia" w:ascii="Times New Roman" w:hAnsi="Times New Roman" w:eastAsia="仿宋" w:cs="Times New Roman"/>
          <w:sz w:val="32"/>
          <w:szCs w:val="32"/>
        </w:rPr>
        <w:t>评价</w:t>
      </w:r>
      <w:r>
        <w:rPr>
          <w:rFonts w:ascii="Times New Roman" w:hAnsi="Times New Roman" w:eastAsia="仿宋" w:cs="Times New Roman"/>
          <w:sz w:val="32"/>
          <w:szCs w:val="32"/>
        </w:rPr>
        <w:t>特殊情形处理：</w:t>
      </w:r>
    </w:p>
    <w:p w14:paraId="6A2304D9">
      <w:pPr>
        <w:spacing w:after="0"/>
        <w:ind w:firstLine="480" w:firstLineChars="15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1.在本办法印发之后，首次行业综合信用评价结果公布之前，在我省有履约业绩的市场主体行业信用评价分均按满分计。</w:t>
      </w:r>
    </w:p>
    <w:p w14:paraId="1BB27B9D">
      <w:pPr>
        <w:spacing w:after="0"/>
        <w:ind w:firstLine="480" w:firstLineChars="15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首次进入本省生态环境工程建设市场或未承包过工程项目的企业</w:t>
      </w:r>
      <w:r>
        <w:rPr>
          <w:rFonts w:ascii="Times New Roman" w:hAnsi="Times New Roman" w:eastAsia="仿宋" w:cs="Times New Roman"/>
          <w:sz w:val="32"/>
          <w:szCs w:val="32"/>
        </w:rPr>
        <w:t>，其信用</w:t>
      </w:r>
      <w:r>
        <w:rPr>
          <w:rFonts w:hint="eastAsia" w:ascii="Times New Roman" w:hAnsi="Times New Roman" w:eastAsia="仿宋" w:cs="Times New Roman"/>
          <w:sz w:val="32"/>
          <w:szCs w:val="32"/>
        </w:rPr>
        <w:t>评价得分按全省平均分计算</w:t>
      </w:r>
      <w:r>
        <w:rPr>
          <w:rFonts w:ascii="Times New Roman" w:hAnsi="Times New Roman" w:eastAsia="仿宋" w:cs="Times New Roman"/>
          <w:sz w:val="32"/>
          <w:szCs w:val="32"/>
        </w:rPr>
        <w:t>。</w:t>
      </w:r>
    </w:p>
    <w:p w14:paraId="4D5D250A">
      <w:pPr>
        <w:spacing w:after="0"/>
        <w:ind w:firstLine="480" w:firstLineChars="15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3.上年度无项目业绩的，项目履约评价信息得分计分按其上一次评价得分计算，优良激励信息得分按实际情况计算。</w:t>
      </w:r>
    </w:p>
    <w:p w14:paraId="3817D21B">
      <w:pPr>
        <w:pStyle w:val="2"/>
        <w:keepNext w:val="0"/>
        <w:keepLines w:val="0"/>
        <w:spacing w:before="624" w:beforeLines="200" w:after="312" w:afterLines="100" w:line="240" w:lineRule="auto"/>
        <w:jc w:val="center"/>
        <w:rPr>
          <w:rFonts w:hint="eastAsia" w:ascii="黑体" w:hAnsi="黑体" w:eastAsia="黑体" w:cs="黑体"/>
          <w:bCs/>
          <w:color w:val="auto"/>
          <w:kern w:val="44"/>
          <w:sz w:val="32"/>
          <w:szCs w:val="32"/>
          <w:lang w:bidi="en-US"/>
          <w14:ligatures w14:val="none"/>
        </w:rPr>
      </w:pPr>
      <w:r>
        <w:rPr>
          <w:rFonts w:ascii="黑体" w:hAnsi="黑体" w:eastAsia="黑体" w:cs="黑体"/>
          <w:bCs/>
          <w:color w:val="auto"/>
          <w:kern w:val="44"/>
          <w:sz w:val="32"/>
          <w:szCs w:val="32"/>
          <w:lang w:bidi="en-US"/>
          <w14:ligatures w14:val="none"/>
        </w:rPr>
        <w:t xml:space="preserve">第四章 </w:t>
      </w:r>
      <w:r>
        <w:rPr>
          <w:rFonts w:hint="eastAsia" w:ascii="黑体" w:hAnsi="黑体" w:eastAsia="黑体" w:cs="黑体"/>
          <w:bCs/>
          <w:color w:val="auto"/>
          <w:kern w:val="44"/>
          <w:sz w:val="32"/>
          <w:szCs w:val="32"/>
          <w:lang w:bidi="en-US"/>
          <w14:ligatures w14:val="none"/>
        </w:rPr>
        <w:t>信用评价信息公开</w:t>
      </w:r>
    </w:p>
    <w:p w14:paraId="27469ED9">
      <w:pPr>
        <w:spacing w:after="0"/>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第十</w:t>
      </w:r>
      <w:r>
        <w:rPr>
          <w:rFonts w:hint="eastAsia" w:ascii="Times New Roman" w:hAnsi="Times New Roman" w:eastAsia="楷体" w:cs="Times New Roman"/>
          <w:b/>
          <w:bCs/>
          <w:sz w:val="32"/>
          <w:szCs w:val="32"/>
          <w14:ligatures w14:val="none"/>
        </w:rPr>
        <w:t>七</w:t>
      </w:r>
      <w:r>
        <w:rPr>
          <w:rFonts w:ascii="Times New Roman" w:hAnsi="Times New Roman" w:eastAsia="楷体" w:cs="Times New Roman"/>
          <w:b/>
          <w:bCs/>
          <w:sz w:val="32"/>
          <w:szCs w:val="32"/>
          <w14:ligatures w14:val="none"/>
        </w:rPr>
        <w:t>条</w:t>
      </w:r>
      <w:r>
        <w:rPr>
          <w:rFonts w:hint="eastAsia"/>
        </w:rPr>
        <w:t xml:space="preserve"> </w:t>
      </w:r>
      <w:r>
        <w:rPr>
          <w:rFonts w:ascii="Times New Roman" w:hAnsi="Times New Roman" w:eastAsia="仿宋" w:cs="Times New Roman"/>
          <w:sz w:val="32"/>
          <w:szCs w:val="32"/>
        </w:rPr>
        <w:t>市场主体信用评价工作遵循规范透明的程序组织实施，其中生态环境工程建设领域市场主体信用信息公开期限明确如下：履约业绩信息公开期限为1年，优良</w:t>
      </w:r>
      <w:r>
        <w:rPr>
          <w:rFonts w:hint="eastAsia" w:ascii="Times New Roman" w:hAnsi="Times New Roman" w:eastAsia="仿宋" w:cs="Times New Roman"/>
          <w:sz w:val="32"/>
          <w:szCs w:val="32"/>
        </w:rPr>
        <w:t>激励</w:t>
      </w:r>
      <w:r>
        <w:rPr>
          <w:rFonts w:ascii="Times New Roman" w:hAnsi="Times New Roman" w:eastAsia="仿宋" w:cs="Times New Roman"/>
          <w:sz w:val="32"/>
          <w:szCs w:val="32"/>
        </w:rPr>
        <w:t>信息、项目履约评价信息公开期限均为3年</w:t>
      </w:r>
      <w:r>
        <w:rPr>
          <w:rFonts w:hint="eastAsia" w:ascii="Times New Roman" w:hAnsi="Times New Roman" w:eastAsia="仿宋" w:cs="Times New Roman"/>
          <w:sz w:val="32"/>
          <w:szCs w:val="32"/>
        </w:rPr>
        <w:t>。</w:t>
      </w:r>
    </w:p>
    <w:p w14:paraId="3FFE1C64">
      <w:pPr>
        <w:spacing w:after="0"/>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第十</w:t>
      </w:r>
      <w:r>
        <w:rPr>
          <w:rFonts w:hint="eastAsia" w:ascii="Times New Roman" w:hAnsi="Times New Roman" w:eastAsia="楷体" w:cs="Times New Roman"/>
          <w:b/>
          <w:bCs/>
          <w:sz w:val="32"/>
          <w:szCs w:val="32"/>
          <w14:ligatures w14:val="none"/>
        </w:rPr>
        <w:t>八</w:t>
      </w:r>
      <w:r>
        <w:rPr>
          <w:rFonts w:ascii="Times New Roman" w:hAnsi="Times New Roman" w:eastAsia="楷体" w:cs="Times New Roman"/>
          <w:b/>
          <w:bCs/>
          <w:sz w:val="32"/>
          <w:szCs w:val="32"/>
          <w14:ligatures w14:val="none"/>
        </w:rPr>
        <w:t>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rPr>
        <w:t>市场主体对公示结果有异议的，可在公示期内提出申诉。按照 “谁认定、谁负责” 的原则，对</w:t>
      </w:r>
      <w:r>
        <w:rPr>
          <w:rFonts w:hint="eastAsia" w:ascii="Times New Roman" w:hAnsi="Times New Roman" w:eastAsia="仿宋" w:cs="Times New Roman"/>
          <w:sz w:val="32"/>
          <w:szCs w:val="32"/>
        </w:rPr>
        <w:t>市场主体</w:t>
      </w:r>
      <w:r>
        <w:rPr>
          <w:rFonts w:ascii="Times New Roman" w:hAnsi="Times New Roman" w:eastAsia="仿宋" w:cs="Times New Roman"/>
          <w:sz w:val="32"/>
          <w:szCs w:val="32"/>
        </w:rPr>
        <w:t>信用评价分与公布结果不一致、业绩金额统计有误等信用信息与事实不符情形的申诉，由各级生态环境主管部门负责处理。符合受理条件的申诉，处理部门须</w:t>
      </w:r>
      <w:r>
        <w:rPr>
          <w:rFonts w:hint="eastAsia" w:ascii="Times New Roman" w:hAnsi="Times New Roman" w:eastAsia="仿宋" w:cs="Times New Roman"/>
          <w:sz w:val="32"/>
          <w:szCs w:val="32"/>
        </w:rPr>
        <w:t>及时</w:t>
      </w:r>
      <w:r>
        <w:rPr>
          <w:rFonts w:ascii="Times New Roman" w:hAnsi="Times New Roman" w:eastAsia="仿宋" w:cs="Times New Roman"/>
          <w:sz w:val="32"/>
          <w:szCs w:val="32"/>
        </w:rPr>
        <w:t>完成调查核实并反馈结果。</w:t>
      </w:r>
    </w:p>
    <w:p w14:paraId="055F6ECA">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第十</w:t>
      </w:r>
      <w:r>
        <w:rPr>
          <w:rFonts w:hint="eastAsia" w:ascii="Times New Roman" w:hAnsi="Times New Roman" w:eastAsia="楷体" w:cs="Times New Roman"/>
          <w:b/>
          <w:bCs/>
          <w:sz w:val="32"/>
          <w:szCs w:val="32"/>
          <w14:ligatures w14:val="none"/>
        </w:rPr>
        <w:t>九</w:t>
      </w:r>
      <w:r>
        <w:rPr>
          <w:rFonts w:ascii="Times New Roman" w:hAnsi="Times New Roman" w:eastAsia="楷体" w:cs="Times New Roman"/>
          <w:b/>
          <w:bCs/>
          <w:sz w:val="32"/>
          <w:szCs w:val="32"/>
          <w14:ligatures w14:val="none"/>
        </w:rPr>
        <w:t>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rPr>
        <w:t>信用评价结果通过省生态环境主管部门指定的官方平台统一、主动、及时向社会公开。公开信息至少包含市场主体名称、统一社会信用代码、评价得分、评价期等核心内容。</w:t>
      </w:r>
    </w:p>
    <w:p w14:paraId="1CF1685F">
      <w:pPr>
        <w:pStyle w:val="2"/>
        <w:keepNext w:val="0"/>
        <w:keepLines w:val="0"/>
        <w:spacing w:before="624" w:beforeLines="200" w:after="312" w:afterLines="100" w:line="240" w:lineRule="auto"/>
        <w:jc w:val="center"/>
        <w:rPr>
          <w:rFonts w:hint="eastAsia" w:ascii="黑体" w:hAnsi="黑体" w:eastAsia="黑体" w:cs="黑体"/>
          <w:bCs/>
          <w:color w:val="auto"/>
          <w:kern w:val="44"/>
          <w:sz w:val="32"/>
          <w:szCs w:val="32"/>
          <w:lang w:bidi="en-US"/>
          <w14:ligatures w14:val="none"/>
        </w:rPr>
      </w:pPr>
      <w:r>
        <w:rPr>
          <w:rFonts w:ascii="黑体" w:hAnsi="黑体" w:eastAsia="黑体" w:cs="黑体"/>
          <w:bCs/>
          <w:color w:val="auto"/>
          <w:kern w:val="44"/>
          <w:sz w:val="32"/>
          <w:szCs w:val="32"/>
          <w:lang w:bidi="en-US"/>
          <w14:ligatures w14:val="none"/>
        </w:rPr>
        <w:t>第五章 信用评价结果应用</w:t>
      </w:r>
    </w:p>
    <w:p w14:paraId="7FC16CBB">
      <w:pPr>
        <w:spacing w:after="0"/>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w:t>
      </w:r>
      <w:r>
        <w:rPr>
          <w:rFonts w:hint="eastAsia" w:ascii="Times New Roman" w:hAnsi="Times New Roman" w:eastAsia="楷体" w:cs="Times New Roman"/>
          <w:b/>
          <w:bCs/>
          <w:sz w:val="32"/>
          <w:szCs w:val="32"/>
          <w14:ligatures w14:val="none"/>
        </w:rPr>
        <w:t>二十</w:t>
      </w:r>
      <w:r>
        <w:rPr>
          <w:rFonts w:ascii="Times New Roman" w:hAnsi="Times New Roman" w:eastAsia="楷体" w:cs="Times New Roman"/>
          <w:b/>
          <w:bCs/>
          <w:sz w:val="32"/>
          <w:szCs w:val="32"/>
          <w14:ligatures w14:val="none"/>
        </w:rPr>
        <w:t>条</w:t>
      </w:r>
      <w:r>
        <w:t> </w:t>
      </w:r>
      <w:r>
        <w:rPr>
          <w:rFonts w:ascii="Times New Roman" w:hAnsi="Times New Roman" w:eastAsia="仿宋" w:cs="Times New Roman"/>
          <w:sz w:val="32"/>
          <w:szCs w:val="32"/>
        </w:rPr>
        <w:t>各级生态环境主管部门依据信用评价结果对市场主体实施分级分类精准监管，强化与风险防控的有机衔接。</w:t>
      </w:r>
      <w:r>
        <w:rPr>
          <w:rFonts w:hint="eastAsia" w:ascii="Times New Roman" w:hAnsi="Times New Roman" w:eastAsia="仿宋" w:cs="Times New Roman"/>
          <w:sz w:val="32"/>
          <w:szCs w:val="32"/>
        </w:rPr>
        <w:t>对信用评价结果≥90分的主体</w:t>
      </w:r>
      <w:r>
        <w:rPr>
          <w:rFonts w:ascii="Times New Roman" w:hAnsi="Times New Roman" w:eastAsia="仿宋" w:cs="Times New Roman"/>
          <w:sz w:val="32"/>
          <w:szCs w:val="32"/>
        </w:rPr>
        <w:t>的主体实施简化检查、优先评优评先等激励措施；</w:t>
      </w:r>
      <w:r>
        <w:rPr>
          <w:rFonts w:hint="eastAsia" w:ascii="Times New Roman" w:hAnsi="Times New Roman" w:eastAsia="仿宋" w:cs="Times New Roman"/>
          <w:sz w:val="32"/>
          <w:szCs w:val="32"/>
        </w:rPr>
        <w:t>对结果≥70分且＜90</w:t>
      </w:r>
      <w:r>
        <w:rPr>
          <w:rFonts w:ascii="Times New Roman" w:hAnsi="Times New Roman" w:eastAsia="仿宋" w:cs="Times New Roman"/>
          <w:sz w:val="32"/>
          <w:szCs w:val="32"/>
        </w:rPr>
        <w:t>的按常规开展监管；对</w:t>
      </w:r>
      <w:r>
        <w:rPr>
          <w:rFonts w:hint="eastAsia" w:ascii="Times New Roman" w:hAnsi="Times New Roman" w:eastAsia="仿宋" w:cs="Times New Roman"/>
          <w:sz w:val="32"/>
          <w:szCs w:val="32"/>
        </w:rPr>
        <w:t>结果＜70分</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市场主体</w:t>
      </w:r>
      <w:r>
        <w:rPr>
          <w:rFonts w:ascii="Times New Roman" w:hAnsi="Times New Roman" w:eastAsia="仿宋" w:cs="Times New Roman"/>
          <w:sz w:val="32"/>
          <w:szCs w:val="32"/>
        </w:rPr>
        <w:t>，列为重点监管对象，加大 “双随机、一公开” 抽查频次，对其新中标项目实施全流程跟踪监测，并依法依规采取限制性管控措施。</w:t>
      </w:r>
    </w:p>
    <w:p w14:paraId="732696CF">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w:t>
      </w:r>
      <w:r>
        <w:rPr>
          <w:rFonts w:hint="eastAsia" w:ascii="Times New Roman" w:hAnsi="Times New Roman" w:eastAsia="楷体" w:cs="Times New Roman"/>
          <w:b/>
          <w:bCs/>
          <w:sz w:val="32"/>
          <w:szCs w:val="32"/>
          <w14:ligatures w14:val="none"/>
        </w:rPr>
        <w:t>二十一</w:t>
      </w:r>
      <w:r>
        <w:rPr>
          <w:rFonts w:ascii="Times New Roman" w:hAnsi="Times New Roman" w:eastAsia="楷体" w:cs="Times New Roman"/>
          <w:b/>
          <w:bCs/>
          <w:sz w:val="32"/>
          <w:szCs w:val="32"/>
          <w14:ligatures w14:val="none"/>
        </w:rPr>
        <w:t>条</w:t>
      </w:r>
      <w:r>
        <w:rPr>
          <w:rFonts w:hint="eastAsia" w:ascii="Times New Roman" w:hAnsi="Times New Roman" w:eastAsia="楷体" w:cs="Times New Roman"/>
          <w:b/>
          <w:bCs/>
          <w:sz w:val="32"/>
          <w:szCs w:val="32"/>
          <w14:ligatures w14:val="none"/>
        </w:rPr>
        <w:t xml:space="preserve"> </w:t>
      </w:r>
      <w:r>
        <w:rPr>
          <w:rFonts w:ascii="Times New Roman" w:hAnsi="Times New Roman" w:eastAsia="仿宋" w:cs="Times New Roman"/>
          <w:sz w:val="32"/>
          <w:szCs w:val="32"/>
        </w:rPr>
        <w:t>推动跨部门信用信息共享，促进评价结果在财政资金申请、政策扶持等场景协同应用，鼓励项目法人根据评价结果实施合同管理、工程担保等差别化措施。各级生态环境主管部门建立监督考核机制，确保评价结果应用和监管要求落实到位。</w:t>
      </w:r>
    </w:p>
    <w:p w14:paraId="09713E9B">
      <w:pPr>
        <w:pStyle w:val="2"/>
        <w:keepNext w:val="0"/>
        <w:keepLines w:val="0"/>
        <w:spacing w:before="624" w:beforeLines="200" w:after="312" w:afterLines="100" w:line="240" w:lineRule="auto"/>
        <w:jc w:val="center"/>
        <w:rPr>
          <w:rFonts w:hint="eastAsia" w:ascii="黑体" w:hAnsi="黑体" w:eastAsia="黑体" w:cs="黑体"/>
          <w:bCs/>
          <w:color w:val="auto"/>
          <w:kern w:val="44"/>
          <w:sz w:val="32"/>
          <w:szCs w:val="32"/>
          <w:lang w:bidi="en-US"/>
          <w14:ligatures w14:val="none"/>
        </w:rPr>
      </w:pPr>
      <w:r>
        <w:rPr>
          <w:rFonts w:ascii="黑体" w:hAnsi="黑体" w:eastAsia="黑体" w:cs="黑体"/>
          <w:bCs/>
          <w:color w:val="auto"/>
          <w:kern w:val="44"/>
          <w:sz w:val="32"/>
          <w:szCs w:val="32"/>
          <w:lang w:bidi="en-US"/>
          <w14:ligatures w14:val="none"/>
        </w:rPr>
        <w:t>第六章 监督管理与保障</w:t>
      </w:r>
    </w:p>
    <w:p w14:paraId="587B78CE">
      <w:pPr>
        <w:ind w:firstLine="643" w:firstLineChars="200"/>
        <w:jc w:val="both"/>
        <w:rPr>
          <w:rFonts w:hint="eastAsia"/>
        </w:rPr>
      </w:pPr>
      <w:r>
        <w:rPr>
          <w:rFonts w:ascii="Times New Roman" w:hAnsi="Times New Roman" w:eastAsia="楷体" w:cs="Times New Roman"/>
          <w:b/>
          <w:bCs/>
          <w:sz w:val="32"/>
          <w:szCs w:val="32"/>
          <w14:ligatures w14:val="none"/>
        </w:rPr>
        <w:t>第二十</w:t>
      </w:r>
      <w:r>
        <w:rPr>
          <w:rFonts w:hint="eastAsia" w:ascii="Times New Roman" w:hAnsi="Times New Roman" w:eastAsia="楷体" w:cs="Times New Roman"/>
          <w:b/>
          <w:bCs/>
          <w:sz w:val="32"/>
          <w:szCs w:val="32"/>
          <w14:ligatures w14:val="none"/>
        </w:rPr>
        <w:t>二</w:t>
      </w:r>
      <w:r>
        <w:rPr>
          <w:rFonts w:ascii="Times New Roman" w:hAnsi="Times New Roman" w:eastAsia="楷体" w:cs="Times New Roman"/>
          <w:b/>
          <w:bCs/>
          <w:sz w:val="32"/>
          <w:szCs w:val="32"/>
          <w14:ligatures w14:val="none"/>
        </w:rPr>
        <w:t>条</w:t>
      </w:r>
      <w:r>
        <w:rPr>
          <w:rFonts w:hint="eastAsia"/>
        </w:rPr>
        <w:t xml:space="preserve"> </w:t>
      </w:r>
      <w:r>
        <w:rPr>
          <w:rFonts w:ascii="Times New Roman" w:hAnsi="Times New Roman" w:eastAsia="仿宋" w:cs="Times New Roman"/>
          <w:sz w:val="32"/>
          <w:szCs w:val="32"/>
        </w:rPr>
        <w:t>省生态环境主管部门负责组建并管理全省生态环境工程建设信用信息平台，为信用信息的归集、共享、评价与应用提供统一的技术支撑。</w:t>
      </w:r>
    </w:p>
    <w:p w14:paraId="2BFCF4BA">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第二十</w:t>
      </w:r>
      <w:r>
        <w:rPr>
          <w:rFonts w:hint="eastAsia" w:ascii="Times New Roman" w:hAnsi="Times New Roman" w:eastAsia="楷体" w:cs="Times New Roman"/>
          <w:b/>
          <w:bCs/>
          <w:sz w:val="32"/>
          <w:szCs w:val="32"/>
          <w14:ligatures w14:val="none"/>
        </w:rPr>
        <w:t>三</w:t>
      </w:r>
      <w:r>
        <w:rPr>
          <w:rFonts w:ascii="Times New Roman" w:hAnsi="Times New Roman" w:eastAsia="楷体" w:cs="Times New Roman"/>
          <w:b/>
          <w:bCs/>
          <w:sz w:val="32"/>
          <w:szCs w:val="32"/>
          <w14:ligatures w14:val="none"/>
        </w:rPr>
        <w:t>条</w:t>
      </w:r>
      <w:r>
        <w:rPr>
          <w:rFonts w:hint="eastAsia"/>
        </w:rPr>
        <w:t xml:space="preserve"> </w:t>
      </w:r>
      <w:r>
        <w:rPr>
          <w:rFonts w:ascii="Times New Roman" w:hAnsi="Times New Roman" w:eastAsia="仿宋" w:cs="Times New Roman"/>
          <w:sz w:val="32"/>
          <w:szCs w:val="32"/>
        </w:rPr>
        <w:t>各级生态环境主管部门及其工作人员在信用管理工作中，应依法履职、公正廉洁。对在信息采集、评价、应用等环节中存在玩忽职守、滥用职权、徇私舞弊等行为的，依法依规追究相关单位和人员的责任；涉嫌违纪违法的，依规依纪依法处理。</w:t>
      </w:r>
    </w:p>
    <w:p w14:paraId="6662AA3D">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第二十</w:t>
      </w:r>
      <w:r>
        <w:rPr>
          <w:rFonts w:hint="eastAsia" w:ascii="Times New Roman" w:hAnsi="Times New Roman" w:eastAsia="楷体" w:cs="Times New Roman"/>
          <w:b/>
          <w:bCs/>
          <w:sz w:val="32"/>
          <w:szCs w:val="32"/>
          <w14:ligatures w14:val="none"/>
        </w:rPr>
        <w:t>四</w:t>
      </w:r>
      <w:r>
        <w:rPr>
          <w:rFonts w:ascii="Times New Roman" w:hAnsi="Times New Roman" w:eastAsia="楷体" w:cs="Times New Roman"/>
          <w:b/>
          <w:bCs/>
          <w:sz w:val="32"/>
          <w:szCs w:val="32"/>
          <w14:ligatures w14:val="none"/>
        </w:rPr>
        <w:t>条</w:t>
      </w:r>
      <w:r>
        <w:rPr>
          <w:rFonts w:hint="eastAsia"/>
        </w:rPr>
        <w:t xml:space="preserve"> </w:t>
      </w:r>
      <w:r>
        <w:rPr>
          <w:rFonts w:ascii="Times New Roman" w:hAnsi="Times New Roman" w:eastAsia="仿宋" w:cs="Times New Roman"/>
          <w:sz w:val="32"/>
          <w:szCs w:val="32"/>
        </w:rPr>
        <w:t>市场主体应对其提供的所有信用信息的真实性、准确性和完整性负责。对于提供虚假信息、隐瞒重要事实、恶意干扰评价工作等行为，一经查实，除按本办法规定予以信用</w:t>
      </w:r>
      <w:r>
        <w:rPr>
          <w:rFonts w:hint="eastAsia" w:ascii="Times New Roman" w:hAnsi="Times New Roman" w:eastAsia="仿宋" w:cs="Times New Roman"/>
          <w:sz w:val="32"/>
          <w:szCs w:val="32"/>
        </w:rPr>
        <w:t>评分惩戒</w:t>
      </w:r>
      <w:r>
        <w:rPr>
          <w:rFonts w:ascii="Times New Roman" w:hAnsi="Times New Roman" w:eastAsia="仿宋" w:cs="Times New Roman"/>
          <w:sz w:val="32"/>
          <w:szCs w:val="32"/>
        </w:rPr>
        <w:t>外，将依法依规严肃处理，并将相关情况记入信用档案。</w:t>
      </w:r>
    </w:p>
    <w:p w14:paraId="3AAF841D">
      <w:pPr>
        <w:pStyle w:val="2"/>
        <w:keepNext w:val="0"/>
        <w:keepLines w:val="0"/>
        <w:spacing w:before="624" w:beforeLines="200" w:after="312" w:afterLines="100" w:line="240" w:lineRule="auto"/>
        <w:jc w:val="center"/>
        <w:rPr>
          <w:rFonts w:hint="eastAsia"/>
        </w:rPr>
      </w:pPr>
      <w:r>
        <w:rPr>
          <w:rFonts w:ascii="黑体" w:hAnsi="黑体" w:eastAsia="黑体" w:cs="黑体"/>
          <w:bCs/>
          <w:color w:val="auto"/>
          <w:kern w:val="44"/>
          <w:sz w:val="32"/>
          <w:szCs w:val="32"/>
          <w:lang w:bidi="en-US"/>
          <w14:ligatures w14:val="none"/>
        </w:rPr>
        <w:t>第七章 附则</w:t>
      </w:r>
    </w:p>
    <w:p w14:paraId="6F8621A3">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第二十</w:t>
      </w:r>
      <w:r>
        <w:rPr>
          <w:rFonts w:hint="eastAsia" w:ascii="Times New Roman" w:hAnsi="Times New Roman" w:eastAsia="楷体" w:cs="Times New Roman"/>
          <w:b/>
          <w:bCs/>
          <w:sz w:val="32"/>
          <w:szCs w:val="32"/>
          <w14:ligatures w14:val="none"/>
        </w:rPr>
        <w:t xml:space="preserve">五条 </w:t>
      </w:r>
      <w:r>
        <w:rPr>
          <w:rFonts w:ascii="Times New Roman" w:hAnsi="Times New Roman" w:eastAsia="仿宋" w:cs="Times New Roman"/>
          <w:sz w:val="32"/>
          <w:szCs w:val="32"/>
        </w:rPr>
        <w:t>各市州生态环境主管部门可依据本办法，结合本地实际制定具体实施细则，并报省生态环境厅备案。实施细则不得与本办法的原则和基本规定相抵触。</w:t>
      </w:r>
    </w:p>
    <w:p w14:paraId="07373C55">
      <w:pPr>
        <w:ind w:firstLine="643" w:firstLineChars="200"/>
        <w:jc w:val="both"/>
        <w:rPr>
          <w:rFonts w:ascii="Times New Roman" w:hAnsi="Times New Roman" w:eastAsia="仿宋" w:cs="Times New Roman"/>
          <w:sz w:val="32"/>
          <w:szCs w:val="32"/>
        </w:rPr>
      </w:pPr>
      <w:r>
        <w:rPr>
          <w:rFonts w:ascii="Times New Roman" w:hAnsi="Times New Roman" w:eastAsia="楷体" w:cs="Times New Roman"/>
          <w:b/>
          <w:bCs/>
          <w:sz w:val="32"/>
          <w:szCs w:val="32"/>
          <w14:ligatures w14:val="none"/>
        </w:rPr>
        <w:t>第二十</w:t>
      </w:r>
      <w:r>
        <w:rPr>
          <w:rFonts w:hint="eastAsia" w:ascii="Times New Roman" w:hAnsi="Times New Roman" w:eastAsia="楷体" w:cs="Times New Roman"/>
          <w:b/>
          <w:bCs/>
          <w:sz w:val="32"/>
          <w:szCs w:val="32"/>
          <w14:ligatures w14:val="none"/>
        </w:rPr>
        <w:t>六</w:t>
      </w:r>
      <w:r>
        <w:rPr>
          <w:rFonts w:ascii="Times New Roman" w:hAnsi="Times New Roman" w:eastAsia="楷体" w:cs="Times New Roman"/>
          <w:b/>
          <w:bCs/>
          <w:sz w:val="32"/>
          <w:szCs w:val="32"/>
          <w14:ligatures w14:val="none"/>
        </w:rPr>
        <w:t>条</w:t>
      </w:r>
      <w:r>
        <w:rPr>
          <w:rFonts w:hint="eastAsia"/>
        </w:rPr>
        <w:t xml:space="preserve"> </w:t>
      </w:r>
      <w:r>
        <w:rPr>
          <w:rFonts w:ascii="Times New Roman" w:hAnsi="Times New Roman" w:eastAsia="仿宋" w:cs="Times New Roman"/>
          <w:sz w:val="32"/>
          <w:szCs w:val="32"/>
        </w:rPr>
        <w:t>本办法自</w:t>
      </w:r>
      <w:r>
        <w:rPr>
          <w:rFonts w:hint="eastAsia" w:ascii="Times New Roman" w:hAnsi="Times New Roman" w:eastAsia="仿宋" w:cs="Times New Roman"/>
          <w:sz w:val="32"/>
          <w:szCs w:val="32"/>
        </w:rPr>
        <w:t>发布之日</w:t>
      </w:r>
      <w:r>
        <w:rPr>
          <w:rFonts w:ascii="Times New Roman" w:hAnsi="Times New Roman" w:eastAsia="仿宋" w:cs="Times New Roman"/>
          <w:sz w:val="32"/>
          <w:szCs w:val="32"/>
        </w:rPr>
        <w:t>起</w:t>
      </w:r>
      <w:r>
        <w:rPr>
          <w:rFonts w:hint="eastAsia" w:ascii="Times New Roman" w:hAnsi="Times New Roman" w:eastAsia="仿宋" w:cs="Times New Roman"/>
          <w:sz w:val="32"/>
          <w:szCs w:val="32"/>
        </w:rPr>
        <w:t>施</w:t>
      </w:r>
      <w:r>
        <w:rPr>
          <w:rFonts w:ascii="Times New Roman" w:hAnsi="Times New Roman" w:eastAsia="仿宋" w:cs="Times New Roman"/>
          <w:sz w:val="32"/>
          <w:szCs w:val="32"/>
        </w:rPr>
        <w:t>行</w:t>
      </w:r>
      <w:r>
        <w:rPr>
          <w:rFonts w:hint="eastAsia" w:ascii="Times New Roman" w:hAnsi="Times New Roman" w:eastAsia="仿宋" w:cs="Times New Roman"/>
          <w:sz w:val="32"/>
          <w:szCs w:val="32"/>
        </w:rPr>
        <w:t>，有效期二年。</w:t>
      </w:r>
    </w:p>
    <w:p w14:paraId="046CC7D4">
      <w:pPr>
        <w:ind w:firstLine="640" w:firstLineChars="200"/>
        <w:jc w:val="both"/>
        <w:rPr>
          <w:rFonts w:ascii="Times New Roman" w:hAnsi="Times New Roman" w:eastAsia="仿宋" w:cs="Times New Roman"/>
          <w:sz w:val="32"/>
          <w:szCs w:val="32"/>
        </w:rPr>
      </w:pPr>
    </w:p>
    <w:p w14:paraId="6A290677">
      <w:pPr>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附件：1.项目履约业绩信息统计表</w:t>
      </w:r>
    </w:p>
    <w:p w14:paraId="789FCD6B">
      <w:pPr>
        <w:ind w:firstLine="1600" w:firstLineChars="5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2.项目履约评价标准</w:t>
      </w:r>
    </w:p>
    <w:p w14:paraId="7AC9A67F">
      <w:pPr>
        <w:ind w:firstLine="1600" w:firstLineChars="5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3.优良激励信息加分标准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77"/>
    <w:rsid w:val="00007894"/>
    <w:rsid w:val="000232DF"/>
    <w:rsid w:val="00087B77"/>
    <w:rsid w:val="00091D73"/>
    <w:rsid w:val="000A0B48"/>
    <w:rsid w:val="000B076E"/>
    <w:rsid w:val="000B49CC"/>
    <w:rsid w:val="000B69B3"/>
    <w:rsid w:val="000C10AF"/>
    <w:rsid w:val="000D345C"/>
    <w:rsid w:val="000F298A"/>
    <w:rsid w:val="0010167C"/>
    <w:rsid w:val="00134EBE"/>
    <w:rsid w:val="001369E9"/>
    <w:rsid w:val="00140717"/>
    <w:rsid w:val="00143EE2"/>
    <w:rsid w:val="001554D3"/>
    <w:rsid w:val="001E05B7"/>
    <w:rsid w:val="002114CA"/>
    <w:rsid w:val="00221631"/>
    <w:rsid w:val="00224A66"/>
    <w:rsid w:val="0023250E"/>
    <w:rsid w:val="002712F0"/>
    <w:rsid w:val="00272672"/>
    <w:rsid w:val="002D20AB"/>
    <w:rsid w:val="002E1E5E"/>
    <w:rsid w:val="0035292D"/>
    <w:rsid w:val="00387779"/>
    <w:rsid w:val="003C2AEF"/>
    <w:rsid w:val="003F6B8B"/>
    <w:rsid w:val="00401677"/>
    <w:rsid w:val="00413C79"/>
    <w:rsid w:val="0048120E"/>
    <w:rsid w:val="0048623B"/>
    <w:rsid w:val="004D4F28"/>
    <w:rsid w:val="00516B00"/>
    <w:rsid w:val="00517245"/>
    <w:rsid w:val="0054774D"/>
    <w:rsid w:val="00552DFC"/>
    <w:rsid w:val="00560727"/>
    <w:rsid w:val="00585ED6"/>
    <w:rsid w:val="005B031E"/>
    <w:rsid w:val="005D215A"/>
    <w:rsid w:val="005E3FA5"/>
    <w:rsid w:val="00654B19"/>
    <w:rsid w:val="006F0BD3"/>
    <w:rsid w:val="006F69FD"/>
    <w:rsid w:val="0072069A"/>
    <w:rsid w:val="0073412B"/>
    <w:rsid w:val="00782382"/>
    <w:rsid w:val="00810966"/>
    <w:rsid w:val="00841C44"/>
    <w:rsid w:val="00862B72"/>
    <w:rsid w:val="00905CEE"/>
    <w:rsid w:val="00982CEB"/>
    <w:rsid w:val="00A0429B"/>
    <w:rsid w:val="00A40CDF"/>
    <w:rsid w:val="00AA3909"/>
    <w:rsid w:val="00AA6B18"/>
    <w:rsid w:val="00AA7D9D"/>
    <w:rsid w:val="00AB03D4"/>
    <w:rsid w:val="00AF6A11"/>
    <w:rsid w:val="00B13B9E"/>
    <w:rsid w:val="00B15068"/>
    <w:rsid w:val="00B82088"/>
    <w:rsid w:val="00BA55F5"/>
    <w:rsid w:val="00BB6152"/>
    <w:rsid w:val="00C76EDE"/>
    <w:rsid w:val="00D15589"/>
    <w:rsid w:val="00D3321E"/>
    <w:rsid w:val="00D40C15"/>
    <w:rsid w:val="00D62057"/>
    <w:rsid w:val="00DA3D31"/>
    <w:rsid w:val="00E219B3"/>
    <w:rsid w:val="00E54978"/>
    <w:rsid w:val="00E763BE"/>
    <w:rsid w:val="00EB0EA2"/>
    <w:rsid w:val="00ED069D"/>
    <w:rsid w:val="00ED6FFA"/>
    <w:rsid w:val="00EE41DB"/>
    <w:rsid w:val="00EF5F7D"/>
    <w:rsid w:val="00F21709"/>
    <w:rsid w:val="00F22DB1"/>
    <w:rsid w:val="00F22EF7"/>
    <w:rsid w:val="00F25973"/>
    <w:rsid w:val="00F310F5"/>
    <w:rsid w:val="3DB540E4"/>
    <w:rsid w:val="3EEDF6B5"/>
    <w:rsid w:val="EF3FB5C5"/>
    <w:rsid w:val="FCFFC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paragraph" w:customStyle="1" w:styleId="40">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1">
    <w:name w:val="批注文字 字符"/>
    <w:basedOn w:val="18"/>
    <w:link w:val="11"/>
    <w:semiHidden/>
    <w:qFormat/>
    <w:uiPriority w:val="99"/>
    <w:rPr>
      <w:kern w:val="2"/>
      <w:sz w:val="22"/>
      <w:szCs w:val="24"/>
      <w14:ligatures w14:val="standardContextual"/>
    </w:rPr>
  </w:style>
  <w:style w:type="character" w:customStyle="1" w:styleId="42">
    <w:name w:val="批注主题 字符"/>
    <w:basedOn w:val="41"/>
    <w:link w:val="16"/>
    <w:semiHidden/>
    <w:qFormat/>
    <w:uiPriority w:val="99"/>
    <w:rPr>
      <w:b/>
      <w:bCs/>
      <w:kern w:val="2"/>
      <w:sz w:val="22"/>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1539</Words>
  <Characters>1571</Characters>
  <Lines>68</Lines>
  <Paragraphs>17</Paragraphs>
  <TotalTime>10</TotalTime>
  <ScaleCrop>false</ScaleCrop>
  <LinksUpToDate>false</LinksUpToDate>
  <CharactersWithSpaces>3093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2026-03-31T08:37:00Z</dcterms:created>
  <dc:creator>XX-PC</dc:creator>
  <cp:lastModifiedBy>kylin</cp:lastModifiedBy>
  <dcterms:modified xsi:type="dcterms:W3CDTF">2026-03-31T09:58:56Z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0D6300D5B4EC7CB8BFF5C96990F42CE1_42</vt:lpwstr>
  </property>
</Properties>
</file>