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仿宋_GB2312"/>
          <w:sz w:val="32"/>
          <w:szCs w:val="32"/>
        </w:rPr>
      </w:pPr>
      <w:r>
        <w:rPr>
          <w:rFonts w:hint="eastAsia" w:ascii="黑体" w:hAnsi="黑体" w:eastAsia="黑体" w:cs="仿宋_GB2312"/>
          <w:sz w:val="32"/>
          <w:szCs w:val="32"/>
        </w:rPr>
        <w:t>附件2：</w:t>
      </w:r>
    </w:p>
    <w:p>
      <w:pPr>
        <w:spacing w:line="600" w:lineRule="exact"/>
        <w:jc w:val="left"/>
        <w:rPr>
          <w:rFonts w:ascii="黑体" w:hAnsi="黑体" w:eastAsia="黑体" w:cs="仿宋_GB2312"/>
          <w:sz w:val="32"/>
          <w:szCs w:val="32"/>
        </w:rPr>
      </w:pPr>
    </w:p>
    <w:p>
      <w:pPr>
        <w:spacing w:line="740" w:lineRule="exact"/>
        <w:jc w:val="center"/>
        <w:rPr>
          <w:rFonts w:ascii="方正小标宋_GBK" w:hAnsi="宋体" w:eastAsia="方正小标宋_GBK" w:cs="仿宋_GB2312"/>
          <w:sz w:val="40"/>
          <w:szCs w:val="40"/>
        </w:rPr>
      </w:pPr>
      <w:r>
        <w:rPr>
          <w:rFonts w:hint="eastAsia" w:ascii="方正小标宋_GBK" w:hAnsi="宋体" w:eastAsia="方正小标宋_GBK" w:cs="仿宋_GB2312"/>
          <w:sz w:val="40"/>
          <w:szCs w:val="40"/>
        </w:rPr>
        <w:t>关于《湖南省执行污染物特别排放限值</w:t>
      </w:r>
      <w:r>
        <w:rPr>
          <w:rFonts w:ascii="方正小标宋_GBK" w:hAnsi="宋体" w:eastAsia="方正小标宋_GBK" w:cs="仿宋_GB2312"/>
          <w:sz w:val="40"/>
          <w:szCs w:val="40"/>
        </w:rPr>
        <w:br w:type="textWrapping"/>
      </w:r>
      <w:r>
        <w:rPr>
          <w:rFonts w:hint="eastAsia" w:ascii="方正小标宋_GBK" w:hAnsi="宋体" w:eastAsia="方正小标宋_GBK" w:cs="仿宋_GB2312"/>
          <w:sz w:val="40"/>
          <w:szCs w:val="40"/>
        </w:rPr>
        <w:t>公告》的编制说明</w:t>
      </w:r>
    </w:p>
    <w:p>
      <w:pPr>
        <w:pStyle w:val="13"/>
        <w:adjustRightInd w:val="0"/>
        <w:spacing w:line="600" w:lineRule="exact"/>
        <w:ind w:left="640" w:firstLine="0" w:firstLineChars="0"/>
        <w:rPr>
          <w:rFonts w:ascii="黑体" w:hAnsi="黑体" w:eastAsia="黑体"/>
          <w:sz w:val="32"/>
          <w:szCs w:val="32"/>
        </w:rPr>
      </w:pPr>
    </w:p>
    <w:p>
      <w:pPr>
        <w:pStyle w:val="13"/>
        <w:adjustRightInd w:val="0"/>
        <w:spacing w:line="600" w:lineRule="exact"/>
        <w:ind w:left="640" w:firstLine="0" w:firstLineChars="0"/>
        <w:rPr>
          <w:rFonts w:ascii="楷体_GB2312" w:hAnsi="Times New Roman" w:eastAsia="楷体_GB2312"/>
          <w:bCs/>
          <w:kern w:val="0"/>
          <w:sz w:val="32"/>
          <w:szCs w:val="32"/>
        </w:rPr>
      </w:pPr>
      <w:r>
        <w:rPr>
          <w:rFonts w:hint="eastAsia" w:ascii="黑体" w:hAnsi="黑体" w:eastAsia="黑体"/>
          <w:sz w:val="32"/>
          <w:szCs w:val="32"/>
        </w:rPr>
        <w:t>一</w:t>
      </w:r>
      <w:r>
        <w:rPr>
          <w:rFonts w:ascii="黑体" w:hAnsi="黑体" w:eastAsia="黑体"/>
          <w:sz w:val="32"/>
          <w:szCs w:val="32"/>
        </w:rPr>
        <w:t>、执行污染物特别排放限值的</w:t>
      </w:r>
      <w:r>
        <w:rPr>
          <w:rFonts w:hint="eastAsia" w:ascii="黑体" w:hAnsi="黑体" w:eastAsia="黑体"/>
          <w:sz w:val="32"/>
          <w:szCs w:val="32"/>
        </w:rPr>
        <w:t>背景</w:t>
      </w:r>
    </w:p>
    <w:p>
      <w:pPr>
        <w:adjustRightInd w:val="0"/>
        <w:spacing w:line="600" w:lineRule="exact"/>
        <w:ind w:firstLine="640" w:firstLineChars="200"/>
        <w:rPr>
          <w:rFonts w:ascii="楷体_GB2312" w:hAnsi="Times New Roman" w:eastAsia="楷体_GB2312"/>
          <w:bCs/>
          <w:kern w:val="0"/>
          <w:sz w:val="32"/>
          <w:szCs w:val="32"/>
        </w:rPr>
      </w:pPr>
      <w:r>
        <w:rPr>
          <w:rFonts w:hint="eastAsia" w:ascii="仿宋_GB2312" w:hAnsi="Times New Roman" w:eastAsia="仿宋_GB2312"/>
          <w:kern w:val="0"/>
          <w:sz w:val="32"/>
          <w:szCs w:val="32"/>
        </w:rPr>
        <w:t>“十九大”报告在着力解决突出环境问题中提出，要提高污染排放标准的要求。今年4月，习近平总书记深入宜昌、荆州、岳阳、武汉等长江经济带沿岸考察，并在武汉主持召开第二次长江经济带发展座谈会，就深入推动长江经济带发展发表重要讲话，提出要下大气力抓好落后产能淘汰关停，采取提高环保标准、加大执法力度等多种手段倒逼产业转型升级和高质量发展</w:t>
      </w:r>
    </w:p>
    <w:p>
      <w:pPr>
        <w:adjustRightIn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sz w:val="32"/>
          <w:szCs w:val="32"/>
        </w:rPr>
        <w:t>根据《国务院关于印发土壤污染防治行动计划的通知》（国发〔2016〕31号）的要求，自2017年起，在湖南等省份矿产资源开发活动集中区域执行重点污染物特别排放限值。根据《湖南省土壤污染防治工作方案》（湘政发〔2017〕4号）,2017年起，在矿产资源开发活动集中的临武县、常宁市、花垣县等县市，执行重点污染物特别排放限值。</w:t>
      </w:r>
      <w:r>
        <w:rPr>
          <w:rFonts w:hint="eastAsia" w:ascii="仿宋_GB2312" w:hAnsi="Times New Roman" w:eastAsia="仿宋_GB2312"/>
          <w:kern w:val="0"/>
          <w:sz w:val="32"/>
          <w:szCs w:val="32"/>
        </w:rPr>
        <w:t>我省人民政府于2017年已与原环境保护部签订了《湖南省土壤污染防治目标责任书》，要求2017年起，在矿产资源开发活动集中的冷水江市、临湘市、常宁市、临武县、桂阳县、宜章县、新邵县、花垣县、沅陵县、苏仙区、零陵区、永兴县等12个县（市、区）执行重点污染物特别排放限值。</w:t>
      </w:r>
    </w:p>
    <w:p>
      <w:pPr>
        <w:adjustRightInd w:val="0"/>
        <w:spacing w:line="600" w:lineRule="exact"/>
        <w:ind w:firstLine="640" w:firstLineChars="200"/>
        <w:rPr>
          <w:rFonts w:ascii="仿宋_GB2312" w:hAnsi="Times New Roman" w:eastAsia="仿宋_GB2312"/>
          <w:bCs/>
          <w:kern w:val="0"/>
          <w:sz w:val="32"/>
          <w:szCs w:val="32"/>
        </w:rPr>
      </w:pPr>
      <w:r>
        <w:rPr>
          <w:rFonts w:hint="eastAsia" w:ascii="仿宋_GB2312" w:hAnsi="Times New Roman" w:eastAsia="仿宋_GB2312"/>
          <w:bCs/>
          <w:kern w:val="0"/>
          <w:sz w:val="32"/>
          <w:szCs w:val="32"/>
        </w:rPr>
        <w:t>省委、省政府已印发《湖南省污染防治攻坚战三年行动计划（2018-2020年）》（湘政发〔2018〕17号），在关于推进工业企业提标升级改造中明确，“在长株潭地区和全省钢铁、焦化、水泥、有色等行业执行大气污染物特别排放限值；在洞庭湖区域化学原料和化学品制造、纺织、炼焦等行业执行水污染物特别排放限值；在矿产资源开发利用活动集中的县市区执行重点污染物特别排放限值”。</w:t>
      </w:r>
    </w:p>
    <w:p>
      <w:pPr>
        <w:adjustRightInd w:val="0"/>
        <w:spacing w:line="600" w:lineRule="exact"/>
        <w:ind w:firstLine="640" w:firstLineChars="200"/>
        <w:rPr>
          <w:rFonts w:ascii="黑体" w:hAnsi="黑体" w:eastAsia="黑体"/>
          <w:sz w:val="32"/>
          <w:szCs w:val="32"/>
        </w:rPr>
      </w:pPr>
      <w:r>
        <w:rPr>
          <w:rFonts w:hint="eastAsia" w:ascii="黑体" w:hAnsi="黑体" w:eastAsia="黑体"/>
          <w:sz w:val="32"/>
          <w:szCs w:val="32"/>
        </w:rPr>
        <w:t>二、工作情况</w:t>
      </w:r>
    </w:p>
    <w:p>
      <w:pPr>
        <w:adjustRightInd w:val="0"/>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2018年5月前，省环保厅水污染防治处、大气污染防治处、土壤污染防治处分别就各自领域防治需要，分别制定了污染物特别排放限值相关初步实施方案。2018年5月开始，省环保厅科技标准产业处牵头梳理了国家目前涉及污染物特别排放限值的标，多次组织相关处室、单位研究讨论，反复征求意见，形成了</w:t>
      </w:r>
      <w:r>
        <w:rPr>
          <w:rFonts w:hint="eastAsia" w:ascii="仿宋_GB2312" w:hAnsi="Times New Roman" w:eastAsia="仿宋_GB2312"/>
          <w:sz w:val="32"/>
          <w:szCs w:val="32"/>
        </w:rPr>
        <w:t>《</w:t>
      </w:r>
      <w:r>
        <w:rPr>
          <w:rFonts w:ascii="仿宋_GB2312" w:hAnsi="Times New Roman" w:eastAsia="仿宋_GB2312"/>
          <w:sz w:val="32"/>
          <w:szCs w:val="32"/>
        </w:rPr>
        <w:t>湖南省执行污染物特别排放限</w:t>
      </w:r>
      <w:r>
        <w:rPr>
          <w:rFonts w:hint="eastAsia" w:ascii="仿宋_GB2312" w:hAnsi="Times New Roman" w:eastAsia="仿宋_GB2312"/>
          <w:sz w:val="32"/>
          <w:szCs w:val="32"/>
        </w:rPr>
        <w:t>值</w:t>
      </w:r>
      <w:r>
        <w:rPr>
          <w:rFonts w:ascii="仿宋_GB2312" w:hAnsi="Times New Roman" w:eastAsia="仿宋_GB2312"/>
          <w:sz w:val="32"/>
          <w:szCs w:val="32"/>
        </w:rPr>
        <w:t>标准表》（征求意见稿）并于</w:t>
      </w:r>
      <w:r>
        <w:rPr>
          <w:rFonts w:hint="eastAsia" w:ascii="仿宋_GB2312" w:hAnsi="Times New Roman" w:eastAsia="仿宋_GB2312"/>
          <w:kern w:val="0"/>
          <w:sz w:val="32"/>
          <w:szCs w:val="32"/>
        </w:rPr>
        <w:t>7月上旬通过生环保厅厅务会审核通过。7月下旬，省环保厅征求了省发改委、省经信委、省住建厅、省农委、省质监局及全省14个市州环保局及相关企业意见，并根据意见对《</w:t>
      </w:r>
      <w:r>
        <w:rPr>
          <w:rFonts w:ascii="仿宋_GB2312" w:hAnsi="Times New Roman" w:eastAsia="仿宋_GB2312"/>
          <w:kern w:val="0"/>
          <w:sz w:val="32"/>
          <w:szCs w:val="32"/>
        </w:rPr>
        <w:t>湖南省执行污染物特别排放限</w:t>
      </w:r>
      <w:r>
        <w:rPr>
          <w:rFonts w:hint="eastAsia" w:ascii="仿宋_GB2312" w:hAnsi="Times New Roman" w:eastAsia="仿宋_GB2312"/>
          <w:kern w:val="0"/>
          <w:sz w:val="32"/>
          <w:szCs w:val="32"/>
        </w:rPr>
        <w:t>值</w:t>
      </w:r>
      <w:r>
        <w:rPr>
          <w:rFonts w:ascii="仿宋_GB2312" w:hAnsi="Times New Roman" w:eastAsia="仿宋_GB2312"/>
          <w:kern w:val="0"/>
          <w:sz w:val="32"/>
          <w:szCs w:val="32"/>
        </w:rPr>
        <w:t>标准表（征求意见稿）》作了进一步修改</w:t>
      </w:r>
      <w:r>
        <w:rPr>
          <w:rFonts w:hint="eastAsia" w:ascii="仿宋_GB2312" w:hAnsi="Times New Roman" w:eastAsia="仿宋_GB2312"/>
          <w:kern w:val="0"/>
          <w:sz w:val="32"/>
          <w:szCs w:val="32"/>
        </w:rPr>
        <w:t>。</w:t>
      </w:r>
    </w:p>
    <w:p>
      <w:pPr>
        <w:adjustRightInd w:val="0"/>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三、特别排放限值筛选原则</w:t>
      </w:r>
    </w:p>
    <w:p>
      <w:pPr>
        <w:adjustRightInd w:val="0"/>
        <w:spacing w:line="600" w:lineRule="exact"/>
        <w:ind w:firstLine="640" w:firstLineChars="200"/>
        <w:rPr>
          <w:rFonts w:ascii="楷体_GB2312" w:hAnsi="黑体" w:eastAsia="楷体_GB2312"/>
          <w:kern w:val="0"/>
          <w:sz w:val="32"/>
          <w:szCs w:val="32"/>
        </w:rPr>
      </w:pPr>
      <w:r>
        <w:rPr>
          <w:rFonts w:hint="eastAsia" w:ascii="楷体_GB2312" w:hAnsi="黑体" w:eastAsia="楷体_GB2312"/>
          <w:kern w:val="0"/>
          <w:sz w:val="32"/>
          <w:szCs w:val="32"/>
        </w:rPr>
        <w:t>（一）标准的筛选</w:t>
      </w:r>
    </w:p>
    <w:p>
      <w:pPr>
        <w:pStyle w:val="2"/>
        <w:widowControl/>
        <w:adjustRightInd w:val="0"/>
        <w:spacing w:before="0" w:beforeAutospacing="0" w:after="0" w:afterAutospacing="0" w:line="600" w:lineRule="exact"/>
        <w:ind w:firstLine="640" w:firstLineChars="200"/>
        <w:jc w:val="both"/>
        <w:rPr>
          <w:rFonts w:hint="default" w:ascii="仿宋_GB2312" w:hAnsi="Times New Roman" w:eastAsia="仿宋_GB2312"/>
          <w:b w:val="0"/>
          <w:kern w:val="0"/>
          <w:sz w:val="32"/>
          <w:szCs w:val="32"/>
        </w:rPr>
      </w:pPr>
      <w:r>
        <w:rPr>
          <w:rFonts w:ascii="仿宋_GB2312" w:hAnsi="Times New Roman" w:eastAsia="仿宋_GB2312"/>
          <w:b w:val="0"/>
          <w:kern w:val="0"/>
          <w:sz w:val="32"/>
          <w:szCs w:val="32"/>
        </w:rPr>
        <w:t>目前，国家生态环境部网站上公布的排放标准中共有55项标准涉及水和大气污染物特别排放限值，结合我省污染防治攻坚战的需求，本次《湖南省执行污染物特别排放限值标准表（征求意见稿）拟筛选44个标准对我省重点区域、重点行业执行污染物特别排放限值，同时针对当前需要，先筛选标准中的重点污染物项目开展第一批污染物特别排放限值试点。</w:t>
      </w:r>
    </w:p>
    <w:p>
      <w:pPr>
        <w:pStyle w:val="2"/>
        <w:widowControl/>
        <w:adjustRightInd w:val="0"/>
        <w:spacing w:before="0" w:beforeAutospacing="0" w:after="0" w:afterAutospacing="0" w:line="600" w:lineRule="exact"/>
        <w:ind w:firstLine="640" w:firstLineChars="200"/>
        <w:jc w:val="both"/>
        <w:rPr>
          <w:rFonts w:hint="default" w:ascii="仿宋_GB2312" w:hAnsi="Times New Roman" w:eastAsia="仿宋_GB2312"/>
          <w:b w:val="0"/>
          <w:kern w:val="0"/>
          <w:sz w:val="32"/>
          <w:szCs w:val="32"/>
        </w:rPr>
      </w:pPr>
      <w:r>
        <w:rPr>
          <w:rFonts w:ascii="仿宋_GB2312" w:hAnsi="Times New Roman" w:eastAsia="仿宋_GB2312"/>
          <w:b w:val="0"/>
          <w:kern w:val="0"/>
          <w:sz w:val="32"/>
          <w:szCs w:val="32"/>
        </w:rPr>
        <w:t>《湖南省执行特别排放限值标准表（征求意见稿）》共包含三个方面内容，一是在长江干流（岳阳段）和洞庭湖区执行重点行业水污染物特别排放限值；二是在我省重点区域、重点行业执行大气污染物特别排放限值；三是在我省矿产资源开发利用及涉重金属生产活动集中区域执行重金属特别排放限值。相关标准和污染因子筛选情况如下：</w:t>
      </w:r>
    </w:p>
    <w:p>
      <w:pPr>
        <w:pStyle w:val="2"/>
        <w:widowControl/>
        <w:adjustRightInd w:val="0"/>
        <w:spacing w:before="0" w:beforeAutospacing="0" w:after="0" w:afterAutospacing="0" w:line="600" w:lineRule="exact"/>
        <w:ind w:firstLine="640" w:firstLineChars="200"/>
        <w:jc w:val="both"/>
        <w:rPr>
          <w:rFonts w:hint="default" w:ascii="仿宋_GB2312" w:hAnsi="Times New Roman" w:eastAsia="仿宋_GB2312"/>
          <w:b w:val="0"/>
          <w:kern w:val="0"/>
          <w:sz w:val="32"/>
          <w:szCs w:val="32"/>
        </w:rPr>
      </w:pPr>
      <w:r>
        <w:rPr>
          <w:rFonts w:ascii="仿宋_GB2312" w:hAnsi="Times New Roman" w:eastAsia="仿宋_GB2312"/>
          <w:b w:val="0"/>
          <w:kern w:val="0"/>
          <w:sz w:val="32"/>
          <w:szCs w:val="32"/>
        </w:rPr>
        <w:t>1.结合我省水污染防治工作情况，计划在长江干流（岳阳段）和洞庭湖区电镀、化工、农药、造纸、纺织、石油化工、炼焦化学、医药制造、食品工业9个行业执行特别排放限值。针对这9个行业，共筛选出22个标准执行特别排放限值（见表1）。根据《中共中央国务院关于全面加强生态环境保护坚决打好污染防治攻坚战的意见》，到2020年化学需氧量、氨氮排放量减少10%以上的工作目标，考虑长江干流（岳阳段）和洞庭湖区水污染情况，结合我省水污染防治攻坚战三年行动计划，在表1的标准中选择化学需氧量、氨氮、总氮、总磷4种水污染物执行特别排放限值。</w:t>
      </w:r>
    </w:p>
    <w:p>
      <w:pPr>
        <w:spacing w:beforeLines="50" w:afterLines="50"/>
        <w:jc w:val="center"/>
        <w:rPr>
          <w:rFonts w:ascii="楷体_GB2312" w:hAnsi="宋体" w:eastAsia="楷体_GB2312"/>
          <w:sz w:val="28"/>
        </w:rPr>
      </w:pPr>
      <w:r>
        <w:rPr>
          <w:rFonts w:hint="eastAsia" w:ascii="楷体_GB2312" w:hAnsi="宋体" w:eastAsia="楷体_GB2312"/>
          <w:sz w:val="28"/>
        </w:rPr>
        <w:t>表1 长江干流（岳阳段）和洞庭湖区执行特别排放限值标准</w:t>
      </w:r>
    </w:p>
    <w:tbl>
      <w:tblPr>
        <w:tblStyle w:val="6"/>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820"/>
        <w:gridCol w:w="212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8" w:type="dxa"/>
            <w:vAlign w:val="center"/>
          </w:tcPr>
          <w:p>
            <w:pPr>
              <w:snapToGrid w:val="0"/>
              <w:jc w:val="center"/>
              <w:rPr>
                <w:rFonts w:ascii="仿宋_GB2312" w:hAnsi="宋体" w:eastAsia="仿宋_GB2312"/>
                <w:b/>
                <w:sz w:val="24"/>
              </w:rPr>
            </w:pPr>
            <w:r>
              <w:rPr>
                <w:rFonts w:hint="eastAsia" w:ascii="仿宋_GB2312" w:hAnsi="宋体" w:eastAsia="仿宋_GB2312"/>
                <w:b/>
                <w:sz w:val="24"/>
              </w:rPr>
              <w:t>序号</w:t>
            </w:r>
          </w:p>
        </w:tc>
        <w:tc>
          <w:tcPr>
            <w:tcW w:w="4820" w:type="dxa"/>
            <w:vAlign w:val="center"/>
          </w:tcPr>
          <w:p>
            <w:pPr>
              <w:snapToGrid w:val="0"/>
              <w:jc w:val="center"/>
              <w:rPr>
                <w:rFonts w:ascii="仿宋_GB2312" w:hAnsi="宋体" w:eastAsia="仿宋_GB2312"/>
                <w:b/>
                <w:sz w:val="24"/>
              </w:rPr>
            </w:pPr>
            <w:r>
              <w:rPr>
                <w:rFonts w:hint="eastAsia" w:ascii="仿宋_GB2312" w:hAnsi="宋体" w:eastAsia="仿宋_GB2312"/>
                <w:b/>
                <w:sz w:val="24"/>
              </w:rPr>
              <w:t>名称</w:t>
            </w:r>
          </w:p>
        </w:tc>
        <w:tc>
          <w:tcPr>
            <w:tcW w:w="2126" w:type="dxa"/>
            <w:vAlign w:val="center"/>
          </w:tcPr>
          <w:p>
            <w:pPr>
              <w:snapToGrid w:val="0"/>
              <w:jc w:val="center"/>
              <w:rPr>
                <w:rFonts w:ascii="仿宋_GB2312" w:hAnsi="宋体" w:eastAsia="仿宋_GB2312"/>
                <w:b/>
                <w:sz w:val="24"/>
              </w:rPr>
            </w:pPr>
            <w:r>
              <w:rPr>
                <w:rFonts w:hint="eastAsia" w:ascii="仿宋_GB2312" w:hAnsi="宋体" w:eastAsia="仿宋_GB2312"/>
                <w:b/>
                <w:sz w:val="24"/>
              </w:rPr>
              <w:t>编号</w:t>
            </w:r>
          </w:p>
        </w:tc>
        <w:tc>
          <w:tcPr>
            <w:tcW w:w="1308" w:type="dxa"/>
            <w:vAlign w:val="center"/>
          </w:tcPr>
          <w:p>
            <w:pPr>
              <w:snapToGrid w:val="0"/>
              <w:jc w:val="center"/>
              <w:rPr>
                <w:rFonts w:ascii="仿宋_GB2312" w:hAnsi="宋体" w:eastAsia="仿宋_GB2312"/>
                <w:b/>
                <w:sz w:val="24"/>
              </w:rPr>
            </w:pPr>
            <w:r>
              <w:rPr>
                <w:rFonts w:hint="eastAsia" w:ascii="仿宋_GB2312" w:hAnsi="宋体" w:eastAsia="仿宋_GB2312"/>
                <w:b/>
                <w:sz w:val="24"/>
              </w:rPr>
              <w:t>执行行业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1</w:t>
            </w:r>
          </w:p>
        </w:tc>
        <w:tc>
          <w:tcPr>
            <w:tcW w:w="4820"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电镀污染物排放标准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GB21900-2008</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电镀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2</w:t>
            </w:r>
          </w:p>
        </w:tc>
        <w:tc>
          <w:tcPr>
            <w:tcW w:w="4820" w:type="dxa"/>
            <w:vAlign w:val="center"/>
          </w:tcPr>
          <w:p>
            <w:pPr>
              <w:snapToGrid w:val="0"/>
              <w:jc w:val="center"/>
              <w:rPr>
                <w:rFonts w:ascii="仿宋_GB2312" w:eastAsia="仿宋_GB2312"/>
                <w:sz w:val="24"/>
              </w:rPr>
            </w:pPr>
            <w:r>
              <w:fldChar w:fldCharType="begin"/>
            </w:r>
            <w:r>
              <w:instrText xml:space="preserve"> HYPERLINK "http://kjs.mep.gov.cn/hjbhbz/bzwb/dqhjbh/dqgdwrywrwpfbz/201505/W020150506392976571440.pdf" </w:instrText>
            </w:r>
            <w:r>
              <w:fldChar w:fldCharType="separate"/>
            </w:r>
            <w:r>
              <w:rPr>
                <w:rFonts w:hint="eastAsia" w:ascii="仿宋_GB2312" w:hAnsi="宋体" w:eastAsia="仿宋_GB2312"/>
                <w:sz w:val="24"/>
              </w:rPr>
              <w:t>无机化学工业污染物排放标准</w:t>
            </w:r>
            <w:r>
              <w:rPr>
                <w:rFonts w:hint="eastAsia" w:ascii="仿宋_GB2312" w:hAnsi="宋体" w:eastAsia="仿宋_GB2312"/>
                <w:sz w:val="24"/>
              </w:rPr>
              <w:fldChar w:fldCharType="end"/>
            </w:r>
          </w:p>
        </w:tc>
        <w:tc>
          <w:tcPr>
            <w:tcW w:w="2126"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GB 31573-2015</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3</w:t>
            </w:r>
          </w:p>
        </w:tc>
        <w:tc>
          <w:tcPr>
            <w:tcW w:w="4820" w:type="dxa"/>
            <w:vAlign w:val="center"/>
          </w:tcPr>
          <w:p>
            <w:pPr>
              <w:snapToGrid w:val="0"/>
              <w:jc w:val="center"/>
              <w:rPr>
                <w:rFonts w:ascii="仿宋_GB2312" w:eastAsia="仿宋_GB2312"/>
                <w:sz w:val="24"/>
              </w:rPr>
            </w:pPr>
            <w:r>
              <w:rPr>
                <w:rFonts w:hint="eastAsia" w:ascii="仿宋_GB2312" w:eastAsia="仿宋_GB2312"/>
                <w:sz w:val="24"/>
              </w:rPr>
              <w:t>合成氨工业水污染物排放标准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13458-2013</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4</w:t>
            </w:r>
          </w:p>
        </w:tc>
        <w:tc>
          <w:tcPr>
            <w:tcW w:w="4820" w:type="dxa"/>
            <w:vAlign w:val="center"/>
          </w:tcPr>
          <w:p>
            <w:pPr>
              <w:snapToGrid w:val="0"/>
              <w:jc w:val="center"/>
              <w:rPr>
                <w:rFonts w:ascii="仿宋_GB2312" w:eastAsia="仿宋_GB2312"/>
                <w:sz w:val="24"/>
              </w:rPr>
            </w:pPr>
            <w:r>
              <w:rPr>
                <w:rFonts w:hint="eastAsia" w:ascii="仿宋_GB2312" w:eastAsia="仿宋_GB2312"/>
                <w:sz w:val="24"/>
              </w:rPr>
              <w:t>烧碱、聚氯乙烯工业污染物排放标准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GB15581-2016</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5</w:t>
            </w:r>
          </w:p>
        </w:tc>
        <w:tc>
          <w:tcPr>
            <w:tcW w:w="4820" w:type="dxa"/>
            <w:vAlign w:val="center"/>
          </w:tcPr>
          <w:p>
            <w:pPr>
              <w:snapToGrid w:val="0"/>
              <w:jc w:val="center"/>
              <w:rPr>
                <w:rFonts w:ascii="仿宋_GB2312" w:eastAsia="仿宋_GB2312"/>
                <w:sz w:val="24"/>
              </w:rPr>
            </w:pPr>
            <w:r>
              <w:rPr>
                <w:rFonts w:hint="eastAsia" w:ascii="仿宋_GB2312" w:eastAsia="仿宋_GB2312"/>
                <w:sz w:val="24"/>
              </w:rPr>
              <w:t>杂环类农药工业水污染物排放标准</w:t>
            </w:r>
          </w:p>
        </w:tc>
        <w:tc>
          <w:tcPr>
            <w:tcW w:w="2126" w:type="dxa"/>
            <w:vAlign w:val="center"/>
          </w:tcPr>
          <w:p>
            <w:pPr>
              <w:snapToGrid w:val="0"/>
              <w:jc w:val="center"/>
              <w:rPr>
                <w:rFonts w:ascii="仿宋_GB2312" w:hAnsi="Times New Roman" w:eastAsia="仿宋_GB2312"/>
                <w:sz w:val="24"/>
              </w:rPr>
            </w:pPr>
            <w:r>
              <w:rPr>
                <w:rFonts w:hint="eastAsia" w:ascii="仿宋_GB2312" w:eastAsia="仿宋_GB2312"/>
                <w:sz w:val="24"/>
              </w:rPr>
              <w:t>GB 21523-2008</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6</w:t>
            </w:r>
          </w:p>
        </w:tc>
        <w:tc>
          <w:tcPr>
            <w:tcW w:w="4820" w:type="dxa"/>
            <w:vAlign w:val="center"/>
          </w:tcPr>
          <w:p>
            <w:pPr>
              <w:snapToGrid w:val="0"/>
              <w:jc w:val="center"/>
              <w:rPr>
                <w:rFonts w:ascii="仿宋_GB2312" w:eastAsia="仿宋_GB2312"/>
                <w:sz w:val="24"/>
              </w:rPr>
            </w:pPr>
            <w:r>
              <w:rPr>
                <w:rFonts w:hint="eastAsia" w:ascii="仿宋_GB2312" w:eastAsia="仿宋_GB2312"/>
                <w:sz w:val="24"/>
              </w:rPr>
              <w:t>制浆造纸工业水污染物排放标准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3544-2008</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造纸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7</w:t>
            </w:r>
          </w:p>
        </w:tc>
        <w:tc>
          <w:tcPr>
            <w:tcW w:w="4820" w:type="dxa"/>
            <w:vAlign w:val="center"/>
          </w:tcPr>
          <w:p>
            <w:pPr>
              <w:snapToGrid w:val="0"/>
              <w:jc w:val="center"/>
              <w:rPr>
                <w:rFonts w:ascii="仿宋_GB2312" w:eastAsia="仿宋_GB2312"/>
                <w:sz w:val="24"/>
              </w:rPr>
            </w:pPr>
            <w:r>
              <w:rPr>
                <w:rFonts w:hint="eastAsia" w:ascii="仿宋_GB2312" w:eastAsia="仿宋_GB2312"/>
                <w:sz w:val="24"/>
              </w:rPr>
              <w:t>麻纺工业水污染物排放标准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28938-2012</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8</w:t>
            </w:r>
          </w:p>
        </w:tc>
        <w:tc>
          <w:tcPr>
            <w:tcW w:w="4820" w:type="dxa"/>
            <w:vAlign w:val="center"/>
          </w:tcPr>
          <w:p>
            <w:pPr>
              <w:snapToGrid w:val="0"/>
              <w:jc w:val="center"/>
              <w:rPr>
                <w:rFonts w:ascii="仿宋_GB2312" w:eastAsia="仿宋_GB2312"/>
                <w:sz w:val="24"/>
              </w:rPr>
            </w:pPr>
            <w:r>
              <w:rPr>
                <w:rFonts w:hint="eastAsia" w:ascii="仿宋_GB2312" w:eastAsia="仿宋_GB2312"/>
                <w:sz w:val="24"/>
              </w:rPr>
              <w:t>纺织染整工业水污染物排放标准</w:t>
            </w:r>
          </w:p>
          <w:p>
            <w:pPr>
              <w:snapToGrid w:val="0"/>
              <w:jc w:val="center"/>
              <w:rPr>
                <w:rFonts w:ascii="仿宋_GB2312" w:eastAsia="仿宋_GB2312"/>
                <w:sz w:val="24"/>
              </w:rPr>
            </w:pPr>
          </w:p>
          <w:p>
            <w:pPr>
              <w:snapToGrid w:val="0"/>
              <w:jc w:val="center"/>
              <w:rPr>
                <w:rFonts w:ascii="仿宋_GB2312" w:eastAsia="仿宋_GB2312"/>
                <w:sz w:val="24"/>
              </w:rPr>
            </w:pPr>
            <w:r>
              <w:rPr>
                <w:rFonts w:hint="eastAsia" w:ascii="仿宋_GB2312" w:eastAsia="仿宋_GB2312"/>
                <w:sz w:val="24"/>
              </w:rPr>
              <w:t>《纺织染整工业水污染物排放标准》</w:t>
            </w:r>
            <w:r>
              <w:rPr>
                <w:rFonts w:ascii="仿宋_GB2312" w:eastAsia="仿宋_GB2312"/>
                <w:sz w:val="24"/>
              </w:rPr>
              <w:br w:type="textWrapping"/>
            </w:r>
            <w:r>
              <w:rPr>
                <w:rFonts w:hint="eastAsia" w:ascii="仿宋_GB2312" w:eastAsia="仿宋_GB2312"/>
                <w:sz w:val="24"/>
              </w:rPr>
              <w:t>修改单</w:t>
            </w:r>
          </w:p>
          <w:p>
            <w:pPr>
              <w:snapToGrid w:val="0"/>
              <w:jc w:val="center"/>
              <w:rPr>
                <w:rStyle w:val="9"/>
                <w:rFonts w:ascii="仿宋_GB2312" w:hAnsi="宋体" w:eastAsia="仿宋_GB2312"/>
                <w:b w:val="0"/>
                <w:sz w:val="24"/>
              </w:rPr>
            </w:pPr>
          </w:p>
          <w:p>
            <w:pPr>
              <w:snapToGrid w:val="0"/>
              <w:jc w:val="center"/>
              <w:rPr>
                <w:rFonts w:ascii="仿宋_GB2312" w:hAnsi="宋体" w:eastAsia="仿宋_GB2312"/>
                <w:sz w:val="24"/>
              </w:rPr>
            </w:pPr>
            <w:r>
              <w:rPr>
                <w:rFonts w:hint="eastAsia" w:ascii="仿宋_GB2312" w:eastAsia="仿宋_GB2312"/>
                <w:sz w:val="24"/>
              </w:rPr>
              <w:t>关于调整《纺织染整工业水污染物排放标准》（GB4287-2012）部分指标执行要求的公告</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4287-2012</w:t>
            </w:r>
          </w:p>
          <w:p>
            <w:pPr>
              <w:snapToGrid w:val="0"/>
              <w:jc w:val="center"/>
              <w:rPr>
                <w:rFonts w:ascii="仿宋_GB2312" w:eastAsia="仿宋_GB2312"/>
                <w:sz w:val="24"/>
              </w:rPr>
            </w:pPr>
          </w:p>
          <w:p>
            <w:pPr>
              <w:snapToGrid w:val="0"/>
              <w:jc w:val="center"/>
              <w:rPr>
                <w:rFonts w:ascii="仿宋_GB2312" w:eastAsia="仿宋_GB2312"/>
                <w:sz w:val="24"/>
              </w:rPr>
            </w:pPr>
            <w:r>
              <w:rPr>
                <w:rFonts w:hint="eastAsia" w:ascii="仿宋_GB2312" w:eastAsia="仿宋_GB2312"/>
                <w:sz w:val="24"/>
              </w:rPr>
              <w:t>环境保护部公告 2015年第19号</w:t>
            </w:r>
          </w:p>
          <w:p>
            <w:pPr>
              <w:snapToGrid w:val="0"/>
              <w:jc w:val="center"/>
              <w:rPr>
                <w:rFonts w:ascii="仿宋_GB2312" w:eastAsia="仿宋_GB2312"/>
                <w:sz w:val="24"/>
              </w:rPr>
            </w:pPr>
          </w:p>
          <w:p>
            <w:pPr>
              <w:snapToGrid w:val="0"/>
              <w:jc w:val="center"/>
              <w:rPr>
                <w:rFonts w:ascii="仿宋_GB2312" w:eastAsia="仿宋_GB2312"/>
                <w:sz w:val="24"/>
              </w:rPr>
            </w:pPr>
            <w:r>
              <w:rPr>
                <w:rFonts w:hint="eastAsia" w:ascii="仿宋_GB2312" w:eastAsia="仿宋_GB2312"/>
                <w:sz w:val="24"/>
              </w:rPr>
              <w:t>环境保护部公告 2015年第41号</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9</w:t>
            </w:r>
          </w:p>
        </w:tc>
        <w:tc>
          <w:tcPr>
            <w:tcW w:w="4820" w:type="dxa"/>
            <w:vAlign w:val="center"/>
          </w:tcPr>
          <w:p>
            <w:pPr>
              <w:snapToGrid w:val="0"/>
              <w:jc w:val="center"/>
              <w:rPr>
                <w:rFonts w:ascii="仿宋_GB2312" w:eastAsia="仿宋_GB2312"/>
                <w:sz w:val="24"/>
              </w:rPr>
            </w:pPr>
            <w:r>
              <w:rPr>
                <w:rFonts w:hint="eastAsia" w:ascii="仿宋_GB2312" w:eastAsia="仿宋_GB2312"/>
                <w:sz w:val="24"/>
              </w:rPr>
              <w:t>毛纺工业水污染物排放标准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GB28937-2012</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10</w:t>
            </w:r>
          </w:p>
        </w:tc>
        <w:tc>
          <w:tcPr>
            <w:tcW w:w="4820" w:type="dxa"/>
            <w:vAlign w:val="center"/>
          </w:tcPr>
          <w:p>
            <w:pPr>
              <w:snapToGrid w:val="0"/>
              <w:jc w:val="center"/>
              <w:rPr>
                <w:rFonts w:ascii="仿宋_GB2312" w:eastAsia="仿宋_GB2312"/>
                <w:sz w:val="24"/>
              </w:rPr>
            </w:pPr>
            <w:r>
              <w:rPr>
                <w:rFonts w:hint="eastAsia" w:ascii="仿宋_GB2312" w:eastAsia="仿宋_GB2312"/>
                <w:sz w:val="24"/>
              </w:rPr>
              <w:t>石油炼制工业污染物排放标准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31570-2015</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石油化工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11</w:t>
            </w:r>
          </w:p>
        </w:tc>
        <w:tc>
          <w:tcPr>
            <w:tcW w:w="4820" w:type="dxa"/>
            <w:vAlign w:val="center"/>
          </w:tcPr>
          <w:p>
            <w:pPr>
              <w:snapToGrid w:val="0"/>
              <w:jc w:val="center"/>
              <w:rPr>
                <w:rFonts w:ascii="仿宋_GB2312" w:eastAsia="仿宋_GB2312"/>
                <w:sz w:val="24"/>
              </w:rPr>
            </w:pPr>
            <w:r>
              <w:rPr>
                <w:rFonts w:hint="eastAsia" w:ascii="仿宋_GB2312" w:eastAsia="仿宋_GB2312"/>
                <w:sz w:val="24"/>
              </w:rPr>
              <w:t>炼焦化学工业污染物排放标准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16171-2012</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炼焦化学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12</w:t>
            </w:r>
          </w:p>
        </w:tc>
        <w:tc>
          <w:tcPr>
            <w:tcW w:w="4820" w:type="dxa"/>
            <w:vAlign w:val="center"/>
          </w:tcPr>
          <w:p>
            <w:pPr>
              <w:snapToGrid w:val="0"/>
              <w:jc w:val="center"/>
              <w:rPr>
                <w:rFonts w:ascii="仿宋_GB2312" w:eastAsia="仿宋_GB2312"/>
                <w:sz w:val="24"/>
              </w:rPr>
            </w:pPr>
            <w:r>
              <w:rPr>
                <w:rFonts w:hint="eastAsia" w:ascii="仿宋_GB2312" w:eastAsia="仿宋_GB2312"/>
                <w:sz w:val="24"/>
              </w:rPr>
              <w:t>混装制剂类制药工业水污染物排放标准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21908-2008</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医药制造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13</w:t>
            </w:r>
          </w:p>
        </w:tc>
        <w:tc>
          <w:tcPr>
            <w:tcW w:w="4820" w:type="dxa"/>
            <w:vAlign w:val="center"/>
          </w:tcPr>
          <w:p>
            <w:pPr>
              <w:snapToGrid w:val="0"/>
              <w:jc w:val="center"/>
              <w:rPr>
                <w:rFonts w:ascii="仿宋_GB2312" w:eastAsia="仿宋_GB2312"/>
                <w:sz w:val="24"/>
              </w:rPr>
            </w:pPr>
            <w:r>
              <w:rPr>
                <w:rFonts w:hint="eastAsia" w:ascii="仿宋_GB2312" w:eastAsia="仿宋_GB2312"/>
                <w:sz w:val="24"/>
              </w:rPr>
              <w:t>生物工程类制药工业水污染物排放标准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21907-2008</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医药制造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14</w:t>
            </w:r>
          </w:p>
        </w:tc>
        <w:tc>
          <w:tcPr>
            <w:tcW w:w="4820" w:type="dxa"/>
            <w:vAlign w:val="center"/>
          </w:tcPr>
          <w:p>
            <w:pPr>
              <w:snapToGrid w:val="0"/>
              <w:jc w:val="center"/>
              <w:rPr>
                <w:rFonts w:ascii="仿宋_GB2312" w:eastAsia="仿宋_GB2312"/>
                <w:sz w:val="24"/>
              </w:rPr>
            </w:pPr>
            <w:r>
              <w:rPr>
                <w:rFonts w:hint="eastAsia" w:ascii="仿宋_GB2312" w:eastAsia="仿宋_GB2312"/>
                <w:sz w:val="24"/>
              </w:rPr>
              <w:t>中药类制药工业水污染物排放标准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21906-2008</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医药制造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15</w:t>
            </w:r>
          </w:p>
        </w:tc>
        <w:tc>
          <w:tcPr>
            <w:tcW w:w="4820" w:type="dxa"/>
            <w:vAlign w:val="center"/>
          </w:tcPr>
          <w:p>
            <w:pPr>
              <w:snapToGrid w:val="0"/>
              <w:jc w:val="center"/>
              <w:rPr>
                <w:rFonts w:ascii="仿宋_GB2312" w:eastAsia="仿宋_GB2312"/>
                <w:sz w:val="24"/>
              </w:rPr>
            </w:pPr>
            <w:r>
              <w:rPr>
                <w:rFonts w:hint="eastAsia" w:ascii="仿宋_GB2312" w:eastAsia="仿宋_GB2312"/>
                <w:sz w:val="24"/>
              </w:rPr>
              <w:t>提取类制药工业水污染物排放标准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21905-2008</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医药制造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16</w:t>
            </w:r>
          </w:p>
        </w:tc>
        <w:tc>
          <w:tcPr>
            <w:tcW w:w="4820" w:type="dxa"/>
            <w:vAlign w:val="center"/>
          </w:tcPr>
          <w:p>
            <w:pPr>
              <w:snapToGrid w:val="0"/>
              <w:jc w:val="center"/>
              <w:rPr>
                <w:rFonts w:ascii="仿宋_GB2312" w:eastAsia="仿宋_GB2312"/>
                <w:sz w:val="24"/>
              </w:rPr>
            </w:pPr>
            <w:r>
              <w:rPr>
                <w:rFonts w:hint="eastAsia" w:ascii="仿宋_GB2312" w:eastAsia="仿宋_GB2312"/>
                <w:sz w:val="24"/>
              </w:rPr>
              <w:t>化学合成类制药工业水污染物排放标准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21904-2008</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医药制造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17</w:t>
            </w:r>
          </w:p>
        </w:tc>
        <w:tc>
          <w:tcPr>
            <w:tcW w:w="4820" w:type="dxa"/>
            <w:vAlign w:val="center"/>
          </w:tcPr>
          <w:p>
            <w:pPr>
              <w:snapToGrid w:val="0"/>
              <w:jc w:val="center"/>
              <w:rPr>
                <w:rFonts w:ascii="仿宋_GB2312" w:eastAsia="仿宋_GB2312"/>
                <w:sz w:val="24"/>
              </w:rPr>
            </w:pPr>
            <w:r>
              <w:rPr>
                <w:rFonts w:hint="eastAsia" w:ascii="仿宋_GB2312" w:eastAsia="仿宋_GB2312"/>
                <w:sz w:val="24"/>
              </w:rPr>
              <w:t>发酵类制药工业水污染物排放标准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21903-2008</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医药制造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18</w:t>
            </w:r>
          </w:p>
        </w:tc>
        <w:tc>
          <w:tcPr>
            <w:tcW w:w="4820" w:type="dxa"/>
            <w:vAlign w:val="center"/>
          </w:tcPr>
          <w:p>
            <w:pPr>
              <w:snapToGrid w:val="0"/>
              <w:jc w:val="center"/>
              <w:rPr>
                <w:rFonts w:ascii="仿宋_GB2312" w:eastAsia="仿宋_GB2312"/>
                <w:sz w:val="24"/>
              </w:rPr>
            </w:pPr>
            <w:r>
              <w:rPr>
                <w:rFonts w:hint="eastAsia" w:ascii="仿宋_GB2312" w:eastAsia="仿宋_GB2312"/>
                <w:sz w:val="24"/>
              </w:rPr>
              <w:t>酵母工业水污染物排放标准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25462-2010</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食品工业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19</w:t>
            </w:r>
          </w:p>
        </w:tc>
        <w:tc>
          <w:tcPr>
            <w:tcW w:w="4820" w:type="dxa"/>
            <w:vAlign w:val="center"/>
          </w:tcPr>
          <w:p>
            <w:pPr>
              <w:snapToGrid w:val="0"/>
              <w:jc w:val="center"/>
              <w:rPr>
                <w:rFonts w:ascii="仿宋_GB2312" w:eastAsia="仿宋_GB2312"/>
                <w:sz w:val="24"/>
              </w:rPr>
            </w:pPr>
            <w:r>
              <w:rPr>
                <w:rFonts w:hint="eastAsia" w:ascii="仿宋_GB2312" w:eastAsia="仿宋_GB2312"/>
                <w:sz w:val="24"/>
              </w:rPr>
              <w:t>淀粉工业水污染物排放标准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25461-2010</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食品工业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20</w:t>
            </w:r>
          </w:p>
        </w:tc>
        <w:tc>
          <w:tcPr>
            <w:tcW w:w="4820" w:type="dxa"/>
            <w:vAlign w:val="center"/>
          </w:tcPr>
          <w:p>
            <w:pPr>
              <w:snapToGrid w:val="0"/>
              <w:jc w:val="center"/>
              <w:rPr>
                <w:rFonts w:ascii="仿宋_GB2312" w:eastAsia="仿宋_GB2312"/>
                <w:sz w:val="24"/>
              </w:rPr>
            </w:pPr>
            <w:r>
              <w:rPr>
                <w:rFonts w:hint="eastAsia" w:ascii="仿宋_GB2312" w:eastAsia="仿宋_GB2312"/>
                <w:sz w:val="24"/>
              </w:rPr>
              <w:t>发酵酒精和白酒工业水污染物排放标准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27631-2011</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食品工业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21</w:t>
            </w:r>
          </w:p>
        </w:tc>
        <w:tc>
          <w:tcPr>
            <w:tcW w:w="4820" w:type="dxa"/>
            <w:vAlign w:val="center"/>
          </w:tcPr>
          <w:p>
            <w:pPr>
              <w:snapToGrid w:val="0"/>
              <w:jc w:val="center"/>
              <w:rPr>
                <w:rFonts w:ascii="仿宋_GB2312" w:eastAsia="仿宋_GB2312"/>
                <w:sz w:val="24"/>
              </w:rPr>
            </w:pPr>
            <w:r>
              <w:rPr>
                <w:rFonts w:hint="eastAsia" w:ascii="仿宋_GB2312" w:eastAsia="仿宋_GB2312"/>
                <w:sz w:val="24"/>
              </w:rPr>
              <w:t>柠檬酸工业水污染物排放标准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19430-2013</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食品工业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22</w:t>
            </w:r>
          </w:p>
        </w:tc>
        <w:tc>
          <w:tcPr>
            <w:tcW w:w="4820" w:type="dxa"/>
            <w:vAlign w:val="center"/>
          </w:tcPr>
          <w:p>
            <w:pPr>
              <w:snapToGrid w:val="0"/>
              <w:jc w:val="center"/>
              <w:rPr>
                <w:rFonts w:ascii="仿宋_GB2312" w:eastAsia="仿宋_GB2312"/>
                <w:sz w:val="24"/>
              </w:rPr>
            </w:pPr>
            <w:r>
              <w:rPr>
                <w:rFonts w:hint="eastAsia" w:ascii="仿宋_GB2312" w:eastAsia="仿宋_GB2312"/>
                <w:sz w:val="24"/>
              </w:rPr>
              <w:t>制糖工业水污染物排放标准</w:t>
            </w:r>
          </w:p>
        </w:tc>
        <w:tc>
          <w:tcPr>
            <w:tcW w:w="2126" w:type="dxa"/>
            <w:vAlign w:val="center"/>
          </w:tcPr>
          <w:p>
            <w:pPr>
              <w:snapToGrid w:val="0"/>
              <w:jc w:val="center"/>
              <w:rPr>
                <w:rFonts w:ascii="仿宋_GB2312" w:eastAsia="仿宋_GB2312"/>
                <w:sz w:val="24"/>
              </w:rPr>
            </w:pPr>
            <w:r>
              <w:rPr>
                <w:rFonts w:hint="eastAsia" w:ascii="仿宋_GB2312" w:eastAsia="仿宋_GB2312"/>
                <w:sz w:val="24"/>
              </w:rPr>
              <w:t>GB 21909-2008</w:t>
            </w:r>
          </w:p>
        </w:tc>
        <w:tc>
          <w:tcPr>
            <w:tcW w:w="1308" w:type="dxa"/>
            <w:vAlign w:val="center"/>
          </w:tcPr>
          <w:p>
            <w:pPr>
              <w:autoSpaceDE w:val="0"/>
              <w:snapToGrid w:val="0"/>
              <w:jc w:val="center"/>
              <w:outlineLvl w:val="0"/>
              <w:rPr>
                <w:rFonts w:ascii="仿宋_GB2312" w:eastAsia="仿宋_GB2312"/>
                <w:sz w:val="24"/>
              </w:rPr>
            </w:pPr>
            <w:r>
              <w:rPr>
                <w:rFonts w:hint="eastAsia" w:ascii="仿宋_GB2312" w:eastAsia="仿宋_GB2312"/>
                <w:sz w:val="24"/>
              </w:rPr>
              <w:t>食品工业</w:t>
            </w:r>
          </w:p>
        </w:tc>
      </w:tr>
    </w:tbl>
    <w:p>
      <w:pPr>
        <w:widowControl/>
        <w:spacing w:line="600" w:lineRule="exact"/>
        <w:ind w:firstLine="630"/>
        <w:rPr>
          <w:rFonts w:ascii="仿宋_GB2312" w:eastAsia="仿宋_GB2312"/>
          <w:sz w:val="32"/>
          <w:szCs w:val="32"/>
        </w:rPr>
      </w:pPr>
      <w:r>
        <w:rPr>
          <w:rFonts w:hint="eastAsia" w:ascii="仿宋_GB2312" w:eastAsia="仿宋_GB2312"/>
          <w:sz w:val="32"/>
          <w:szCs w:val="32"/>
        </w:rPr>
        <w:t>2.根据大气污染防治工作开展的需要，把长沙、株洲、湘潭、岳阳、益阳和常德六市</w:t>
      </w:r>
      <w:r>
        <w:rPr>
          <w:rFonts w:ascii="仿宋_GB2312" w:eastAsia="仿宋_GB2312"/>
          <w:sz w:val="32"/>
          <w:szCs w:val="32"/>
        </w:rPr>
        <w:t>行政区域</w:t>
      </w:r>
      <w:r>
        <w:rPr>
          <w:rFonts w:hint="eastAsia" w:ascii="仿宋_GB2312" w:eastAsia="仿宋_GB2312"/>
          <w:sz w:val="32"/>
          <w:szCs w:val="32"/>
        </w:rPr>
        <w:t>列为我省大气污染防治重点区域，重点区域内现有企业在</w:t>
      </w:r>
      <w:r>
        <w:rPr>
          <w:rFonts w:ascii="仿宋_GB2312" w:eastAsia="仿宋_GB2312"/>
          <w:sz w:val="32"/>
          <w:szCs w:val="32"/>
        </w:rPr>
        <w:t>国家排放标准</w:t>
      </w:r>
      <w:r>
        <w:rPr>
          <w:rFonts w:hint="eastAsia" w:ascii="仿宋_GB2312" w:eastAsia="仿宋_GB2312"/>
          <w:sz w:val="32"/>
          <w:szCs w:val="32"/>
        </w:rPr>
        <w:t>中已有</w:t>
      </w:r>
      <w:r>
        <w:rPr>
          <w:rFonts w:ascii="仿宋_GB2312" w:eastAsia="仿宋_GB2312"/>
          <w:sz w:val="32"/>
          <w:szCs w:val="32"/>
        </w:rPr>
        <w:t>大气污染物特别排放限值</w:t>
      </w:r>
      <w:r>
        <w:rPr>
          <w:rFonts w:hint="eastAsia" w:ascii="仿宋_GB2312" w:eastAsia="仿宋_GB2312"/>
          <w:sz w:val="32"/>
          <w:szCs w:val="32"/>
        </w:rPr>
        <w:t>规定的执行特别排放限值（共涉及25项标准，见表2。第24项因我省暂不涉及相关稀土行业，暂未列入本次特别排放限值执行范围）。在重点区域外，确定钢铁、焦化、水泥、有色四个行业为我省大气污染防治重点行业，全省范围钢铁、焦化、水泥、有色行业执行特别排放限值（共涉及23项标准，表2中前23项）。</w:t>
      </w:r>
    </w:p>
    <w:p>
      <w:pPr>
        <w:widowControl/>
        <w:spacing w:line="600" w:lineRule="exact"/>
        <w:ind w:firstLine="630"/>
        <w:rPr>
          <w:rFonts w:ascii="仿宋_GB2312" w:eastAsia="仿宋_GB2312"/>
          <w:sz w:val="32"/>
          <w:szCs w:val="32"/>
        </w:rPr>
      </w:pPr>
      <w:r>
        <w:rPr>
          <w:rFonts w:hint="eastAsia" w:ascii="仿宋_GB2312" w:eastAsia="仿宋_GB2312"/>
          <w:sz w:val="32"/>
          <w:szCs w:val="32"/>
        </w:rPr>
        <w:t>根</w:t>
      </w:r>
      <w:r>
        <w:rPr>
          <w:rFonts w:hint="eastAsia" w:ascii="仿宋_GB2312" w:hAnsi="宋体" w:eastAsia="仿宋_GB2312" w:cs="仿宋_GB2312"/>
          <w:sz w:val="32"/>
          <w:szCs w:val="32"/>
        </w:rPr>
        <w:t>据《中共中央国务院关于全面加强生态环境保护坚决打好污染防治攻坚战的意见》，到2020年二氧化硫、氮氧化物排放量比2015年减少15%以上的工作目标</w:t>
      </w:r>
      <w:r>
        <w:rPr>
          <w:rFonts w:hint="eastAsia" w:ascii="仿宋_GB2312" w:eastAsia="仿宋_GB2312"/>
          <w:sz w:val="32"/>
          <w:szCs w:val="32"/>
        </w:rPr>
        <w:t>，参考环保部《关于京津冀大气污染传输通道城市执行大气污染物特别排放限值的公告》，结合我省大气污染防治攻坚战三年行动计划，在表2的标准中选择颗粒物、氮氧化物、二氧化硫3种污染物执行特别排放限值。</w:t>
      </w:r>
    </w:p>
    <w:p>
      <w:pPr>
        <w:spacing w:beforeLines="50" w:afterLines="50"/>
        <w:jc w:val="center"/>
        <w:rPr>
          <w:rFonts w:ascii="楷体_GB2312" w:hAnsi="宋体" w:eastAsia="楷体_GB2312"/>
          <w:sz w:val="28"/>
        </w:rPr>
      </w:pPr>
      <w:r>
        <w:rPr>
          <w:rFonts w:hint="eastAsia" w:ascii="楷体_GB2312" w:hAnsi="宋体" w:eastAsia="楷体_GB2312"/>
          <w:sz w:val="28"/>
        </w:rPr>
        <w:t>表2 大气污染防治执行特别排放限值标准</w:t>
      </w:r>
    </w:p>
    <w:tbl>
      <w:tblPr>
        <w:tblStyle w:val="6"/>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4463"/>
        <w:gridCol w:w="1996"/>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918" w:type="dxa"/>
            <w:vAlign w:val="center"/>
          </w:tcPr>
          <w:p>
            <w:pPr>
              <w:adjustRightInd w:val="0"/>
              <w:snapToGrid w:val="0"/>
              <w:jc w:val="center"/>
              <w:rPr>
                <w:rFonts w:ascii="仿宋_GB2312" w:hAnsi="宋体" w:eastAsia="仿宋_GB2312"/>
                <w:b/>
                <w:sz w:val="24"/>
              </w:rPr>
            </w:pPr>
            <w:r>
              <w:rPr>
                <w:rFonts w:hint="eastAsia" w:ascii="仿宋_GB2312" w:hAnsi="宋体" w:eastAsia="仿宋_GB2312"/>
                <w:b/>
                <w:sz w:val="24"/>
              </w:rPr>
              <w:t>序号</w:t>
            </w:r>
          </w:p>
        </w:tc>
        <w:tc>
          <w:tcPr>
            <w:tcW w:w="4463" w:type="dxa"/>
            <w:vAlign w:val="center"/>
          </w:tcPr>
          <w:p>
            <w:pPr>
              <w:adjustRightInd w:val="0"/>
              <w:snapToGrid w:val="0"/>
              <w:jc w:val="center"/>
              <w:rPr>
                <w:rFonts w:ascii="仿宋_GB2312" w:hAnsi="宋体" w:eastAsia="仿宋_GB2312"/>
                <w:b/>
                <w:sz w:val="24"/>
              </w:rPr>
            </w:pPr>
            <w:r>
              <w:rPr>
                <w:rFonts w:hint="eastAsia" w:ascii="仿宋_GB2312" w:hAnsi="宋体" w:eastAsia="仿宋_GB2312"/>
                <w:b/>
                <w:sz w:val="24"/>
              </w:rPr>
              <w:t>名称</w:t>
            </w:r>
          </w:p>
        </w:tc>
        <w:tc>
          <w:tcPr>
            <w:tcW w:w="1996" w:type="dxa"/>
            <w:vAlign w:val="center"/>
          </w:tcPr>
          <w:p>
            <w:pPr>
              <w:adjustRightInd w:val="0"/>
              <w:snapToGrid w:val="0"/>
              <w:jc w:val="center"/>
              <w:rPr>
                <w:rFonts w:ascii="仿宋_GB2312" w:hAnsi="宋体" w:eastAsia="仿宋_GB2312"/>
                <w:b/>
                <w:sz w:val="24"/>
              </w:rPr>
            </w:pPr>
            <w:r>
              <w:rPr>
                <w:rFonts w:hint="eastAsia" w:ascii="仿宋_GB2312" w:hAnsi="宋体" w:eastAsia="仿宋_GB2312"/>
                <w:b/>
                <w:sz w:val="24"/>
              </w:rPr>
              <w:t>编号</w:t>
            </w:r>
          </w:p>
        </w:tc>
        <w:tc>
          <w:tcPr>
            <w:tcW w:w="2398" w:type="dxa"/>
            <w:vAlign w:val="center"/>
          </w:tcPr>
          <w:p>
            <w:pPr>
              <w:adjustRightInd w:val="0"/>
              <w:snapToGrid w:val="0"/>
              <w:jc w:val="center"/>
              <w:rPr>
                <w:rFonts w:ascii="仿宋_GB2312" w:hAnsi="宋体" w:eastAsia="仿宋_GB2312"/>
                <w:b/>
                <w:sz w:val="24"/>
              </w:rPr>
            </w:pPr>
            <w:r>
              <w:rPr>
                <w:rFonts w:hint="eastAsia" w:ascii="仿宋_GB2312" w:hAnsi="宋体" w:eastAsia="仿宋_GB2312"/>
                <w:b/>
                <w:sz w:val="24"/>
              </w:rPr>
              <w:t>执行行业（区域）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1</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铅、锌工业污染物排放标准</w:t>
            </w:r>
          </w:p>
          <w:p>
            <w:pPr>
              <w:adjustRightInd w:val="0"/>
              <w:snapToGrid w:val="0"/>
              <w:jc w:val="center"/>
              <w:rPr>
                <w:rFonts w:ascii="仿宋_GB2312" w:eastAsia="仿宋_GB2312"/>
                <w:sz w:val="24"/>
              </w:rPr>
            </w:pPr>
            <w:r>
              <w:rPr>
                <w:rFonts w:hint="eastAsia" w:ascii="仿宋_GB2312" w:eastAsia="仿宋_GB2312"/>
                <w:sz w:val="24"/>
              </w:rPr>
              <w:t>《铅、锌工业污染物排放标准》（GB 25466-2010）修改单</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25466-2010</w:t>
            </w:r>
          </w:p>
          <w:p>
            <w:pPr>
              <w:adjustRightInd w:val="0"/>
              <w:snapToGrid w:val="0"/>
              <w:jc w:val="center"/>
              <w:rPr>
                <w:rFonts w:ascii="仿宋_GB2312" w:eastAsia="仿宋_GB2312"/>
                <w:sz w:val="24"/>
              </w:rPr>
            </w:pPr>
            <w:r>
              <w:rPr>
                <w:rFonts w:hint="eastAsia" w:ascii="仿宋_GB2312" w:eastAsia="仿宋_GB2312"/>
                <w:sz w:val="24"/>
              </w:rPr>
              <w:t>环保部公告2013年第79号</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全省范围有色金属行业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2</w:t>
            </w:r>
          </w:p>
        </w:tc>
        <w:tc>
          <w:tcPr>
            <w:tcW w:w="4463" w:type="dxa"/>
            <w:vAlign w:val="center"/>
          </w:tcPr>
          <w:p>
            <w:pPr>
              <w:adjustRightInd w:val="0"/>
              <w:snapToGrid w:val="0"/>
              <w:jc w:val="center"/>
              <w:rPr>
                <w:rFonts w:ascii="仿宋_GB2312" w:eastAsia="仿宋_GB2312"/>
                <w:sz w:val="24"/>
              </w:rPr>
            </w:pPr>
            <w:r>
              <w:fldChar w:fldCharType="begin"/>
            </w:r>
            <w:r>
              <w:instrText xml:space="preserve"> HYPERLINK "http://kjs.mep.gov.cn/hjbhbz/bzwb/dqhjbh/dqgdwrywrwpfbz/201405/W020140530533213253195.pdf" </w:instrText>
            </w:r>
            <w:r>
              <w:fldChar w:fldCharType="separate"/>
            </w:r>
            <w:r>
              <w:rPr>
                <w:rFonts w:hint="eastAsia" w:ascii="仿宋_GB2312" w:eastAsia="仿宋_GB2312"/>
                <w:sz w:val="24"/>
              </w:rPr>
              <w:t>锡、锑、汞工业污染物排放标准</w:t>
            </w:r>
            <w:r>
              <w:rPr>
                <w:rFonts w:hint="eastAsia" w:ascii="仿宋_GB2312" w:eastAsia="仿宋_GB2312"/>
                <w:sz w:val="24"/>
              </w:rPr>
              <w:fldChar w:fldCharType="end"/>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30770-2014</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全省范围有色金属行业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3</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铜、镍、钴工业污染物排放标准</w:t>
            </w:r>
          </w:p>
          <w:p>
            <w:pPr>
              <w:adjustRightInd w:val="0"/>
              <w:snapToGrid w:val="0"/>
              <w:jc w:val="center"/>
              <w:rPr>
                <w:rFonts w:ascii="仿宋_GB2312" w:eastAsia="仿宋_GB2312"/>
                <w:sz w:val="24"/>
              </w:rPr>
            </w:pPr>
          </w:p>
          <w:p>
            <w:pPr>
              <w:adjustRightInd w:val="0"/>
              <w:snapToGrid w:val="0"/>
              <w:jc w:val="center"/>
              <w:rPr>
                <w:rFonts w:ascii="仿宋_GB2312" w:eastAsia="仿宋_GB2312"/>
                <w:sz w:val="24"/>
              </w:rPr>
            </w:pPr>
            <w:r>
              <w:rPr>
                <w:rFonts w:hint="eastAsia" w:ascii="仿宋_GB2312" w:eastAsia="仿宋_GB2312"/>
                <w:sz w:val="24"/>
              </w:rPr>
              <w:t>《铜、镍、钴工业污染物排放标准》（GB 25467-2010）修改单</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25467-2010</w:t>
            </w:r>
          </w:p>
          <w:p>
            <w:pPr>
              <w:adjustRightInd w:val="0"/>
              <w:snapToGrid w:val="0"/>
              <w:jc w:val="center"/>
              <w:rPr>
                <w:rFonts w:ascii="仿宋_GB2312" w:eastAsia="仿宋_GB2312"/>
                <w:sz w:val="24"/>
              </w:rPr>
            </w:pPr>
            <w:r>
              <w:rPr>
                <w:rFonts w:hint="eastAsia" w:ascii="仿宋_GB2312" w:eastAsia="仿宋_GB2312"/>
                <w:sz w:val="24"/>
              </w:rPr>
              <w:t>环保部公告2013年第79号</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全省范围有色金属行业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4</w:t>
            </w:r>
          </w:p>
        </w:tc>
        <w:tc>
          <w:tcPr>
            <w:tcW w:w="4463" w:type="dxa"/>
            <w:vAlign w:val="center"/>
          </w:tcPr>
          <w:p>
            <w:pPr>
              <w:adjustRightInd w:val="0"/>
              <w:snapToGrid w:val="0"/>
              <w:jc w:val="center"/>
              <w:rPr>
                <w:rFonts w:ascii="仿宋_GB2312" w:eastAsia="仿宋_GB2312"/>
                <w:sz w:val="24"/>
              </w:rPr>
            </w:pPr>
            <w:r>
              <w:fldChar w:fldCharType="begin"/>
            </w:r>
            <w:r>
              <w:instrText xml:space="preserve"> HYPERLINK "http://kjs.mep.gov.cn/hjbhbz/bzwb/dqhjbh/dqgdwrywrwpfbz/201505/W020150506394069081584.pdf" </w:instrText>
            </w:r>
            <w:r>
              <w:fldChar w:fldCharType="separate"/>
            </w:r>
            <w:r>
              <w:rPr>
                <w:rFonts w:hint="eastAsia" w:ascii="仿宋_GB2312" w:eastAsia="仿宋_GB2312"/>
                <w:sz w:val="24"/>
              </w:rPr>
              <w:t>再生铜、铝、铅、锌工业污染物排放标准</w:t>
            </w:r>
            <w:r>
              <w:rPr>
                <w:rFonts w:hint="eastAsia" w:ascii="仿宋_GB2312" w:eastAsia="仿宋_GB2312"/>
                <w:sz w:val="24"/>
              </w:rPr>
              <w:fldChar w:fldCharType="end"/>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31574-2015</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全省范围有色金属行业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 w:hRule="atLeast"/>
          <w:jc w:val="center"/>
        </w:trPr>
        <w:tc>
          <w:tcPr>
            <w:tcW w:w="91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5</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铝工业污染物排放标准</w:t>
            </w:r>
          </w:p>
          <w:p>
            <w:pPr>
              <w:adjustRightInd w:val="0"/>
              <w:snapToGrid w:val="0"/>
              <w:jc w:val="center"/>
              <w:rPr>
                <w:rFonts w:ascii="仿宋_GB2312" w:eastAsia="仿宋_GB2312"/>
                <w:sz w:val="24"/>
              </w:rPr>
            </w:pPr>
            <w:r>
              <w:rPr>
                <w:rFonts w:hint="eastAsia" w:ascii="仿宋_GB2312" w:eastAsia="仿宋_GB2312"/>
                <w:sz w:val="24"/>
              </w:rPr>
              <w:t>《铝工业污染物排放标准》（GB 25465-2010）修改单</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25465-2010</w:t>
            </w:r>
          </w:p>
          <w:p>
            <w:pPr>
              <w:adjustRightInd w:val="0"/>
              <w:snapToGrid w:val="0"/>
              <w:jc w:val="center"/>
              <w:rPr>
                <w:rFonts w:ascii="仿宋_GB2312" w:eastAsia="仿宋_GB2312"/>
                <w:sz w:val="24"/>
              </w:rPr>
            </w:pPr>
            <w:r>
              <w:rPr>
                <w:rFonts w:hint="eastAsia" w:ascii="仿宋_GB2312" w:eastAsia="仿宋_GB2312"/>
                <w:sz w:val="24"/>
              </w:rPr>
              <w:t>环境保护部公告2013年第79号</w:t>
            </w:r>
          </w:p>
        </w:tc>
        <w:tc>
          <w:tcPr>
            <w:tcW w:w="239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全省范围有色金属行业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2" w:hRule="atLeast"/>
          <w:jc w:val="center"/>
        </w:trPr>
        <w:tc>
          <w:tcPr>
            <w:tcW w:w="91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6</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镁、钛工业污染物排放标准</w:t>
            </w:r>
          </w:p>
          <w:p>
            <w:pPr>
              <w:adjustRightInd w:val="0"/>
              <w:snapToGrid w:val="0"/>
              <w:jc w:val="center"/>
              <w:rPr>
                <w:rFonts w:ascii="仿宋_GB2312" w:eastAsia="仿宋_GB2312"/>
                <w:sz w:val="24"/>
              </w:rPr>
            </w:pPr>
            <w:r>
              <w:rPr>
                <w:rFonts w:hint="eastAsia" w:ascii="仿宋_GB2312" w:eastAsia="仿宋_GB2312"/>
                <w:sz w:val="24"/>
              </w:rPr>
              <w:t>《镁、钛工业污染物排放标准》（GB 25468-2010）修改单</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25468-2010</w:t>
            </w:r>
          </w:p>
          <w:p>
            <w:pPr>
              <w:adjustRightInd w:val="0"/>
              <w:snapToGrid w:val="0"/>
              <w:jc w:val="center"/>
              <w:rPr>
                <w:rFonts w:ascii="仿宋_GB2312" w:eastAsia="仿宋_GB2312"/>
                <w:sz w:val="24"/>
              </w:rPr>
            </w:pPr>
            <w:r>
              <w:rPr>
                <w:rFonts w:hint="eastAsia" w:ascii="仿宋_GB2312" w:hAnsi="Times New Roman" w:eastAsia="仿宋_GB2312"/>
                <w:sz w:val="24"/>
              </w:rPr>
              <w:t>环保部公告2013年第79号</w:t>
            </w:r>
          </w:p>
        </w:tc>
        <w:tc>
          <w:tcPr>
            <w:tcW w:w="239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全省范围有色金属行业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7</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钒工业污染物排放标准</w:t>
            </w:r>
          </w:p>
          <w:p>
            <w:pPr>
              <w:adjustRightInd w:val="0"/>
              <w:snapToGrid w:val="0"/>
              <w:jc w:val="center"/>
              <w:rPr>
                <w:rFonts w:ascii="仿宋_GB2312" w:eastAsia="仿宋_GB2312"/>
                <w:sz w:val="24"/>
              </w:rPr>
            </w:pPr>
            <w:r>
              <w:rPr>
                <w:rFonts w:hint="eastAsia" w:ascii="仿宋_GB2312" w:eastAsia="仿宋_GB2312"/>
                <w:sz w:val="24"/>
              </w:rPr>
              <w:t>《钒工业污染物排放标准》（GB 26452-2011）修改单</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26452-2011</w:t>
            </w:r>
          </w:p>
          <w:p>
            <w:pPr>
              <w:adjustRightInd w:val="0"/>
              <w:snapToGrid w:val="0"/>
              <w:jc w:val="center"/>
              <w:rPr>
                <w:rFonts w:ascii="仿宋_GB2312" w:eastAsia="仿宋_GB2312"/>
                <w:sz w:val="24"/>
              </w:rPr>
            </w:pPr>
            <w:r>
              <w:rPr>
                <w:rFonts w:hint="eastAsia" w:ascii="仿宋_GB2312" w:hAnsi="Times New Roman" w:eastAsia="仿宋_GB2312"/>
                <w:sz w:val="24"/>
              </w:rPr>
              <w:t>环保部公告2013年第79号</w:t>
            </w:r>
          </w:p>
        </w:tc>
        <w:tc>
          <w:tcPr>
            <w:tcW w:w="239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全省范围有色金属行业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8</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硫酸工业污染物排放标准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26132-2010</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长沙、株洲、湘潭、岳阳、益阳和常德六市行政区域化工行业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9</w:t>
            </w:r>
          </w:p>
        </w:tc>
        <w:tc>
          <w:tcPr>
            <w:tcW w:w="4463" w:type="dxa"/>
            <w:vAlign w:val="center"/>
          </w:tcPr>
          <w:p>
            <w:pPr>
              <w:adjustRightInd w:val="0"/>
              <w:snapToGrid w:val="0"/>
              <w:jc w:val="center"/>
              <w:rPr>
                <w:rFonts w:ascii="仿宋_GB2312" w:eastAsia="仿宋_GB2312"/>
                <w:sz w:val="24"/>
              </w:rPr>
            </w:pPr>
            <w:r>
              <w:fldChar w:fldCharType="begin"/>
            </w:r>
            <w:r>
              <w:instrText xml:space="preserve"> HYPERLINK "http://kjs.mep.gov.cn/hjbhbz/bzwb/dqhjbh/dqgdwrywrwpfbz/201505/W020150506392976571440.pdf" </w:instrText>
            </w:r>
            <w:r>
              <w:fldChar w:fldCharType="separate"/>
            </w:r>
            <w:r>
              <w:rPr>
                <w:rFonts w:hint="eastAsia" w:ascii="仿宋_GB2312" w:hAnsi="宋体" w:eastAsia="仿宋_GB2312"/>
                <w:sz w:val="24"/>
              </w:rPr>
              <w:t>无机化学工业污染物排放标准</w:t>
            </w:r>
            <w:r>
              <w:rPr>
                <w:rFonts w:hint="eastAsia" w:ascii="仿宋_GB2312" w:hAnsi="宋体" w:eastAsia="仿宋_GB2312"/>
                <w:sz w:val="24"/>
              </w:rPr>
              <w:fldChar w:fldCharType="end"/>
            </w:r>
          </w:p>
        </w:tc>
        <w:tc>
          <w:tcPr>
            <w:tcW w:w="1996" w:type="dxa"/>
            <w:vAlign w:val="center"/>
          </w:tcPr>
          <w:p>
            <w:pPr>
              <w:adjustRightInd w:val="0"/>
              <w:snapToGrid w:val="0"/>
              <w:rPr>
                <w:rFonts w:ascii="仿宋_GB2312" w:hAnsi="Times New Roman" w:eastAsia="仿宋_GB2312"/>
                <w:sz w:val="24"/>
              </w:rPr>
            </w:pPr>
            <w:r>
              <w:rPr>
                <w:rFonts w:hint="eastAsia" w:ascii="仿宋_GB2312" w:hAnsi="Times New Roman" w:eastAsia="仿宋_GB2312"/>
                <w:sz w:val="24"/>
              </w:rPr>
              <w:t>GB 31573-2015</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长沙、株洲、湘潭、岳阳、益阳和常德六市行政区域化工行业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10</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合成树脂工业污染物排放标准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31572-2015</w:t>
            </w:r>
          </w:p>
        </w:tc>
        <w:tc>
          <w:tcPr>
            <w:tcW w:w="239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长沙、株洲、湘潭、岳阳、益阳和常德六市行政区域化工行业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11</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硝酸工业污染物排放标准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26131-2010</w:t>
            </w:r>
          </w:p>
        </w:tc>
        <w:tc>
          <w:tcPr>
            <w:tcW w:w="239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长沙、株洲、湘潭、岳阳、益阳和常德六市行政区域化工行业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12</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烧碱、聚氯乙烯工业污染物排放标准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GB15581-2016</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长沙、株洲、湘潭、岳阳、益阳和常德六市行政区域化工行业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13</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石油炼制工业污染物排放标准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31570-2015</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长沙、株洲、湘潭、岳阳、益阳和常德六市行政区域石油化工行业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14</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石油化学工业污染物排放标准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31571-2015</w:t>
            </w:r>
          </w:p>
        </w:tc>
        <w:tc>
          <w:tcPr>
            <w:tcW w:w="239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长沙、株洲、湘潭、岳阳、益阳和常德六市行政区域石油化工行业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8" w:hRule="exact"/>
          <w:jc w:val="center"/>
        </w:trPr>
        <w:tc>
          <w:tcPr>
            <w:tcW w:w="918" w:type="dxa"/>
            <w:vAlign w:val="center"/>
          </w:tcPr>
          <w:p>
            <w:pPr>
              <w:widowControl/>
              <w:tabs>
                <w:tab w:val="left" w:pos="420"/>
              </w:tabs>
              <w:adjustRightInd w:val="0"/>
              <w:snapToGrid w:val="0"/>
              <w:jc w:val="center"/>
              <w:rPr>
                <w:rFonts w:ascii="仿宋_GB2312" w:eastAsia="仿宋_GB2312"/>
                <w:sz w:val="24"/>
              </w:rPr>
            </w:pPr>
            <w:r>
              <w:rPr>
                <w:rFonts w:hint="eastAsia" w:ascii="仿宋_GB2312" w:eastAsia="仿宋_GB2312"/>
                <w:sz w:val="24"/>
              </w:rPr>
              <w:t>15</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炼焦化学工业污染物排放标准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16171-2012</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长沙、株洲、湘潭、岳阳、益阳和常德六市行政区域焦化行业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8" w:type="dxa"/>
            <w:vAlign w:val="center"/>
          </w:tcPr>
          <w:p>
            <w:pPr>
              <w:adjustRightInd w:val="0"/>
              <w:snapToGrid w:val="0"/>
              <w:jc w:val="center"/>
              <w:rPr>
                <w:rFonts w:ascii="仿宋_GB2312" w:eastAsia="仿宋_GB2312"/>
                <w:sz w:val="24"/>
              </w:rPr>
            </w:pPr>
            <w:r>
              <w:rPr>
                <w:rFonts w:hint="eastAsia" w:ascii="仿宋_GB2312" w:eastAsia="仿宋_GB2312"/>
                <w:sz w:val="24"/>
              </w:rPr>
              <w:t>16</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水泥工业大气污染物排放标准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4915-2013</w:t>
            </w:r>
          </w:p>
        </w:tc>
        <w:tc>
          <w:tcPr>
            <w:tcW w:w="239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全省范围水泥行业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17</w:t>
            </w:r>
          </w:p>
        </w:tc>
        <w:tc>
          <w:tcPr>
            <w:tcW w:w="4463" w:type="dxa"/>
            <w:vAlign w:val="center"/>
          </w:tcPr>
          <w:p>
            <w:pPr>
              <w:adjustRightInd w:val="0"/>
              <w:snapToGrid w:val="0"/>
              <w:jc w:val="center"/>
              <w:rPr>
                <w:rFonts w:ascii="仿宋_GB2312" w:eastAsia="仿宋_GB2312"/>
                <w:sz w:val="24"/>
              </w:rPr>
            </w:pPr>
            <w:r>
              <w:fldChar w:fldCharType="begin"/>
            </w:r>
            <w:r>
              <w:instrText xml:space="preserve"> HYPERLINK "http://kjs.mep.gov.cn/hjbhbz/bzwb/shjbh/swrwpfbz/201207/t20120731_234139.shtml" \t "_blank" \o "铁矿采选工业污染物排放标准" </w:instrText>
            </w:r>
            <w:r>
              <w:fldChar w:fldCharType="separate"/>
            </w:r>
            <w:r>
              <w:rPr>
                <w:rFonts w:hint="eastAsia" w:ascii="仿宋_GB2312" w:eastAsia="仿宋_GB2312"/>
                <w:sz w:val="24"/>
              </w:rPr>
              <w:t>铁矿采选工业污染物排放标准</w:t>
            </w:r>
            <w:r>
              <w:rPr>
                <w:rFonts w:hint="eastAsia" w:ascii="仿宋_GB2312" w:eastAsia="仿宋_GB2312"/>
                <w:sz w:val="24"/>
              </w:rPr>
              <w:fldChar w:fldCharType="end"/>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28661-2012</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全省范围钢铁行业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18</w:t>
            </w:r>
          </w:p>
        </w:tc>
        <w:tc>
          <w:tcPr>
            <w:tcW w:w="4463" w:type="dxa"/>
            <w:vAlign w:val="center"/>
          </w:tcPr>
          <w:p>
            <w:pPr>
              <w:adjustRightInd w:val="0"/>
              <w:snapToGrid w:val="0"/>
              <w:jc w:val="center"/>
              <w:rPr>
                <w:rFonts w:ascii="仿宋_GB2312" w:eastAsia="仿宋_GB2312"/>
                <w:sz w:val="24"/>
              </w:rPr>
            </w:pPr>
            <w:r>
              <w:fldChar w:fldCharType="begin"/>
            </w:r>
            <w:r>
              <w:instrText xml:space="preserve"> HYPERLINK "http://kjs.mep.gov.cn/hjbhbz/bzwb/shjbh/swrwpfbz/201207/W020120731574592701490.pdf" </w:instrText>
            </w:r>
            <w:r>
              <w:fldChar w:fldCharType="separate"/>
            </w:r>
            <w:r>
              <w:rPr>
                <w:rFonts w:hint="eastAsia" w:ascii="仿宋_GB2312" w:eastAsia="仿宋_GB2312"/>
                <w:sz w:val="24"/>
              </w:rPr>
              <w:t>铁合金工业污染物排放标准</w:t>
            </w:r>
            <w:r>
              <w:rPr>
                <w:rFonts w:hint="eastAsia" w:ascii="仿宋_GB2312" w:eastAsia="仿宋_GB2312"/>
                <w:sz w:val="24"/>
              </w:rPr>
              <w:fldChar w:fldCharType="end"/>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28666-2012</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全省范围钢铁行业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19</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钢铁烧结、球团工业大气污染物排放标准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28662-2012</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全省范围钢铁行业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20</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炼铁工业大气污染物排放标准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28663-2012</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全省范围钢铁行业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21</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炼钢工业大气污染物排放标准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28664-2012</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全省范围钢铁行业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22</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轧钢工业大气污染物排放标准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28665-2012</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全省范围钢铁行业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23</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火电厂大气污染物排放标准</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13223-2011</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长沙、株洲、湘潭、岳阳、益阳和常德六市行政区域火电行业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24</w:t>
            </w:r>
          </w:p>
        </w:tc>
        <w:tc>
          <w:tcPr>
            <w:tcW w:w="4463" w:type="dxa"/>
            <w:vAlign w:val="center"/>
          </w:tcPr>
          <w:p>
            <w:pPr>
              <w:adjustRightInd w:val="0"/>
              <w:snapToGrid w:val="0"/>
              <w:jc w:val="center"/>
              <w:rPr>
                <w:rFonts w:ascii="仿宋_GB2312" w:eastAsia="仿宋_GB2312"/>
                <w:sz w:val="24"/>
              </w:rPr>
            </w:pPr>
            <w:r>
              <w:rPr>
                <w:rFonts w:hint="eastAsia" w:ascii="仿宋_GB2312" w:eastAsia="仿宋_GB2312"/>
                <w:sz w:val="24"/>
              </w:rPr>
              <w:t>稀土工业污染物排放标准</w:t>
            </w:r>
          </w:p>
          <w:p>
            <w:pPr>
              <w:adjustRightInd w:val="0"/>
              <w:snapToGrid w:val="0"/>
              <w:jc w:val="center"/>
              <w:rPr>
                <w:rFonts w:ascii="仿宋_GB2312" w:eastAsia="仿宋_GB2312"/>
                <w:sz w:val="24"/>
              </w:rPr>
            </w:pPr>
          </w:p>
          <w:p>
            <w:pPr>
              <w:adjustRightInd w:val="0"/>
              <w:snapToGrid w:val="0"/>
              <w:jc w:val="center"/>
              <w:rPr>
                <w:rFonts w:ascii="仿宋_GB2312" w:eastAsia="仿宋_GB2312"/>
                <w:sz w:val="24"/>
              </w:rPr>
            </w:pPr>
            <w:r>
              <w:rPr>
                <w:rFonts w:hint="eastAsia" w:ascii="仿宋_GB2312" w:eastAsia="仿宋_GB2312"/>
                <w:sz w:val="24"/>
              </w:rPr>
              <w:t>《稀土工业污染物排放标准》（GB 26451-2011）修改单</w:t>
            </w:r>
          </w:p>
        </w:tc>
        <w:tc>
          <w:tcPr>
            <w:tcW w:w="1996" w:type="dxa"/>
            <w:vAlign w:val="center"/>
          </w:tcPr>
          <w:p>
            <w:pPr>
              <w:adjustRightInd w:val="0"/>
              <w:snapToGrid w:val="0"/>
              <w:rPr>
                <w:rFonts w:ascii="仿宋_GB2312" w:eastAsia="仿宋_GB2312"/>
                <w:sz w:val="24"/>
              </w:rPr>
            </w:pPr>
            <w:r>
              <w:rPr>
                <w:rFonts w:hint="eastAsia" w:ascii="仿宋_GB2312" w:eastAsia="仿宋_GB2312"/>
                <w:sz w:val="24"/>
              </w:rPr>
              <w:t>GB 26451-2011</w:t>
            </w:r>
          </w:p>
          <w:p>
            <w:pPr>
              <w:adjustRightInd w:val="0"/>
              <w:snapToGrid w:val="0"/>
              <w:jc w:val="center"/>
              <w:rPr>
                <w:rFonts w:ascii="仿宋_GB2312" w:eastAsia="仿宋_GB2312"/>
                <w:sz w:val="24"/>
              </w:rPr>
            </w:pPr>
            <w:r>
              <w:rPr>
                <w:rFonts w:hint="eastAsia" w:ascii="仿宋_GB2312" w:eastAsia="仿宋_GB2312"/>
                <w:sz w:val="24"/>
              </w:rPr>
              <w:t>环保部公告2013年第79号</w:t>
            </w:r>
          </w:p>
        </w:tc>
        <w:tc>
          <w:tcPr>
            <w:tcW w:w="2398" w:type="dxa"/>
            <w:vAlign w:val="center"/>
          </w:tcPr>
          <w:p>
            <w:pPr>
              <w:autoSpaceDE w:val="0"/>
              <w:adjustRightInd w:val="0"/>
              <w:snapToGrid w:val="0"/>
              <w:outlineLvl w:val="0"/>
              <w:rPr>
                <w:rFonts w:ascii="仿宋_GB2312" w:eastAsia="仿宋_GB2312"/>
                <w:sz w:val="24"/>
              </w:rPr>
            </w:pPr>
            <w:r>
              <w:rPr>
                <w:rFonts w:hint="eastAsia" w:ascii="仿宋_GB2312" w:eastAsia="仿宋_GB2312"/>
                <w:sz w:val="24"/>
              </w:rPr>
              <w:t>暂不执行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8"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25</w:t>
            </w:r>
          </w:p>
        </w:tc>
        <w:tc>
          <w:tcPr>
            <w:tcW w:w="4463" w:type="dxa"/>
            <w:vAlign w:val="center"/>
          </w:tcPr>
          <w:p>
            <w:pPr>
              <w:adjustRightInd w:val="0"/>
              <w:snapToGrid w:val="0"/>
              <w:jc w:val="center"/>
              <w:rPr>
                <w:rFonts w:ascii="仿宋_GB2312" w:hAnsi="宋体" w:eastAsia="仿宋_GB2312" w:cs="仿宋_GB2312"/>
                <w:sz w:val="24"/>
              </w:rPr>
            </w:pPr>
            <w:r>
              <w:rPr>
                <w:rFonts w:hint="eastAsia" w:ascii="仿宋_GB2312" w:hAnsi="宋体" w:eastAsia="仿宋_GB2312" w:cs="仿宋_GB2312"/>
                <w:sz w:val="24"/>
              </w:rPr>
              <w:t>锅炉大气污染物排放标准</w:t>
            </w:r>
          </w:p>
        </w:tc>
        <w:tc>
          <w:tcPr>
            <w:tcW w:w="1996" w:type="dxa"/>
            <w:vAlign w:val="center"/>
          </w:tcPr>
          <w:p>
            <w:pPr>
              <w:adjustRightInd w:val="0"/>
              <w:snapToGrid w:val="0"/>
              <w:rPr>
                <w:rFonts w:ascii="仿宋_GB2312" w:hAnsi="宋体" w:eastAsia="仿宋_GB2312" w:cs="仿宋_GB2312"/>
                <w:sz w:val="24"/>
              </w:rPr>
            </w:pPr>
            <w:r>
              <w:rPr>
                <w:rFonts w:hint="eastAsia" w:ascii="仿宋_GB2312" w:hAnsi="宋体" w:eastAsia="仿宋_GB2312" w:cs="仿宋_GB2312"/>
                <w:sz w:val="24"/>
              </w:rPr>
              <w:t>GB13271-2014</w:t>
            </w:r>
          </w:p>
        </w:tc>
        <w:tc>
          <w:tcPr>
            <w:tcW w:w="2398" w:type="dxa"/>
            <w:vAlign w:val="center"/>
          </w:tcPr>
          <w:p>
            <w:pPr>
              <w:autoSpaceDE w:val="0"/>
              <w:adjustRightInd w:val="0"/>
              <w:snapToGrid w:val="0"/>
              <w:jc w:val="center"/>
              <w:outlineLvl w:val="0"/>
              <w:rPr>
                <w:rFonts w:ascii="仿宋_GB2312" w:eastAsia="仿宋_GB2312"/>
                <w:sz w:val="24"/>
              </w:rPr>
            </w:pPr>
            <w:r>
              <w:rPr>
                <w:rFonts w:hint="eastAsia" w:ascii="仿宋_GB2312" w:eastAsia="仿宋_GB2312"/>
                <w:sz w:val="24"/>
              </w:rPr>
              <w:t>长沙、株洲、湘潭、岳阳、益阳和常德六市行政区域执行</w:t>
            </w:r>
          </w:p>
        </w:tc>
      </w:tr>
    </w:tbl>
    <w:p>
      <w:pPr>
        <w:spacing w:line="600" w:lineRule="exact"/>
        <w:ind w:firstLine="640" w:firstLineChars="200"/>
        <w:rPr>
          <w:rFonts w:ascii="仿宋_GB2312" w:hAnsi="仿宋_GB2312" w:eastAsia="仿宋_GB2312" w:cs="仿宋_GB2312"/>
          <w:b/>
          <w:sz w:val="44"/>
          <w:szCs w:val="44"/>
        </w:rPr>
      </w:pPr>
      <w:r>
        <w:rPr>
          <w:rFonts w:hint="eastAsia" w:ascii="仿宋_GB2312" w:eastAsia="仿宋_GB2312"/>
          <w:sz w:val="32"/>
          <w:szCs w:val="32"/>
        </w:rPr>
        <w:t>3.根据《国务院关于印发土壤污染防治行动计划的通知》（国发〔2016〕31号）的要求，自2017年起，在湖南等省份矿产资源开发活动集中区域执行重点污染物特别排放限值。根据《湖南省土壤污染防治工作方案》（湘政发〔2017〕4号</w:t>
      </w:r>
      <w:r>
        <w:rPr>
          <w:rFonts w:ascii="仿宋_GB2312" w:eastAsia="仿宋_GB2312"/>
          <w:sz w:val="32"/>
          <w:szCs w:val="32"/>
        </w:rPr>
        <w:t>）</w:t>
      </w:r>
      <w:r>
        <w:rPr>
          <w:rFonts w:hint="eastAsia" w:ascii="仿宋_GB2312" w:eastAsia="仿宋_GB2312"/>
          <w:sz w:val="32"/>
          <w:szCs w:val="32"/>
        </w:rPr>
        <w:t>,2017年起，在矿产资源开发活动集中的临武县、常宁市、花垣县等县市执行重点污染物特别排放限值。因此计划对我省矿产资源开发利用及涉重金属生产活动集中区域执行特别排放限值。根据我省矿产资源开发利用及涉重金属生产活动情况，主要涉及有色金属、电镀、电池、化工、钢铁等5个行业，因此共筛选出11个特别排放标准（见表3）。在污染物的选择上，主要考虑的是镉、汞、砷、铅、铬、锑等6种主要重金属污染物。在此基础上，对不同标准增加了锌、锡、铜、镍、钼、单位产品基准排水量等等污染物以及大气污染物等特别排放要求（详见</w:t>
      </w:r>
      <w:r>
        <w:rPr>
          <w:rFonts w:ascii="仿宋_GB2312" w:hAnsi="Times New Roman" w:eastAsia="仿宋_GB2312"/>
          <w:kern w:val="0"/>
          <w:sz w:val="32"/>
          <w:szCs w:val="32"/>
        </w:rPr>
        <w:t>《湖南省执行污染物特别排放限值标准表（征求意见稿）》</w:t>
      </w:r>
      <w:r>
        <w:rPr>
          <w:rFonts w:hint="eastAsia" w:ascii="仿宋_GB2312" w:eastAsia="仿宋_GB2312"/>
          <w:sz w:val="32"/>
          <w:szCs w:val="32"/>
        </w:rPr>
        <w:t>）。</w:t>
      </w:r>
    </w:p>
    <w:p>
      <w:pPr>
        <w:snapToGrid w:val="0"/>
        <w:jc w:val="center"/>
        <w:rPr>
          <w:rFonts w:ascii="楷体_GB2312" w:hAnsi="宋体" w:eastAsia="楷体_GB2312"/>
          <w:sz w:val="28"/>
        </w:rPr>
      </w:pPr>
    </w:p>
    <w:p>
      <w:pPr>
        <w:spacing w:line="480" w:lineRule="exact"/>
        <w:jc w:val="center"/>
        <w:rPr>
          <w:rFonts w:ascii="楷体_GB2312" w:hAnsi="宋体" w:eastAsia="楷体_GB2312"/>
          <w:sz w:val="28"/>
        </w:rPr>
      </w:pPr>
      <w:r>
        <w:rPr>
          <w:rFonts w:hint="eastAsia" w:ascii="楷体_GB2312" w:hAnsi="宋体" w:eastAsia="楷体_GB2312"/>
          <w:sz w:val="28"/>
        </w:rPr>
        <w:t>表3矿产资源开发利用及涉重金属生产活动集中区域</w:t>
      </w:r>
      <w:r>
        <w:rPr>
          <w:rFonts w:ascii="楷体_GB2312" w:hAnsi="宋体" w:eastAsia="楷体_GB2312"/>
          <w:sz w:val="28"/>
        </w:rPr>
        <w:br w:type="textWrapping"/>
      </w:r>
      <w:r>
        <w:rPr>
          <w:rFonts w:hint="eastAsia" w:ascii="楷体_GB2312" w:hAnsi="宋体" w:eastAsia="楷体_GB2312"/>
          <w:sz w:val="28"/>
        </w:rPr>
        <w:t>执行特别排放限值标准</w:t>
      </w:r>
    </w:p>
    <w:p>
      <w:pPr>
        <w:snapToGrid w:val="0"/>
        <w:jc w:val="center"/>
        <w:rPr>
          <w:rFonts w:ascii="楷体_GB2312" w:hAnsi="宋体" w:eastAsia="楷体_GB2312"/>
          <w:sz w:val="28"/>
        </w:rPr>
      </w:pPr>
    </w:p>
    <w:tbl>
      <w:tblPr>
        <w:tblStyle w:val="6"/>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3599"/>
        <w:gridCol w:w="2977"/>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8" w:type="dxa"/>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序号</w:t>
            </w:r>
          </w:p>
        </w:tc>
        <w:tc>
          <w:tcPr>
            <w:tcW w:w="3599" w:type="dxa"/>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名称</w:t>
            </w:r>
          </w:p>
        </w:tc>
        <w:tc>
          <w:tcPr>
            <w:tcW w:w="2977" w:type="dxa"/>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编号</w:t>
            </w:r>
          </w:p>
        </w:tc>
        <w:tc>
          <w:tcPr>
            <w:tcW w:w="1250" w:type="dxa"/>
          </w:tcPr>
          <w:p>
            <w:pPr>
              <w:spacing w:line="276" w:lineRule="auto"/>
              <w:jc w:val="center"/>
              <w:rPr>
                <w:rFonts w:ascii="仿宋_GB2312" w:hAnsi="宋体" w:eastAsia="仿宋_GB2312"/>
                <w:b/>
                <w:sz w:val="24"/>
              </w:rPr>
            </w:pPr>
            <w:r>
              <w:rPr>
                <w:rFonts w:hint="eastAsia" w:ascii="仿宋_GB2312" w:hAnsi="宋体" w:eastAsia="仿宋_GB2312"/>
                <w:b/>
                <w:sz w:val="24"/>
              </w:rPr>
              <w:t>执行行业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widowControl/>
              <w:adjustRightInd w:val="0"/>
              <w:snapToGrid w:val="0"/>
              <w:spacing w:line="276" w:lineRule="auto"/>
              <w:jc w:val="center"/>
              <w:rPr>
                <w:rFonts w:ascii="仿宋_GB2312" w:eastAsia="仿宋_GB2312"/>
                <w:sz w:val="24"/>
              </w:rPr>
            </w:pPr>
            <w:r>
              <w:rPr>
                <w:rFonts w:hint="eastAsia" w:ascii="仿宋_GB2312" w:eastAsia="仿宋_GB2312"/>
                <w:sz w:val="24"/>
              </w:rPr>
              <w:t>1</w:t>
            </w:r>
          </w:p>
        </w:tc>
        <w:tc>
          <w:tcPr>
            <w:tcW w:w="3599" w:type="dxa"/>
            <w:vAlign w:val="center"/>
          </w:tcPr>
          <w:p>
            <w:pPr>
              <w:spacing w:line="276" w:lineRule="auto"/>
              <w:jc w:val="center"/>
              <w:rPr>
                <w:rFonts w:ascii="仿宋_GB2312" w:eastAsia="仿宋_GB2312"/>
                <w:sz w:val="24"/>
              </w:rPr>
            </w:pPr>
            <w:r>
              <w:rPr>
                <w:rFonts w:hint="eastAsia" w:ascii="仿宋_GB2312" w:eastAsia="仿宋_GB2312"/>
                <w:sz w:val="24"/>
              </w:rPr>
              <w:t>铅、锌工业污染物排放标准</w:t>
            </w:r>
          </w:p>
          <w:p>
            <w:pPr>
              <w:spacing w:line="276" w:lineRule="auto"/>
              <w:jc w:val="center"/>
              <w:rPr>
                <w:rFonts w:ascii="仿宋_GB2312" w:eastAsia="仿宋_GB2312"/>
                <w:sz w:val="24"/>
              </w:rPr>
            </w:pPr>
            <w:r>
              <w:rPr>
                <w:rFonts w:hint="eastAsia" w:ascii="仿宋_GB2312" w:eastAsia="仿宋_GB2312"/>
                <w:sz w:val="24"/>
              </w:rPr>
              <w:t>《铅、锌工业污染物排放标准》（GB 25466-2010）修改单</w:t>
            </w:r>
          </w:p>
        </w:tc>
        <w:tc>
          <w:tcPr>
            <w:tcW w:w="2977" w:type="dxa"/>
            <w:vAlign w:val="center"/>
          </w:tcPr>
          <w:p>
            <w:pPr>
              <w:spacing w:line="276" w:lineRule="auto"/>
              <w:jc w:val="center"/>
              <w:rPr>
                <w:rFonts w:ascii="仿宋_GB2312" w:eastAsia="仿宋_GB2312"/>
                <w:sz w:val="24"/>
              </w:rPr>
            </w:pPr>
            <w:r>
              <w:rPr>
                <w:rFonts w:hint="eastAsia" w:ascii="仿宋_GB2312" w:eastAsia="仿宋_GB2312"/>
                <w:sz w:val="24"/>
              </w:rPr>
              <w:t>GB 25466-2010</w:t>
            </w:r>
          </w:p>
          <w:p>
            <w:pPr>
              <w:spacing w:line="276" w:lineRule="auto"/>
              <w:jc w:val="center"/>
              <w:rPr>
                <w:rFonts w:ascii="仿宋_GB2312" w:eastAsia="仿宋_GB2312"/>
                <w:sz w:val="24"/>
              </w:rPr>
            </w:pPr>
          </w:p>
          <w:p>
            <w:pPr>
              <w:spacing w:line="276" w:lineRule="auto"/>
              <w:jc w:val="center"/>
              <w:rPr>
                <w:rFonts w:ascii="仿宋_GB2312" w:eastAsia="仿宋_GB2312"/>
                <w:sz w:val="24"/>
              </w:rPr>
            </w:pPr>
            <w:r>
              <w:rPr>
                <w:rFonts w:hint="eastAsia" w:ascii="仿宋_GB2312" w:eastAsia="仿宋_GB2312"/>
                <w:sz w:val="24"/>
              </w:rPr>
              <w:t>环保部公告2013年第79号</w:t>
            </w:r>
          </w:p>
        </w:tc>
        <w:tc>
          <w:tcPr>
            <w:tcW w:w="1250" w:type="dxa"/>
            <w:vAlign w:val="center"/>
          </w:tcPr>
          <w:p>
            <w:pPr>
              <w:autoSpaceDE w:val="0"/>
              <w:spacing w:line="276" w:lineRule="auto"/>
              <w:jc w:val="center"/>
              <w:outlineLvl w:val="0"/>
              <w:rPr>
                <w:rFonts w:ascii="仿宋_GB2312" w:eastAsia="仿宋_GB2312"/>
                <w:sz w:val="24"/>
              </w:rPr>
            </w:pPr>
            <w:r>
              <w:rPr>
                <w:rFonts w:hint="eastAsia" w:ascii="仿宋_GB2312" w:eastAsia="仿宋_GB2312"/>
                <w:sz w:val="24"/>
              </w:rPr>
              <w:t>有色金属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38" w:type="dxa"/>
            <w:vAlign w:val="center"/>
          </w:tcPr>
          <w:p>
            <w:pPr>
              <w:widowControl/>
              <w:adjustRightInd w:val="0"/>
              <w:snapToGrid w:val="0"/>
              <w:spacing w:line="276" w:lineRule="auto"/>
              <w:jc w:val="center"/>
              <w:rPr>
                <w:rFonts w:ascii="仿宋_GB2312" w:eastAsia="仿宋_GB2312"/>
                <w:sz w:val="24"/>
              </w:rPr>
            </w:pPr>
            <w:r>
              <w:rPr>
                <w:rFonts w:hint="eastAsia" w:ascii="仿宋_GB2312" w:eastAsia="仿宋_GB2312"/>
                <w:sz w:val="24"/>
              </w:rPr>
              <w:t>2</w:t>
            </w:r>
          </w:p>
        </w:tc>
        <w:tc>
          <w:tcPr>
            <w:tcW w:w="3599" w:type="dxa"/>
            <w:vAlign w:val="center"/>
          </w:tcPr>
          <w:p>
            <w:pPr>
              <w:spacing w:line="276" w:lineRule="auto"/>
              <w:jc w:val="center"/>
              <w:rPr>
                <w:rFonts w:ascii="仿宋_GB2312" w:eastAsia="仿宋_GB2312"/>
                <w:sz w:val="24"/>
              </w:rPr>
            </w:pPr>
            <w:r>
              <w:fldChar w:fldCharType="begin"/>
            </w:r>
            <w:r>
              <w:instrText xml:space="preserve"> HYPERLINK "http://kjs.mep.gov.cn/hjbhbz/bzwb/dqhjbh/dqgdwrywrwpfbz/201405/W020140530533213253195.pdf" </w:instrText>
            </w:r>
            <w:r>
              <w:fldChar w:fldCharType="separate"/>
            </w:r>
            <w:r>
              <w:rPr>
                <w:rFonts w:hint="eastAsia" w:ascii="仿宋_GB2312" w:eastAsia="仿宋_GB2312"/>
                <w:sz w:val="24"/>
              </w:rPr>
              <w:t>锡、锑、汞工业污染物排放标准</w:t>
            </w:r>
            <w:r>
              <w:rPr>
                <w:rFonts w:hint="eastAsia" w:ascii="仿宋_GB2312" w:eastAsia="仿宋_GB2312"/>
                <w:sz w:val="24"/>
              </w:rPr>
              <w:fldChar w:fldCharType="end"/>
            </w:r>
          </w:p>
        </w:tc>
        <w:tc>
          <w:tcPr>
            <w:tcW w:w="2977" w:type="dxa"/>
            <w:vAlign w:val="center"/>
          </w:tcPr>
          <w:p>
            <w:pPr>
              <w:spacing w:line="276" w:lineRule="auto"/>
              <w:jc w:val="center"/>
              <w:rPr>
                <w:rFonts w:ascii="仿宋_GB2312" w:eastAsia="仿宋_GB2312"/>
                <w:sz w:val="24"/>
              </w:rPr>
            </w:pPr>
            <w:r>
              <w:rPr>
                <w:rFonts w:hint="eastAsia" w:ascii="仿宋_GB2312" w:eastAsia="仿宋_GB2312"/>
                <w:sz w:val="24"/>
              </w:rPr>
              <w:t>GB 30770-2014</w:t>
            </w:r>
          </w:p>
        </w:tc>
        <w:tc>
          <w:tcPr>
            <w:tcW w:w="1250" w:type="dxa"/>
            <w:vAlign w:val="center"/>
          </w:tcPr>
          <w:p>
            <w:pPr>
              <w:autoSpaceDE w:val="0"/>
              <w:spacing w:line="276" w:lineRule="auto"/>
              <w:jc w:val="center"/>
              <w:outlineLvl w:val="0"/>
              <w:rPr>
                <w:rFonts w:ascii="仿宋_GB2312" w:eastAsia="仿宋_GB2312"/>
                <w:sz w:val="24"/>
              </w:rPr>
            </w:pPr>
            <w:r>
              <w:rPr>
                <w:rFonts w:hint="eastAsia" w:ascii="仿宋_GB2312" w:eastAsia="仿宋_GB2312"/>
                <w:sz w:val="24"/>
              </w:rPr>
              <w:t>有色金属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widowControl/>
              <w:adjustRightInd w:val="0"/>
              <w:snapToGrid w:val="0"/>
              <w:spacing w:line="276" w:lineRule="auto"/>
              <w:jc w:val="center"/>
              <w:rPr>
                <w:rFonts w:ascii="仿宋_GB2312" w:eastAsia="仿宋_GB2312"/>
                <w:sz w:val="24"/>
              </w:rPr>
            </w:pPr>
            <w:r>
              <w:rPr>
                <w:rFonts w:hint="eastAsia" w:ascii="仿宋_GB2312" w:eastAsia="仿宋_GB2312"/>
                <w:sz w:val="24"/>
              </w:rPr>
              <w:t>3</w:t>
            </w:r>
          </w:p>
        </w:tc>
        <w:tc>
          <w:tcPr>
            <w:tcW w:w="3599" w:type="dxa"/>
            <w:vAlign w:val="center"/>
          </w:tcPr>
          <w:p>
            <w:pPr>
              <w:spacing w:line="276" w:lineRule="auto"/>
              <w:jc w:val="center"/>
              <w:rPr>
                <w:rFonts w:ascii="仿宋_GB2312" w:eastAsia="仿宋_GB2312"/>
                <w:sz w:val="24"/>
              </w:rPr>
            </w:pPr>
            <w:r>
              <w:rPr>
                <w:rFonts w:hint="eastAsia" w:ascii="仿宋_GB2312" w:eastAsia="仿宋_GB2312"/>
                <w:sz w:val="24"/>
              </w:rPr>
              <w:t>铜、镍、钴工业污染物排放标准</w:t>
            </w:r>
          </w:p>
          <w:p>
            <w:pPr>
              <w:spacing w:line="276" w:lineRule="auto"/>
              <w:jc w:val="center"/>
              <w:rPr>
                <w:rFonts w:ascii="仿宋_GB2312" w:eastAsia="仿宋_GB2312"/>
                <w:sz w:val="24"/>
              </w:rPr>
            </w:pPr>
            <w:r>
              <w:rPr>
                <w:rFonts w:hint="eastAsia" w:ascii="仿宋_GB2312" w:eastAsia="仿宋_GB2312"/>
                <w:sz w:val="24"/>
              </w:rPr>
              <w:t>《铜、镍、钴工业污染物排放标准》（GB 25467-2010）修改单</w:t>
            </w:r>
          </w:p>
        </w:tc>
        <w:tc>
          <w:tcPr>
            <w:tcW w:w="2977" w:type="dxa"/>
            <w:vAlign w:val="center"/>
          </w:tcPr>
          <w:p>
            <w:pPr>
              <w:spacing w:line="276" w:lineRule="auto"/>
              <w:jc w:val="center"/>
              <w:rPr>
                <w:rFonts w:ascii="仿宋_GB2312" w:eastAsia="仿宋_GB2312"/>
                <w:sz w:val="24"/>
              </w:rPr>
            </w:pPr>
            <w:r>
              <w:rPr>
                <w:rFonts w:hint="eastAsia" w:ascii="仿宋_GB2312" w:eastAsia="仿宋_GB2312"/>
                <w:sz w:val="24"/>
              </w:rPr>
              <w:t>GB 25467-2010</w:t>
            </w:r>
          </w:p>
          <w:p>
            <w:pPr>
              <w:spacing w:line="276" w:lineRule="auto"/>
              <w:jc w:val="center"/>
              <w:rPr>
                <w:rFonts w:ascii="仿宋_GB2312" w:eastAsia="仿宋_GB2312"/>
                <w:sz w:val="24"/>
              </w:rPr>
            </w:pPr>
          </w:p>
          <w:p>
            <w:pPr>
              <w:spacing w:line="276" w:lineRule="auto"/>
              <w:jc w:val="center"/>
              <w:rPr>
                <w:rFonts w:ascii="仿宋_GB2312" w:eastAsia="仿宋_GB2312"/>
                <w:sz w:val="24"/>
              </w:rPr>
            </w:pPr>
            <w:r>
              <w:rPr>
                <w:rFonts w:hint="eastAsia" w:ascii="仿宋_GB2312" w:eastAsia="仿宋_GB2312"/>
                <w:sz w:val="24"/>
              </w:rPr>
              <w:t>环保部公告2013年第79号</w:t>
            </w:r>
          </w:p>
        </w:tc>
        <w:tc>
          <w:tcPr>
            <w:tcW w:w="1250" w:type="dxa"/>
            <w:vAlign w:val="center"/>
          </w:tcPr>
          <w:p>
            <w:pPr>
              <w:autoSpaceDE w:val="0"/>
              <w:spacing w:line="276" w:lineRule="auto"/>
              <w:jc w:val="center"/>
              <w:outlineLvl w:val="0"/>
              <w:rPr>
                <w:rFonts w:ascii="仿宋_GB2312" w:eastAsia="仿宋_GB2312"/>
                <w:sz w:val="24"/>
              </w:rPr>
            </w:pPr>
            <w:r>
              <w:rPr>
                <w:rFonts w:hint="eastAsia" w:ascii="仿宋_GB2312" w:eastAsia="仿宋_GB2312"/>
                <w:sz w:val="24"/>
              </w:rPr>
              <w:t>有色金属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pPr>
              <w:widowControl/>
              <w:adjustRightInd w:val="0"/>
              <w:snapToGrid w:val="0"/>
              <w:spacing w:line="276" w:lineRule="auto"/>
              <w:jc w:val="center"/>
              <w:rPr>
                <w:rFonts w:ascii="仿宋_GB2312" w:eastAsia="仿宋_GB2312"/>
                <w:sz w:val="24"/>
              </w:rPr>
            </w:pPr>
            <w:r>
              <w:rPr>
                <w:rFonts w:hint="eastAsia" w:ascii="仿宋_GB2312" w:eastAsia="仿宋_GB2312"/>
                <w:sz w:val="24"/>
              </w:rPr>
              <w:t>4</w:t>
            </w:r>
          </w:p>
        </w:tc>
        <w:tc>
          <w:tcPr>
            <w:tcW w:w="3599" w:type="dxa"/>
            <w:vAlign w:val="center"/>
          </w:tcPr>
          <w:p>
            <w:pPr>
              <w:spacing w:line="276" w:lineRule="auto"/>
              <w:jc w:val="center"/>
              <w:rPr>
                <w:rFonts w:ascii="仿宋_GB2312" w:eastAsia="仿宋_GB2312"/>
                <w:sz w:val="24"/>
              </w:rPr>
            </w:pPr>
            <w:r>
              <w:fldChar w:fldCharType="begin"/>
            </w:r>
            <w:r>
              <w:instrText xml:space="preserve"> HYPERLINK "http://kjs.mep.gov.cn/hjbhbz/bzwb/dqhjbh/dqgdwrywrwpfbz/201505/W020150506394069081584.pdf" </w:instrText>
            </w:r>
            <w:r>
              <w:fldChar w:fldCharType="separate"/>
            </w:r>
            <w:r>
              <w:rPr>
                <w:rFonts w:hint="eastAsia" w:ascii="仿宋_GB2312" w:eastAsia="仿宋_GB2312"/>
                <w:sz w:val="24"/>
              </w:rPr>
              <w:t>再生铜、铝、铅、锌工业污染物排放标准</w:t>
            </w:r>
            <w:r>
              <w:rPr>
                <w:rFonts w:hint="eastAsia" w:ascii="仿宋_GB2312" w:eastAsia="仿宋_GB2312"/>
                <w:sz w:val="24"/>
              </w:rPr>
              <w:fldChar w:fldCharType="end"/>
            </w:r>
          </w:p>
        </w:tc>
        <w:tc>
          <w:tcPr>
            <w:tcW w:w="2977" w:type="dxa"/>
            <w:vAlign w:val="center"/>
          </w:tcPr>
          <w:p>
            <w:pPr>
              <w:spacing w:line="276" w:lineRule="auto"/>
              <w:jc w:val="center"/>
              <w:rPr>
                <w:rFonts w:ascii="仿宋_GB2312" w:eastAsia="仿宋_GB2312"/>
                <w:sz w:val="24"/>
              </w:rPr>
            </w:pPr>
            <w:r>
              <w:rPr>
                <w:rFonts w:hint="eastAsia" w:ascii="仿宋_GB2312" w:eastAsia="仿宋_GB2312"/>
                <w:sz w:val="24"/>
              </w:rPr>
              <w:t>GB 31574-2015</w:t>
            </w:r>
          </w:p>
        </w:tc>
        <w:tc>
          <w:tcPr>
            <w:tcW w:w="1250" w:type="dxa"/>
            <w:vAlign w:val="center"/>
          </w:tcPr>
          <w:p>
            <w:pPr>
              <w:autoSpaceDE w:val="0"/>
              <w:spacing w:line="276" w:lineRule="auto"/>
              <w:jc w:val="center"/>
              <w:outlineLvl w:val="0"/>
              <w:rPr>
                <w:rFonts w:ascii="仿宋_GB2312" w:eastAsia="仿宋_GB2312"/>
                <w:sz w:val="24"/>
              </w:rPr>
            </w:pPr>
            <w:r>
              <w:rPr>
                <w:rFonts w:hint="eastAsia" w:ascii="仿宋_GB2312" w:eastAsia="仿宋_GB2312"/>
                <w:sz w:val="24"/>
              </w:rPr>
              <w:t>有色金属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Align w:val="center"/>
          </w:tcPr>
          <w:p>
            <w:pPr>
              <w:widowControl/>
              <w:adjustRightInd w:val="0"/>
              <w:snapToGrid w:val="0"/>
              <w:spacing w:line="276" w:lineRule="auto"/>
              <w:jc w:val="center"/>
              <w:rPr>
                <w:rFonts w:ascii="仿宋_GB2312" w:eastAsia="仿宋_GB2312"/>
                <w:sz w:val="24"/>
              </w:rPr>
            </w:pPr>
            <w:r>
              <w:rPr>
                <w:rFonts w:hint="eastAsia" w:ascii="仿宋_GB2312" w:eastAsia="仿宋_GB2312"/>
                <w:sz w:val="24"/>
              </w:rPr>
              <w:t>5</w:t>
            </w:r>
          </w:p>
        </w:tc>
        <w:tc>
          <w:tcPr>
            <w:tcW w:w="3599" w:type="dxa"/>
            <w:vAlign w:val="center"/>
          </w:tcPr>
          <w:p>
            <w:pPr>
              <w:spacing w:line="276" w:lineRule="auto"/>
              <w:jc w:val="center"/>
              <w:rPr>
                <w:rFonts w:ascii="仿宋_GB2312" w:eastAsia="仿宋_GB2312"/>
                <w:sz w:val="24"/>
              </w:rPr>
            </w:pPr>
            <w:r>
              <w:rPr>
                <w:rFonts w:hint="eastAsia" w:ascii="仿宋_GB2312" w:eastAsia="仿宋_GB2312"/>
                <w:sz w:val="24"/>
              </w:rPr>
              <w:t>电镀污染物排放标准</w:t>
            </w:r>
          </w:p>
        </w:tc>
        <w:tc>
          <w:tcPr>
            <w:tcW w:w="2977" w:type="dxa"/>
            <w:vAlign w:val="center"/>
          </w:tcPr>
          <w:p>
            <w:pPr>
              <w:spacing w:line="276" w:lineRule="auto"/>
              <w:jc w:val="center"/>
              <w:rPr>
                <w:rFonts w:ascii="仿宋_GB2312" w:eastAsia="仿宋_GB2312"/>
                <w:sz w:val="24"/>
              </w:rPr>
            </w:pPr>
            <w:r>
              <w:rPr>
                <w:rFonts w:hint="eastAsia" w:ascii="仿宋_GB2312" w:eastAsia="仿宋_GB2312"/>
                <w:sz w:val="24"/>
              </w:rPr>
              <w:t>GB21900-2008</w:t>
            </w:r>
          </w:p>
        </w:tc>
        <w:tc>
          <w:tcPr>
            <w:tcW w:w="1250" w:type="dxa"/>
            <w:vAlign w:val="center"/>
          </w:tcPr>
          <w:p>
            <w:pPr>
              <w:autoSpaceDE w:val="0"/>
              <w:spacing w:line="276" w:lineRule="auto"/>
              <w:jc w:val="center"/>
              <w:outlineLvl w:val="0"/>
              <w:rPr>
                <w:rFonts w:ascii="仿宋_GB2312" w:eastAsia="仿宋_GB2312"/>
                <w:sz w:val="24"/>
              </w:rPr>
            </w:pPr>
            <w:r>
              <w:rPr>
                <w:rFonts w:hint="eastAsia" w:ascii="仿宋_GB2312" w:eastAsia="仿宋_GB2312"/>
                <w:sz w:val="24"/>
              </w:rPr>
              <w:t>电镀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Align w:val="center"/>
          </w:tcPr>
          <w:p>
            <w:pPr>
              <w:widowControl/>
              <w:adjustRightInd w:val="0"/>
              <w:snapToGrid w:val="0"/>
              <w:spacing w:line="276" w:lineRule="auto"/>
              <w:jc w:val="center"/>
              <w:rPr>
                <w:rFonts w:ascii="仿宋_GB2312" w:eastAsia="仿宋_GB2312"/>
                <w:sz w:val="24"/>
              </w:rPr>
            </w:pPr>
            <w:r>
              <w:rPr>
                <w:rFonts w:hint="eastAsia" w:ascii="仿宋_GB2312" w:eastAsia="仿宋_GB2312"/>
                <w:sz w:val="24"/>
              </w:rPr>
              <w:t>6</w:t>
            </w:r>
          </w:p>
        </w:tc>
        <w:tc>
          <w:tcPr>
            <w:tcW w:w="3599" w:type="dxa"/>
            <w:vAlign w:val="center"/>
          </w:tcPr>
          <w:p>
            <w:pPr>
              <w:spacing w:line="276" w:lineRule="auto"/>
              <w:jc w:val="center"/>
              <w:rPr>
                <w:rFonts w:ascii="仿宋_GB2312" w:eastAsia="仿宋_GB2312"/>
                <w:sz w:val="24"/>
              </w:rPr>
            </w:pPr>
            <w:r>
              <w:rPr>
                <w:rFonts w:hint="eastAsia" w:ascii="仿宋_GB2312" w:eastAsia="仿宋_GB2312"/>
                <w:sz w:val="24"/>
              </w:rPr>
              <w:t>电池工业污染物排放标准</w:t>
            </w:r>
          </w:p>
        </w:tc>
        <w:tc>
          <w:tcPr>
            <w:tcW w:w="2977" w:type="dxa"/>
            <w:vAlign w:val="center"/>
          </w:tcPr>
          <w:p>
            <w:pPr>
              <w:spacing w:line="276" w:lineRule="auto"/>
              <w:jc w:val="center"/>
              <w:rPr>
                <w:rFonts w:ascii="仿宋_GB2312" w:eastAsia="仿宋_GB2312"/>
                <w:sz w:val="24"/>
              </w:rPr>
            </w:pPr>
            <w:r>
              <w:rPr>
                <w:rFonts w:hint="eastAsia" w:ascii="仿宋_GB2312" w:eastAsia="仿宋_GB2312"/>
                <w:sz w:val="24"/>
              </w:rPr>
              <w:t>GB 30484-2013</w:t>
            </w:r>
          </w:p>
        </w:tc>
        <w:tc>
          <w:tcPr>
            <w:tcW w:w="1250" w:type="dxa"/>
            <w:vAlign w:val="center"/>
          </w:tcPr>
          <w:p>
            <w:pPr>
              <w:autoSpaceDE w:val="0"/>
              <w:spacing w:line="276" w:lineRule="auto"/>
              <w:jc w:val="center"/>
              <w:outlineLvl w:val="0"/>
              <w:rPr>
                <w:rFonts w:ascii="仿宋_GB2312" w:eastAsia="仿宋_GB2312"/>
                <w:sz w:val="24"/>
              </w:rPr>
            </w:pPr>
            <w:r>
              <w:rPr>
                <w:rFonts w:hint="eastAsia" w:ascii="仿宋_GB2312" w:eastAsia="仿宋_GB2312"/>
                <w:sz w:val="24"/>
              </w:rPr>
              <w:t>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Align w:val="center"/>
          </w:tcPr>
          <w:p>
            <w:pPr>
              <w:widowControl/>
              <w:adjustRightInd w:val="0"/>
              <w:snapToGrid w:val="0"/>
              <w:spacing w:line="276" w:lineRule="auto"/>
              <w:jc w:val="center"/>
              <w:rPr>
                <w:rFonts w:ascii="仿宋_GB2312" w:eastAsia="仿宋_GB2312"/>
                <w:sz w:val="24"/>
              </w:rPr>
            </w:pPr>
            <w:r>
              <w:rPr>
                <w:rFonts w:hint="eastAsia" w:ascii="仿宋_GB2312" w:eastAsia="仿宋_GB2312"/>
                <w:sz w:val="24"/>
              </w:rPr>
              <w:t>7</w:t>
            </w:r>
          </w:p>
        </w:tc>
        <w:tc>
          <w:tcPr>
            <w:tcW w:w="3599" w:type="dxa"/>
            <w:vAlign w:val="center"/>
          </w:tcPr>
          <w:p>
            <w:pPr>
              <w:spacing w:line="276" w:lineRule="auto"/>
              <w:jc w:val="center"/>
              <w:rPr>
                <w:rFonts w:ascii="仿宋_GB2312" w:eastAsia="仿宋_GB2312"/>
                <w:sz w:val="24"/>
              </w:rPr>
            </w:pPr>
            <w:r>
              <w:rPr>
                <w:rFonts w:hint="eastAsia" w:ascii="仿宋_GB2312" w:eastAsia="仿宋_GB2312"/>
                <w:sz w:val="24"/>
              </w:rPr>
              <w:t>硫酸工业污染物排放标准</w:t>
            </w:r>
          </w:p>
        </w:tc>
        <w:tc>
          <w:tcPr>
            <w:tcW w:w="2977" w:type="dxa"/>
            <w:vAlign w:val="center"/>
          </w:tcPr>
          <w:p>
            <w:pPr>
              <w:spacing w:line="276" w:lineRule="auto"/>
              <w:jc w:val="center"/>
              <w:rPr>
                <w:rFonts w:ascii="仿宋_GB2312" w:eastAsia="仿宋_GB2312"/>
                <w:sz w:val="24"/>
              </w:rPr>
            </w:pPr>
            <w:r>
              <w:rPr>
                <w:rFonts w:hint="eastAsia" w:ascii="仿宋_GB2312" w:eastAsia="仿宋_GB2312"/>
                <w:sz w:val="24"/>
              </w:rPr>
              <w:t>GB 26132-2010</w:t>
            </w:r>
          </w:p>
        </w:tc>
        <w:tc>
          <w:tcPr>
            <w:tcW w:w="1250" w:type="dxa"/>
            <w:vAlign w:val="center"/>
          </w:tcPr>
          <w:p>
            <w:pPr>
              <w:autoSpaceDE w:val="0"/>
              <w:spacing w:line="276" w:lineRule="auto"/>
              <w:jc w:val="center"/>
              <w:outlineLvl w:val="0"/>
              <w:rPr>
                <w:rFonts w:ascii="仿宋_GB2312" w:eastAsia="仿宋_GB2312"/>
                <w:sz w:val="24"/>
              </w:rPr>
            </w:pPr>
            <w:r>
              <w:rPr>
                <w:rFonts w:hint="eastAsia" w:ascii="仿宋_GB2312" w:eastAsia="仿宋_GB2312"/>
                <w:sz w:val="24"/>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938" w:type="dxa"/>
            <w:vAlign w:val="center"/>
          </w:tcPr>
          <w:p>
            <w:pPr>
              <w:widowControl/>
              <w:tabs>
                <w:tab w:val="left" w:pos="420"/>
              </w:tabs>
              <w:adjustRightInd w:val="0"/>
              <w:snapToGrid w:val="0"/>
              <w:spacing w:line="276" w:lineRule="auto"/>
              <w:jc w:val="center"/>
              <w:rPr>
                <w:rFonts w:ascii="仿宋_GB2312" w:eastAsia="仿宋_GB2312"/>
                <w:sz w:val="24"/>
              </w:rPr>
            </w:pPr>
            <w:r>
              <w:rPr>
                <w:rFonts w:hint="eastAsia" w:ascii="仿宋_GB2312" w:eastAsia="仿宋_GB2312"/>
                <w:sz w:val="24"/>
              </w:rPr>
              <w:t>8</w:t>
            </w:r>
          </w:p>
        </w:tc>
        <w:tc>
          <w:tcPr>
            <w:tcW w:w="3599" w:type="dxa"/>
            <w:vAlign w:val="center"/>
          </w:tcPr>
          <w:p>
            <w:pPr>
              <w:spacing w:line="276" w:lineRule="auto"/>
              <w:jc w:val="center"/>
              <w:rPr>
                <w:rFonts w:ascii="仿宋_GB2312" w:eastAsia="仿宋_GB2312"/>
                <w:sz w:val="24"/>
              </w:rPr>
            </w:pPr>
            <w:r>
              <w:fldChar w:fldCharType="begin"/>
            </w:r>
            <w:r>
              <w:instrText xml:space="preserve"> HYPERLINK "http://kjs.mep.gov.cn/hjbhbz/bzwb/dqhjbh/dqgdwrywrwpfbz/201505/W020150506392976571440.pdf" </w:instrText>
            </w:r>
            <w:r>
              <w:fldChar w:fldCharType="separate"/>
            </w:r>
            <w:r>
              <w:rPr>
                <w:rFonts w:hint="eastAsia" w:ascii="仿宋_GB2312" w:hAnsi="宋体" w:eastAsia="仿宋_GB2312"/>
                <w:sz w:val="24"/>
              </w:rPr>
              <w:t>无机化学工业污染物排放标准</w:t>
            </w:r>
            <w:r>
              <w:rPr>
                <w:rFonts w:hint="eastAsia" w:ascii="仿宋_GB2312" w:hAnsi="宋体" w:eastAsia="仿宋_GB2312"/>
                <w:sz w:val="24"/>
              </w:rPr>
              <w:fldChar w:fldCharType="end"/>
            </w:r>
          </w:p>
        </w:tc>
        <w:tc>
          <w:tcPr>
            <w:tcW w:w="2977" w:type="dxa"/>
            <w:vAlign w:val="center"/>
          </w:tcPr>
          <w:p>
            <w:pPr>
              <w:spacing w:line="276" w:lineRule="auto"/>
              <w:jc w:val="center"/>
              <w:rPr>
                <w:rFonts w:ascii="仿宋_GB2312" w:hAnsi="Times New Roman" w:eastAsia="仿宋_GB2312"/>
                <w:sz w:val="24"/>
              </w:rPr>
            </w:pPr>
            <w:r>
              <w:rPr>
                <w:rFonts w:hint="eastAsia" w:ascii="仿宋_GB2312" w:hAnsi="Times New Roman" w:eastAsia="仿宋_GB2312"/>
                <w:sz w:val="24"/>
              </w:rPr>
              <w:t>GB 31573-2015</w:t>
            </w:r>
          </w:p>
        </w:tc>
        <w:tc>
          <w:tcPr>
            <w:tcW w:w="1250" w:type="dxa"/>
            <w:vAlign w:val="center"/>
          </w:tcPr>
          <w:p>
            <w:pPr>
              <w:autoSpaceDE w:val="0"/>
              <w:spacing w:line="276" w:lineRule="auto"/>
              <w:jc w:val="center"/>
              <w:outlineLvl w:val="0"/>
              <w:rPr>
                <w:rFonts w:ascii="仿宋_GB2312" w:eastAsia="仿宋_GB2312"/>
                <w:sz w:val="24"/>
              </w:rPr>
            </w:pPr>
            <w:r>
              <w:rPr>
                <w:rFonts w:hint="eastAsia" w:ascii="仿宋_GB2312" w:eastAsia="仿宋_GB2312"/>
                <w:sz w:val="24"/>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38" w:type="dxa"/>
            <w:vAlign w:val="center"/>
          </w:tcPr>
          <w:p>
            <w:pPr>
              <w:widowControl/>
              <w:adjustRightInd w:val="0"/>
              <w:snapToGrid w:val="0"/>
              <w:spacing w:line="276" w:lineRule="auto"/>
              <w:jc w:val="center"/>
              <w:rPr>
                <w:rFonts w:ascii="仿宋_GB2312" w:eastAsia="仿宋_GB2312"/>
                <w:sz w:val="24"/>
              </w:rPr>
            </w:pPr>
            <w:r>
              <w:rPr>
                <w:rFonts w:hint="eastAsia" w:ascii="仿宋_GB2312" w:eastAsia="仿宋_GB2312"/>
                <w:sz w:val="24"/>
              </w:rPr>
              <w:t>9</w:t>
            </w:r>
          </w:p>
        </w:tc>
        <w:tc>
          <w:tcPr>
            <w:tcW w:w="3599" w:type="dxa"/>
            <w:vAlign w:val="center"/>
          </w:tcPr>
          <w:p>
            <w:pPr>
              <w:spacing w:line="276" w:lineRule="auto"/>
              <w:jc w:val="center"/>
              <w:rPr>
                <w:rFonts w:ascii="仿宋_GB2312" w:eastAsia="仿宋_GB2312"/>
                <w:sz w:val="24"/>
              </w:rPr>
            </w:pPr>
            <w:r>
              <w:fldChar w:fldCharType="begin"/>
            </w:r>
            <w:r>
              <w:instrText xml:space="preserve"> HYPERLINK "http://kjs.mep.gov.cn/hjbhbz/bzwb/shjbh/swrwpfbz/201207/t20120731_234139.shtml" \t "_blank" \o "铁矿采选工业污染物排放标准" </w:instrText>
            </w:r>
            <w:r>
              <w:fldChar w:fldCharType="separate"/>
            </w:r>
            <w:r>
              <w:rPr>
                <w:rFonts w:hint="eastAsia" w:ascii="仿宋_GB2312" w:eastAsia="仿宋_GB2312"/>
                <w:sz w:val="24"/>
              </w:rPr>
              <w:t>铁矿采选工业污染物排放标准</w:t>
            </w:r>
            <w:r>
              <w:rPr>
                <w:rFonts w:hint="eastAsia" w:ascii="仿宋_GB2312" w:eastAsia="仿宋_GB2312"/>
                <w:sz w:val="24"/>
              </w:rPr>
              <w:fldChar w:fldCharType="end"/>
            </w:r>
          </w:p>
        </w:tc>
        <w:tc>
          <w:tcPr>
            <w:tcW w:w="2977" w:type="dxa"/>
            <w:vAlign w:val="center"/>
          </w:tcPr>
          <w:p>
            <w:pPr>
              <w:spacing w:line="276" w:lineRule="auto"/>
              <w:jc w:val="center"/>
              <w:rPr>
                <w:rFonts w:ascii="仿宋_GB2312" w:eastAsia="仿宋_GB2312"/>
                <w:sz w:val="24"/>
              </w:rPr>
            </w:pPr>
            <w:r>
              <w:rPr>
                <w:rFonts w:hint="eastAsia" w:ascii="仿宋_GB2312" w:eastAsia="仿宋_GB2312"/>
                <w:sz w:val="24"/>
              </w:rPr>
              <w:t>GB 28661-2012</w:t>
            </w:r>
          </w:p>
        </w:tc>
        <w:tc>
          <w:tcPr>
            <w:tcW w:w="1250" w:type="dxa"/>
            <w:vAlign w:val="center"/>
          </w:tcPr>
          <w:p>
            <w:pPr>
              <w:autoSpaceDE w:val="0"/>
              <w:spacing w:line="276" w:lineRule="auto"/>
              <w:jc w:val="center"/>
              <w:outlineLvl w:val="0"/>
              <w:rPr>
                <w:rFonts w:ascii="仿宋_GB2312" w:eastAsia="仿宋_GB2312"/>
                <w:sz w:val="24"/>
              </w:rPr>
            </w:pPr>
            <w:r>
              <w:rPr>
                <w:rFonts w:hint="eastAsia" w:ascii="仿宋_GB2312" w:eastAsia="仿宋_GB2312"/>
                <w:sz w:val="24"/>
              </w:rPr>
              <w:t>钢铁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Align w:val="center"/>
          </w:tcPr>
          <w:p>
            <w:pPr>
              <w:widowControl/>
              <w:adjustRightInd w:val="0"/>
              <w:snapToGrid w:val="0"/>
              <w:spacing w:line="276" w:lineRule="auto"/>
              <w:jc w:val="center"/>
              <w:rPr>
                <w:rFonts w:ascii="仿宋_GB2312" w:eastAsia="仿宋_GB2312"/>
                <w:sz w:val="24"/>
              </w:rPr>
            </w:pPr>
            <w:r>
              <w:rPr>
                <w:rFonts w:hint="eastAsia" w:ascii="仿宋_GB2312" w:eastAsia="仿宋_GB2312"/>
                <w:sz w:val="24"/>
              </w:rPr>
              <w:t>10</w:t>
            </w:r>
          </w:p>
        </w:tc>
        <w:tc>
          <w:tcPr>
            <w:tcW w:w="3599" w:type="dxa"/>
            <w:vAlign w:val="center"/>
          </w:tcPr>
          <w:p>
            <w:pPr>
              <w:spacing w:line="276" w:lineRule="auto"/>
              <w:jc w:val="center"/>
              <w:rPr>
                <w:rFonts w:ascii="仿宋_GB2312" w:eastAsia="仿宋_GB2312"/>
                <w:sz w:val="24"/>
              </w:rPr>
            </w:pPr>
            <w:r>
              <w:fldChar w:fldCharType="begin"/>
            </w:r>
            <w:r>
              <w:instrText xml:space="preserve"> HYPERLINK "http://kjs.mep.gov.cn/hjbhbz/bzwb/shjbh/swrwpfbz/201207/W020120731574592701490.pdf" </w:instrText>
            </w:r>
            <w:r>
              <w:fldChar w:fldCharType="separate"/>
            </w:r>
            <w:r>
              <w:rPr>
                <w:rFonts w:hint="eastAsia" w:ascii="仿宋_GB2312" w:eastAsia="仿宋_GB2312"/>
                <w:sz w:val="24"/>
              </w:rPr>
              <w:t>铁合金工业污染物排放标准</w:t>
            </w:r>
            <w:r>
              <w:rPr>
                <w:rFonts w:hint="eastAsia" w:ascii="仿宋_GB2312" w:eastAsia="仿宋_GB2312"/>
                <w:sz w:val="24"/>
              </w:rPr>
              <w:fldChar w:fldCharType="end"/>
            </w:r>
          </w:p>
        </w:tc>
        <w:tc>
          <w:tcPr>
            <w:tcW w:w="2977" w:type="dxa"/>
            <w:vAlign w:val="center"/>
          </w:tcPr>
          <w:p>
            <w:pPr>
              <w:spacing w:line="276" w:lineRule="auto"/>
              <w:jc w:val="center"/>
              <w:rPr>
                <w:rFonts w:ascii="仿宋_GB2312" w:eastAsia="仿宋_GB2312"/>
                <w:sz w:val="24"/>
              </w:rPr>
            </w:pPr>
            <w:r>
              <w:rPr>
                <w:rFonts w:hint="eastAsia" w:ascii="仿宋_GB2312" w:eastAsia="仿宋_GB2312"/>
                <w:sz w:val="24"/>
              </w:rPr>
              <w:t>GB 28666-2012</w:t>
            </w:r>
          </w:p>
        </w:tc>
        <w:tc>
          <w:tcPr>
            <w:tcW w:w="1250" w:type="dxa"/>
            <w:vAlign w:val="center"/>
          </w:tcPr>
          <w:p>
            <w:pPr>
              <w:autoSpaceDE w:val="0"/>
              <w:spacing w:line="276" w:lineRule="auto"/>
              <w:jc w:val="center"/>
              <w:outlineLvl w:val="0"/>
              <w:rPr>
                <w:rFonts w:ascii="仿宋_GB2312" w:eastAsia="仿宋_GB2312"/>
                <w:sz w:val="24"/>
              </w:rPr>
            </w:pPr>
            <w:r>
              <w:rPr>
                <w:rFonts w:hint="eastAsia" w:ascii="仿宋_GB2312" w:eastAsia="仿宋_GB2312"/>
                <w:sz w:val="24"/>
              </w:rPr>
              <w:t>钢铁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38" w:type="dxa"/>
            <w:vAlign w:val="center"/>
          </w:tcPr>
          <w:p>
            <w:pPr>
              <w:widowControl/>
              <w:adjustRightInd w:val="0"/>
              <w:snapToGrid w:val="0"/>
              <w:spacing w:line="276" w:lineRule="auto"/>
              <w:jc w:val="center"/>
              <w:rPr>
                <w:rFonts w:ascii="仿宋_GB2312" w:eastAsia="仿宋_GB2312"/>
                <w:sz w:val="24"/>
              </w:rPr>
            </w:pPr>
            <w:r>
              <w:rPr>
                <w:rFonts w:hint="eastAsia" w:ascii="仿宋_GB2312" w:eastAsia="仿宋_GB2312"/>
                <w:sz w:val="24"/>
              </w:rPr>
              <w:t>11</w:t>
            </w:r>
          </w:p>
        </w:tc>
        <w:tc>
          <w:tcPr>
            <w:tcW w:w="3599" w:type="dxa"/>
            <w:vAlign w:val="center"/>
          </w:tcPr>
          <w:p>
            <w:pPr>
              <w:spacing w:line="276" w:lineRule="auto"/>
              <w:jc w:val="center"/>
              <w:rPr>
                <w:rFonts w:ascii="仿宋_GB2312" w:eastAsia="仿宋_GB2312"/>
                <w:sz w:val="24"/>
              </w:rPr>
            </w:pPr>
            <w:r>
              <w:fldChar w:fldCharType="begin"/>
            </w:r>
            <w:r>
              <w:instrText xml:space="preserve"> HYPERLINK "http://kjs.mep.gov.cn/hjbhbz/bzwb/shjbh/swrwpfbz/201207/W020120803534456338406.pdf" </w:instrText>
            </w:r>
            <w:r>
              <w:fldChar w:fldCharType="separate"/>
            </w:r>
            <w:r>
              <w:rPr>
                <w:rFonts w:hint="eastAsia" w:ascii="仿宋_GB2312" w:eastAsia="仿宋_GB2312"/>
                <w:sz w:val="24"/>
              </w:rPr>
              <w:t>钢铁工业水污染物排放标准</w:t>
            </w:r>
            <w:r>
              <w:rPr>
                <w:rFonts w:hint="eastAsia" w:ascii="仿宋_GB2312" w:eastAsia="仿宋_GB2312"/>
                <w:sz w:val="24"/>
              </w:rPr>
              <w:fldChar w:fldCharType="end"/>
            </w:r>
          </w:p>
        </w:tc>
        <w:tc>
          <w:tcPr>
            <w:tcW w:w="2977" w:type="dxa"/>
            <w:vAlign w:val="center"/>
          </w:tcPr>
          <w:p>
            <w:pPr>
              <w:spacing w:line="276" w:lineRule="auto"/>
              <w:jc w:val="center"/>
              <w:rPr>
                <w:rFonts w:ascii="仿宋_GB2312" w:eastAsia="仿宋_GB2312"/>
                <w:sz w:val="24"/>
              </w:rPr>
            </w:pPr>
            <w:r>
              <w:rPr>
                <w:rFonts w:hint="eastAsia" w:ascii="仿宋_GB2312" w:eastAsia="仿宋_GB2312"/>
                <w:sz w:val="24"/>
              </w:rPr>
              <w:t>GB 13456-2012</w:t>
            </w:r>
          </w:p>
        </w:tc>
        <w:tc>
          <w:tcPr>
            <w:tcW w:w="1250" w:type="dxa"/>
            <w:vAlign w:val="center"/>
          </w:tcPr>
          <w:p>
            <w:pPr>
              <w:autoSpaceDE w:val="0"/>
              <w:spacing w:line="276" w:lineRule="auto"/>
              <w:jc w:val="center"/>
              <w:outlineLvl w:val="0"/>
              <w:rPr>
                <w:rFonts w:ascii="仿宋_GB2312" w:eastAsia="仿宋_GB2312"/>
                <w:sz w:val="24"/>
              </w:rPr>
            </w:pPr>
            <w:r>
              <w:rPr>
                <w:rFonts w:hint="eastAsia" w:ascii="仿宋_GB2312" w:eastAsia="仿宋_GB2312"/>
                <w:sz w:val="24"/>
              </w:rPr>
              <w:t>钢铁</w:t>
            </w:r>
          </w:p>
        </w:tc>
      </w:tr>
    </w:tbl>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4.55个涉及到特别排放标准的标准中还有11个标准未纳入到本次特别排放标准执行标准中（见表4），根据我省当前情况，涉及企业和行业不多、排污量相对不大，所以暂未纳入。</w:t>
      </w:r>
    </w:p>
    <w:p>
      <w:pPr>
        <w:spacing w:line="600" w:lineRule="exact"/>
        <w:jc w:val="center"/>
        <w:rPr>
          <w:rFonts w:ascii="楷体_GB2312" w:hAnsi="宋体" w:eastAsia="楷体_GB2312"/>
          <w:sz w:val="28"/>
        </w:rPr>
      </w:pPr>
      <w:r>
        <w:rPr>
          <w:rFonts w:hint="eastAsia" w:ascii="楷体_GB2312" w:hAnsi="宋体" w:eastAsia="楷体_GB2312"/>
          <w:sz w:val="28"/>
        </w:rPr>
        <w:t>表4 未纳入的相关标准</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4409"/>
        <w:gridCol w:w="2126"/>
        <w:gridCol w:w="1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hRule="atLeast"/>
          <w:jc w:val="center"/>
        </w:trPr>
        <w:tc>
          <w:tcPr>
            <w:tcW w:w="959"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b/>
                <w:kern w:val="0"/>
                <w:sz w:val="24"/>
              </w:rPr>
              <w:t>序号</w:t>
            </w:r>
          </w:p>
        </w:tc>
        <w:tc>
          <w:tcPr>
            <w:tcW w:w="4409" w:type="dxa"/>
            <w:vAlign w:val="center"/>
          </w:tcPr>
          <w:p>
            <w:pPr>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标准名称</w:t>
            </w:r>
          </w:p>
        </w:tc>
        <w:tc>
          <w:tcPr>
            <w:tcW w:w="2126" w:type="dxa"/>
            <w:vAlign w:val="center"/>
          </w:tcPr>
          <w:p>
            <w:pPr>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编号</w:t>
            </w:r>
          </w:p>
        </w:tc>
        <w:tc>
          <w:tcPr>
            <w:tcW w:w="1028" w:type="dxa"/>
            <w:vAlign w:val="center"/>
          </w:tcPr>
          <w:p>
            <w:pPr>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1</w:t>
            </w:r>
          </w:p>
        </w:tc>
        <w:tc>
          <w:tcPr>
            <w:tcW w:w="440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羽绒工业水污染物排放标准</w:t>
            </w:r>
          </w:p>
        </w:tc>
        <w:tc>
          <w:tcPr>
            <w:tcW w:w="2126"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GB 21901-2008</w:t>
            </w:r>
          </w:p>
        </w:tc>
        <w:tc>
          <w:tcPr>
            <w:tcW w:w="1028" w:type="dxa"/>
            <w:vAlign w:val="center"/>
          </w:tcPr>
          <w:p>
            <w:pPr>
              <w:spacing w:line="276"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2</w:t>
            </w:r>
          </w:p>
        </w:tc>
        <w:tc>
          <w:tcPr>
            <w:tcW w:w="440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合成革与人造革工业污染物排放标准</w:t>
            </w:r>
          </w:p>
        </w:tc>
        <w:tc>
          <w:tcPr>
            <w:tcW w:w="2126"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GB 21902-2008</w:t>
            </w:r>
          </w:p>
        </w:tc>
        <w:tc>
          <w:tcPr>
            <w:tcW w:w="1028" w:type="dxa"/>
            <w:vAlign w:val="center"/>
          </w:tcPr>
          <w:p>
            <w:pPr>
              <w:spacing w:line="276"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3</w:t>
            </w:r>
          </w:p>
        </w:tc>
        <w:tc>
          <w:tcPr>
            <w:tcW w:w="440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陶瓷工业污染物排放标准</w:t>
            </w:r>
          </w:p>
          <w:p>
            <w:pPr>
              <w:spacing w:line="276" w:lineRule="auto"/>
              <w:jc w:val="center"/>
              <w:rPr>
                <w:rFonts w:ascii="仿宋_GB2312" w:eastAsia="仿宋_GB2312"/>
                <w:kern w:val="0"/>
                <w:sz w:val="24"/>
              </w:rPr>
            </w:pPr>
            <w:r>
              <w:rPr>
                <w:rFonts w:hint="eastAsia" w:ascii="仿宋_GB2312" w:eastAsia="仿宋_GB2312"/>
                <w:kern w:val="0"/>
                <w:sz w:val="24"/>
              </w:rPr>
              <w:t>《陶瓷工业污染物排放标准》（GB 25464-2010）修改单</w:t>
            </w:r>
          </w:p>
        </w:tc>
        <w:tc>
          <w:tcPr>
            <w:tcW w:w="2126"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GB 25464-2010</w:t>
            </w:r>
          </w:p>
          <w:p>
            <w:pPr>
              <w:spacing w:line="276" w:lineRule="auto"/>
              <w:jc w:val="center"/>
              <w:rPr>
                <w:rFonts w:ascii="仿宋_GB2312" w:eastAsia="仿宋_GB2312"/>
                <w:kern w:val="0"/>
                <w:sz w:val="24"/>
              </w:rPr>
            </w:pPr>
            <w:r>
              <w:rPr>
                <w:rFonts w:hint="eastAsia" w:ascii="仿宋_GB2312" w:eastAsia="仿宋_GB2312"/>
                <w:kern w:val="0"/>
                <w:sz w:val="24"/>
              </w:rPr>
              <w:t>环保部公告2014年第83号</w:t>
            </w:r>
          </w:p>
        </w:tc>
        <w:tc>
          <w:tcPr>
            <w:tcW w:w="1028" w:type="dxa"/>
            <w:vAlign w:val="center"/>
          </w:tcPr>
          <w:p>
            <w:pPr>
              <w:spacing w:line="276"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4</w:t>
            </w:r>
          </w:p>
        </w:tc>
        <w:tc>
          <w:tcPr>
            <w:tcW w:w="440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油墨工业水污染物排放标准</w:t>
            </w:r>
          </w:p>
        </w:tc>
        <w:tc>
          <w:tcPr>
            <w:tcW w:w="2126"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GB25463-2010</w:t>
            </w:r>
          </w:p>
        </w:tc>
        <w:tc>
          <w:tcPr>
            <w:tcW w:w="1028" w:type="dxa"/>
            <w:vAlign w:val="center"/>
          </w:tcPr>
          <w:p>
            <w:pPr>
              <w:spacing w:line="276"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5</w:t>
            </w:r>
          </w:p>
        </w:tc>
        <w:tc>
          <w:tcPr>
            <w:tcW w:w="440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橡胶制品工业污染物排放标准</w:t>
            </w:r>
          </w:p>
        </w:tc>
        <w:tc>
          <w:tcPr>
            <w:tcW w:w="2126"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GB27632-2011</w:t>
            </w:r>
          </w:p>
        </w:tc>
        <w:tc>
          <w:tcPr>
            <w:tcW w:w="1028" w:type="dxa"/>
            <w:vAlign w:val="center"/>
          </w:tcPr>
          <w:p>
            <w:pPr>
              <w:spacing w:line="276"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6</w:t>
            </w:r>
          </w:p>
        </w:tc>
        <w:tc>
          <w:tcPr>
            <w:tcW w:w="440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汽车维修业水污染物排放标准</w:t>
            </w:r>
          </w:p>
        </w:tc>
        <w:tc>
          <w:tcPr>
            <w:tcW w:w="2126"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GB 26877-2011</w:t>
            </w:r>
          </w:p>
        </w:tc>
        <w:tc>
          <w:tcPr>
            <w:tcW w:w="1028" w:type="dxa"/>
            <w:vAlign w:val="center"/>
          </w:tcPr>
          <w:p>
            <w:pPr>
              <w:spacing w:line="276"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7</w:t>
            </w:r>
          </w:p>
        </w:tc>
        <w:tc>
          <w:tcPr>
            <w:tcW w:w="440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弹药装药行业水污染物排放标准</w:t>
            </w:r>
          </w:p>
        </w:tc>
        <w:tc>
          <w:tcPr>
            <w:tcW w:w="2126"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GB 14470.3-2011</w:t>
            </w:r>
          </w:p>
        </w:tc>
        <w:tc>
          <w:tcPr>
            <w:tcW w:w="1028" w:type="dxa"/>
            <w:vAlign w:val="center"/>
          </w:tcPr>
          <w:p>
            <w:pPr>
              <w:spacing w:line="276"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8</w:t>
            </w:r>
          </w:p>
        </w:tc>
        <w:tc>
          <w:tcPr>
            <w:tcW w:w="440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磷肥工业水污染物排放标准</w:t>
            </w:r>
          </w:p>
        </w:tc>
        <w:tc>
          <w:tcPr>
            <w:tcW w:w="2126"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GB 15580-2011</w:t>
            </w:r>
          </w:p>
        </w:tc>
        <w:tc>
          <w:tcPr>
            <w:tcW w:w="1028" w:type="dxa"/>
            <w:vAlign w:val="center"/>
          </w:tcPr>
          <w:p>
            <w:pPr>
              <w:spacing w:line="276"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9</w:t>
            </w:r>
          </w:p>
        </w:tc>
        <w:tc>
          <w:tcPr>
            <w:tcW w:w="440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制革及毛皮加工工业水污染物排放标准</w:t>
            </w:r>
          </w:p>
        </w:tc>
        <w:tc>
          <w:tcPr>
            <w:tcW w:w="2126"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GB 30486-2013</w:t>
            </w:r>
          </w:p>
        </w:tc>
        <w:tc>
          <w:tcPr>
            <w:tcW w:w="1028" w:type="dxa"/>
            <w:vAlign w:val="center"/>
          </w:tcPr>
          <w:p>
            <w:pPr>
              <w:spacing w:line="276"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10</w:t>
            </w:r>
          </w:p>
        </w:tc>
        <w:tc>
          <w:tcPr>
            <w:tcW w:w="440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稀土工业污染物排放标准</w:t>
            </w:r>
          </w:p>
        </w:tc>
        <w:tc>
          <w:tcPr>
            <w:tcW w:w="2126"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GB26451-2011</w:t>
            </w:r>
          </w:p>
        </w:tc>
        <w:tc>
          <w:tcPr>
            <w:tcW w:w="1028" w:type="dxa"/>
            <w:vAlign w:val="center"/>
          </w:tcPr>
          <w:p>
            <w:pPr>
              <w:spacing w:line="276"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11</w:t>
            </w:r>
          </w:p>
        </w:tc>
        <w:tc>
          <w:tcPr>
            <w:tcW w:w="4409"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缫丝工业污染物排放标准</w:t>
            </w:r>
          </w:p>
        </w:tc>
        <w:tc>
          <w:tcPr>
            <w:tcW w:w="2126" w:type="dxa"/>
            <w:vAlign w:val="center"/>
          </w:tcPr>
          <w:p>
            <w:pPr>
              <w:spacing w:line="276" w:lineRule="auto"/>
              <w:jc w:val="center"/>
              <w:rPr>
                <w:rFonts w:ascii="仿宋_GB2312" w:eastAsia="仿宋_GB2312"/>
                <w:kern w:val="0"/>
                <w:sz w:val="24"/>
              </w:rPr>
            </w:pPr>
            <w:r>
              <w:rPr>
                <w:rFonts w:hint="eastAsia" w:ascii="仿宋_GB2312" w:eastAsia="仿宋_GB2312"/>
                <w:kern w:val="0"/>
                <w:sz w:val="24"/>
              </w:rPr>
              <w:t>GB28936-2012</w:t>
            </w:r>
          </w:p>
        </w:tc>
        <w:tc>
          <w:tcPr>
            <w:tcW w:w="1028" w:type="dxa"/>
            <w:vAlign w:val="center"/>
          </w:tcPr>
          <w:p>
            <w:pPr>
              <w:spacing w:line="276" w:lineRule="auto"/>
              <w:jc w:val="center"/>
              <w:rPr>
                <w:rFonts w:ascii="仿宋_GB2312" w:eastAsia="仿宋_GB2312"/>
                <w:kern w:val="0"/>
                <w:sz w:val="24"/>
              </w:rPr>
            </w:pPr>
          </w:p>
        </w:tc>
      </w:tr>
    </w:tbl>
    <w:p>
      <w:pPr>
        <w:ind w:firstLine="420" w:firstLineChars="200"/>
      </w:pPr>
    </w:p>
    <w:p>
      <w:pPr>
        <w:widowControl/>
        <w:spacing w:line="600" w:lineRule="exact"/>
        <w:ind w:firstLine="640" w:firstLineChars="200"/>
        <w:rPr>
          <w:rFonts w:ascii="楷体_GB2312" w:hAnsi="Times New Roman" w:eastAsia="楷体_GB2312"/>
          <w:kern w:val="0"/>
          <w:sz w:val="32"/>
          <w:szCs w:val="32"/>
        </w:rPr>
      </w:pPr>
      <w:r>
        <w:rPr>
          <w:rFonts w:hint="eastAsia" w:ascii="楷体_GB2312" w:hAnsi="Times New Roman" w:eastAsia="楷体_GB2312"/>
          <w:kern w:val="0"/>
          <w:sz w:val="32"/>
          <w:szCs w:val="32"/>
        </w:rPr>
        <w:t>（二）重点区域的选择</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kern w:val="0"/>
          <w:sz w:val="32"/>
          <w:szCs w:val="32"/>
        </w:rPr>
        <w:t>1.</w:t>
      </w:r>
      <w:r>
        <w:rPr>
          <w:rFonts w:hint="eastAsia" w:ascii="仿宋_GB2312" w:hAnsi="Times New Roman" w:eastAsia="仿宋_GB2312"/>
          <w:sz w:val="32"/>
          <w:szCs w:val="32"/>
        </w:rPr>
        <w:t>长江干流（岳阳段）和洞庭湖区共选择长沙市望城区，益阳市赫山区、资阳区、沅江市、桃江县、南县、安化县、大通湖区，岳阳市岳阳楼区、云溪区、君山区、临湘市、</w:t>
      </w:r>
      <w:r>
        <w:rPr>
          <w:rFonts w:hint="eastAsia" w:ascii="仿宋_GB2312" w:hAnsi="Times New Roman" w:eastAsia="仿宋_GB2312"/>
          <w:sz w:val="32"/>
          <w:szCs w:val="32"/>
          <w:lang w:val="en-US" w:eastAsia="zh-CN"/>
        </w:rPr>
        <w:t>汨罗</w:t>
      </w:r>
      <w:r>
        <w:rPr>
          <w:rFonts w:hint="eastAsia" w:ascii="仿宋_GB2312" w:hAnsi="Times New Roman" w:eastAsia="仿宋_GB2312"/>
          <w:sz w:val="32"/>
          <w:szCs w:val="32"/>
        </w:rPr>
        <w:t>市、岳阳县、湘阴县、平江县、华容县、屈原管理区，常德市武陵区、鼎城区、津市市、澧县、临澧县、桃源县、汉寿县、安乡县、石门县、西湖管理区等28个</w:t>
      </w:r>
      <w:r>
        <w:rPr>
          <w:rFonts w:hint="eastAsia" w:ascii="仿宋_GB2312" w:hAnsi="Times New Roman" w:eastAsia="仿宋_GB2312"/>
          <w:kern w:val="0"/>
          <w:sz w:val="32"/>
          <w:szCs w:val="32"/>
        </w:rPr>
        <w:t>县（市、区）</w:t>
      </w:r>
      <w:r>
        <w:rPr>
          <w:rFonts w:hint="eastAsia" w:ascii="仿宋_GB2312" w:hAnsi="Times New Roman" w:eastAsia="仿宋_GB2312"/>
          <w:sz w:val="32"/>
          <w:szCs w:val="32"/>
        </w:rPr>
        <w:t>作为重点区域，执行表1中的特别排放限值。其中，已进入工业园区且废水排入园区污水处理厂的企业暂不执行特别排放限值。</w:t>
      </w:r>
    </w:p>
    <w:p>
      <w:pPr>
        <w:widowControl/>
        <w:spacing w:line="600" w:lineRule="exact"/>
        <w:ind w:firstLine="630"/>
        <w:rPr>
          <w:rFonts w:ascii="仿宋_GB2312" w:hAnsi="Times New Roman" w:eastAsia="仿宋_GB2312"/>
          <w:sz w:val="32"/>
          <w:szCs w:val="32"/>
        </w:rPr>
      </w:pPr>
      <w:r>
        <w:rPr>
          <w:rFonts w:hint="eastAsia" w:ascii="仿宋_GB2312" w:hAnsi="Times New Roman" w:eastAsia="仿宋_GB2312"/>
          <w:kern w:val="0"/>
          <w:sz w:val="32"/>
          <w:szCs w:val="32"/>
        </w:rPr>
        <w:t>2.</w:t>
      </w:r>
      <w:r>
        <w:rPr>
          <w:rFonts w:hint="eastAsia" w:ascii="仿宋_GB2312" w:hAnsi="Times New Roman" w:eastAsia="仿宋_GB2312"/>
          <w:sz w:val="32"/>
          <w:szCs w:val="32"/>
        </w:rPr>
        <w:t>大气污染防治</w:t>
      </w:r>
      <w:bookmarkStart w:id="0" w:name="_GoBack"/>
      <w:bookmarkEnd w:id="0"/>
      <w:r>
        <w:rPr>
          <w:rFonts w:hint="eastAsia" w:ascii="仿宋_GB2312" w:hAnsi="Times New Roman" w:eastAsia="仿宋_GB2312"/>
          <w:sz w:val="32"/>
          <w:szCs w:val="32"/>
        </w:rPr>
        <w:t>特别排放限值区域有所不同，按照重点区域和重点行业区分。把长沙、株洲、湘潭、岳阳、益阳和常德六市行政区域列为我省大气污染防治重点区域，重点区域内现有企业在国家排放标准中已有大气污染物特别排放限值规定的执行特别排放限值。在重点区域外，确定钢铁、焦化、水泥、有色四个行业为我省大气污染防治重点行业，全省范围四个重点行业执行特别排放标准。</w:t>
      </w:r>
    </w:p>
    <w:p>
      <w:pPr>
        <w:widowControl/>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3.在</w:t>
      </w:r>
      <w:r>
        <w:rPr>
          <w:rFonts w:hint="eastAsia" w:ascii="仿宋_GB2312" w:hAnsi="Times New Roman" w:eastAsia="仿宋_GB2312"/>
          <w:sz w:val="32"/>
          <w:szCs w:val="32"/>
        </w:rPr>
        <w:t>矿产资源开发活动集中区域中，</w:t>
      </w:r>
      <w:r>
        <w:rPr>
          <w:rFonts w:hint="eastAsia" w:ascii="仿宋_GB2312" w:hAnsi="Times New Roman" w:eastAsia="仿宋_GB2312"/>
          <w:kern w:val="0"/>
          <w:sz w:val="32"/>
          <w:szCs w:val="32"/>
        </w:rPr>
        <w:t>我省人民政府于2017年已与原环境保护部签订了《湖南省土壤污染防治目标责任书》，要求2017年起，在矿产资源开发活动集中的冷水江市、临湘市、常宁市、临武县、桂阳县、宜章县、新邵县、花垣县、沅陵县、苏仙区、零陵区、永兴县等12个县（市、区）执行重点污染物特别排放限值。江华县、平江县、桃江县、安化、浏阳市、新化县、湘潭县、隆回县、祁东县、攸县、嘉禾县、衡南县、邵东县、慈利县、石门县等15个县（市、区）为我省自行确定需执行特别排放限制的区域。因此，计划对以上27个县（市、区）相关行业执行表3中的特别排放限值。</w:t>
      </w:r>
    </w:p>
    <w:p>
      <w:pPr>
        <w:widowControl/>
        <w:spacing w:line="600" w:lineRule="exact"/>
        <w:ind w:firstLine="640" w:firstLineChars="200"/>
        <w:rPr>
          <w:rFonts w:ascii="楷体_GB2312" w:hAnsi="Times New Roman" w:eastAsia="楷体_GB2312"/>
          <w:kern w:val="0"/>
          <w:sz w:val="32"/>
          <w:szCs w:val="32"/>
        </w:rPr>
      </w:pPr>
      <w:r>
        <w:rPr>
          <w:rFonts w:hint="eastAsia" w:ascii="楷体_GB2312" w:hAnsi="Times New Roman" w:eastAsia="楷体_GB2312"/>
          <w:kern w:val="0"/>
          <w:sz w:val="32"/>
          <w:szCs w:val="32"/>
        </w:rPr>
        <w:t>（三）执行时限的选择</w:t>
      </w:r>
    </w:p>
    <w:p>
      <w:pPr>
        <w:widowControl/>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1.关于在</w:t>
      </w:r>
      <w:r>
        <w:rPr>
          <w:rFonts w:hint="eastAsia" w:ascii="仿宋_GB2312" w:hAnsi="Times New Roman" w:eastAsia="仿宋_GB2312"/>
          <w:sz w:val="32"/>
          <w:szCs w:val="32"/>
        </w:rPr>
        <w:t>长江干流（岳阳段）和洞庭湖区相关重点行业</w:t>
      </w:r>
      <w:r>
        <w:rPr>
          <w:rFonts w:hint="eastAsia" w:ascii="仿宋_GB2312" w:hAnsi="Times New Roman" w:eastAsia="仿宋_GB2312"/>
          <w:kern w:val="0"/>
          <w:sz w:val="32"/>
          <w:szCs w:val="32"/>
        </w:rPr>
        <w:t>执行水污染物特别排放限值和关于在矿产资源开发利用及涉重金属生产活动集中区域执行重金属污染物特别排放限值的时间一致：</w:t>
      </w:r>
    </w:p>
    <w:p>
      <w:pPr>
        <w:widowControl/>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（1）自公告下发之日起，新受理环评的建设项目执行污染物特别排放限值。</w:t>
      </w:r>
    </w:p>
    <w:p>
      <w:pPr>
        <w:widowControl/>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（2）公告下发之前，已建成投产或环境影响评价文件已通过审批项目，自2019年7月1日起执行污染物特别排放限值。</w:t>
      </w:r>
    </w:p>
    <w:p>
      <w:pPr>
        <w:spacing w:line="60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2.关于在重点区域、重点行业执行大气污染物特别排放限值的时间稍有不同：</w:t>
      </w:r>
    </w:p>
    <w:p>
      <w:pPr>
        <w:widowControl/>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（1）自公告下发之日起，新受理环评的建设项目执行污染物特别排放限值。</w:t>
      </w:r>
    </w:p>
    <w:p>
      <w:pPr>
        <w:widowControl/>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（2）已建成投产或环境影响评价文件已通过审批项目，自2019年11月1日起执行污染物特别排放限值。</w:t>
      </w:r>
    </w:p>
    <w:p>
      <w:pPr>
        <w:spacing w:line="60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四、下一步工作计划</w:t>
      </w:r>
    </w:p>
    <w:p>
      <w:pPr>
        <w:adjustRightInd w:val="0"/>
        <w:spacing w:line="600" w:lineRule="exact"/>
        <w:ind w:firstLine="640" w:firstLineChars="200"/>
        <w:rPr>
          <w:rFonts w:ascii="仿宋_GB2312" w:hAnsi="Times New Roman" w:eastAsia="仿宋_GB2312"/>
          <w:b/>
          <w:sz w:val="44"/>
          <w:szCs w:val="44"/>
        </w:rPr>
      </w:pPr>
      <w:r>
        <w:rPr>
          <w:rFonts w:hint="eastAsia" w:ascii="仿宋_GB2312" w:hAnsi="Times New Roman" w:eastAsia="仿宋_GB2312"/>
          <w:sz w:val="32"/>
          <w:szCs w:val="32"/>
        </w:rPr>
        <w:t>（一）明确方案。下一步将根据省直、市州环保局、相关企业、社团组织、个人的意见对《</w:t>
      </w:r>
      <w:r>
        <w:rPr>
          <w:rFonts w:ascii="仿宋_GB2312" w:hAnsi="Times New Roman" w:eastAsia="仿宋_GB2312"/>
          <w:sz w:val="32"/>
          <w:szCs w:val="32"/>
        </w:rPr>
        <w:t>湖南省执行污染物特别排放限</w:t>
      </w:r>
      <w:r>
        <w:rPr>
          <w:rFonts w:hint="eastAsia" w:ascii="仿宋_GB2312" w:hAnsi="Times New Roman" w:eastAsia="仿宋_GB2312"/>
          <w:sz w:val="32"/>
          <w:szCs w:val="32"/>
        </w:rPr>
        <w:t>值</w:t>
      </w:r>
      <w:r>
        <w:rPr>
          <w:rFonts w:ascii="仿宋_GB2312" w:hAnsi="Times New Roman" w:eastAsia="仿宋_GB2312"/>
          <w:sz w:val="32"/>
          <w:szCs w:val="32"/>
        </w:rPr>
        <w:t>标准表》进行修改</w:t>
      </w:r>
      <w:r>
        <w:rPr>
          <w:rFonts w:hint="eastAsia" w:ascii="仿宋_GB2312" w:hAnsi="Times New Roman" w:eastAsia="仿宋_GB2312"/>
          <w:sz w:val="32"/>
          <w:szCs w:val="32"/>
        </w:rPr>
        <w:t>，上报省政府批准正式发布。</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（二）根据前期工作座谈与需求征集，拟开展《污水处理厂排放标准》、《畜禽养殖业污染物排放标准》、《餐饮业油烟排放标准》、《水产养殖废水排放标准》等四个地方标准的制定工作。</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（三）结合当前环境治理的需求，有针对性开展《基于臭氧生成潜势的VOCs固定污染源优先控制分级技术研究》、《洞庭湖生态环境专项整治三年行动计划（2018-2020年）》后评估等工作。</w:t>
      </w:r>
    </w:p>
    <w:p/>
    <w:sectPr>
      <w:footerReference r:id="rId3" w:type="default"/>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4 -</w:t>
    </w:r>
    <w:r>
      <w:rPr>
        <w:rFonts w:asciiTheme="minorEastAsia" w:hAnsiTheme="minorEastAsia"/>
        <w:sz w:val="28"/>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6754"/>
    <w:rsid w:val="001F1807"/>
    <w:rsid w:val="005A0C11"/>
    <w:rsid w:val="00696754"/>
    <w:rsid w:val="008C3412"/>
    <w:rsid w:val="00BA248C"/>
    <w:rsid w:val="00BE7513"/>
    <w:rsid w:val="00CE1AAF"/>
    <w:rsid w:val="0F520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uiPriority w:val="99"/>
    <w:rPr>
      <w:sz w:val="18"/>
      <w:szCs w:val="18"/>
    </w:rPr>
  </w:style>
  <w:style w:type="paragraph" w:styleId="4">
    <w:name w:val="footer"/>
    <w:basedOn w:val="1"/>
    <w:link w:val="11"/>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uiPriority w:val="59"/>
    <w:rPr>
      <w:rFonts w:ascii="Calibri" w:hAnsi="Calibri" w:eastAsia="宋体" w:cs="宋体"/>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1 Char"/>
    <w:basedOn w:val="8"/>
    <w:link w:val="2"/>
    <w:uiPriority w:val="0"/>
    <w:rPr>
      <w:rFonts w:ascii="宋体" w:hAnsi="宋体" w:eastAsia="宋体" w:cs="Times New Roman"/>
      <w:b/>
      <w:kern w:val="44"/>
      <w:sz w:val="48"/>
      <w:szCs w:val="48"/>
    </w:rPr>
  </w:style>
  <w:style w:type="paragraph" w:styleId="13">
    <w:name w:val="List Paragraph"/>
    <w:basedOn w:val="1"/>
    <w:qFormat/>
    <w:uiPriority w:val="34"/>
    <w:pPr>
      <w:ind w:firstLine="420" w:firstLineChars="200"/>
    </w:pPr>
  </w:style>
  <w:style w:type="character" w:customStyle="1" w:styleId="14">
    <w:name w:val="批注框文本 Char"/>
    <w:basedOn w:val="8"/>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1253</Words>
  <Characters>7146</Characters>
  <Lines>59</Lines>
  <Paragraphs>16</Paragraphs>
  <TotalTime>52</TotalTime>
  <ScaleCrop>false</ScaleCrop>
  <LinksUpToDate>false</LinksUpToDate>
  <CharactersWithSpaces>8383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2018-07-23T00:47:00Z</dcterms:created>
  <dc:creator>左莉娜</dc:creator>
  <cp:lastModifiedBy>Carol</cp:lastModifiedBy>
  <cp:lastPrinted>2018-07-10T01:06:00Z</cp:lastPrinted>
  <dcterms:modified xsi:type="dcterms:W3CDTF">2022-03-04T05:41:14Z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F95544EBFDF44D31BB344A3F17EB881F</vt:lpwstr>
  </property>
</Properties>
</file>