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color w:val="auto"/>
          <w:sz w:val="56"/>
          <w:szCs w:val="56"/>
        </w:rPr>
      </w:pPr>
    </w:p>
    <w:p>
      <w:pPr>
        <w:pStyle w:val="13"/>
        <w:jc w:val="center"/>
        <w:rPr>
          <w:color w:val="auto"/>
          <w:sz w:val="56"/>
          <w:szCs w:val="56"/>
        </w:rPr>
      </w:pPr>
    </w:p>
    <w:p>
      <w:pPr>
        <w:pStyle w:val="13"/>
        <w:jc w:val="center"/>
        <w:rPr>
          <w:color w:val="auto"/>
          <w:sz w:val="84"/>
          <w:szCs w:val="84"/>
        </w:rPr>
      </w:pPr>
    </w:p>
    <w:p>
      <w:pPr>
        <w:pStyle w:val="13"/>
        <w:jc w:val="center"/>
        <w:rPr>
          <w:color w:val="auto"/>
          <w:sz w:val="84"/>
          <w:szCs w:val="84"/>
        </w:rPr>
      </w:pPr>
    </w:p>
    <w:p>
      <w:pPr>
        <w:pStyle w:val="13"/>
        <w:jc w:val="center"/>
        <w:rPr>
          <w:color w:val="auto"/>
          <w:sz w:val="84"/>
          <w:szCs w:val="84"/>
        </w:rPr>
      </w:pPr>
      <w:r>
        <w:rPr>
          <w:rFonts w:hint="eastAsia"/>
          <w:color w:val="auto"/>
          <w:sz w:val="84"/>
          <w:szCs w:val="84"/>
        </w:rPr>
        <w:t>202</w:t>
      </w:r>
      <w:r>
        <w:rPr>
          <w:rFonts w:hint="eastAsia"/>
          <w:color w:val="auto"/>
          <w:sz w:val="84"/>
          <w:szCs w:val="84"/>
          <w:lang w:val="en-US" w:eastAsia="zh-CN"/>
        </w:rPr>
        <w:t>1</w:t>
      </w:r>
      <w:r>
        <w:rPr>
          <w:rFonts w:hint="eastAsia"/>
          <w:color w:val="auto"/>
          <w:sz w:val="84"/>
          <w:szCs w:val="84"/>
        </w:rPr>
        <w:t>年度</w:t>
      </w:r>
    </w:p>
    <w:p>
      <w:pPr>
        <w:pStyle w:val="13"/>
        <w:jc w:val="center"/>
        <w:rPr>
          <w:color w:val="auto"/>
          <w:sz w:val="84"/>
          <w:szCs w:val="84"/>
        </w:rPr>
      </w:pPr>
      <w:r>
        <w:rPr>
          <w:rFonts w:hint="eastAsia"/>
          <w:color w:val="auto"/>
          <w:sz w:val="84"/>
          <w:szCs w:val="84"/>
        </w:rPr>
        <w:t>湖南省生态环境监测中心</w:t>
      </w:r>
    </w:p>
    <w:p>
      <w:pPr>
        <w:pStyle w:val="13"/>
        <w:jc w:val="center"/>
        <w:rPr>
          <w:color w:val="auto"/>
          <w:sz w:val="84"/>
          <w:szCs w:val="84"/>
        </w:rPr>
      </w:pPr>
      <w:r>
        <w:rPr>
          <w:rFonts w:hint="eastAsia"/>
          <w:color w:val="auto"/>
          <w:sz w:val="84"/>
          <w:szCs w:val="84"/>
        </w:rPr>
        <w:t>（单位）部门决算</w:t>
      </w:r>
    </w:p>
    <w:p>
      <w:pPr>
        <w:pStyle w:val="13"/>
        <w:jc w:val="center"/>
        <w:rPr>
          <w:color w:val="auto"/>
          <w:sz w:val="56"/>
          <w:szCs w:val="56"/>
        </w:rPr>
      </w:pPr>
    </w:p>
    <w:p>
      <w:pPr>
        <w:pStyle w:val="13"/>
        <w:jc w:val="center"/>
        <w:rPr>
          <w:color w:val="auto"/>
          <w:sz w:val="56"/>
          <w:szCs w:val="56"/>
        </w:rPr>
      </w:pPr>
    </w:p>
    <w:p>
      <w:pPr>
        <w:pStyle w:val="13"/>
        <w:jc w:val="center"/>
        <w:rPr>
          <w:color w:val="auto"/>
          <w:sz w:val="56"/>
          <w:szCs w:val="56"/>
        </w:rPr>
      </w:pPr>
    </w:p>
    <w:p>
      <w:pPr>
        <w:pStyle w:val="13"/>
        <w:jc w:val="center"/>
        <w:rPr>
          <w:color w:val="auto"/>
          <w:sz w:val="32"/>
          <w:szCs w:val="32"/>
        </w:rPr>
      </w:pPr>
    </w:p>
    <w:p>
      <w:pPr>
        <w:pStyle w:val="13"/>
        <w:jc w:val="center"/>
        <w:rPr>
          <w:color w:val="auto"/>
          <w:sz w:val="32"/>
          <w:szCs w:val="32"/>
        </w:rPr>
      </w:pPr>
    </w:p>
    <w:p>
      <w:pPr>
        <w:pStyle w:val="13"/>
        <w:jc w:val="center"/>
        <w:rPr>
          <w:color w:val="auto"/>
          <w:sz w:val="32"/>
          <w:szCs w:val="32"/>
        </w:rPr>
      </w:pPr>
    </w:p>
    <w:p>
      <w:pPr>
        <w:pStyle w:val="13"/>
        <w:jc w:val="center"/>
        <w:rPr>
          <w:color w:val="auto"/>
          <w:sz w:val="32"/>
          <w:szCs w:val="32"/>
        </w:rPr>
      </w:pPr>
    </w:p>
    <w:p>
      <w:pPr>
        <w:pStyle w:val="13"/>
        <w:jc w:val="center"/>
        <w:rPr>
          <w:color w:val="auto"/>
          <w:sz w:val="32"/>
          <w:szCs w:val="32"/>
        </w:rPr>
      </w:pPr>
    </w:p>
    <w:p>
      <w:pPr>
        <w:pStyle w:val="13"/>
        <w:spacing w:line="540" w:lineRule="exact"/>
        <w:jc w:val="center"/>
        <w:rPr>
          <w:color w:val="auto"/>
          <w:sz w:val="56"/>
          <w:szCs w:val="56"/>
        </w:rPr>
      </w:pPr>
    </w:p>
    <w:p>
      <w:pPr>
        <w:pStyle w:val="13"/>
        <w:spacing w:line="500" w:lineRule="exact"/>
        <w:jc w:val="center"/>
        <w:rPr>
          <w:b/>
          <w:color w:val="auto"/>
          <w:sz w:val="36"/>
          <w:szCs w:val="28"/>
        </w:rPr>
      </w:pPr>
    </w:p>
    <w:p>
      <w:pPr>
        <w:pStyle w:val="13"/>
        <w:spacing w:line="500" w:lineRule="exact"/>
        <w:jc w:val="center"/>
        <w:rPr>
          <w:b/>
          <w:color w:val="auto"/>
          <w:sz w:val="36"/>
          <w:szCs w:val="28"/>
        </w:rPr>
      </w:pPr>
      <w:r>
        <w:rPr>
          <w:rFonts w:hint="eastAsia"/>
          <w:b/>
          <w:color w:val="auto"/>
          <w:sz w:val="36"/>
          <w:szCs w:val="28"/>
        </w:rPr>
        <w:t>目录</w:t>
      </w:r>
    </w:p>
    <w:p>
      <w:pPr>
        <w:pStyle w:val="13"/>
        <w:spacing w:line="500" w:lineRule="exact"/>
        <w:rPr>
          <w:rFonts w:ascii="仿宋_GB2312" w:hAnsi="仿宋_GB2312" w:cs="仿宋_GB2312"/>
          <w:b/>
          <w:color w:val="auto"/>
          <w:sz w:val="28"/>
          <w:szCs w:val="28"/>
        </w:rPr>
      </w:pPr>
      <w:r>
        <w:rPr>
          <w:rFonts w:hint="eastAsia"/>
          <w:b/>
          <w:color w:val="auto"/>
          <w:sz w:val="28"/>
          <w:szCs w:val="28"/>
        </w:rPr>
        <w:t>第一部分湖南省生态环境监测中心单位概况</w:t>
      </w:r>
    </w:p>
    <w:p>
      <w:pPr>
        <w:pStyle w:val="13"/>
        <w:spacing w:line="50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一、部门职责</w:t>
      </w:r>
    </w:p>
    <w:p>
      <w:pPr>
        <w:pStyle w:val="13"/>
        <w:spacing w:line="500" w:lineRule="exact"/>
        <w:ind w:firstLine="700" w:firstLineChars="250"/>
        <w:rPr>
          <w:rFonts w:hint="default" w:cs="仿宋_GB2312" w:asciiTheme="minorEastAsia" w:hAnsiTheme="minorEastAsia" w:eastAsiaTheme="minorEastAsia"/>
          <w:color w:val="auto"/>
          <w:sz w:val="28"/>
          <w:szCs w:val="28"/>
          <w:lang w:val="en-US" w:eastAsia="zh-CN"/>
        </w:rPr>
      </w:pPr>
      <w:r>
        <w:rPr>
          <w:rFonts w:cs="仿宋_GB2312" w:asciiTheme="minorEastAsia" w:hAnsiTheme="minorEastAsia" w:eastAsiaTheme="minorEastAsia"/>
          <w:color w:val="auto"/>
          <w:sz w:val="28"/>
          <w:szCs w:val="28"/>
        </w:rPr>
        <w:t>二、机构设置</w:t>
      </w:r>
      <w:r>
        <w:rPr>
          <w:rFonts w:hint="eastAsia" w:cs="仿宋_GB2312" w:asciiTheme="minorEastAsia" w:hAnsiTheme="minorEastAsia" w:eastAsiaTheme="minorEastAsia"/>
          <w:color w:val="auto"/>
          <w:sz w:val="28"/>
          <w:szCs w:val="28"/>
          <w:lang w:val="en-US" w:eastAsia="zh-CN"/>
        </w:rPr>
        <w:t>及决算单位构成</w:t>
      </w:r>
    </w:p>
    <w:p>
      <w:pPr>
        <w:pStyle w:val="13"/>
        <w:spacing w:line="500" w:lineRule="exact"/>
        <w:rPr>
          <w:rFonts w:ascii="仿宋_GB2312" w:hAnsi="仿宋_GB2312" w:cs="仿宋_GB2312"/>
          <w:b/>
          <w:color w:val="auto"/>
          <w:sz w:val="28"/>
          <w:szCs w:val="28"/>
        </w:rPr>
      </w:pPr>
      <w:r>
        <w:rPr>
          <w:rFonts w:hint="eastAsia" w:hAnsi="仿宋_GB2312"/>
          <w:b/>
          <w:color w:val="auto"/>
          <w:sz w:val="28"/>
          <w:szCs w:val="28"/>
        </w:rPr>
        <w:t>第二部分</w:t>
      </w:r>
      <w:r>
        <w:rPr>
          <w:rFonts w:hAnsi="仿宋_GB2312"/>
          <w:b/>
          <w:color w:val="auto"/>
          <w:sz w:val="28"/>
          <w:szCs w:val="28"/>
        </w:rPr>
        <w:t>20</w:t>
      </w:r>
      <w:r>
        <w:rPr>
          <w:rFonts w:hint="eastAsia" w:hAnsi="仿宋_GB2312"/>
          <w:b/>
          <w:color w:val="auto"/>
          <w:sz w:val="28"/>
          <w:szCs w:val="28"/>
        </w:rPr>
        <w:t>2</w:t>
      </w:r>
      <w:r>
        <w:rPr>
          <w:rFonts w:hint="eastAsia" w:hAnsi="仿宋_GB2312"/>
          <w:b/>
          <w:color w:val="auto"/>
          <w:sz w:val="28"/>
          <w:szCs w:val="28"/>
          <w:lang w:val="en-US" w:eastAsia="zh-CN"/>
        </w:rPr>
        <w:t>1</w:t>
      </w:r>
      <w:r>
        <w:rPr>
          <w:rFonts w:hint="eastAsia" w:hAnsi="仿宋_GB2312"/>
          <w:b/>
          <w:color w:val="auto"/>
          <w:sz w:val="28"/>
          <w:szCs w:val="28"/>
        </w:rPr>
        <w:t>年度部门决算表</w:t>
      </w:r>
    </w:p>
    <w:p>
      <w:pPr>
        <w:pStyle w:val="13"/>
        <w:spacing w:line="50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一、收入支出决算总表</w:t>
      </w:r>
    </w:p>
    <w:p>
      <w:pPr>
        <w:pStyle w:val="13"/>
        <w:spacing w:line="50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二、收入决算表</w:t>
      </w:r>
    </w:p>
    <w:p>
      <w:pPr>
        <w:pStyle w:val="13"/>
        <w:spacing w:line="50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三、支出决算表</w:t>
      </w:r>
    </w:p>
    <w:p>
      <w:pPr>
        <w:pStyle w:val="13"/>
        <w:spacing w:line="50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四、财政拨款收入支出决算总表</w:t>
      </w:r>
    </w:p>
    <w:p>
      <w:pPr>
        <w:pStyle w:val="13"/>
        <w:spacing w:line="50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五、一般公共预算财政拨款支出决算表</w:t>
      </w:r>
    </w:p>
    <w:p>
      <w:pPr>
        <w:pStyle w:val="13"/>
        <w:spacing w:line="50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六、一般公共预算财政拨款基本支出决算表</w:t>
      </w:r>
    </w:p>
    <w:p>
      <w:pPr>
        <w:pStyle w:val="13"/>
        <w:spacing w:line="50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七、一般公共预算财政拨款“三公”经费支出决算表</w:t>
      </w:r>
    </w:p>
    <w:p>
      <w:pPr>
        <w:pStyle w:val="13"/>
        <w:spacing w:line="50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八、政府性基金预算财政拨款收入支出决算表</w:t>
      </w:r>
    </w:p>
    <w:p>
      <w:pPr>
        <w:pStyle w:val="13"/>
        <w:spacing w:line="500" w:lineRule="exact"/>
        <w:ind w:firstLine="700" w:firstLineChars="250"/>
        <w:rPr>
          <w:rFonts w:cs="仿宋_GB2312" w:asciiTheme="minorEastAsia" w:hAnsiTheme="minorEastAsia" w:eastAsiaTheme="minorEastAsia"/>
          <w:color w:val="auto"/>
          <w:sz w:val="28"/>
          <w:szCs w:val="28"/>
        </w:rPr>
      </w:pPr>
      <w:r>
        <w:rPr>
          <w:rFonts w:hint="eastAsia" w:cs="仿宋_GB2312" w:asciiTheme="minorEastAsia" w:hAnsiTheme="minorEastAsia" w:eastAsiaTheme="minorEastAsia"/>
          <w:color w:val="auto"/>
          <w:sz w:val="28"/>
          <w:szCs w:val="28"/>
        </w:rPr>
        <w:t>九、国有资本经营预算财政拨款支出决算表</w:t>
      </w:r>
    </w:p>
    <w:p>
      <w:pPr>
        <w:pStyle w:val="13"/>
        <w:spacing w:line="500" w:lineRule="exact"/>
        <w:rPr>
          <w:rFonts w:ascii="仿宋_GB2312" w:hAnsi="仿宋_GB2312" w:cs="仿宋_GB2312"/>
          <w:b/>
          <w:color w:val="auto"/>
          <w:sz w:val="28"/>
          <w:szCs w:val="28"/>
        </w:rPr>
      </w:pPr>
      <w:r>
        <w:rPr>
          <w:rFonts w:hint="eastAsia" w:hAnsi="仿宋_GB2312"/>
          <w:b/>
          <w:color w:val="auto"/>
          <w:sz w:val="28"/>
          <w:szCs w:val="28"/>
        </w:rPr>
        <w:t>第三部分</w:t>
      </w:r>
      <w:r>
        <w:rPr>
          <w:rFonts w:hAnsi="仿宋_GB2312"/>
          <w:b/>
          <w:color w:val="auto"/>
          <w:sz w:val="28"/>
          <w:szCs w:val="28"/>
        </w:rPr>
        <w:t>20</w:t>
      </w:r>
      <w:r>
        <w:rPr>
          <w:rFonts w:hint="eastAsia" w:hAnsi="仿宋_GB2312"/>
          <w:b/>
          <w:color w:val="auto"/>
          <w:sz w:val="28"/>
          <w:szCs w:val="28"/>
        </w:rPr>
        <w:t>2</w:t>
      </w:r>
      <w:r>
        <w:rPr>
          <w:rFonts w:hint="eastAsia" w:hAnsi="仿宋_GB2312"/>
          <w:b/>
          <w:color w:val="auto"/>
          <w:sz w:val="28"/>
          <w:szCs w:val="28"/>
          <w:lang w:val="en-US" w:eastAsia="zh-CN"/>
        </w:rPr>
        <w:t>1</w:t>
      </w:r>
      <w:r>
        <w:rPr>
          <w:rFonts w:hint="eastAsia" w:hAnsi="仿宋_GB2312"/>
          <w:b/>
          <w:color w:val="auto"/>
          <w:sz w:val="28"/>
          <w:szCs w:val="28"/>
        </w:rPr>
        <w:t>年度部门决算情况说明</w:t>
      </w:r>
    </w:p>
    <w:p>
      <w:pPr>
        <w:pStyle w:val="13"/>
        <w:spacing w:line="500" w:lineRule="exact"/>
        <w:ind w:firstLine="700" w:firstLineChars="250"/>
        <w:rPr>
          <w:rFonts w:cs="仿宋_GB2312" w:asciiTheme="minorEastAsia" w:hAnsiTheme="minorEastAsia" w:eastAsiaTheme="minorEastAsia"/>
          <w:color w:val="auto"/>
          <w:sz w:val="28"/>
          <w:szCs w:val="28"/>
        </w:rPr>
      </w:pPr>
      <w:r>
        <w:rPr>
          <w:rFonts w:cs="仿宋_GB2312" w:asciiTheme="minorEastAsia" w:hAnsiTheme="minorEastAsia" w:eastAsiaTheme="minorEastAsia"/>
          <w:color w:val="auto"/>
          <w:sz w:val="28"/>
          <w:szCs w:val="28"/>
        </w:rPr>
        <w:t>一、收入支出决算总体情况说明</w:t>
      </w:r>
    </w:p>
    <w:p>
      <w:pPr>
        <w:spacing w:line="500" w:lineRule="exact"/>
        <w:ind w:firstLine="700" w:firstLineChars="250"/>
        <w:jc w:val="left"/>
        <w:rPr>
          <w:rFonts w:ascii="仿宋_GB2312" w:hAnsi="仿宋_GB2312" w:cs="仿宋_GB2312"/>
          <w:color w:val="auto"/>
          <w:sz w:val="28"/>
          <w:szCs w:val="28"/>
        </w:rPr>
      </w:pPr>
      <w:r>
        <w:rPr>
          <w:rFonts w:ascii="仿宋_GB2312" w:hAnsi="仿宋_GB2312" w:cs="仿宋_GB2312"/>
          <w:color w:val="auto"/>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rPr>
      </w:pPr>
      <w:r>
        <w:rPr>
          <w:rFonts w:ascii="仿宋_GB2312" w:hAnsi="仿宋_GB2312" w:cs="仿宋_GB2312"/>
          <w:color w:val="auto"/>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rPr>
      </w:pPr>
      <w:r>
        <w:rPr>
          <w:rFonts w:ascii="仿宋_GB2312" w:hAnsi="仿宋_GB2312" w:cs="仿宋_GB2312"/>
          <w:color w:val="auto"/>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rPr>
      </w:pPr>
      <w:r>
        <w:rPr>
          <w:rFonts w:ascii="仿宋_GB2312" w:hAnsi="仿宋_GB2312" w:cs="仿宋_GB2312"/>
          <w:color w:val="auto"/>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rPr>
      </w:pPr>
      <w:r>
        <w:rPr>
          <w:rFonts w:ascii="仿宋_GB2312" w:hAnsi="仿宋_GB2312" w:cs="仿宋_GB2312"/>
          <w:color w:val="auto"/>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rPr>
      </w:pPr>
      <w:r>
        <w:rPr>
          <w:rFonts w:ascii="仿宋_GB2312" w:hAnsi="仿宋_GB2312" w:cs="仿宋_GB2312"/>
          <w:color w:val="auto"/>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rPr>
      </w:pPr>
      <w:r>
        <w:rPr>
          <w:rFonts w:hint="eastAsia" w:ascii="仿宋_GB2312" w:hAnsi="仿宋_GB2312" w:cs="仿宋_GB2312"/>
          <w:color w:val="auto"/>
          <w:kern w:val="0"/>
          <w:sz w:val="28"/>
          <w:szCs w:val="28"/>
        </w:rPr>
        <w:t>八</w:t>
      </w:r>
      <w:r>
        <w:rPr>
          <w:rFonts w:ascii="仿宋_GB2312" w:hAnsi="仿宋_GB2312" w:cs="仿宋_GB2312"/>
          <w:color w:val="auto"/>
          <w:kern w:val="0"/>
          <w:sz w:val="28"/>
          <w:szCs w:val="28"/>
        </w:rPr>
        <w:t>、</w:t>
      </w:r>
      <w:r>
        <w:rPr>
          <w:rFonts w:hint="eastAsia" w:ascii="仿宋_GB2312" w:hAnsi="仿宋_GB2312" w:cs="仿宋_GB2312"/>
          <w:color w:val="auto"/>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rPr>
      </w:pPr>
      <w:r>
        <w:rPr>
          <w:rFonts w:hint="eastAsia" w:ascii="仿宋_GB2312" w:hAnsi="仿宋_GB2312" w:cs="仿宋_GB2312"/>
          <w:color w:val="auto"/>
          <w:kern w:val="0"/>
          <w:sz w:val="28"/>
          <w:szCs w:val="28"/>
        </w:rPr>
        <w:t>九</w:t>
      </w:r>
      <w:r>
        <w:rPr>
          <w:rFonts w:ascii="仿宋_GB2312" w:hAnsi="仿宋_GB2312" w:cs="仿宋_GB2312"/>
          <w:color w:val="auto"/>
          <w:kern w:val="0"/>
          <w:sz w:val="28"/>
          <w:szCs w:val="28"/>
        </w:rPr>
        <w:t>、</w:t>
      </w:r>
      <w:r>
        <w:rPr>
          <w:rFonts w:hint="eastAsia" w:ascii="仿宋_GB2312" w:hAnsi="仿宋_GB2312" w:cs="仿宋_GB2312"/>
          <w:color w:val="auto"/>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rPr>
      </w:pPr>
      <w:r>
        <w:rPr>
          <w:rFonts w:hint="eastAsia" w:ascii="仿宋_GB2312" w:hAnsi="仿宋_GB2312" w:cs="仿宋_GB2312"/>
          <w:color w:val="auto"/>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rPr>
      </w:pPr>
      <w:r>
        <w:rPr>
          <w:rFonts w:hint="eastAsia" w:ascii="仿宋_GB2312" w:hAnsi="仿宋_GB2312" w:cs="仿宋_GB2312"/>
          <w:color w:val="auto"/>
          <w:kern w:val="0"/>
          <w:sz w:val="28"/>
          <w:szCs w:val="28"/>
        </w:rPr>
        <w:t>十一、政府采购支出说明</w:t>
      </w:r>
    </w:p>
    <w:p>
      <w:pPr>
        <w:pStyle w:val="13"/>
        <w:spacing w:line="500" w:lineRule="exact"/>
        <w:ind w:firstLine="700" w:firstLineChars="250"/>
        <w:rPr>
          <w:rFonts w:ascii="仿宋_GB2312" w:hAnsi="仿宋_GB2312" w:cs="仿宋_GB2312" w:eastAsiaTheme="minorEastAsia"/>
          <w:color w:val="auto"/>
          <w:sz w:val="28"/>
          <w:szCs w:val="28"/>
        </w:rPr>
      </w:pPr>
      <w:r>
        <w:rPr>
          <w:rFonts w:hint="eastAsia" w:ascii="仿宋_GB2312" w:hAnsi="仿宋_GB2312" w:cs="仿宋_GB2312" w:eastAsiaTheme="minorEastAsia"/>
          <w:color w:val="auto"/>
          <w:sz w:val="28"/>
          <w:szCs w:val="28"/>
        </w:rPr>
        <w:t>十二、国有资产占用情况说明</w:t>
      </w:r>
    </w:p>
    <w:p>
      <w:pPr>
        <w:pStyle w:val="13"/>
        <w:spacing w:line="500" w:lineRule="exact"/>
        <w:ind w:firstLine="700" w:firstLineChars="250"/>
        <w:rPr>
          <w:rFonts w:ascii="仿宋_GB2312" w:hAnsi="仿宋_GB2312" w:cs="仿宋_GB2312" w:eastAsiaTheme="minorEastAsia"/>
          <w:color w:val="auto"/>
          <w:sz w:val="28"/>
          <w:szCs w:val="28"/>
        </w:rPr>
      </w:pPr>
      <w:r>
        <w:rPr>
          <w:rFonts w:hint="eastAsia" w:ascii="仿宋_GB2312" w:hAnsi="仿宋_GB2312" w:cs="仿宋_GB2312" w:eastAsiaTheme="minorEastAsia"/>
          <w:color w:val="auto"/>
          <w:sz w:val="28"/>
          <w:szCs w:val="28"/>
        </w:rPr>
        <w:t>十三、</w:t>
      </w:r>
      <w:r>
        <w:rPr>
          <w:rFonts w:hint="eastAsia" w:cs="仿宋_GB2312" w:asciiTheme="minorEastAsia" w:hAnsiTheme="minorEastAsia" w:eastAsiaTheme="minorEastAsia"/>
          <w:color w:val="auto"/>
          <w:sz w:val="28"/>
          <w:szCs w:val="28"/>
        </w:rPr>
        <w:t>2021年</w:t>
      </w:r>
      <w:r>
        <w:rPr>
          <w:rFonts w:hint="eastAsia" w:ascii="仿宋_GB2312" w:hAnsi="仿宋_GB2312" w:cs="仿宋_GB2312" w:eastAsiaTheme="minorEastAsia"/>
          <w:color w:val="auto"/>
          <w:sz w:val="28"/>
          <w:szCs w:val="28"/>
        </w:rPr>
        <w:t>度预算绩效情况说明</w:t>
      </w:r>
    </w:p>
    <w:p>
      <w:pPr>
        <w:autoSpaceDE w:val="0"/>
        <w:autoSpaceDN w:val="0"/>
        <w:adjustRightInd w:val="0"/>
        <w:spacing w:line="500" w:lineRule="exact"/>
        <w:jc w:val="left"/>
        <w:rPr>
          <w:rFonts w:ascii="黑体" w:hAnsi="黑体" w:eastAsia="黑体" w:cs="黑体"/>
          <w:b/>
          <w:color w:val="auto"/>
          <w:kern w:val="0"/>
          <w:sz w:val="28"/>
          <w:szCs w:val="28"/>
        </w:rPr>
      </w:pPr>
      <w:r>
        <w:rPr>
          <w:rFonts w:ascii="黑体" w:hAnsi="黑体" w:eastAsia="黑体" w:cs="黑体"/>
          <w:b/>
          <w:color w:val="auto"/>
          <w:kern w:val="0"/>
          <w:sz w:val="28"/>
          <w:szCs w:val="28"/>
        </w:rPr>
        <w:t>第四部分名词解释</w:t>
      </w:r>
    </w:p>
    <w:p>
      <w:pPr>
        <w:autoSpaceDE w:val="0"/>
        <w:autoSpaceDN w:val="0"/>
        <w:adjustRightInd w:val="0"/>
        <w:spacing w:line="500" w:lineRule="exact"/>
        <w:jc w:val="left"/>
        <w:rPr>
          <w:rFonts w:ascii="黑体" w:hAnsi="黑体" w:eastAsia="黑体" w:cs="仿宋_GB2312"/>
          <w:b/>
          <w:color w:val="auto"/>
          <w:kern w:val="0"/>
          <w:sz w:val="28"/>
          <w:szCs w:val="28"/>
        </w:rPr>
      </w:pPr>
      <w:r>
        <w:rPr>
          <w:rFonts w:hint="eastAsia" w:ascii="黑体" w:hAnsi="黑体" w:eastAsia="黑体" w:cs="黑体"/>
          <w:b/>
          <w:color w:val="auto"/>
          <w:kern w:val="0"/>
          <w:sz w:val="28"/>
          <w:szCs w:val="28"/>
        </w:rPr>
        <w:t>第五部分附件</w:t>
      </w: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rPr>
          <w:color w:val="auto"/>
          <w:sz w:val="72"/>
          <w:szCs w:val="72"/>
        </w:rPr>
      </w:pPr>
    </w:p>
    <w:p>
      <w:pPr>
        <w:pStyle w:val="13"/>
        <w:jc w:val="center"/>
        <w:rPr>
          <w:color w:val="auto"/>
          <w:sz w:val="84"/>
          <w:szCs w:val="84"/>
        </w:rPr>
      </w:pPr>
      <w:r>
        <w:rPr>
          <w:rFonts w:hint="eastAsia"/>
          <w:color w:val="auto"/>
          <w:sz w:val="84"/>
          <w:szCs w:val="84"/>
        </w:rPr>
        <w:t>第一部分</w:t>
      </w:r>
      <w:r>
        <w:rPr>
          <w:color w:val="auto"/>
          <w:sz w:val="84"/>
          <w:szCs w:val="84"/>
        </w:rPr>
        <w:t xml:space="preserve"> </w:t>
      </w:r>
    </w:p>
    <w:p>
      <w:pPr>
        <w:pStyle w:val="13"/>
        <w:jc w:val="center"/>
        <w:rPr>
          <w:color w:val="auto"/>
          <w:sz w:val="84"/>
          <w:szCs w:val="84"/>
        </w:rPr>
      </w:pPr>
    </w:p>
    <w:p>
      <w:pPr>
        <w:pStyle w:val="13"/>
        <w:jc w:val="center"/>
        <w:rPr>
          <w:color w:val="auto"/>
          <w:sz w:val="84"/>
          <w:szCs w:val="84"/>
        </w:rPr>
      </w:pPr>
      <w:r>
        <w:rPr>
          <w:rFonts w:hint="eastAsia"/>
          <w:color w:val="auto"/>
          <w:sz w:val="84"/>
          <w:szCs w:val="84"/>
        </w:rPr>
        <w:t>湖南省生态环境监测中心</w:t>
      </w:r>
    </w:p>
    <w:p>
      <w:pPr>
        <w:pStyle w:val="13"/>
        <w:jc w:val="center"/>
        <w:rPr>
          <w:color w:val="auto"/>
          <w:sz w:val="84"/>
          <w:szCs w:val="84"/>
        </w:rPr>
      </w:pPr>
      <w:r>
        <w:rPr>
          <w:rFonts w:hint="eastAsia"/>
          <w:color w:val="auto"/>
          <w:sz w:val="84"/>
          <w:szCs w:val="84"/>
        </w:rPr>
        <w:t>概况</w:t>
      </w:r>
    </w:p>
    <w:p>
      <w:pPr>
        <w:jc w:val="center"/>
        <w:rPr>
          <w:color w:val="auto"/>
          <w:sz w:val="72"/>
          <w:szCs w:val="72"/>
        </w:rPr>
      </w:pPr>
    </w:p>
    <w:p>
      <w:pPr>
        <w:jc w:val="center"/>
        <w:rPr>
          <w:color w:val="auto"/>
          <w:sz w:val="72"/>
          <w:szCs w:val="72"/>
        </w:rPr>
      </w:pPr>
    </w:p>
    <w:p>
      <w:pPr>
        <w:jc w:val="center"/>
        <w:rPr>
          <w:color w:val="auto"/>
          <w:sz w:val="72"/>
          <w:szCs w:val="72"/>
        </w:rPr>
      </w:pPr>
    </w:p>
    <w:p>
      <w:pPr>
        <w:pStyle w:val="14"/>
        <w:ind w:left="720" w:firstLine="0" w:firstLineChars="0"/>
        <w:jc w:val="left"/>
        <w:rPr>
          <w:rFonts w:ascii="黑体" w:hAnsi="黑体" w:eastAsia="黑体"/>
          <w:color w:val="auto"/>
          <w:sz w:val="32"/>
          <w:szCs w:val="32"/>
        </w:rPr>
      </w:pPr>
    </w:p>
    <w:p>
      <w:pPr>
        <w:pStyle w:val="14"/>
        <w:numPr>
          <w:ilvl w:val="0"/>
          <w:numId w:val="1"/>
        </w:numPr>
        <w:ind w:firstLineChars="0"/>
        <w:jc w:val="left"/>
        <w:rPr>
          <w:rFonts w:ascii="黑体" w:hAnsi="黑体" w:eastAsia="黑体"/>
          <w:color w:val="auto"/>
          <w:sz w:val="32"/>
          <w:szCs w:val="32"/>
        </w:rPr>
      </w:pPr>
      <w:r>
        <w:rPr>
          <w:rFonts w:ascii="黑体" w:hAnsi="黑体" w:eastAsia="黑体"/>
          <w:color w:val="auto"/>
          <w:sz w:val="32"/>
          <w:szCs w:val="32"/>
        </w:rPr>
        <w:t>部门职责</w:t>
      </w:r>
    </w:p>
    <w:p>
      <w:pPr>
        <w:widowControl/>
        <w:spacing w:line="600" w:lineRule="exact"/>
        <w:ind w:firstLine="565" w:firstLineChars="202"/>
        <w:rPr>
          <w:rFonts w:cs="仿宋_GB2312" w:asciiTheme="minorEastAsia" w:hAnsiTheme="minorEastAsia"/>
          <w:color w:val="auto"/>
          <w:kern w:val="0"/>
          <w:sz w:val="28"/>
          <w:szCs w:val="28"/>
        </w:rPr>
      </w:pPr>
      <w:r>
        <w:rPr>
          <w:rFonts w:hint="eastAsia" w:cs="仿宋_GB2312" w:asciiTheme="minorEastAsia" w:hAnsiTheme="minorEastAsia"/>
          <w:color w:val="auto"/>
          <w:kern w:val="0"/>
          <w:sz w:val="28"/>
          <w:szCs w:val="28"/>
        </w:rPr>
        <w:t>湖南省生态环境监测中心（以下简称“省中心”）是湖南省生态环境厅直属全额拨款事业单位，其主要职责是全面贯彻落实党中央、国务院和省委省政府关于生态环境监测体制机制改革的决策部署，按照强化生态环境监测机构“支撑、引领、服务”的三大职能，充分发挥“网络中心、技术中心、质控中心、数据信息中心、培训中心”的作用，以“实现‘大监测’，确保‘真准全’，支撑‘大保护’”为总体目标，推进构建“大格局”、优化“一张网”、守住“生命线”、用活“大数据”、打造“先锋队”五项重点任务的落实，加快建立科学、独立、权威、高效的生态环境监测体系，大力推进生态环境监测体系与监测能力现代化。</w:t>
      </w:r>
    </w:p>
    <w:p>
      <w:pPr>
        <w:widowControl/>
        <w:spacing w:line="600" w:lineRule="exact"/>
        <w:rPr>
          <w:rFonts w:ascii="黑体" w:hAnsi="黑体" w:eastAsia="黑体"/>
          <w:bCs/>
          <w:color w:val="auto"/>
          <w:kern w:val="0"/>
          <w:sz w:val="32"/>
          <w:szCs w:val="32"/>
        </w:rPr>
      </w:pPr>
      <w:r>
        <w:rPr>
          <w:rFonts w:hint="eastAsia" w:ascii="黑体" w:hAnsi="黑体" w:eastAsia="黑体"/>
          <w:bCs/>
          <w:color w:val="auto"/>
          <w:kern w:val="0"/>
          <w:sz w:val="32"/>
          <w:szCs w:val="32"/>
        </w:rPr>
        <w:t>二、机构设置及决算单位构成</w:t>
      </w:r>
    </w:p>
    <w:p>
      <w:pPr>
        <w:pStyle w:val="14"/>
        <w:widowControl/>
        <w:numPr>
          <w:ilvl w:val="0"/>
          <w:numId w:val="2"/>
        </w:numPr>
        <w:spacing w:line="600" w:lineRule="exact"/>
        <w:ind w:firstLineChars="0"/>
        <w:rPr>
          <w:rFonts w:cs="仿宋_GB2312" w:asciiTheme="minorEastAsia" w:hAnsiTheme="minorEastAsia"/>
          <w:b/>
          <w:color w:val="auto"/>
          <w:kern w:val="0"/>
          <w:sz w:val="28"/>
          <w:szCs w:val="28"/>
        </w:rPr>
      </w:pPr>
      <w:r>
        <w:rPr>
          <w:rFonts w:hint="eastAsia" w:cs="仿宋_GB2312" w:asciiTheme="minorEastAsia" w:hAnsiTheme="minorEastAsia"/>
          <w:b/>
          <w:color w:val="auto"/>
          <w:kern w:val="0"/>
          <w:sz w:val="28"/>
          <w:szCs w:val="28"/>
        </w:rPr>
        <w:t>机构设置</w:t>
      </w:r>
    </w:p>
    <w:p>
      <w:pPr>
        <w:pStyle w:val="14"/>
        <w:widowControl/>
        <w:spacing w:line="600" w:lineRule="exact"/>
        <w:ind w:firstLine="708" w:firstLineChars="253"/>
        <w:rPr>
          <w:rFonts w:cs="仿宋_GB2312" w:asciiTheme="minorEastAsia" w:hAnsiTheme="minorEastAsia"/>
          <w:color w:val="auto"/>
          <w:kern w:val="0"/>
          <w:sz w:val="28"/>
          <w:szCs w:val="28"/>
        </w:rPr>
      </w:pPr>
      <w:r>
        <w:rPr>
          <w:rFonts w:hint="eastAsia" w:cs="仿宋_GB2312" w:asciiTheme="minorEastAsia" w:hAnsiTheme="minorEastAsia"/>
          <w:color w:val="auto"/>
          <w:kern w:val="0"/>
          <w:sz w:val="28"/>
          <w:szCs w:val="28"/>
        </w:rPr>
        <w:t>内设机构设置以构建生态环境监测垂直管理格局，实现“大监测”、确保“真准全”、支撑“大保护”的总体目标，按照监测要素分类以及职能模块化等原则，设内设机构13个，包括办公室、党建工作部（纪检监察室）、综合研究部、人事部、财务部、资产管理部（信息中心）、分析技术部、水环境监测部、大气环境监测部（大气质量预测预报中心）、土壤环境监测部、质量管理部、污染源与应急监测部。</w:t>
      </w:r>
    </w:p>
    <w:p>
      <w:pPr>
        <w:pStyle w:val="14"/>
        <w:widowControl/>
        <w:numPr>
          <w:ilvl w:val="0"/>
          <w:numId w:val="2"/>
        </w:numPr>
        <w:spacing w:line="600" w:lineRule="exact"/>
        <w:ind w:firstLineChars="0"/>
        <w:rPr>
          <w:rFonts w:cs="仿宋_GB2312" w:asciiTheme="minorEastAsia" w:hAnsiTheme="minorEastAsia"/>
          <w:b/>
          <w:color w:val="auto"/>
          <w:kern w:val="0"/>
          <w:sz w:val="28"/>
          <w:szCs w:val="28"/>
        </w:rPr>
      </w:pPr>
      <w:r>
        <w:rPr>
          <w:rFonts w:hint="eastAsia" w:cs="仿宋_GB2312" w:asciiTheme="minorEastAsia" w:hAnsiTheme="minorEastAsia"/>
          <w:b/>
          <w:color w:val="auto"/>
          <w:kern w:val="0"/>
          <w:sz w:val="28"/>
          <w:szCs w:val="28"/>
        </w:rPr>
        <w:t>决算单位构成</w:t>
      </w:r>
    </w:p>
    <w:p>
      <w:pPr>
        <w:ind w:firstLine="708" w:firstLineChars="253"/>
        <w:jc w:val="left"/>
        <w:rPr>
          <w:rFonts w:hint="eastAsia" w:cs="仿宋_GB2312" w:asciiTheme="minorEastAsia" w:hAnsiTheme="minorEastAsia"/>
          <w:color w:val="auto"/>
          <w:kern w:val="0"/>
          <w:sz w:val="28"/>
          <w:szCs w:val="28"/>
        </w:rPr>
      </w:pPr>
      <w:r>
        <w:rPr>
          <w:rFonts w:hint="eastAsia" w:cs="仿宋_GB2312" w:asciiTheme="minorEastAsia" w:hAnsiTheme="minorEastAsia" w:eastAsiaTheme="minorEastAsia"/>
          <w:color w:val="auto"/>
          <w:kern w:val="0"/>
          <w:sz w:val="28"/>
          <w:szCs w:val="28"/>
          <w:lang w:val="en-US" w:eastAsia="zh-CN" w:bidi="ar-SA"/>
        </w:rPr>
        <w:t>湖南省生态环境监测中心2021年部门决算汇总公开单位构成包括</w:t>
      </w:r>
      <w:r>
        <w:rPr>
          <w:rFonts w:hint="eastAsia" w:cs="仿宋_GB2312" w:asciiTheme="minorEastAsia" w:hAnsiTheme="minorEastAsia"/>
          <w:color w:val="auto"/>
          <w:kern w:val="0"/>
          <w:sz w:val="28"/>
          <w:szCs w:val="28"/>
        </w:rPr>
        <w:t>：</w:t>
      </w:r>
    </w:p>
    <w:p>
      <w:pPr>
        <w:ind w:firstLine="708" w:firstLineChars="253"/>
        <w:jc w:val="left"/>
        <w:rPr>
          <w:rFonts w:hint="eastAsia" w:cs="仿宋_GB2312" w:asciiTheme="minorEastAsia" w:hAnsiTheme="minorEastAsia"/>
          <w:color w:val="auto"/>
          <w:kern w:val="0"/>
          <w:sz w:val="28"/>
          <w:szCs w:val="28"/>
        </w:rPr>
      </w:pPr>
      <w:r>
        <w:rPr>
          <w:rFonts w:hint="eastAsia" w:cs="仿宋_GB2312" w:asciiTheme="minorEastAsia" w:hAnsiTheme="minorEastAsia"/>
          <w:color w:val="auto"/>
          <w:kern w:val="0"/>
          <w:sz w:val="28"/>
          <w:szCs w:val="28"/>
        </w:rPr>
        <w:t>1、湖南省生态环境监测中心本级（仅含本级预算）</w:t>
      </w: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color w:val="auto"/>
          <w:sz w:val="72"/>
          <w:szCs w:val="72"/>
        </w:rPr>
      </w:pPr>
    </w:p>
    <w:p>
      <w:pPr>
        <w:jc w:val="center"/>
        <w:rPr>
          <w:color w:val="auto"/>
          <w:sz w:val="72"/>
          <w:szCs w:val="72"/>
        </w:rPr>
      </w:pPr>
    </w:p>
    <w:p>
      <w:pPr>
        <w:jc w:val="center"/>
        <w:rPr>
          <w:color w:val="auto"/>
          <w:sz w:val="72"/>
          <w:szCs w:val="72"/>
        </w:rPr>
      </w:pPr>
      <w:r>
        <w:rPr>
          <w:rFonts w:hint="eastAsia"/>
          <w:color w:val="auto"/>
          <w:sz w:val="72"/>
          <w:szCs w:val="72"/>
        </w:rPr>
        <w:t>第二部分</w:t>
      </w:r>
    </w:p>
    <w:p>
      <w:pPr>
        <w:jc w:val="center"/>
        <w:rPr>
          <w:color w:val="auto"/>
          <w:sz w:val="72"/>
          <w:szCs w:val="72"/>
        </w:rPr>
      </w:pPr>
    </w:p>
    <w:p>
      <w:pPr>
        <w:jc w:val="center"/>
        <w:rPr>
          <w:color w:val="auto"/>
          <w:sz w:val="72"/>
          <w:szCs w:val="72"/>
        </w:rPr>
      </w:pPr>
      <w:r>
        <w:rPr>
          <w:rFonts w:hint="eastAsia"/>
          <w:color w:val="auto"/>
          <w:sz w:val="72"/>
          <w:szCs w:val="72"/>
        </w:rPr>
        <w:t>部门决算表</w:t>
      </w: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left"/>
        <w:rPr>
          <w:color w:val="auto"/>
          <w:sz w:val="32"/>
          <w:szCs w:val="32"/>
        </w:rPr>
      </w:pPr>
    </w:p>
    <w:p>
      <w:pPr>
        <w:jc w:val="left"/>
        <w:rPr>
          <w:rFonts w:asciiTheme="minorEastAsia" w:hAnsiTheme="minorEastAsia"/>
          <w:color w:val="auto"/>
          <w:sz w:val="32"/>
          <w:szCs w:val="32"/>
        </w:rPr>
        <w:sectPr>
          <w:pgSz w:w="11906" w:h="16838"/>
          <w:pgMar w:top="720" w:right="1803" w:bottom="720" w:left="1803" w:header="851" w:footer="992" w:gutter="0"/>
          <w:cols w:space="425" w:num="1"/>
          <w:docGrid w:type="lines" w:linePitch="312" w:charSpace="0"/>
        </w:sectPr>
      </w:pPr>
    </w:p>
    <w:tbl>
      <w:tblPr>
        <w:tblStyle w:val="9"/>
        <w:tblW w:w="14085" w:type="dxa"/>
        <w:tblInd w:w="93" w:type="dxa"/>
        <w:tblLayout w:type="fixed"/>
        <w:tblCellMar>
          <w:top w:w="0" w:type="dxa"/>
          <w:left w:w="108" w:type="dxa"/>
          <w:bottom w:w="0" w:type="dxa"/>
          <w:right w:w="108" w:type="dxa"/>
        </w:tblCellMar>
      </w:tblPr>
      <w:tblGrid>
        <w:gridCol w:w="4126"/>
        <w:gridCol w:w="449"/>
        <w:gridCol w:w="631"/>
        <w:gridCol w:w="697"/>
        <w:gridCol w:w="236"/>
        <w:gridCol w:w="3464"/>
        <w:gridCol w:w="845"/>
        <w:gridCol w:w="1464"/>
        <w:gridCol w:w="657"/>
        <w:gridCol w:w="1512"/>
        <w:gridCol w:w="4"/>
      </w:tblGrid>
      <w:tr>
        <w:tblPrEx>
          <w:tblCellMar>
            <w:top w:w="0" w:type="dxa"/>
            <w:left w:w="108" w:type="dxa"/>
            <w:bottom w:w="0" w:type="dxa"/>
            <w:right w:w="108" w:type="dxa"/>
          </w:tblCellMar>
        </w:tblPrEx>
        <w:trPr>
          <w:gridAfter w:val="1"/>
          <w:wAfter w:w="4" w:type="dxa"/>
          <w:trHeight w:val="360" w:hRule="atLeast"/>
        </w:trPr>
        <w:tc>
          <w:tcPr>
            <w:tcW w:w="14081"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auto"/>
                <w:kern w:val="0"/>
                <w:sz w:val="32"/>
                <w:szCs w:val="32"/>
              </w:rPr>
            </w:pPr>
            <w:r>
              <w:rPr>
                <w:rFonts w:hint="eastAsia" w:ascii="华文中宋" w:hAnsi="华文中宋" w:eastAsia="华文中宋" w:cs="宋体"/>
                <w:color w:val="auto"/>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697"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36"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516"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部门：</w:t>
            </w:r>
            <w:r>
              <w:rPr>
                <w:rFonts w:hint="eastAsia" w:asciiTheme="minorEastAsia" w:hAnsiTheme="minorEastAsia" w:eastAsiaTheme="minorEastAsia" w:cstheme="minorEastAsia"/>
                <w:color w:val="auto"/>
                <w:kern w:val="0"/>
                <w:sz w:val="22"/>
                <w:szCs w:val="22"/>
              </w:rPr>
              <w:t>湖南省生态环境监测中心</w:t>
            </w:r>
            <w:r>
              <w:rPr>
                <w:rFonts w:ascii="宋体" w:hAnsi="宋体" w:eastAsia="宋体" w:cs="宋体"/>
                <w:color w:val="auto"/>
                <w:kern w:val="0"/>
                <w:sz w:val="20"/>
                <w:szCs w:val="20"/>
              </w:rPr>
              <w:t xml:space="preserve"> </w:t>
            </w:r>
          </w:p>
        </w:tc>
        <w:tc>
          <w:tcPr>
            <w:tcW w:w="697"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36"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2021年度</w:t>
            </w:r>
            <w:r>
              <w:rPr>
                <w:rFonts w:hint="eastAsia" w:ascii="宋体" w:hAnsi="宋体" w:eastAsia="宋体" w:cs="宋体"/>
                <w:color w:val="auto"/>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516"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单位：万元</w:t>
            </w:r>
          </w:p>
        </w:tc>
      </w:tr>
      <w:tr>
        <w:tblPrEx>
          <w:tblCellMar>
            <w:top w:w="0" w:type="dxa"/>
            <w:left w:w="108" w:type="dxa"/>
            <w:bottom w:w="0" w:type="dxa"/>
            <w:right w:w="108" w:type="dxa"/>
          </w:tblCellMar>
        </w:tblPrEx>
        <w:trPr>
          <w:gridAfter w:val="1"/>
          <w:wAfter w:w="4" w:type="dxa"/>
          <w:trHeight w:val="340" w:hRule="atLeast"/>
        </w:trPr>
        <w:tc>
          <w:tcPr>
            <w:tcW w:w="5903"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收入</w:t>
            </w:r>
          </w:p>
        </w:tc>
        <w:tc>
          <w:tcPr>
            <w:tcW w:w="8178" w:type="dxa"/>
            <w:gridSpan w:val="6"/>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支出</w:t>
            </w: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行次</w:t>
            </w:r>
          </w:p>
        </w:tc>
        <w:tc>
          <w:tcPr>
            <w:tcW w:w="1328"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决算数</w:t>
            </w:r>
          </w:p>
        </w:tc>
        <w:tc>
          <w:tcPr>
            <w:tcW w:w="370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项    目</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决算数</w:t>
            </w: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　</w:t>
            </w:r>
          </w:p>
        </w:tc>
        <w:tc>
          <w:tcPr>
            <w:tcW w:w="1328"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1</w:t>
            </w:r>
          </w:p>
        </w:tc>
        <w:tc>
          <w:tcPr>
            <w:tcW w:w="370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栏    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w:t>
            </w: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1</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3</w:t>
            </w:r>
            <w:r>
              <w:rPr>
                <w:rFonts w:hint="eastAsia" w:asciiTheme="minorEastAsia" w:hAnsiTheme="minorEastAsia" w:eastAsiaTheme="minorEastAsia" w:cstheme="minorEastAsia"/>
                <w:color w:val="auto"/>
                <w:kern w:val="0"/>
                <w:sz w:val="22"/>
                <w:szCs w:val="22"/>
                <w:lang w:eastAsia="zh-CN"/>
              </w:rPr>
              <w:t>1,801.9</w:t>
            </w:r>
            <w:r>
              <w:rPr>
                <w:rFonts w:hint="eastAsia" w:asciiTheme="minorEastAsia" w:hAnsiTheme="minorEastAsia" w:eastAsiaTheme="minorEastAsia" w:cstheme="minorEastAsia"/>
                <w:color w:val="auto"/>
                <w:kern w:val="0"/>
                <w:sz w:val="22"/>
                <w:szCs w:val="22"/>
              </w:rPr>
              <w:t>3</w:t>
            </w:r>
          </w:p>
        </w:tc>
        <w:tc>
          <w:tcPr>
            <w:tcW w:w="3700"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14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2</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p>
        </w:tc>
        <w:tc>
          <w:tcPr>
            <w:tcW w:w="3700"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二、外交支出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15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3</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p>
        </w:tc>
        <w:tc>
          <w:tcPr>
            <w:tcW w:w="3700"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六、科学技术支出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16</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10.59</w:t>
            </w: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4</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p>
        </w:tc>
        <w:tc>
          <w:tcPr>
            <w:tcW w:w="3700"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八、社会保障和就业支出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17</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278.02</w:t>
            </w: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五、事业收入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5</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p>
        </w:tc>
        <w:tc>
          <w:tcPr>
            <w:tcW w:w="3700"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cstheme="minorEastAsia"/>
                <w:color w:val="auto"/>
                <w:kern w:val="0"/>
                <w:sz w:val="22"/>
                <w:szCs w:val="22"/>
                <w:lang w:val="en-US" w:eastAsia="zh-CN"/>
              </w:rPr>
              <w:t>九</w:t>
            </w:r>
            <w:r>
              <w:rPr>
                <w:rFonts w:hint="eastAsia" w:asciiTheme="minorEastAsia" w:hAnsiTheme="minorEastAsia" w:eastAsiaTheme="minorEastAsia" w:cstheme="minorEastAsia"/>
                <w:color w:val="auto"/>
                <w:kern w:val="0"/>
                <w:sz w:val="22"/>
                <w:szCs w:val="22"/>
              </w:rPr>
              <w:t>、卫生健康支出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18</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136.27</w:t>
            </w: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六、经营收入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6</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p>
        </w:tc>
        <w:tc>
          <w:tcPr>
            <w:tcW w:w="3700"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十、节能环保支出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19</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11,977.15</w:t>
            </w: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7</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p>
        </w:tc>
        <w:tc>
          <w:tcPr>
            <w:tcW w:w="370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十九、住房保障支出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20</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207.41</w:t>
            </w:r>
          </w:p>
        </w:tc>
      </w:tr>
      <w:tr>
        <w:tblPrEx>
          <w:tblCellMar>
            <w:top w:w="0" w:type="dxa"/>
            <w:left w:w="108" w:type="dxa"/>
            <w:bottom w:w="0" w:type="dxa"/>
            <w:right w:w="108" w:type="dxa"/>
          </w:tblCellMar>
        </w:tblPrEx>
        <w:trPr>
          <w:gridAfter w:val="1"/>
          <w:wAfter w:w="4" w:type="dxa"/>
          <w:trHeight w:val="364"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八、其他收入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8</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411.67</w:t>
            </w:r>
          </w:p>
        </w:tc>
        <w:tc>
          <w:tcPr>
            <w:tcW w:w="370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二十三、其他支出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21</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604.10</w:t>
            </w: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　</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9</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p>
        </w:tc>
        <w:tc>
          <w:tcPr>
            <w:tcW w:w="370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22</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bCs/>
                <w:color w:val="auto"/>
                <w:kern w:val="0"/>
                <w:sz w:val="22"/>
                <w:szCs w:val="22"/>
              </w:rPr>
            </w:pPr>
            <w:r>
              <w:rPr>
                <w:rFonts w:hint="eastAsia" w:asciiTheme="minorEastAsia" w:hAnsiTheme="minorEastAsia" w:eastAsiaTheme="minorEastAsia" w:cstheme="minorEastAsia"/>
                <w:color w:val="auto"/>
                <w:kern w:val="0"/>
                <w:sz w:val="22"/>
                <w:szCs w:val="22"/>
              </w:rPr>
              <w:t>……</w:t>
            </w: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b/>
                <w:bCs/>
                <w:color w:val="auto"/>
                <w:kern w:val="0"/>
                <w:sz w:val="22"/>
              </w:rPr>
            </w:pPr>
            <w:r>
              <w:rPr>
                <w:rFonts w:hint="eastAsia" w:asciiTheme="minorEastAsia" w:hAnsiTheme="minorEastAsia" w:eastAsiaTheme="minorEastAsia" w:cstheme="minorEastAsia"/>
                <w:b/>
                <w:bCs/>
                <w:color w:val="auto"/>
                <w:kern w:val="0"/>
                <w:sz w:val="22"/>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10</w:t>
            </w:r>
          </w:p>
        </w:tc>
        <w:tc>
          <w:tcPr>
            <w:tcW w:w="132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32,213.6</w:t>
            </w:r>
          </w:p>
        </w:tc>
        <w:tc>
          <w:tcPr>
            <w:tcW w:w="370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b/>
                <w:bCs/>
                <w:color w:val="auto"/>
                <w:kern w:val="0"/>
                <w:sz w:val="22"/>
                <w:szCs w:val="22"/>
              </w:rPr>
            </w:pPr>
            <w:r>
              <w:rPr>
                <w:rFonts w:hint="eastAsia" w:asciiTheme="minorEastAsia" w:hAnsiTheme="minorEastAsia" w:eastAsiaTheme="minorEastAsia" w:cstheme="minorEastAsia"/>
                <w:b/>
                <w:bCs/>
                <w:color w:val="auto"/>
                <w:kern w:val="0"/>
                <w:sz w:val="22"/>
                <w:szCs w:val="22"/>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23</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13,213.53</w:t>
            </w: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11</w:t>
            </w:r>
          </w:p>
        </w:tc>
        <w:tc>
          <w:tcPr>
            <w:tcW w:w="1328" w:type="dxa"/>
            <w:gridSpan w:val="2"/>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p>
        </w:tc>
        <w:tc>
          <w:tcPr>
            <w:tcW w:w="370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结余分配</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12</w:t>
            </w:r>
          </w:p>
        </w:tc>
        <w:tc>
          <w:tcPr>
            <w:tcW w:w="132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748.67</w:t>
            </w:r>
          </w:p>
        </w:tc>
        <w:tc>
          <w:tcPr>
            <w:tcW w:w="3700"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年末结转和结余</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25</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19,748.74</w:t>
            </w:r>
          </w:p>
        </w:tc>
      </w:tr>
      <w:tr>
        <w:tblPrEx>
          <w:tblCellMar>
            <w:top w:w="0" w:type="dxa"/>
            <w:left w:w="108" w:type="dxa"/>
            <w:bottom w:w="0" w:type="dxa"/>
            <w:right w:w="108" w:type="dxa"/>
          </w:tblCellMar>
        </w:tblPrEx>
        <w:trPr>
          <w:gridAfter w:val="1"/>
          <w:wAfter w:w="4" w:type="dxa"/>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b/>
                <w:bCs/>
                <w:color w:val="auto"/>
                <w:kern w:val="0"/>
                <w:sz w:val="22"/>
              </w:rPr>
            </w:pPr>
            <w:r>
              <w:rPr>
                <w:rFonts w:hint="eastAsia" w:asciiTheme="minorEastAsia" w:hAnsiTheme="minorEastAsia" w:eastAsiaTheme="minorEastAsia" w:cstheme="minorEastAsia"/>
                <w:b/>
                <w:bCs/>
                <w:color w:val="auto"/>
                <w:kern w:val="0"/>
                <w:sz w:val="22"/>
              </w:rPr>
              <w:t>总计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13</w:t>
            </w:r>
          </w:p>
        </w:tc>
        <w:tc>
          <w:tcPr>
            <w:tcW w:w="132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32,962.27</w:t>
            </w:r>
          </w:p>
        </w:tc>
        <w:tc>
          <w:tcPr>
            <w:tcW w:w="3700" w:type="dxa"/>
            <w:gridSpan w:val="2"/>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b/>
                <w:bCs/>
                <w:color w:val="auto"/>
                <w:kern w:val="0"/>
                <w:sz w:val="22"/>
              </w:rPr>
            </w:pPr>
            <w:r>
              <w:rPr>
                <w:rFonts w:hint="eastAsia" w:asciiTheme="minorEastAsia" w:hAnsiTheme="minorEastAsia" w:eastAsiaTheme="minorEastAsia" w:cstheme="minorEastAsia"/>
                <w:b/>
                <w:bCs/>
                <w:color w:val="auto"/>
                <w:kern w:val="0"/>
                <w:sz w:val="22"/>
              </w:rPr>
              <w:t>总计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heme="minorEastAsia" w:hAnsiTheme="minorEastAsia" w:eastAsiaTheme="minorEastAsia" w:cstheme="minorEastAsia"/>
                <w:color w:val="auto"/>
                <w:kern w:val="0"/>
                <w:sz w:val="22"/>
              </w:rPr>
            </w:pPr>
            <w:r>
              <w:rPr>
                <w:rFonts w:hint="eastAsia" w:asciiTheme="minorEastAsia" w:hAnsiTheme="minorEastAsia" w:eastAsiaTheme="minorEastAsia" w:cstheme="minorEastAsia"/>
                <w:color w:val="auto"/>
                <w:kern w:val="0"/>
                <w:sz w:val="22"/>
              </w:rPr>
              <w:t>26</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32,962.27</w:t>
            </w:r>
          </w:p>
        </w:tc>
      </w:tr>
      <w:tr>
        <w:tblPrEx>
          <w:tblCellMar>
            <w:top w:w="0" w:type="dxa"/>
            <w:left w:w="108" w:type="dxa"/>
            <w:bottom w:w="0" w:type="dxa"/>
            <w:right w:w="108" w:type="dxa"/>
          </w:tblCellMar>
        </w:tblPrEx>
        <w:trPr>
          <w:gridAfter w:val="1"/>
          <w:wAfter w:w="4" w:type="dxa"/>
          <w:trHeight w:val="1020" w:hRule="atLeast"/>
        </w:trPr>
        <w:tc>
          <w:tcPr>
            <w:tcW w:w="14081" w:type="dxa"/>
            <w:gridSpan w:val="10"/>
            <w:tcBorders>
              <w:top w:val="nil"/>
              <w:left w:val="nil"/>
              <w:bottom w:val="nil"/>
              <w:right w:val="nil"/>
            </w:tcBorders>
            <w:shd w:val="clear" w:color="auto" w:fill="auto"/>
            <w:vAlign w:val="center"/>
          </w:tcPr>
          <w:p>
            <w:pPr>
              <w:widowControl/>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注：1.本表反映部门本年度的总收支和年末结转结余情况。</w:t>
            </w:r>
          </w:p>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xml:space="preserve"> 2.本套报表金额单位转换时可能存在尾数误差。</w:t>
            </w:r>
          </w:p>
        </w:tc>
      </w:tr>
    </w:tbl>
    <w:p>
      <w:pPr>
        <w:jc w:val="both"/>
        <w:rPr>
          <w:rFonts w:ascii="黑体" w:hAnsi="黑体" w:eastAsia="黑体"/>
          <w:color w:val="auto"/>
          <w:sz w:val="28"/>
          <w:szCs w:val="28"/>
        </w:rPr>
        <w:sectPr>
          <w:pgSz w:w="16838" w:h="11906" w:orient="landscape"/>
          <w:pgMar w:top="1797" w:right="1440" w:bottom="1797" w:left="1440" w:header="851" w:footer="992" w:gutter="0"/>
          <w:cols w:space="425" w:num="1"/>
          <w:docGrid w:type="linesAndChars" w:linePitch="312" w:charSpace="0"/>
        </w:sectPr>
      </w:pPr>
    </w:p>
    <w:tbl>
      <w:tblPr>
        <w:tblStyle w:val="9"/>
        <w:tblW w:w="5000" w:type="pct"/>
        <w:tblInd w:w="0" w:type="dxa"/>
        <w:tblLayout w:type="autofit"/>
        <w:tblCellMar>
          <w:top w:w="0" w:type="dxa"/>
          <w:left w:w="0" w:type="dxa"/>
          <w:bottom w:w="0" w:type="dxa"/>
          <w:right w:w="0" w:type="dxa"/>
        </w:tblCellMar>
      </w:tblPr>
      <w:tblGrid>
        <w:gridCol w:w="1510"/>
        <w:gridCol w:w="1540"/>
        <w:gridCol w:w="4040"/>
        <w:gridCol w:w="1272"/>
        <w:gridCol w:w="1272"/>
        <w:gridCol w:w="1272"/>
        <w:gridCol w:w="807"/>
        <w:gridCol w:w="807"/>
        <w:gridCol w:w="1742"/>
        <w:gridCol w:w="1166"/>
      </w:tblGrid>
      <w:tr>
        <w:tblPrEx>
          <w:tblCellMar>
            <w:top w:w="0" w:type="dxa"/>
            <w:left w:w="0" w:type="dxa"/>
            <w:bottom w:w="0" w:type="dxa"/>
            <w:right w:w="0" w:type="dxa"/>
          </w:tblCellMar>
        </w:tblPrEx>
        <w:trPr>
          <w:trHeight w:val="435" w:hRule="atLeast"/>
        </w:trPr>
        <w:tc>
          <w:tcPr>
            <w:tcW w:w="5000" w:type="pct"/>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auto"/>
                <w:sz w:val="32"/>
                <w:szCs w:val="32"/>
              </w:rPr>
            </w:pPr>
            <w:r>
              <w:rPr>
                <w:rFonts w:hint="eastAsia" w:ascii="华文中宋" w:hAnsi="华文中宋" w:eastAsia="华文中宋"/>
                <w:color w:val="auto"/>
                <w:sz w:val="32"/>
                <w:szCs w:val="32"/>
              </w:rPr>
              <w:t>收入决算表</w:t>
            </w:r>
          </w:p>
        </w:tc>
      </w:tr>
      <w:tr>
        <w:tblPrEx>
          <w:tblCellMar>
            <w:top w:w="0" w:type="dxa"/>
            <w:left w:w="0" w:type="dxa"/>
            <w:bottom w:w="0" w:type="dxa"/>
            <w:right w:w="0" w:type="dxa"/>
          </w:tblCellMar>
        </w:tblPrEx>
        <w:trPr>
          <w:trHeight w:val="285" w:hRule="atLeast"/>
        </w:trPr>
        <w:tc>
          <w:tcPr>
            <w:tcW w:w="303"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308"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1363"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466"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466"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466"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315"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315"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618"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377"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0"/>
                <w:szCs w:val="20"/>
              </w:rPr>
            </w:pPr>
            <w:r>
              <w:rPr>
                <w:rFonts w:hint="eastAsia"/>
                <w:color w:val="auto"/>
                <w:sz w:val="20"/>
                <w:szCs w:val="20"/>
              </w:rPr>
              <w:t>公开02表</w:t>
            </w:r>
          </w:p>
        </w:tc>
      </w:tr>
      <w:tr>
        <w:tblPrEx>
          <w:tblCellMar>
            <w:top w:w="0" w:type="dxa"/>
            <w:left w:w="0" w:type="dxa"/>
            <w:bottom w:w="0" w:type="dxa"/>
            <w:right w:w="0" w:type="dxa"/>
          </w:tblCellMar>
        </w:tblPrEx>
        <w:trPr>
          <w:trHeight w:val="285" w:hRule="atLeast"/>
        </w:trPr>
        <w:tc>
          <w:tcPr>
            <w:tcW w:w="612" w:type="pct"/>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auto"/>
                <w:sz w:val="20"/>
                <w:szCs w:val="20"/>
              </w:rPr>
            </w:pPr>
            <w:r>
              <w:rPr>
                <w:rFonts w:hint="eastAsia"/>
                <w:color w:val="auto"/>
                <w:sz w:val="20"/>
                <w:szCs w:val="20"/>
              </w:rPr>
              <w:t>部门：</w:t>
            </w:r>
            <w:r>
              <w:rPr>
                <w:rFonts w:hint="eastAsia" w:asciiTheme="minorEastAsia" w:hAnsiTheme="minorEastAsia" w:eastAsiaTheme="minorEastAsia" w:cstheme="minorEastAsia"/>
                <w:color w:val="auto"/>
                <w:kern w:val="0"/>
                <w:sz w:val="22"/>
                <w:szCs w:val="22"/>
              </w:rPr>
              <w:t>湖南省生态环境监测中心</w:t>
            </w:r>
            <w:r>
              <w:rPr>
                <w:rFonts w:ascii="宋体" w:hAnsi="宋体" w:eastAsia="宋体" w:cs="宋体"/>
                <w:color w:val="auto"/>
                <w:kern w:val="0"/>
                <w:sz w:val="20"/>
                <w:szCs w:val="20"/>
              </w:rPr>
              <w:t xml:space="preserve"> </w:t>
            </w:r>
          </w:p>
        </w:tc>
        <w:tc>
          <w:tcPr>
            <w:tcW w:w="1363"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466"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lang w:val="en-US" w:eastAsia="zh-CN"/>
              </w:rPr>
              <w:t>2021年度</w:t>
            </w:r>
            <w:r>
              <w:rPr>
                <w:rFonts w:hint="eastAsia"/>
                <w:color w:val="auto"/>
              </w:rPr>
              <w:t>　</w:t>
            </w:r>
          </w:p>
        </w:tc>
        <w:tc>
          <w:tcPr>
            <w:tcW w:w="466"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466" w:type="pct"/>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0"/>
                <w:szCs w:val="20"/>
              </w:rPr>
            </w:pPr>
            <w:r>
              <w:rPr>
                <w:rFonts w:hint="eastAsia"/>
                <w:color w:val="auto"/>
                <w:sz w:val="20"/>
                <w:szCs w:val="20"/>
              </w:rPr>
              <w:t>　</w:t>
            </w:r>
          </w:p>
        </w:tc>
        <w:tc>
          <w:tcPr>
            <w:tcW w:w="315"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315"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618"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4"/>
                <w:szCs w:val="24"/>
              </w:rPr>
            </w:pPr>
            <w:r>
              <w:rPr>
                <w:rFonts w:hint="eastAsia"/>
                <w:color w:val="auto"/>
              </w:rPr>
              <w:t>　</w:t>
            </w:r>
          </w:p>
        </w:tc>
        <w:tc>
          <w:tcPr>
            <w:tcW w:w="377" w:type="pct"/>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auto"/>
                <w:sz w:val="20"/>
                <w:szCs w:val="20"/>
              </w:rPr>
            </w:pPr>
            <w:r>
              <w:rPr>
                <w:rFonts w:hint="eastAsia"/>
                <w:color w:val="auto"/>
                <w:sz w:val="20"/>
                <w:szCs w:val="20"/>
              </w:rPr>
              <w:t>单位：万元</w:t>
            </w:r>
          </w:p>
        </w:tc>
      </w:tr>
      <w:tr>
        <w:tblPrEx>
          <w:tblCellMar>
            <w:top w:w="0" w:type="dxa"/>
            <w:left w:w="0" w:type="dxa"/>
            <w:bottom w:w="0" w:type="dxa"/>
            <w:right w:w="0" w:type="dxa"/>
          </w:tblCellMar>
        </w:tblPrEx>
        <w:trPr>
          <w:trHeight w:val="450" w:hRule="atLeast"/>
        </w:trPr>
        <w:tc>
          <w:tcPr>
            <w:tcW w:w="1975" w:type="pct"/>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项    目</w:t>
            </w:r>
          </w:p>
        </w:tc>
        <w:tc>
          <w:tcPr>
            <w:tcW w:w="466" w:type="pct"/>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本年收入合计</w:t>
            </w:r>
          </w:p>
        </w:tc>
        <w:tc>
          <w:tcPr>
            <w:tcW w:w="466"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财政拨款收入</w:t>
            </w:r>
          </w:p>
        </w:tc>
        <w:tc>
          <w:tcPr>
            <w:tcW w:w="466" w:type="pct"/>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上级补助收入</w:t>
            </w:r>
          </w:p>
        </w:tc>
        <w:tc>
          <w:tcPr>
            <w:tcW w:w="315" w:type="pct"/>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事业收入</w:t>
            </w:r>
          </w:p>
        </w:tc>
        <w:tc>
          <w:tcPr>
            <w:tcW w:w="315" w:type="pct"/>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经营收入</w:t>
            </w:r>
          </w:p>
        </w:tc>
        <w:tc>
          <w:tcPr>
            <w:tcW w:w="618" w:type="pct"/>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附属单位上缴收入</w:t>
            </w:r>
          </w:p>
        </w:tc>
        <w:tc>
          <w:tcPr>
            <w:tcW w:w="377" w:type="pct"/>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其他收入</w:t>
            </w:r>
          </w:p>
        </w:tc>
      </w:tr>
      <w:tr>
        <w:tblPrEx>
          <w:tblCellMar>
            <w:top w:w="0" w:type="dxa"/>
            <w:left w:w="0" w:type="dxa"/>
            <w:bottom w:w="0" w:type="dxa"/>
            <w:right w:w="0" w:type="dxa"/>
          </w:tblCellMar>
        </w:tblPrEx>
        <w:trPr>
          <w:trHeight w:val="450" w:hRule="atLeast"/>
        </w:trPr>
        <w:tc>
          <w:tcPr>
            <w:tcW w:w="612" w:type="pct"/>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功能分类科目编码</w:t>
            </w:r>
          </w:p>
        </w:tc>
        <w:tc>
          <w:tcPr>
            <w:tcW w:w="1363" w:type="pct"/>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科目名称</w:t>
            </w:r>
          </w:p>
        </w:tc>
        <w:tc>
          <w:tcPr>
            <w:tcW w:w="466"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466"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466"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315"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315"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618"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377"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r>
      <w:tr>
        <w:tblPrEx>
          <w:tblCellMar>
            <w:top w:w="0" w:type="dxa"/>
            <w:left w:w="0" w:type="dxa"/>
            <w:bottom w:w="0" w:type="dxa"/>
            <w:right w:w="0" w:type="dxa"/>
          </w:tblCellMar>
        </w:tblPrEx>
        <w:trPr>
          <w:trHeight w:val="45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1363" w:type="pct"/>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466"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466"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466"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315"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315"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618"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c>
          <w:tcPr>
            <w:tcW w:w="377" w:type="pct"/>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4"/>
                <w:szCs w:val="24"/>
              </w:rPr>
            </w:pPr>
          </w:p>
        </w:tc>
      </w:tr>
      <w:tr>
        <w:tblPrEx>
          <w:tblCellMar>
            <w:top w:w="0" w:type="dxa"/>
            <w:left w:w="0" w:type="dxa"/>
            <w:bottom w:w="0" w:type="dxa"/>
            <w:right w:w="0" w:type="dxa"/>
          </w:tblCellMar>
        </w:tblPrEx>
        <w:trPr>
          <w:trHeight w:val="450" w:hRule="atLeast"/>
        </w:trPr>
        <w:tc>
          <w:tcPr>
            <w:tcW w:w="1975" w:type="pct"/>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栏次</w:t>
            </w:r>
          </w:p>
        </w:tc>
        <w:tc>
          <w:tcPr>
            <w:tcW w:w="466"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1</w:t>
            </w:r>
          </w:p>
        </w:tc>
        <w:tc>
          <w:tcPr>
            <w:tcW w:w="466"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2</w:t>
            </w:r>
          </w:p>
        </w:tc>
        <w:tc>
          <w:tcPr>
            <w:tcW w:w="466"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3</w:t>
            </w:r>
          </w:p>
        </w:tc>
        <w:tc>
          <w:tcPr>
            <w:tcW w:w="315"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4</w:t>
            </w:r>
          </w:p>
        </w:tc>
        <w:tc>
          <w:tcPr>
            <w:tcW w:w="315"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5</w:t>
            </w:r>
          </w:p>
        </w:tc>
        <w:tc>
          <w:tcPr>
            <w:tcW w:w="618"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6</w:t>
            </w:r>
          </w:p>
        </w:tc>
        <w:tc>
          <w:tcPr>
            <w:tcW w:w="377"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color w:val="auto"/>
                <w:sz w:val="24"/>
                <w:szCs w:val="24"/>
              </w:rPr>
            </w:pPr>
            <w:r>
              <w:rPr>
                <w:rFonts w:hint="eastAsia"/>
                <w:color w:val="auto"/>
              </w:rPr>
              <w:t>7</w:t>
            </w:r>
          </w:p>
        </w:tc>
      </w:tr>
      <w:tr>
        <w:tblPrEx>
          <w:tblCellMar>
            <w:top w:w="0" w:type="dxa"/>
            <w:left w:w="0" w:type="dxa"/>
            <w:bottom w:w="0" w:type="dxa"/>
            <w:right w:w="0" w:type="dxa"/>
          </w:tblCellMar>
        </w:tblPrEx>
        <w:trPr>
          <w:trHeight w:val="450" w:hRule="atLeast"/>
        </w:trPr>
        <w:tc>
          <w:tcPr>
            <w:tcW w:w="1975" w:type="pct"/>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合计</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32,213.60</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31,801.93</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w:t>
            </w: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w:t>
            </w: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w:t>
            </w: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w:t>
            </w: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411.67</w:t>
            </w: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206</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科学技术支出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11.19</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11.19</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20603</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应用研究</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11.19</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11.19</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lang w:eastAsia="zh-CN"/>
              </w:rPr>
              <w:t>206030</w:t>
            </w:r>
            <w:r>
              <w:rPr>
                <w:rFonts w:hint="eastAsia" w:asciiTheme="minorEastAsia" w:hAnsiTheme="minorEastAsia" w:eastAsiaTheme="minorEastAsia" w:cstheme="minorEastAsia"/>
                <w:b w:val="0"/>
                <w:bCs w:val="0"/>
                <w:color w:val="auto"/>
                <w:sz w:val="22"/>
                <w:szCs w:val="22"/>
              </w:rPr>
              <w:t>2</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lef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社会公益研究</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11.19</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11.19</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208</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jc w:val="lef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社会保障和就业支出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20805</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lef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行政事业单位养老支出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lang w:eastAsia="zh-CN"/>
              </w:rPr>
              <w:t>208050</w:t>
            </w:r>
            <w:r>
              <w:rPr>
                <w:rFonts w:hint="eastAsia" w:asciiTheme="minorEastAsia" w:hAnsiTheme="minorEastAsia" w:eastAsiaTheme="minorEastAsia" w:cstheme="minorEastAsia"/>
                <w:b w:val="0"/>
                <w:bCs w:val="0"/>
                <w:color w:val="auto"/>
                <w:sz w:val="22"/>
                <w:szCs w:val="22"/>
              </w:rPr>
              <w:t>5</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lef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机关事业单位基本养老保险缴费支出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lang w:val="en-US" w:eastAsia="zh-CN"/>
              </w:rPr>
            </w:pPr>
            <w:r>
              <w:rPr>
                <w:rFonts w:hint="eastAsia" w:asciiTheme="minorEastAsia" w:hAnsiTheme="minorEastAsia" w:eastAsiaTheme="minorEastAsia" w:cstheme="minorEastAsia"/>
                <w:b w:val="0"/>
                <w:bCs w:val="0"/>
                <w:color w:val="auto"/>
                <w:sz w:val="22"/>
                <w:szCs w:val="22"/>
                <w:lang w:val="en-US" w:eastAsia="zh-CN"/>
              </w:rPr>
              <w:t>210</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卫生健康支出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lang w:val="en-US" w:eastAsia="zh-CN"/>
              </w:rPr>
            </w:pPr>
            <w:r>
              <w:rPr>
                <w:rFonts w:hint="eastAsia" w:asciiTheme="minorEastAsia" w:hAnsiTheme="minorEastAsia" w:eastAsiaTheme="minorEastAsia" w:cstheme="minorEastAsia"/>
                <w:b w:val="0"/>
                <w:bCs w:val="0"/>
                <w:color w:val="auto"/>
                <w:sz w:val="22"/>
                <w:szCs w:val="22"/>
                <w:lang w:val="en-US" w:eastAsia="zh-CN"/>
              </w:rPr>
              <w:t>21011</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ind w:firstLine="220" w:firstLineChars="100"/>
              <w:jc w:val="lef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行政事业单位医疗</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lang w:eastAsia="zh-CN"/>
              </w:rPr>
            </w:pPr>
            <w:r>
              <w:rPr>
                <w:rFonts w:hint="eastAsia" w:asciiTheme="minorEastAsia" w:hAnsiTheme="minorEastAsia" w:eastAsiaTheme="minorEastAsia" w:cstheme="minorEastAsia"/>
                <w:b w:val="0"/>
                <w:bCs w:val="0"/>
                <w:color w:val="auto"/>
                <w:sz w:val="22"/>
                <w:szCs w:val="22"/>
                <w:lang w:eastAsia="zh-CN"/>
              </w:rPr>
              <w:t>2101102</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ind w:firstLine="220" w:firstLineChars="100"/>
              <w:jc w:val="lef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事业单位医疗</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jc w:val="lef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节能环保支出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31,169.04</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31,169.04</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21101</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lef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环境保护管理事务</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2,642.12</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2,642.12</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2110101</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lef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行政运行</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2,638.34</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2,638.34</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2110199</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left"/>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其他环境保护管理事务支出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3.78</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3.78</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21102</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环境监测与监察</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5,950.68</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5,950.68</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516"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2110299</w:t>
            </w:r>
          </w:p>
        </w:tc>
        <w:tc>
          <w:tcPr>
            <w:tcW w:w="1363" w:type="pct"/>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其他环境监测与监察支出</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5,950.68</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5,950.68</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21103</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污染防治</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22,576.24</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22,576.24</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2110301</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大气</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6,999.79</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6,999.79</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2110302</w:t>
            </w:r>
          </w:p>
        </w:tc>
        <w:tc>
          <w:tcPr>
            <w:tcW w:w="1363" w:type="pct"/>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水体</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14,739.88</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14,739.88</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2110305</w:t>
            </w:r>
          </w:p>
        </w:tc>
        <w:tc>
          <w:tcPr>
            <w:tcW w:w="1363" w:type="pct"/>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放射源和放射性废物监管</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125.00</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125.00</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31"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2110307</w:t>
            </w:r>
          </w:p>
        </w:tc>
        <w:tc>
          <w:tcPr>
            <w:tcW w:w="1363" w:type="pct"/>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土壤</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388.70</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388.70</w:t>
            </w:r>
          </w:p>
        </w:tc>
        <w:tc>
          <w:tcPr>
            <w:tcW w:w="466"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2110399</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其他污染防治支出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322.88</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322.88</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221</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住房保障支出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22102</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住房改革支出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2210201</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住房公积金</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7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229</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其他支出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411.67</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116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宋体" w:hAnsi="宋体" w:eastAsia="宋体" w:cs="宋体"/>
                <w:b w:val="0"/>
                <w:bCs w:val="0"/>
                <w:i w:val="0"/>
                <w:iCs w:val="0"/>
                <w:color w:val="auto"/>
                <w:kern w:val="0"/>
                <w:sz w:val="22"/>
                <w:szCs w:val="22"/>
                <w:u w:val="none"/>
                <w:lang w:val="en-US" w:eastAsia="zh-CN" w:bidi="ar"/>
              </w:rPr>
              <w:t>411.67</w:t>
            </w: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22999</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其他支出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411.67</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116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宋体" w:hAnsi="宋体" w:eastAsia="宋体" w:cs="宋体"/>
                <w:b w:val="0"/>
                <w:bCs w:val="0"/>
                <w:i w:val="0"/>
                <w:iCs w:val="0"/>
                <w:color w:val="auto"/>
                <w:kern w:val="0"/>
                <w:sz w:val="22"/>
                <w:szCs w:val="22"/>
                <w:u w:val="none"/>
                <w:lang w:val="en-US" w:eastAsia="zh-CN" w:bidi="ar"/>
              </w:rPr>
              <w:t>411.67</w:t>
            </w:r>
          </w:p>
        </w:tc>
      </w:tr>
      <w:tr>
        <w:tblPrEx>
          <w:tblCellMar>
            <w:top w:w="0" w:type="dxa"/>
            <w:left w:w="0" w:type="dxa"/>
            <w:bottom w:w="0" w:type="dxa"/>
            <w:right w:w="0" w:type="dxa"/>
          </w:tblCellMar>
        </w:tblPrEx>
        <w:trPr>
          <w:trHeight w:val="450" w:hRule="atLeast"/>
        </w:trPr>
        <w:tc>
          <w:tcPr>
            <w:tcW w:w="612" w:type="pct"/>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2299901</w:t>
            </w:r>
          </w:p>
        </w:tc>
        <w:tc>
          <w:tcPr>
            <w:tcW w:w="1363" w:type="pct"/>
            <w:tcBorders>
              <w:top w:val="nil"/>
              <w:left w:val="nil"/>
              <w:bottom w:val="single" w:color="auto" w:sz="4" w:space="0"/>
              <w:right w:val="single" w:color="auto" w:sz="4" w:space="0"/>
            </w:tcBorders>
            <w:shd w:val="clear" w:color="000000" w:fill="FFFFFF"/>
            <w:noWrap/>
            <w:tcMar>
              <w:top w:w="15" w:type="dxa"/>
              <w:left w:w="15" w:type="dxa"/>
              <w:bottom w:w="0" w:type="dxa"/>
              <w:right w:w="15" w:type="dxa"/>
            </w:tcMar>
          </w:tcPr>
          <w:p>
            <w:pPr>
              <w:ind w:firstLine="220" w:firstLineChars="100"/>
              <w:jc w:val="both"/>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其他支出</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411.67</w:t>
            </w: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46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315"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618"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heme="minorEastAsia" w:hAnsiTheme="minorEastAsia" w:eastAsiaTheme="minorEastAsia" w:cstheme="minorEastAsia"/>
                <w:b w:val="0"/>
                <w:bCs w:val="0"/>
                <w:color w:val="auto"/>
                <w:sz w:val="22"/>
                <w:szCs w:val="22"/>
              </w:rPr>
            </w:pPr>
          </w:p>
        </w:tc>
        <w:tc>
          <w:tcPr>
            <w:tcW w:w="116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auto"/>
                <w:sz w:val="22"/>
                <w:szCs w:val="22"/>
              </w:rPr>
            </w:pPr>
            <w:r>
              <w:rPr>
                <w:rFonts w:hint="eastAsia" w:ascii="宋体" w:hAnsi="宋体" w:eastAsia="宋体" w:cs="宋体"/>
                <w:b w:val="0"/>
                <w:bCs w:val="0"/>
                <w:i w:val="0"/>
                <w:iCs w:val="0"/>
                <w:color w:val="auto"/>
                <w:kern w:val="0"/>
                <w:sz w:val="22"/>
                <w:szCs w:val="22"/>
                <w:u w:val="none"/>
                <w:lang w:val="en-US" w:eastAsia="zh-CN" w:bidi="ar"/>
              </w:rPr>
              <w:t>411.67</w:t>
            </w:r>
          </w:p>
        </w:tc>
      </w:tr>
      <w:tr>
        <w:tblPrEx>
          <w:tblCellMar>
            <w:top w:w="0" w:type="dxa"/>
            <w:left w:w="0" w:type="dxa"/>
            <w:bottom w:w="0" w:type="dxa"/>
            <w:right w:w="0" w:type="dxa"/>
          </w:tblCellMar>
        </w:tblPrEx>
        <w:trPr>
          <w:trHeight w:val="615" w:hRule="atLeast"/>
        </w:trPr>
        <w:tc>
          <w:tcPr>
            <w:tcW w:w="5000" w:type="pct"/>
            <w:gridSpan w:val="10"/>
            <w:tcBorders>
              <w:top w:val="nil"/>
              <w:left w:val="nil"/>
              <w:bottom w:val="nil"/>
              <w:right w:val="nil"/>
            </w:tcBorders>
            <w:shd w:val="clear" w:color="auto" w:fill="auto"/>
            <w:tcMar>
              <w:top w:w="15" w:type="dxa"/>
              <w:left w:w="15" w:type="dxa"/>
              <w:bottom w:w="0" w:type="dxa"/>
              <w:right w:w="15" w:type="dxa"/>
            </w:tcMar>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注：本表反映部门本年度取得的各项收入情况。</w:t>
            </w:r>
          </w:p>
        </w:tc>
      </w:tr>
    </w:tbl>
    <w:p>
      <w:pPr>
        <w:widowControl/>
        <w:jc w:val="left"/>
        <w:rPr>
          <w:rFonts w:ascii="Times New Roman" w:hAnsi="Times New Roman" w:eastAsia="黑体" w:cs="Times New Roman"/>
          <w:bCs/>
          <w:color w:val="auto"/>
          <w:kern w:val="0"/>
          <w:sz w:val="32"/>
          <w:szCs w:val="32"/>
        </w:rPr>
      </w:pPr>
      <w:r>
        <w:rPr>
          <w:rFonts w:ascii="Times New Roman" w:hAnsi="Times New Roman" w:eastAsia="黑体" w:cs="Times New Roman"/>
          <w:bCs/>
          <w:color w:val="auto"/>
          <w:kern w:val="0"/>
          <w:sz w:val="32"/>
          <w:szCs w:val="32"/>
        </w:rPr>
        <w:t xml:space="preserve"> </w:t>
      </w:r>
      <w:r>
        <w:rPr>
          <w:rFonts w:ascii="Times New Roman" w:hAnsi="Times New Roman" w:eastAsia="黑体" w:cs="Times New Roman"/>
          <w:bCs/>
          <w:color w:val="auto"/>
          <w:kern w:val="0"/>
          <w:sz w:val="32"/>
          <w:szCs w:val="32"/>
        </w:rPr>
        <w:br w:type="page"/>
      </w:r>
    </w:p>
    <w:tbl>
      <w:tblPr>
        <w:tblStyle w:val="9"/>
        <w:tblW w:w="4974" w:type="pct"/>
        <w:tblInd w:w="81" w:type="dxa"/>
        <w:tblLayout w:type="fixed"/>
        <w:tblCellMar>
          <w:top w:w="0" w:type="dxa"/>
          <w:left w:w="108" w:type="dxa"/>
          <w:bottom w:w="0" w:type="dxa"/>
          <w:right w:w="108" w:type="dxa"/>
        </w:tblCellMar>
      </w:tblPr>
      <w:tblGrid>
        <w:gridCol w:w="18"/>
        <w:gridCol w:w="3135"/>
        <w:gridCol w:w="222"/>
        <w:gridCol w:w="74"/>
        <w:gridCol w:w="875"/>
        <w:gridCol w:w="1566"/>
        <w:gridCol w:w="1698"/>
        <w:gridCol w:w="1102"/>
        <w:gridCol w:w="132"/>
        <w:gridCol w:w="737"/>
        <w:gridCol w:w="240"/>
        <w:gridCol w:w="1491"/>
        <w:gridCol w:w="87"/>
        <w:gridCol w:w="840"/>
        <w:gridCol w:w="615"/>
        <w:gridCol w:w="728"/>
        <w:gridCol w:w="512"/>
        <w:gridCol w:w="1202"/>
        <w:gridCol w:w="259"/>
      </w:tblGrid>
      <w:tr>
        <w:tblPrEx>
          <w:tblCellMar>
            <w:top w:w="0" w:type="dxa"/>
            <w:left w:w="108" w:type="dxa"/>
            <w:bottom w:w="0" w:type="dxa"/>
            <w:right w:w="108" w:type="dxa"/>
          </w:tblCellMar>
        </w:tblPrEx>
        <w:trPr>
          <w:trHeight w:val="435" w:hRule="atLeast"/>
        </w:trPr>
        <w:tc>
          <w:tcPr>
            <w:tcW w:w="5000" w:type="pct"/>
            <w:gridSpan w:val="1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auto"/>
                <w:kern w:val="0"/>
                <w:sz w:val="32"/>
                <w:szCs w:val="32"/>
              </w:rPr>
            </w:pPr>
            <w:r>
              <w:rPr>
                <w:rFonts w:hint="eastAsia" w:ascii="华文中宋" w:hAnsi="华文中宋" w:eastAsia="华文中宋" w:cs="宋体"/>
                <w:color w:val="auto"/>
                <w:kern w:val="0"/>
                <w:sz w:val="32"/>
                <w:szCs w:val="32"/>
              </w:rPr>
              <w:t>支出决算表</w:t>
            </w:r>
          </w:p>
        </w:tc>
      </w:tr>
      <w:tr>
        <w:tblPrEx>
          <w:tblCellMar>
            <w:top w:w="0" w:type="dxa"/>
            <w:left w:w="108" w:type="dxa"/>
            <w:bottom w:w="0" w:type="dxa"/>
            <w:right w:w="108" w:type="dxa"/>
          </w:tblCellMar>
        </w:tblPrEx>
        <w:trPr>
          <w:trHeight w:val="285" w:hRule="atLeast"/>
        </w:trPr>
        <w:tc>
          <w:tcPr>
            <w:tcW w:w="1014" w:type="pct"/>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71"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56" w:type="pct"/>
            <w:gridSpan w:val="4"/>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97" w:type="pct"/>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37"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585" w:type="pct"/>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70"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432" w:type="pct"/>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635" w:type="pct"/>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公开03表</w:t>
            </w:r>
          </w:p>
        </w:tc>
      </w:tr>
      <w:tr>
        <w:tblPrEx>
          <w:tblCellMar>
            <w:top w:w="0" w:type="dxa"/>
            <w:left w:w="108" w:type="dxa"/>
            <w:bottom w:w="0" w:type="dxa"/>
            <w:right w:w="108" w:type="dxa"/>
          </w:tblCellMar>
        </w:tblPrEx>
        <w:trPr>
          <w:trHeight w:val="285" w:hRule="atLeast"/>
        </w:trPr>
        <w:tc>
          <w:tcPr>
            <w:tcW w:w="1014" w:type="pct"/>
            <w:gridSpan w:val="2"/>
            <w:tcBorders>
              <w:top w:val="nil"/>
              <w:left w:val="nil"/>
              <w:bottom w:val="nil"/>
              <w:right w:val="nil"/>
            </w:tcBorders>
            <w:shd w:val="clear" w:color="000000" w:fill="FFFFFF"/>
            <w:noWrap/>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部门：</w:t>
            </w:r>
            <w:r>
              <w:rPr>
                <w:rFonts w:hint="eastAsia" w:asciiTheme="minorEastAsia" w:hAnsiTheme="minorEastAsia" w:eastAsiaTheme="minorEastAsia" w:cstheme="minorEastAsia"/>
                <w:color w:val="auto"/>
                <w:kern w:val="0"/>
                <w:sz w:val="22"/>
                <w:szCs w:val="22"/>
              </w:rPr>
              <w:t>湖南省生态环境监测中心</w:t>
            </w:r>
            <w:r>
              <w:rPr>
                <w:rFonts w:ascii="宋体" w:hAnsi="宋体" w:eastAsia="宋体" w:cs="宋体"/>
                <w:color w:val="auto"/>
                <w:kern w:val="0"/>
                <w:sz w:val="20"/>
                <w:szCs w:val="20"/>
              </w:rPr>
              <w:t xml:space="preserve"> </w:t>
            </w:r>
          </w:p>
        </w:tc>
        <w:tc>
          <w:tcPr>
            <w:tcW w:w="71"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56" w:type="pct"/>
            <w:gridSpan w:val="4"/>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ascii="宋体" w:hAnsi="宋体" w:eastAsia="宋体" w:cs="宋体"/>
                <w:color w:val="auto"/>
                <w:kern w:val="0"/>
                <w:sz w:val="20"/>
                <w:szCs w:val="20"/>
              </w:rPr>
              <w:t xml:space="preserve"> </w:t>
            </w:r>
            <w:r>
              <w:rPr>
                <w:rFonts w:hint="eastAsia" w:ascii="宋体" w:hAnsi="宋体" w:eastAsia="宋体" w:cs="宋体"/>
                <w:color w:val="auto"/>
                <w:kern w:val="0"/>
                <w:sz w:val="24"/>
                <w:szCs w:val="24"/>
              </w:rPr>
              <w:t>　</w:t>
            </w:r>
          </w:p>
        </w:tc>
        <w:tc>
          <w:tcPr>
            <w:tcW w:w="397" w:type="pct"/>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2021年度</w:t>
            </w:r>
            <w:r>
              <w:rPr>
                <w:rFonts w:hint="eastAsia" w:ascii="宋体" w:hAnsi="宋体" w:eastAsia="宋体" w:cs="宋体"/>
                <w:color w:val="auto"/>
                <w:kern w:val="0"/>
                <w:sz w:val="24"/>
                <w:szCs w:val="24"/>
              </w:rPr>
              <w:t>　</w:t>
            </w:r>
          </w:p>
        </w:tc>
        <w:tc>
          <w:tcPr>
            <w:tcW w:w="237"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585" w:type="pct"/>
            <w:gridSpan w:val="3"/>
            <w:tcBorders>
              <w:top w:val="nil"/>
              <w:left w:val="nil"/>
              <w:bottom w:val="nil"/>
              <w:right w:val="nil"/>
            </w:tcBorders>
            <w:shd w:val="clear" w:color="000000" w:fill="FFFFFF"/>
            <w:noWrap/>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270"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432" w:type="pct"/>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635" w:type="pct"/>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单位：万元</w:t>
            </w:r>
          </w:p>
        </w:tc>
      </w:tr>
      <w:tr>
        <w:tblPrEx>
          <w:tblCellMar>
            <w:top w:w="0" w:type="dxa"/>
            <w:left w:w="108" w:type="dxa"/>
            <w:bottom w:w="0" w:type="dxa"/>
            <w:right w:w="108" w:type="dxa"/>
          </w:tblCellMar>
        </w:tblPrEx>
        <w:trPr>
          <w:trHeight w:val="450" w:hRule="atLeast"/>
        </w:trPr>
        <w:tc>
          <w:tcPr>
            <w:tcW w:w="2442" w:type="pct"/>
            <w:gridSpan w:val="7"/>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项    目</w:t>
            </w:r>
          </w:p>
        </w:tc>
        <w:tc>
          <w:tcPr>
            <w:tcW w:w="397" w:type="pct"/>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本年支出合计</w:t>
            </w:r>
          </w:p>
        </w:tc>
        <w:tc>
          <w:tcPr>
            <w:tcW w:w="237"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基本支出</w:t>
            </w:r>
          </w:p>
        </w:tc>
        <w:tc>
          <w:tcPr>
            <w:tcW w:w="585" w:type="pct"/>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项目支出</w:t>
            </w:r>
          </w:p>
        </w:tc>
        <w:tc>
          <w:tcPr>
            <w:tcW w:w="270"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上缴上级支出</w:t>
            </w:r>
          </w:p>
        </w:tc>
        <w:tc>
          <w:tcPr>
            <w:tcW w:w="432" w:type="pct"/>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经营支出</w:t>
            </w:r>
          </w:p>
        </w:tc>
        <w:tc>
          <w:tcPr>
            <w:tcW w:w="635" w:type="pct"/>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对附属单位补助支出</w:t>
            </w:r>
          </w:p>
        </w:tc>
      </w:tr>
      <w:tr>
        <w:tblPrEx>
          <w:tblCellMar>
            <w:top w:w="0" w:type="dxa"/>
            <w:left w:w="108" w:type="dxa"/>
            <w:bottom w:w="0" w:type="dxa"/>
            <w:right w:w="108" w:type="dxa"/>
          </w:tblCellMar>
        </w:tblPrEx>
        <w:trPr>
          <w:trHeight w:val="450" w:hRule="atLeast"/>
        </w:trPr>
        <w:tc>
          <w:tcPr>
            <w:tcW w:w="1086" w:type="pct"/>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功能分类科目编码</w:t>
            </w:r>
          </w:p>
        </w:tc>
        <w:tc>
          <w:tcPr>
            <w:tcW w:w="1356" w:type="pct"/>
            <w:gridSpan w:val="4"/>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科目名称</w:t>
            </w:r>
          </w:p>
        </w:tc>
        <w:tc>
          <w:tcPr>
            <w:tcW w:w="39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23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585"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27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43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635"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1356" w:type="pct"/>
            <w:gridSpan w:val="4"/>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39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23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585"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27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43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635"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2442" w:type="pct"/>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栏次</w:t>
            </w:r>
          </w:p>
        </w:tc>
        <w:tc>
          <w:tcPr>
            <w:tcW w:w="397" w:type="pct"/>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237" w:type="pct"/>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2</w:t>
            </w:r>
          </w:p>
        </w:tc>
        <w:tc>
          <w:tcPr>
            <w:tcW w:w="585" w:type="pct"/>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3</w:t>
            </w:r>
          </w:p>
        </w:tc>
        <w:tc>
          <w:tcPr>
            <w:tcW w:w="270" w:type="pct"/>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4</w:t>
            </w:r>
          </w:p>
        </w:tc>
        <w:tc>
          <w:tcPr>
            <w:tcW w:w="432" w:type="pct"/>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5</w:t>
            </w:r>
          </w:p>
        </w:tc>
        <w:tc>
          <w:tcPr>
            <w:tcW w:w="635" w:type="pct"/>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6</w:t>
            </w:r>
          </w:p>
        </w:tc>
      </w:tr>
      <w:tr>
        <w:tblPrEx>
          <w:tblCellMar>
            <w:top w:w="0" w:type="dxa"/>
            <w:left w:w="108" w:type="dxa"/>
            <w:bottom w:w="0" w:type="dxa"/>
            <w:right w:w="108" w:type="dxa"/>
          </w:tblCellMar>
        </w:tblPrEx>
        <w:trPr>
          <w:trHeight w:val="450" w:hRule="atLeast"/>
        </w:trPr>
        <w:tc>
          <w:tcPr>
            <w:tcW w:w="2442" w:type="pct"/>
            <w:gridSpan w:val="7"/>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13,213.53</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3,260.04</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9,953.49</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r>
              <w:rPr>
                <w:rFonts w:hint="eastAsia" w:asciiTheme="minorEastAsia" w:hAnsiTheme="minorEastAsia" w:eastAsiaTheme="minorEastAsia" w:cstheme="minorEastAsia"/>
                <w:b w:val="0"/>
                <w:bCs w:val="0"/>
                <w:color w:val="auto"/>
                <w:kern w:val="0"/>
                <w:sz w:val="22"/>
                <w:szCs w:val="22"/>
              </w:rPr>
              <w:t>　</w:t>
            </w: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宋体" w:hAnsi="宋体" w:eastAsia="宋体" w:cs="宋体"/>
                <w:color w:val="auto"/>
                <w:sz w:val="22"/>
                <w:lang w:val="en-US" w:eastAsia="zh-CN"/>
              </w:rPr>
            </w:pPr>
            <w:r>
              <w:rPr>
                <w:rFonts w:hint="eastAsia" w:eastAsia="宋体"/>
                <w:color w:val="auto"/>
                <w:sz w:val="22"/>
                <w:lang w:val="en-US" w:eastAsia="zh-CN"/>
              </w:rPr>
              <w:t>206</w:t>
            </w:r>
          </w:p>
        </w:tc>
        <w:tc>
          <w:tcPr>
            <w:tcW w:w="1356" w:type="pct"/>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科学技术支出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lang w:val="en-US" w:eastAsia="zh-CN"/>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20603</w:t>
            </w:r>
          </w:p>
        </w:tc>
        <w:tc>
          <w:tcPr>
            <w:tcW w:w="1356" w:type="pct"/>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应用研究</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2060302</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社会公益研究</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宋体" w:hAnsi="宋体" w:eastAsia="宋体" w:cs="宋体"/>
                <w:color w:val="auto"/>
                <w:sz w:val="22"/>
                <w:lang w:val="en-US" w:eastAsia="zh-CN"/>
              </w:rPr>
            </w:pPr>
            <w:r>
              <w:rPr>
                <w:rFonts w:hint="eastAsia" w:eastAsia="宋体"/>
                <w:color w:val="auto"/>
                <w:sz w:val="22"/>
                <w:lang w:val="en-US" w:eastAsia="zh-CN"/>
              </w:rPr>
              <w:t>208</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社会保障和就业支出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585" w:type="pct"/>
            <w:gridSpan w:val="3"/>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kern w:val="2"/>
                <w:sz w:val="22"/>
                <w:szCs w:val="22"/>
                <w:lang w:val="en-US" w:eastAsia="zh-CN" w:bidi="ar-SA"/>
              </w:rPr>
            </w:pPr>
            <w:r>
              <w:rPr>
                <w:rFonts w:hint="eastAsia" w:asciiTheme="minorEastAsia" w:hAnsiTheme="minorEastAsia" w:eastAsiaTheme="minorEastAsia" w:cstheme="minorEastAsia"/>
                <w:b w:val="0"/>
                <w:bCs w:val="0"/>
                <w:color w:val="auto"/>
                <w:sz w:val="22"/>
                <w:szCs w:val="22"/>
              </w:rPr>
              <w:t>-</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20805</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行政事业单位养老支出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585" w:type="pct"/>
            <w:gridSpan w:val="3"/>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kern w:val="2"/>
                <w:sz w:val="22"/>
                <w:szCs w:val="22"/>
                <w:lang w:val="en-US" w:eastAsia="zh-CN" w:bidi="ar-SA"/>
              </w:rPr>
            </w:pPr>
            <w:r>
              <w:rPr>
                <w:rFonts w:hint="eastAsia" w:asciiTheme="minorEastAsia" w:hAnsiTheme="minorEastAsia" w:eastAsiaTheme="minorEastAsia" w:cstheme="minorEastAsia"/>
                <w:b w:val="0"/>
                <w:bCs w:val="0"/>
                <w:color w:val="auto"/>
                <w:sz w:val="22"/>
                <w:szCs w:val="22"/>
              </w:rPr>
              <w:t>-</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color w:val="auto"/>
                <w:sz w:val="22"/>
              </w:rPr>
            </w:pPr>
            <w:r>
              <w:rPr>
                <w:rFonts w:hint="eastAsia"/>
                <w:color w:val="auto"/>
                <w:sz w:val="22"/>
              </w:rPr>
              <w:t>2080505</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hint="eastAsia"/>
                <w:color w:val="auto"/>
                <w:sz w:val="22"/>
              </w:rPr>
            </w:pPr>
            <w:r>
              <w:rPr>
                <w:rFonts w:hint="eastAsia"/>
                <w:color w:val="auto"/>
                <w:sz w:val="22"/>
              </w:rPr>
              <w:t xml:space="preserve">  机关事业单位基本养老保险缴费支出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585" w:type="pct"/>
            <w:gridSpan w:val="3"/>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kern w:val="2"/>
                <w:sz w:val="22"/>
                <w:szCs w:val="22"/>
                <w:lang w:val="en-US" w:eastAsia="zh-CN" w:bidi="ar-SA"/>
              </w:rPr>
            </w:pPr>
            <w:r>
              <w:rPr>
                <w:rFonts w:hint="eastAsia" w:asciiTheme="minorEastAsia" w:hAnsiTheme="minorEastAsia" w:eastAsiaTheme="minorEastAsia" w:cstheme="minorEastAsia"/>
                <w:b w:val="0"/>
                <w:bCs w:val="0"/>
                <w:color w:val="auto"/>
                <w:sz w:val="22"/>
                <w:szCs w:val="22"/>
              </w:rPr>
              <w:t>-</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default" w:ascii="宋体" w:hAnsi="宋体" w:eastAsia="宋体" w:cs="宋体"/>
                <w:color w:val="auto"/>
                <w:sz w:val="22"/>
                <w:lang w:val="en-US" w:eastAsia="zh-CN"/>
              </w:rPr>
            </w:pPr>
            <w:r>
              <w:rPr>
                <w:rFonts w:hint="eastAsia" w:eastAsia="宋体"/>
                <w:color w:val="auto"/>
                <w:sz w:val="22"/>
                <w:lang w:val="en-US" w:eastAsia="zh-CN"/>
              </w:rPr>
              <w:t>210</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卫生健康支出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585" w:type="pct"/>
            <w:gridSpan w:val="3"/>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21011</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行政事业单位医疗</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585" w:type="pct"/>
            <w:gridSpan w:val="3"/>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2101102</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事业单位医疗</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585" w:type="pct"/>
            <w:gridSpan w:val="3"/>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节能环保支出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11,977.15</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2,638.34</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9,338.81</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21101</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环境保护管理事务</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2,642.12</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2,638.34</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3.78</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2110101</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行政运行</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2,638.34</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2,638.34</w:t>
            </w:r>
          </w:p>
        </w:tc>
        <w:tc>
          <w:tcPr>
            <w:tcW w:w="585" w:type="pct"/>
            <w:gridSpan w:val="3"/>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2110199</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其他环境保护管理事务支出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3.78</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3.78</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21102</w:t>
            </w:r>
          </w:p>
        </w:tc>
        <w:tc>
          <w:tcPr>
            <w:tcW w:w="1356" w:type="pct"/>
            <w:gridSpan w:val="4"/>
            <w:tcBorders>
              <w:top w:val="single" w:color="auto" w:sz="4" w:space="0"/>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环境监测与监察</w:t>
            </w:r>
          </w:p>
        </w:tc>
        <w:tc>
          <w:tcPr>
            <w:tcW w:w="397" w:type="pct"/>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3,472.88</w:t>
            </w:r>
          </w:p>
        </w:tc>
        <w:tc>
          <w:tcPr>
            <w:tcW w:w="237" w:type="pct"/>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3,472.88</w:t>
            </w:r>
          </w:p>
        </w:tc>
        <w:tc>
          <w:tcPr>
            <w:tcW w:w="270" w:type="pct"/>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2110299</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其他环境监测与监察支出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3,472.88</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3,472.88</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21103</w:t>
            </w:r>
          </w:p>
        </w:tc>
        <w:tc>
          <w:tcPr>
            <w:tcW w:w="1356" w:type="pct"/>
            <w:gridSpan w:val="4"/>
            <w:tcBorders>
              <w:top w:val="single" w:color="auto" w:sz="4" w:space="0"/>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污染防治</w:t>
            </w:r>
          </w:p>
        </w:tc>
        <w:tc>
          <w:tcPr>
            <w:tcW w:w="397" w:type="pct"/>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5,746.77</w:t>
            </w:r>
          </w:p>
        </w:tc>
        <w:tc>
          <w:tcPr>
            <w:tcW w:w="237" w:type="pct"/>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5,746.77</w:t>
            </w:r>
          </w:p>
        </w:tc>
        <w:tc>
          <w:tcPr>
            <w:tcW w:w="270" w:type="pct"/>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2110301</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大气</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1,637.07</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1,637.07</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2110302</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水体</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3,482.28</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3,482.28</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color w:val="auto"/>
                <w:sz w:val="22"/>
              </w:rPr>
            </w:pPr>
            <w:r>
              <w:rPr>
                <w:rFonts w:hint="eastAsia"/>
                <w:color w:val="auto"/>
                <w:sz w:val="22"/>
              </w:rPr>
              <w:t>2110305</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hint="eastAsia"/>
                <w:color w:val="auto"/>
                <w:sz w:val="22"/>
              </w:rPr>
            </w:pPr>
            <w:r>
              <w:rPr>
                <w:rFonts w:hint="eastAsia"/>
                <w:color w:val="auto"/>
                <w:sz w:val="22"/>
              </w:rPr>
              <w:t xml:space="preserve">  放射源和放射性废物监管</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119.20</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kern w:val="2"/>
                <w:sz w:val="22"/>
                <w:szCs w:val="22"/>
                <w:lang w:val="en-US" w:eastAsia="zh-CN" w:bidi="ar-SA"/>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119.20</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hint="eastAsia"/>
                <w:color w:val="auto"/>
                <w:sz w:val="22"/>
              </w:rPr>
            </w:pPr>
            <w:r>
              <w:rPr>
                <w:rFonts w:hint="eastAsia"/>
                <w:color w:val="auto"/>
                <w:sz w:val="22"/>
              </w:rPr>
              <w:t>2110307</w:t>
            </w:r>
          </w:p>
        </w:tc>
        <w:tc>
          <w:tcPr>
            <w:tcW w:w="1356" w:type="pct"/>
            <w:gridSpan w:val="4"/>
            <w:tcBorders>
              <w:top w:val="nil"/>
              <w:left w:val="nil"/>
              <w:bottom w:val="single" w:color="auto" w:sz="4" w:space="0"/>
              <w:right w:val="single" w:color="auto" w:sz="4" w:space="0"/>
            </w:tcBorders>
            <w:shd w:val="clear" w:color="000000" w:fill="FFFFFF"/>
            <w:noWrap/>
            <w:vAlign w:val="center"/>
          </w:tcPr>
          <w:p>
            <w:pPr>
              <w:ind w:firstLine="220" w:firstLineChars="100"/>
              <w:jc w:val="left"/>
              <w:rPr>
                <w:rFonts w:hint="eastAsia"/>
                <w:color w:val="auto"/>
                <w:sz w:val="22"/>
              </w:rPr>
            </w:pPr>
            <w:r>
              <w:rPr>
                <w:rFonts w:hint="eastAsia"/>
                <w:color w:val="auto"/>
                <w:sz w:val="22"/>
              </w:rPr>
              <w:t>土壤</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206.70</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kern w:val="2"/>
                <w:sz w:val="22"/>
                <w:szCs w:val="22"/>
                <w:lang w:val="en-US" w:eastAsia="zh-CN" w:bidi="ar-SA"/>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206.70</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2110399</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其他污染防治支出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301.52</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301.52</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21111</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污染减排</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115.38</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115.38</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2111101</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生态环境监测与信息</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115.38</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115.38</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221</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住房保障支出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585" w:type="pct"/>
            <w:gridSpan w:val="3"/>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22102</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住房改革支出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585" w:type="pct"/>
            <w:gridSpan w:val="3"/>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2210201</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住房公积金</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237"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585" w:type="pct"/>
            <w:gridSpan w:val="3"/>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229</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其他支出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604.10</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604.10</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22999</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其他支出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604.10</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604.10</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50" w:hRule="atLeast"/>
        </w:trPr>
        <w:tc>
          <w:tcPr>
            <w:tcW w:w="1086"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2299999</w:t>
            </w:r>
          </w:p>
        </w:tc>
        <w:tc>
          <w:tcPr>
            <w:tcW w:w="1356" w:type="pct"/>
            <w:gridSpan w:val="4"/>
            <w:tcBorders>
              <w:top w:val="nil"/>
              <w:left w:val="nil"/>
              <w:bottom w:val="single" w:color="auto" w:sz="4" w:space="0"/>
              <w:right w:val="single" w:color="auto" w:sz="4" w:space="0"/>
            </w:tcBorders>
            <w:shd w:val="clear" w:color="000000" w:fill="FFFFFF"/>
            <w:noWrap/>
            <w:vAlign w:val="center"/>
          </w:tcPr>
          <w:p>
            <w:pPr>
              <w:jc w:val="left"/>
              <w:rPr>
                <w:rFonts w:ascii="宋体" w:hAnsi="宋体" w:eastAsia="宋体" w:cs="宋体"/>
                <w:color w:val="auto"/>
                <w:sz w:val="22"/>
              </w:rPr>
            </w:pPr>
            <w:r>
              <w:rPr>
                <w:rFonts w:hint="eastAsia"/>
                <w:color w:val="auto"/>
                <w:sz w:val="22"/>
              </w:rPr>
              <w:t xml:space="preserve">  其他支出</w:t>
            </w:r>
          </w:p>
        </w:tc>
        <w:tc>
          <w:tcPr>
            <w:tcW w:w="397" w:type="pct"/>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604.10</w:t>
            </w:r>
          </w:p>
        </w:tc>
        <w:tc>
          <w:tcPr>
            <w:tcW w:w="237" w:type="pct"/>
            <w:tcBorders>
              <w:top w:val="nil"/>
              <w:left w:val="nil"/>
              <w:bottom w:val="single" w:color="auto" w:sz="4" w:space="0"/>
              <w:right w:val="single" w:color="auto" w:sz="4" w:space="0"/>
            </w:tcBorders>
            <w:shd w:val="clear" w:color="auto" w:fill="auto"/>
            <w:noWrap/>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585"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604.10</w:t>
            </w:r>
          </w:p>
        </w:tc>
        <w:tc>
          <w:tcPr>
            <w:tcW w:w="270"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b w:val="0"/>
                <w:bCs w:val="0"/>
                <w:color w:val="auto"/>
                <w:kern w:val="0"/>
                <w:sz w:val="22"/>
                <w:szCs w:val="22"/>
              </w:rPr>
            </w:pPr>
          </w:p>
        </w:tc>
        <w:tc>
          <w:tcPr>
            <w:tcW w:w="432" w:type="pct"/>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c>
          <w:tcPr>
            <w:tcW w:w="635" w:type="pct"/>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630" w:hRule="atLeast"/>
        </w:trPr>
        <w:tc>
          <w:tcPr>
            <w:tcW w:w="5000" w:type="pct"/>
            <w:gridSpan w:val="19"/>
            <w:tcBorders>
              <w:top w:val="nil"/>
              <w:left w:val="nil"/>
              <w:bottom w:val="nil"/>
              <w:right w:val="nil"/>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注：本表反映部门本年度各项支出情况。</w:t>
            </w:r>
          </w:p>
        </w:tc>
      </w:tr>
      <w:tr>
        <w:tblPrEx>
          <w:tblCellMar>
            <w:top w:w="0" w:type="dxa"/>
            <w:left w:w="108" w:type="dxa"/>
            <w:bottom w:w="0" w:type="dxa"/>
            <w:right w:w="108" w:type="dxa"/>
          </w:tblCellMar>
        </w:tblPrEx>
        <w:trPr>
          <w:gridBefore w:val="1"/>
          <w:gridAfter w:val="1"/>
          <w:wBefore w:w="5" w:type="pct"/>
          <w:wAfter w:w="83" w:type="pct"/>
          <w:trHeight w:val="360" w:hRule="atLeast"/>
        </w:trPr>
        <w:tc>
          <w:tcPr>
            <w:tcW w:w="4910" w:type="pct"/>
            <w:gridSpan w:val="17"/>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auto"/>
                <w:kern w:val="0"/>
                <w:sz w:val="32"/>
                <w:szCs w:val="32"/>
              </w:rPr>
            </w:pPr>
            <w:bookmarkStart w:id="0" w:name="RANGE!A1:I22"/>
            <w:bookmarkEnd w:id="0"/>
            <w:bookmarkStart w:id="1" w:name="RANGE!A1:F16"/>
          </w:p>
          <w:p>
            <w:pPr>
              <w:widowControl/>
              <w:jc w:val="center"/>
              <w:rPr>
                <w:rFonts w:ascii="华文中宋" w:hAnsi="华文中宋" w:eastAsia="华文中宋" w:cs="宋体"/>
                <w:color w:val="auto"/>
                <w:kern w:val="0"/>
                <w:sz w:val="32"/>
                <w:szCs w:val="32"/>
              </w:rPr>
            </w:pPr>
          </w:p>
          <w:p>
            <w:pPr>
              <w:widowControl/>
              <w:jc w:val="center"/>
              <w:rPr>
                <w:rFonts w:hint="eastAsia" w:ascii="华文中宋" w:hAnsi="华文中宋" w:eastAsia="华文中宋" w:cs="宋体"/>
                <w:color w:val="auto"/>
                <w:kern w:val="0"/>
                <w:sz w:val="32"/>
                <w:szCs w:val="32"/>
              </w:rPr>
            </w:pPr>
          </w:p>
          <w:p>
            <w:pPr>
              <w:widowControl/>
              <w:jc w:val="center"/>
              <w:rPr>
                <w:rFonts w:hint="eastAsia" w:ascii="华文中宋" w:hAnsi="华文中宋" w:eastAsia="华文中宋" w:cs="宋体"/>
                <w:color w:val="auto"/>
                <w:kern w:val="0"/>
                <w:sz w:val="32"/>
                <w:szCs w:val="32"/>
              </w:rPr>
            </w:pPr>
          </w:p>
          <w:p>
            <w:pPr>
              <w:widowControl/>
              <w:jc w:val="center"/>
              <w:rPr>
                <w:rFonts w:hint="eastAsia" w:ascii="华文中宋" w:hAnsi="华文中宋" w:eastAsia="华文中宋" w:cs="宋体"/>
                <w:color w:val="auto"/>
                <w:kern w:val="0"/>
                <w:sz w:val="32"/>
                <w:szCs w:val="32"/>
              </w:rPr>
            </w:pPr>
          </w:p>
          <w:p>
            <w:pPr>
              <w:widowControl/>
              <w:jc w:val="center"/>
              <w:rPr>
                <w:rFonts w:ascii="华文中宋" w:hAnsi="华文中宋" w:eastAsia="华文中宋" w:cs="宋体"/>
                <w:color w:val="auto"/>
                <w:kern w:val="0"/>
                <w:sz w:val="32"/>
                <w:szCs w:val="32"/>
              </w:rPr>
            </w:pPr>
            <w:r>
              <w:rPr>
                <w:rFonts w:hint="eastAsia" w:ascii="华文中宋" w:hAnsi="华文中宋" w:eastAsia="华文中宋" w:cs="宋体"/>
                <w:color w:val="auto"/>
                <w:kern w:val="0"/>
                <w:sz w:val="32"/>
                <w:szCs w:val="32"/>
              </w:rPr>
              <w:t>财政拨款收入支出决算总表</w:t>
            </w:r>
          </w:p>
        </w:tc>
      </w:tr>
      <w:tr>
        <w:tblPrEx>
          <w:tblCellMar>
            <w:top w:w="0" w:type="dxa"/>
            <w:left w:w="108" w:type="dxa"/>
            <w:bottom w:w="0" w:type="dxa"/>
            <w:right w:w="108" w:type="dxa"/>
          </w:tblCellMar>
        </w:tblPrEx>
        <w:trPr>
          <w:gridBefore w:val="1"/>
          <w:gridAfter w:val="1"/>
          <w:wBefore w:w="5" w:type="pct"/>
          <w:wAfter w:w="83" w:type="pct"/>
          <w:trHeight w:val="199" w:hRule="atLeast"/>
        </w:trPr>
        <w:tc>
          <w:tcPr>
            <w:tcW w:w="1104" w:type="pct"/>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81"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504"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901" w:type="pct"/>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56" w:type="pct"/>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479"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496" w:type="pct"/>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99" w:type="pct"/>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86"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公开04表</w:t>
            </w:r>
          </w:p>
        </w:tc>
      </w:tr>
      <w:tr>
        <w:tblPrEx>
          <w:tblCellMar>
            <w:top w:w="0" w:type="dxa"/>
            <w:left w:w="108" w:type="dxa"/>
            <w:bottom w:w="0" w:type="dxa"/>
            <w:right w:w="108" w:type="dxa"/>
          </w:tblCellMar>
        </w:tblPrEx>
        <w:trPr>
          <w:gridBefore w:val="1"/>
          <w:gridAfter w:val="1"/>
          <w:wBefore w:w="5" w:type="pct"/>
          <w:wAfter w:w="83" w:type="pct"/>
          <w:trHeight w:val="300" w:hRule="atLeast"/>
        </w:trPr>
        <w:tc>
          <w:tcPr>
            <w:tcW w:w="1104" w:type="pct"/>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部门：</w:t>
            </w:r>
            <w:r>
              <w:rPr>
                <w:rFonts w:hint="eastAsia" w:asciiTheme="minorEastAsia" w:hAnsiTheme="minorEastAsia" w:eastAsiaTheme="minorEastAsia" w:cstheme="minorEastAsia"/>
                <w:color w:val="auto"/>
                <w:kern w:val="0"/>
                <w:sz w:val="22"/>
                <w:szCs w:val="22"/>
              </w:rPr>
              <w:t>湖南省生态环境监测中心</w:t>
            </w:r>
            <w:r>
              <w:rPr>
                <w:rFonts w:ascii="宋体" w:hAnsi="宋体" w:eastAsia="宋体" w:cs="宋体"/>
                <w:color w:val="auto"/>
                <w:kern w:val="0"/>
                <w:sz w:val="20"/>
                <w:szCs w:val="20"/>
              </w:rPr>
              <w:t xml:space="preserve"> </w:t>
            </w:r>
          </w:p>
        </w:tc>
        <w:tc>
          <w:tcPr>
            <w:tcW w:w="281"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504"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901" w:type="pct"/>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2021年度</w:t>
            </w:r>
            <w:r>
              <w:rPr>
                <w:rFonts w:hint="eastAsia" w:ascii="宋体" w:hAnsi="宋体" w:eastAsia="宋体" w:cs="宋体"/>
                <w:color w:val="auto"/>
                <w:kern w:val="0"/>
                <w:sz w:val="24"/>
                <w:szCs w:val="24"/>
              </w:rPr>
              <w:t>　</w:t>
            </w:r>
          </w:p>
        </w:tc>
        <w:tc>
          <w:tcPr>
            <w:tcW w:w="356" w:type="pct"/>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479"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496" w:type="pct"/>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99" w:type="pct"/>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86" w:type="pct"/>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单位：万元</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890" w:type="pct"/>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收入</w:t>
            </w:r>
          </w:p>
        </w:tc>
        <w:tc>
          <w:tcPr>
            <w:tcW w:w="3020" w:type="pct"/>
            <w:gridSpan w:val="12"/>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支出</w:t>
            </w:r>
          </w:p>
        </w:tc>
      </w:tr>
      <w:tr>
        <w:tblPrEx>
          <w:tblCellMar>
            <w:top w:w="0" w:type="dxa"/>
            <w:left w:w="108" w:type="dxa"/>
            <w:bottom w:w="0" w:type="dxa"/>
            <w:right w:w="108" w:type="dxa"/>
          </w:tblCellMar>
        </w:tblPrEx>
        <w:trPr>
          <w:gridBefore w:val="1"/>
          <w:gridAfter w:val="1"/>
          <w:wBefore w:w="5" w:type="pct"/>
          <w:wAfter w:w="83" w:type="pct"/>
          <w:trHeight w:val="2916"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项    目</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行次</w:t>
            </w:r>
          </w:p>
        </w:tc>
        <w:tc>
          <w:tcPr>
            <w:tcW w:w="50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金额</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项    目</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行次</w:t>
            </w:r>
          </w:p>
        </w:tc>
        <w:tc>
          <w:tcPr>
            <w:tcW w:w="47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w:t>
            </w:r>
          </w:p>
        </w:tc>
        <w:tc>
          <w:tcPr>
            <w:tcW w:w="496" w:type="pct"/>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一般公共预算财政拨款</w:t>
            </w:r>
          </w:p>
        </w:tc>
        <w:tc>
          <w:tcPr>
            <w:tcW w:w="399"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政府性基金预算财政拨款</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国有资本经营预算财政拨款</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栏    次</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50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栏    次</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47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2</w:t>
            </w:r>
          </w:p>
        </w:tc>
        <w:tc>
          <w:tcPr>
            <w:tcW w:w="49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3</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4</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5</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一、一般公共预算财政拨款</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1</w:t>
            </w:r>
          </w:p>
        </w:tc>
        <w:tc>
          <w:tcPr>
            <w:tcW w:w="504"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31,801.93</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一、一般公共服务支出</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15</w:t>
            </w:r>
          </w:p>
        </w:tc>
        <w:tc>
          <w:tcPr>
            <w:tcW w:w="479"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496" w:type="pct"/>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二、政府性基金预算财政拨款</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2</w:t>
            </w:r>
          </w:p>
        </w:tc>
        <w:tc>
          <w:tcPr>
            <w:tcW w:w="504"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六、科学技术支出</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16</w:t>
            </w:r>
          </w:p>
        </w:tc>
        <w:tc>
          <w:tcPr>
            <w:tcW w:w="479"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i w:val="0"/>
                <w:iCs w:val="0"/>
                <w:color w:val="auto"/>
                <w:kern w:val="0"/>
                <w:sz w:val="22"/>
                <w:szCs w:val="22"/>
                <w:u w:val="none"/>
                <w:lang w:val="en-US" w:eastAsia="zh-CN" w:bidi="ar"/>
              </w:rPr>
              <w:t>10.59</w:t>
            </w:r>
          </w:p>
        </w:tc>
        <w:tc>
          <w:tcPr>
            <w:tcW w:w="496"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10.59</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三、国有资本经营预算财政拨款</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3</w:t>
            </w:r>
          </w:p>
        </w:tc>
        <w:tc>
          <w:tcPr>
            <w:tcW w:w="504"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八、社会保障和就业支出</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17</w:t>
            </w:r>
          </w:p>
        </w:tc>
        <w:tc>
          <w:tcPr>
            <w:tcW w:w="479"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i w:val="0"/>
                <w:iCs w:val="0"/>
                <w:color w:val="auto"/>
                <w:kern w:val="0"/>
                <w:sz w:val="22"/>
                <w:szCs w:val="22"/>
                <w:u w:val="none"/>
                <w:lang w:val="en-US" w:eastAsia="zh-CN" w:bidi="ar"/>
              </w:rPr>
              <w:t>278.02</w:t>
            </w:r>
          </w:p>
        </w:tc>
        <w:tc>
          <w:tcPr>
            <w:tcW w:w="496"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278.02</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4</w:t>
            </w:r>
          </w:p>
        </w:tc>
        <w:tc>
          <w:tcPr>
            <w:tcW w:w="504"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九、卫生健康支出</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18</w:t>
            </w:r>
          </w:p>
        </w:tc>
        <w:tc>
          <w:tcPr>
            <w:tcW w:w="479"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i w:val="0"/>
                <w:iCs w:val="0"/>
                <w:color w:val="auto"/>
                <w:kern w:val="0"/>
                <w:sz w:val="22"/>
                <w:szCs w:val="22"/>
                <w:u w:val="none"/>
                <w:lang w:val="en-US" w:eastAsia="zh-CN" w:bidi="ar"/>
              </w:rPr>
              <w:t>136.27</w:t>
            </w:r>
          </w:p>
        </w:tc>
        <w:tc>
          <w:tcPr>
            <w:tcW w:w="496"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136.27</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5</w:t>
            </w:r>
          </w:p>
        </w:tc>
        <w:tc>
          <w:tcPr>
            <w:tcW w:w="504"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十、节能环保支出</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19</w:t>
            </w:r>
          </w:p>
        </w:tc>
        <w:tc>
          <w:tcPr>
            <w:tcW w:w="479"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i w:val="0"/>
                <w:iCs w:val="0"/>
                <w:color w:val="auto"/>
                <w:kern w:val="0"/>
                <w:sz w:val="22"/>
                <w:szCs w:val="22"/>
                <w:u w:val="none"/>
                <w:lang w:val="en-US" w:eastAsia="zh-CN" w:bidi="ar"/>
              </w:rPr>
              <w:t>11,977.15</w:t>
            </w:r>
          </w:p>
        </w:tc>
        <w:tc>
          <w:tcPr>
            <w:tcW w:w="496"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11,977.15</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6</w:t>
            </w:r>
          </w:p>
        </w:tc>
        <w:tc>
          <w:tcPr>
            <w:tcW w:w="504"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十九、住房保障支出</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20</w:t>
            </w:r>
          </w:p>
        </w:tc>
        <w:tc>
          <w:tcPr>
            <w:tcW w:w="479"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i w:val="0"/>
                <w:iCs w:val="0"/>
                <w:color w:val="auto"/>
                <w:kern w:val="0"/>
                <w:sz w:val="22"/>
                <w:szCs w:val="22"/>
                <w:u w:val="none"/>
                <w:lang w:val="en-US" w:eastAsia="zh-CN" w:bidi="ar"/>
              </w:rPr>
              <w:t>207.41</w:t>
            </w:r>
          </w:p>
        </w:tc>
        <w:tc>
          <w:tcPr>
            <w:tcW w:w="496"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207.41</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7</w:t>
            </w:r>
          </w:p>
        </w:tc>
        <w:tc>
          <w:tcPr>
            <w:tcW w:w="504"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二十三、其他支出</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21</w:t>
            </w:r>
          </w:p>
        </w:tc>
        <w:tc>
          <w:tcPr>
            <w:tcW w:w="479"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496" w:type="pct"/>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8</w:t>
            </w:r>
          </w:p>
        </w:tc>
        <w:tc>
          <w:tcPr>
            <w:tcW w:w="504"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22</w:t>
            </w:r>
          </w:p>
        </w:tc>
        <w:tc>
          <w:tcPr>
            <w:tcW w:w="479"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496" w:type="pct"/>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auto"/>
                <w:kern w:val="0"/>
                <w:sz w:val="22"/>
              </w:rPr>
            </w:pPr>
            <w:r>
              <w:rPr>
                <w:rFonts w:hint="eastAsia" w:ascii="宋体" w:hAnsi="宋体" w:eastAsia="宋体" w:cs="宋体"/>
                <w:b/>
                <w:bCs/>
                <w:color w:val="auto"/>
                <w:kern w:val="0"/>
                <w:sz w:val="22"/>
              </w:rPr>
              <w:t>本年收入合计</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9</w:t>
            </w:r>
          </w:p>
        </w:tc>
        <w:tc>
          <w:tcPr>
            <w:tcW w:w="504"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31,801.93</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b/>
                <w:bCs/>
                <w:color w:val="auto"/>
                <w:kern w:val="0"/>
                <w:sz w:val="22"/>
                <w:szCs w:val="22"/>
              </w:rPr>
            </w:pPr>
            <w:r>
              <w:rPr>
                <w:rFonts w:hint="eastAsia" w:asciiTheme="minorEastAsia" w:hAnsiTheme="minorEastAsia" w:eastAsiaTheme="minorEastAsia" w:cstheme="minorEastAsia"/>
                <w:b/>
                <w:bCs/>
                <w:color w:val="auto"/>
                <w:kern w:val="0"/>
                <w:sz w:val="22"/>
                <w:szCs w:val="22"/>
              </w:rPr>
              <w:t>本年支出合计</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23</w:t>
            </w:r>
          </w:p>
        </w:tc>
        <w:tc>
          <w:tcPr>
            <w:tcW w:w="479"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i w:val="0"/>
                <w:iCs w:val="0"/>
                <w:color w:val="auto"/>
                <w:kern w:val="0"/>
                <w:sz w:val="22"/>
                <w:szCs w:val="22"/>
                <w:u w:val="none"/>
                <w:lang w:val="en-US" w:eastAsia="zh-CN" w:bidi="ar"/>
              </w:rPr>
              <w:t>12,609.43</w:t>
            </w:r>
          </w:p>
        </w:tc>
        <w:tc>
          <w:tcPr>
            <w:tcW w:w="496"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12,609.43</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b/>
                <w:bCs/>
                <w:color w:val="auto"/>
                <w:kern w:val="0"/>
                <w:sz w:val="22"/>
                <w:szCs w:val="22"/>
              </w:rPr>
            </w:pPr>
            <w:r>
              <w:rPr>
                <w:rFonts w:hint="eastAsia" w:asciiTheme="minorEastAsia" w:hAnsiTheme="minorEastAsia" w:eastAsiaTheme="minorEastAsia" w:cstheme="minorEastAsia"/>
                <w:b/>
                <w:bCs/>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年初财政拨款结转和结余</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10</w:t>
            </w:r>
          </w:p>
        </w:tc>
        <w:tc>
          <w:tcPr>
            <w:tcW w:w="504"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290.99</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年末财政拨款结转和结余</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24</w:t>
            </w:r>
          </w:p>
        </w:tc>
        <w:tc>
          <w:tcPr>
            <w:tcW w:w="479"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i w:val="0"/>
                <w:iCs w:val="0"/>
                <w:color w:val="auto"/>
                <w:kern w:val="0"/>
                <w:sz w:val="22"/>
                <w:szCs w:val="22"/>
                <w:u w:val="none"/>
                <w:lang w:val="en-US" w:eastAsia="zh-CN" w:bidi="ar"/>
              </w:rPr>
              <w:t>19,483.48</w:t>
            </w:r>
          </w:p>
        </w:tc>
        <w:tc>
          <w:tcPr>
            <w:tcW w:w="496" w:type="pct"/>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19,483.48</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xml:space="preserve">   一般公共预算财政拨款</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11</w:t>
            </w:r>
          </w:p>
        </w:tc>
        <w:tc>
          <w:tcPr>
            <w:tcW w:w="504"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290.99</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25</w:t>
            </w:r>
          </w:p>
        </w:tc>
        <w:tc>
          <w:tcPr>
            <w:tcW w:w="479"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496" w:type="pct"/>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xml:space="preserve">   政府性基金预算财政拨款</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12</w:t>
            </w:r>
          </w:p>
        </w:tc>
        <w:tc>
          <w:tcPr>
            <w:tcW w:w="504"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26</w:t>
            </w:r>
          </w:p>
        </w:tc>
        <w:tc>
          <w:tcPr>
            <w:tcW w:w="479"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496" w:type="pct"/>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xml:space="preserve">    国有资本经营预算财政拨款</w:t>
            </w:r>
          </w:p>
        </w:tc>
        <w:tc>
          <w:tcPr>
            <w:tcW w:w="28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13</w:t>
            </w:r>
          </w:p>
        </w:tc>
        <w:tc>
          <w:tcPr>
            <w:tcW w:w="504"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901" w:type="pct"/>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56" w:type="pct"/>
            <w:gridSpan w:val="3"/>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27</w:t>
            </w:r>
          </w:p>
        </w:tc>
        <w:tc>
          <w:tcPr>
            <w:tcW w:w="479"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496" w:type="pct"/>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99"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402" w:hRule="atLeast"/>
        </w:trPr>
        <w:tc>
          <w:tcPr>
            <w:tcW w:w="1104"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color w:val="auto"/>
                <w:kern w:val="0"/>
                <w:sz w:val="22"/>
              </w:rPr>
            </w:pPr>
            <w:r>
              <w:rPr>
                <w:rFonts w:hint="eastAsia" w:ascii="宋体" w:hAnsi="宋体" w:eastAsia="宋体" w:cs="宋体"/>
                <w:b/>
                <w:bCs/>
                <w:color w:val="auto"/>
                <w:kern w:val="0"/>
                <w:sz w:val="22"/>
              </w:rPr>
              <w:t>总计</w:t>
            </w:r>
          </w:p>
        </w:tc>
        <w:tc>
          <w:tcPr>
            <w:tcW w:w="281"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14</w:t>
            </w:r>
          </w:p>
        </w:tc>
        <w:tc>
          <w:tcPr>
            <w:tcW w:w="504" w:type="pct"/>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i w:val="0"/>
                <w:iCs w:val="0"/>
                <w:color w:val="auto"/>
                <w:kern w:val="0"/>
                <w:sz w:val="22"/>
                <w:szCs w:val="22"/>
                <w:u w:val="none"/>
                <w:lang w:val="en-US" w:eastAsia="zh-CN" w:bidi="ar"/>
              </w:rPr>
              <w:t>32,092.91</w:t>
            </w:r>
          </w:p>
        </w:tc>
        <w:tc>
          <w:tcPr>
            <w:tcW w:w="901" w:type="pct"/>
            <w:gridSpan w:val="2"/>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b/>
                <w:bCs/>
                <w:color w:val="auto"/>
                <w:kern w:val="0"/>
                <w:sz w:val="22"/>
                <w:szCs w:val="22"/>
              </w:rPr>
            </w:pPr>
            <w:r>
              <w:rPr>
                <w:rFonts w:hint="eastAsia" w:asciiTheme="minorEastAsia" w:hAnsiTheme="minorEastAsia" w:eastAsiaTheme="minorEastAsia" w:cstheme="minorEastAsia"/>
                <w:b/>
                <w:bCs/>
                <w:color w:val="auto"/>
                <w:kern w:val="0"/>
                <w:sz w:val="22"/>
                <w:szCs w:val="22"/>
              </w:rPr>
              <w:t>总计</w:t>
            </w:r>
          </w:p>
        </w:tc>
        <w:tc>
          <w:tcPr>
            <w:tcW w:w="356" w:type="pct"/>
            <w:gridSpan w:val="3"/>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28</w:t>
            </w:r>
          </w:p>
        </w:tc>
        <w:tc>
          <w:tcPr>
            <w:tcW w:w="479" w:type="pct"/>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i w:val="0"/>
                <w:iCs w:val="0"/>
                <w:color w:val="auto"/>
                <w:kern w:val="0"/>
                <w:sz w:val="22"/>
                <w:szCs w:val="22"/>
                <w:u w:val="none"/>
                <w:lang w:val="en-US" w:eastAsia="zh-CN" w:bidi="ar"/>
              </w:rPr>
              <w:t>32,092.91</w:t>
            </w:r>
          </w:p>
        </w:tc>
        <w:tc>
          <w:tcPr>
            <w:tcW w:w="496" w:type="pct"/>
            <w:gridSpan w:val="3"/>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32,092.91</w:t>
            </w:r>
          </w:p>
        </w:tc>
        <w:tc>
          <w:tcPr>
            <w:tcW w:w="399"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b/>
                <w:bCs/>
                <w:color w:val="auto"/>
                <w:kern w:val="0"/>
                <w:sz w:val="22"/>
                <w:szCs w:val="22"/>
              </w:rPr>
            </w:pPr>
            <w:r>
              <w:rPr>
                <w:rFonts w:hint="eastAsia" w:asciiTheme="minorEastAsia" w:hAnsiTheme="minorEastAsia" w:eastAsiaTheme="minorEastAsia" w:cstheme="minorEastAsia"/>
                <w:b/>
                <w:bCs/>
                <w:color w:val="auto"/>
                <w:kern w:val="0"/>
                <w:sz w:val="22"/>
                <w:szCs w:val="22"/>
              </w:rPr>
              <w:t>　</w:t>
            </w:r>
          </w:p>
        </w:tc>
        <w:tc>
          <w:tcPr>
            <w:tcW w:w="386" w:type="pct"/>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Theme="minorEastAsia" w:hAnsiTheme="minorEastAsia" w:eastAsiaTheme="minorEastAsia" w:cstheme="minorEastAsia"/>
                <w:b/>
                <w:bCs/>
                <w:color w:val="auto"/>
                <w:kern w:val="0"/>
                <w:sz w:val="22"/>
                <w:szCs w:val="22"/>
              </w:rPr>
            </w:pPr>
            <w:r>
              <w:rPr>
                <w:rFonts w:hint="eastAsia" w:asciiTheme="minorEastAsia" w:hAnsiTheme="minorEastAsia" w:eastAsiaTheme="minorEastAsia" w:cstheme="minorEastAsia"/>
                <w:b/>
                <w:bCs/>
                <w:color w:val="auto"/>
                <w:kern w:val="0"/>
                <w:sz w:val="22"/>
                <w:szCs w:val="22"/>
              </w:rPr>
              <w:t>　</w:t>
            </w:r>
          </w:p>
        </w:tc>
      </w:tr>
      <w:tr>
        <w:tblPrEx>
          <w:tblCellMar>
            <w:top w:w="0" w:type="dxa"/>
            <w:left w:w="108" w:type="dxa"/>
            <w:bottom w:w="0" w:type="dxa"/>
            <w:right w:w="108" w:type="dxa"/>
          </w:tblCellMar>
        </w:tblPrEx>
        <w:trPr>
          <w:gridBefore w:val="1"/>
          <w:gridAfter w:val="1"/>
          <w:wBefore w:w="5" w:type="pct"/>
          <w:wAfter w:w="83" w:type="pct"/>
          <w:trHeight w:val="585" w:hRule="atLeast"/>
        </w:trPr>
        <w:tc>
          <w:tcPr>
            <w:tcW w:w="4910" w:type="pct"/>
            <w:gridSpan w:val="17"/>
            <w:tcBorders>
              <w:top w:val="nil"/>
              <w:left w:val="nil"/>
              <w:bottom w:val="nil"/>
              <w:right w:val="nil"/>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r>
        <w:rPr>
          <w:rFonts w:ascii="Times New Roman" w:hAnsi="Times New Roman" w:eastAsia="方正小标宋_GBK" w:cs="Times New Roman"/>
          <w:color w:val="auto"/>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rPr>
        <w:t xml:space="preserve">     </w:t>
      </w:r>
      <w:r>
        <w:rPr>
          <w:rFonts w:ascii="Times New Roman" w:hAnsi="Times New Roman" w:eastAsia="仿宋_GB2312" w:cs="Times New Roman"/>
          <w:color w:val="auto"/>
          <w:kern w:val="0"/>
          <w:szCs w:val="21"/>
        </w:rPr>
        <w:t xml:space="preserve">部门： </w:t>
      </w:r>
      <w:r>
        <w:rPr>
          <w:rFonts w:hint="eastAsia" w:asciiTheme="minorEastAsia" w:hAnsiTheme="minorEastAsia" w:eastAsiaTheme="minorEastAsia" w:cstheme="minorEastAsia"/>
          <w:color w:val="auto"/>
          <w:kern w:val="0"/>
          <w:sz w:val="22"/>
          <w:szCs w:val="22"/>
        </w:rPr>
        <w:t>湖南省生态环境监测中心</w:t>
      </w:r>
      <w:r>
        <w:rPr>
          <w:rFonts w:ascii="宋体" w:hAnsi="宋体" w:eastAsia="宋体" w:cs="宋体"/>
          <w:color w:val="auto"/>
          <w:kern w:val="0"/>
          <w:sz w:val="20"/>
          <w:szCs w:val="20"/>
        </w:rPr>
        <w:t xml:space="preserve"> </w:t>
      </w:r>
      <w:r>
        <w:rPr>
          <w:rFonts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lang w:val="en-US" w:eastAsia="zh-CN"/>
        </w:rPr>
        <w:t>2021年度</w:t>
      </w:r>
      <w:r>
        <w:rPr>
          <w:rFonts w:hint="eastAsia" w:ascii="Times New Roman" w:hAnsi="Times New Roman" w:eastAsia="仿宋_GB2312" w:cs="Times New Roman"/>
          <w:color w:val="auto"/>
          <w:kern w:val="0"/>
          <w:szCs w:val="21"/>
        </w:rPr>
        <w:t xml:space="preserve">                 </w:t>
      </w:r>
      <w:r>
        <w:rPr>
          <w:rFonts w:ascii="Times New Roman" w:hAnsi="Times New Roman" w:eastAsia="仿宋_GB2312" w:cs="Times New Roman"/>
          <w:color w:val="auto"/>
          <w:kern w:val="0"/>
          <w:szCs w:val="21"/>
        </w:rPr>
        <w:t xml:space="preserve">                                 公开05表</w:t>
      </w:r>
    </w:p>
    <w:p>
      <w:pPr>
        <w:widowControl/>
        <w:jc w:val="left"/>
        <w:rPr>
          <w:rFonts w:ascii="Times New Roman" w:hAnsi="Times New Roman" w:eastAsia="宋体" w:cs="Times New Roman"/>
          <w:color w:val="auto"/>
          <w:kern w:val="0"/>
          <w:sz w:val="20"/>
          <w:szCs w:val="20"/>
        </w:rPr>
      </w:pPr>
      <w:r>
        <w:rPr>
          <w:rFonts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rPr>
        <w:t xml:space="preserve">      </w:t>
      </w:r>
      <w:r>
        <w:rPr>
          <w:rFonts w:ascii="Times New Roman" w:hAnsi="Times New Roman" w:eastAsia="仿宋_GB2312" w:cs="Times New Roman"/>
          <w:color w:val="auto"/>
          <w:kern w:val="0"/>
          <w:szCs w:val="21"/>
        </w:rPr>
        <w:t xml:space="preserve">       单位：万元</w:t>
      </w:r>
    </w:p>
    <w:tbl>
      <w:tblPr>
        <w:tblStyle w:val="9"/>
        <w:tblW w:w="4591" w:type="pct"/>
        <w:jc w:val="center"/>
        <w:tblLayout w:type="fixed"/>
        <w:tblCellMar>
          <w:top w:w="0" w:type="dxa"/>
          <w:left w:w="108" w:type="dxa"/>
          <w:bottom w:w="0" w:type="dxa"/>
          <w:right w:w="108" w:type="dxa"/>
        </w:tblCellMar>
      </w:tblPr>
      <w:tblGrid>
        <w:gridCol w:w="1667"/>
        <w:gridCol w:w="4625"/>
        <w:gridCol w:w="2583"/>
        <w:gridCol w:w="2380"/>
        <w:gridCol w:w="3082"/>
      </w:tblGrid>
      <w:tr>
        <w:tblPrEx>
          <w:tblCellMar>
            <w:top w:w="0" w:type="dxa"/>
            <w:left w:w="108" w:type="dxa"/>
            <w:bottom w:w="0" w:type="dxa"/>
            <w:right w:w="108" w:type="dxa"/>
          </w:tblCellMar>
        </w:tblPrEx>
        <w:trPr>
          <w:trHeight w:val="405" w:hRule="atLeast"/>
          <w:jc w:val="center"/>
        </w:trPr>
        <w:tc>
          <w:tcPr>
            <w:tcW w:w="2194" w:type="pct"/>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项    目</w:t>
            </w:r>
          </w:p>
        </w:tc>
        <w:tc>
          <w:tcPr>
            <w:tcW w:w="2805" w:type="pct"/>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本年支出</w:t>
            </w:r>
          </w:p>
        </w:tc>
      </w:tr>
      <w:tr>
        <w:tblPrEx>
          <w:tblCellMar>
            <w:top w:w="0" w:type="dxa"/>
            <w:left w:w="108" w:type="dxa"/>
            <w:bottom w:w="0" w:type="dxa"/>
            <w:right w:w="108" w:type="dxa"/>
          </w:tblCellMar>
        </w:tblPrEx>
        <w:trPr>
          <w:trHeight w:val="495" w:hRule="atLeast"/>
          <w:jc w:val="center"/>
        </w:trPr>
        <w:tc>
          <w:tcPr>
            <w:tcW w:w="581" w:type="pct"/>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功能分类科目编码</w:t>
            </w:r>
          </w:p>
        </w:tc>
        <w:tc>
          <w:tcPr>
            <w:tcW w:w="1612"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科目名称</w:t>
            </w:r>
          </w:p>
        </w:tc>
        <w:tc>
          <w:tcPr>
            <w:tcW w:w="900"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小计</w:t>
            </w:r>
          </w:p>
        </w:tc>
        <w:tc>
          <w:tcPr>
            <w:tcW w:w="830"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基本支出</w:t>
            </w:r>
          </w:p>
        </w:tc>
        <w:tc>
          <w:tcPr>
            <w:tcW w:w="1074" w:type="pct"/>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项目支出</w:t>
            </w:r>
          </w:p>
        </w:tc>
      </w:tr>
      <w:tr>
        <w:tblPrEx>
          <w:tblCellMar>
            <w:top w:w="0" w:type="dxa"/>
            <w:left w:w="108" w:type="dxa"/>
            <w:bottom w:w="0" w:type="dxa"/>
            <w:right w:w="108" w:type="dxa"/>
          </w:tblCellMar>
        </w:tblPrEx>
        <w:trPr>
          <w:trHeight w:val="360" w:hRule="atLeast"/>
          <w:jc w:val="center"/>
        </w:trPr>
        <w:tc>
          <w:tcPr>
            <w:tcW w:w="581" w:type="pct"/>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1612" w:type="pct"/>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900" w:type="pct"/>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830" w:type="pct"/>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1074" w:type="pct"/>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color w:val="auto"/>
                <w:kern w:val="0"/>
                <w:szCs w:val="21"/>
              </w:rPr>
            </w:pPr>
          </w:p>
        </w:tc>
      </w:tr>
      <w:tr>
        <w:tblPrEx>
          <w:tblCellMar>
            <w:top w:w="0" w:type="dxa"/>
            <w:left w:w="108" w:type="dxa"/>
            <w:bottom w:w="0" w:type="dxa"/>
            <w:right w:w="108" w:type="dxa"/>
          </w:tblCellMar>
        </w:tblPrEx>
        <w:trPr>
          <w:trHeight w:val="312" w:hRule="atLeast"/>
          <w:jc w:val="center"/>
        </w:trPr>
        <w:tc>
          <w:tcPr>
            <w:tcW w:w="581" w:type="pct"/>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1612" w:type="pct"/>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900" w:type="pct"/>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830" w:type="pct"/>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1074" w:type="pct"/>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color w:val="auto"/>
                <w:kern w:val="0"/>
                <w:szCs w:val="21"/>
              </w:rPr>
            </w:pPr>
          </w:p>
        </w:tc>
      </w:tr>
      <w:tr>
        <w:tblPrEx>
          <w:tblCellMar>
            <w:top w:w="0" w:type="dxa"/>
            <w:left w:w="108" w:type="dxa"/>
            <w:bottom w:w="0" w:type="dxa"/>
            <w:right w:w="108" w:type="dxa"/>
          </w:tblCellMar>
        </w:tblPrEx>
        <w:trPr>
          <w:trHeight w:val="450" w:hRule="atLeast"/>
          <w:jc w:val="center"/>
        </w:trPr>
        <w:tc>
          <w:tcPr>
            <w:tcW w:w="2194" w:type="pct"/>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栏次</w:t>
            </w:r>
          </w:p>
        </w:tc>
        <w:tc>
          <w:tcPr>
            <w:tcW w:w="900" w:type="pct"/>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1</w:t>
            </w:r>
          </w:p>
        </w:tc>
        <w:tc>
          <w:tcPr>
            <w:tcW w:w="830" w:type="pct"/>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2</w:t>
            </w:r>
          </w:p>
        </w:tc>
        <w:tc>
          <w:tcPr>
            <w:tcW w:w="1074" w:type="pct"/>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3</w:t>
            </w:r>
          </w:p>
        </w:tc>
      </w:tr>
      <w:tr>
        <w:tblPrEx>
          <w:tblCellMar>
            <w:top w:w="0" w:type="dxa"/>
            <w:left w:w="108" w:type="dxa"/>
            <w:bottom w:w="0" w:type="dxa"/>
            <w:right w:w="108" w:type="dxa"/>
          </w:tblCellMar>
        </w:tblPrEx>
        <w:trPr>
          <w:trHeight w:val="450" w:hRule="atLeast"/>
          <w:jc w:val="center"/>
        </w:trPr>
        <w:tc>
          <w:tcPr>
            <w:tcW w:w="2194" w:type="pct"/>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合计</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12,609.43</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3,260.04</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9,349.39</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206</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科学技术支出</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20603</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应用研究</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2060302</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  社会公益研究</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10.59</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208</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社会保障和就业支出</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1074" w:type="pct"/>
            <w:tcBorders>
              <w:top w:val="nil"/>
              <w:left w:val="nil"/>
              <w:bottom w:val="single" w:color="auto" w:sz="4" w:space="0"/>
              <w:right w:val="single" w:color="auto" w:sz="8"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20805</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行政事业单位养老支出</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1074" w:type="pct"/>
            <w:tcBorders>
              <w:top w:val="nil"/>
              <w:left w:val="nil"/>
              <w:bottom w:val="single" w:color="auto" w:sz="4" w:space="0"/>
              <w:right w:val="single" w:color="auto" w:sz="8"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2080505</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  机关事业单位基本养老保险缴费支出</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278.02</w:t>
            </w:r>
          </w:p>
        </w:tc>
        <w:tc>
          <w:tcPr>
            <w:tcW w:w="1074" w:type="pct"/>
            <w:tcBorders>
              <w:top w:val="nil"/>
              <w:left w:val="nil"/>
              <w:bottom w:val="single" w:color="auto" w:sz="4" w:space="0"/>
              <w:right w:val="single" w:color="auto" w:sz="8"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hint="default" w:eastAsiaTheme="minorEastAsia"/>
                <w:color w:val="auto"/>
                <w:sz w:val="22"/>
                <w:lang w:val="en-US" w:eastAsia="zh-CN"/>
              </w:rPr>
            </w:pPr>
            <w:r>
              <w:rPr>
                <w:rFonts w:hint="eastAsia"/>
                <w:color w:val="auto"/>
                <w:sz w:val="22"/>
                <w:lang w:val="en-US" w:eastAsia="zh-CN"/>
              </w:rPr>
              <w:t>210</w:t>
            </w:r>
          </w:p>
        </w:tc>
        <w:tc>
          <w:tcPr>
            <w:tcW w:w="1612"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卫生健康支出</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2"/>
                <w:szCs w:val="22"/>
                <w:u w:val="none"/>
                <w:lang w:val="en-US" w:eastAsia="zh-CN" w:bidi="ar"/>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2"/>
                <w:szCs w:val="22"/>
                <w:u w:val="none"/>
                <w:lang w:val="en-US" w:eastAsia="zh-CN" w:bidi="ar"/>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1074" w:type="pct"/>
            <w:tcBorders>
              <w:top w:val="nil"/>
              <w:left w:val="nil"/>
              <w:bottom w:val="single" w:color="auto" w:sz="4" w:space="0"/>
              <w:right w:val="single" w:color="auto" w:sz="8" w:space="0"/>
            </w:tcBorders>
            <w:shd w:val="clear" w:color="auto" w:fill="auto"/>
            <w:vAlign w:val="center"/>
          </w:tcPr>
          <w:p>
            <w:pPr>
              <w:jc w:val="center"/>
              <w:rPr>
                <w:rFonts w:hint="eastAsia" w:asciiTheme="minorEastAsia" w:hAnsiTheme="minorEastAsia" w:eastAsiaTheme="minorEastAsia" w:cstheme="minorEastAsia"/>
                <w:b w:val="0"/>
                <w:bCs w:val="0"/>
                <w:color w:val="auto"/>
                <w:kern w:val="2"/>
                <w:sz w:val="22"/>
                <w:szCs w:val="22"/>
                <w:lang w:val="en-US" w:eastAsia="zh-CN" w:bidi="ar-SA"/>
              </w:rPr>
            </w:pPr>
            <w:r>
              <w:rPr>
                <w:rFonts w:hint="eastAsia" w:asciiTheme="minorEastAsia" w:hAnsiTheme="minorEastAsia" w:eastAsiaTheme="minorEastAsia" w:cstheme="minorEastAsia"/>
                <w:b w:val="0"/>
                <w:bCs w:val="0"/>
                <w:color w:val="auto"/>
                <w:sz w:val="22"/>
                <w:szCs w:val="22"/>
              </w:rPr>
              <w:t>-</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hint="eastAsia"/>
                <w:color w:val="auto"/>
                <w:sz w:val="22"/>
              </w:rPr>
            </w:pPr>
            <w:r>
              <w:rPr>
                <w:rFonts w:hint="eastAsia"/>
                <w:color w:val="auto"/>
                <w:sz w:val="22"/>
              </w:rPr>
              <w:t>21011</w:t>
            </w:r>
          </w:p>
        </w:tc>
        <w:tc>
          <w:tcPr>
            <w:tcW w:w="1612"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行政事业单位医疗</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2"/>
                <w:szCs w:val="22"/>
                <w:u w:val="none"/>
                <w:lang w:val="en-US" w:eastAsia="zh-CN" w:bidi="ar"/>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2"/>
                <w:szCs w:val="22"/>
                <w:u w:val="none"/>
                <w:lang w:val="en-US" w:eastAsia="zh-CN" w:bidi="ar"/>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1074" w:type="pct"/>
            <w:tcBorders>
              <w:top w:val="nil"/>
              <w:left w:val="nil"/>
              <w:bottom w:val="single" w:color="auto" w:sz="4" w:space="0"/>
              <w:right w:val="single" w:color="auto" w:sz="8" w:space="0"/>
            </w:tcBorders>
            <w:shd w:val="clear" w:color="auto" w:fill="auto"/>
            <w:vAlign w:val="center"/>
          </w:tcPr>
          <w:p>
            <w:pPr>
              <w:jc w:val="center"/>
              <w:rPr>
                <w:rFonts w:hint="eastAsia" w:asciiTheme="minorEastAsia" w:hAnsiTheme="minorEastAsia" w:eastAsiaTheme="minorEastAsia" w:cstheme="minorEastAsia"/>
                <w:b w:val="0"/>
                <w:bCs w:val="0"/>
                <w:color w:val="auto"/>
                <w:kern w:val="2"/>
                <w:sz w:val="22"/>
                <w:szCs w:val="22"/>
                <w:lang w:val="en-US" w:eastAsia="zh-CN" w:bidi="ar-SA"/>
              </w:rPr>
            </w:pPr>
            <w:r>
              <w:rPr>
                <w:rFonts w:hint="eastAsia" w:asciiTheme="minorEastAsia" w:hAnsiTheme="minorEastAsia" w:eastAsiaTheme="minorEastAsia" w:cstheme="minorEastAsia"/>
                <w:b w:val="0"/>
                <w:bCs w:val="0"/>
                <w:color w:val="auto"/>
                <w:sz w:val="22"/>
                <w:szCs w:val="22"/>
              </w:rPr>
              <w:t>-</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hint="eastAsia"/>
                <w:color w:val="auto"/>
                <w:sz w:val="22"/>
              </w:rPr>
            </w:pPr>
            <w:r>
              <w:rPr>
                <w:rFonts w:hint="eastAsia"/>
                <w:color w:val="auto"/>
                <w:sz w:val="22"/>
              </w:rPr>
              <w:t>2101102</w:t>
            </w:r>
          </w:p>
        </w:tc>
        <w:tc>
          <w:tcPr>
            <w:tcW w:w="1612"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 xml:space="preserve">  事业单位医疗</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2"/>
                <w:szCs w:val="22"/>
                <w:u w:val="none"/>
                <w:lang w:val="en-US" w:eastAsia="zh-CN" w:bidi="ar"/>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0"/>
                <w:sz w:val="22"/>
                <w:szCs w:val="22"/>
                <w:u w:val="none"/>
                <w:lang w:val="en-US" w:eastAsia="zh-CN" w:bidi="ar"/>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136.27</w:t>
            </w:r>
          </w:p>
        </w:tc>
        <w:tc>
          <w:tcPr>
            <w:tcW w:w="1074" w:type="pct"/>
            <w:tcBorders>
              <w:top w:val="nil"/>
              <w:left w:val="nil"/>
              <w:bottom w:val="single" w:color="auto" w:sz="4" w:space="0"/>
              <w:right w:val="single" w:color="auto" w:sz="8" w:space="0"/>
            </w:tcBorders>
            <w:shd w:val="clear" w:color="auto" w:fill="auto"/>
            <w:vAlign w:val="center"/>
          </w:tcPr>
          <w:p>
            <w:pPr>
              <w:jc w:val="center"/>
              <w:rPr>
                <w:rFonts w:hint="eastAsia" w:asciiTheme="minorEastAsia" w:hAnsiTheme="minorEastAsia" w:eastAsiaTheme="minorEastAsia" w:cstheme="minorEastAsia"/>
                <w:b w:val="0"/>
                <w:bCs w:val="0"/>
                <w:color w:val="auto"/>
                <w:kern w:val="2"/>
                <w:sz w:val="22"/>
                <w:szCs w:val="22"/>
                <w:lang w:val="en-US" w:eastAsia="zh-CN" w:bidi="ar-SA"/>
              </w:rPr>
            </w:pPr>
            <w:r>
              <w:rPr>
                <w:rFonts w:hint="eastAsia" w:asciiTheme="minorEastAsia" w:hAnsiTheme="minorEastAsia" w:eastAsiaTheme="minorEastAsia" w:cstheme="minorEastAsia"/>
                <w:b w:val="0"/>
                <w:bCs w:val="0"/>
                <w:color w:val="auto"/>
                <w:sz w:val="22"/>
                <w:szCs w:val="22"/>
              </w:rPr>
              <w:t>-</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节能环保支出</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11,977.15</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2,638.34</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9,338.81</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21101</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环境保护管理事务</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2,642.12</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2,638.34</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3.78</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2110101</w:t>
            </w:r>
          </w:p>
        </w:tc>
        <w:tc>
          <w:tcPr>
            <w:tcW w:w="1612" w:type="pct"/>
            <w:tcBorders>
              <w:top w:val="single" w:color="auto" w:sz="4" w:space="0"/>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  行政运行</w:t>
            </w:r>
          </w:p>
        </w:tc>
        <w:tc>
          <w:tcPr>
            <w:tcW w:w="900" w:type="pc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2,638.34</w:t>
            </w:r>
          </w:p>
        </w:tc>
        <w:tc>
          <w:tcPr>
            <w:tcW w:w="830" w:type="pc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2,638.34</w:t>
            </w:r>
          </w:p>
        </w:tc>
        <w:tc>
          <w:tcPr>
            <w:tcW w:w="1074" w:type="pct"/>
            <w:tcBorders>
              <w:top w:val="single" w:color="auto" w:sz="4" w:space="0"/>
              <w:left w:val="nil"/>
              <w:bottom w:val="single" w:color="auto" w:sz="4" w:space="0"/>
              <w:right w:val="single" w:color="auto" w:sz="8"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2110199</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  其他环境保护管理事务支出</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3.78</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3.78</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21102</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环境监测与监察</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3,472.88</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3,472.88</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2110299</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  其他环境监测与监察支出</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3,472.88</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3,472.88</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21103</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污染防治</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5,746.77</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5,746.77</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2110301</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  大气</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1,637.07</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1,637.07</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2110302</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  水体</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3,482.28</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3,482.28</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hint="eastAsia"/>
                <w:color w:val="auto"/>
                <w:sz w:val="22"/>
              </w:rPr>
            </w:pPr>
            <w:r>
              <w:rPr>
                <w:rFonts w:hint="eastAsia"/>
                <w:color w:val="auto"/>
                <w:sz w:val="22"/>
              </w:rPr>
              <w:t>2110305</w:t>
            </w:r>
          </w:p>
        </w:tc>
        <w:tc>
          <w:tcPr>
            <w:tcW w:w="1612"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 xml:space="preserve">  放射源和放射性废物监管</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119.20</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kern w:val="2"/>
                <w:sz w:val="22"/>
                <w:szCs w:val="22"/>
                <w:lang w:val="en-US" w:eastAsia="zh-CN" w:bidi="ar-SA"/>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119.20</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hint="eastAsia"/>
                <w:color w:val="auto"/>
                <w:sz w:val="22"/>
              </w:rPr>
            </w:pPr>
            <w:r>
              <w:rPr>
                <w:rFonts w:hint="eastAsia"/>
                <w:color w:val="auto"/>
                <w:sz w:val="22"/>
              </w:rPr>
              <w:t>2110307</w:t>
            </w:r>
          </w:p>
        </w:tc>
        <w:tc>
          <w:tcPr>
            <w:tcW w:w="1612"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 xml:space="preserve">  土壤</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206.70</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kern w:val="2"/>
                <w:sz w:val="22"/>
                <w:szCs w:val="22"/>
                <w:lang w:val="en-US" w:eastAsia="zh-CN" w:bidi="ar-SA"/>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206.70</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2110399</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  其他污染防治支出</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301.52</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301.52</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21111</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污染减排</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115.38</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115.38</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2111101</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  生态环境监测与信息</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115.38</w:t>
            </w:r>
          </w:p>
        </w:tc>
        <w:tc>
          <w:tcPr>
            <w:tcW w:w="830" w:type="pct"/>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c>
          <w:tcPr>
            <w:tcW w:w="1074" w:type="pct"/>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auto"/>
                <w:kern w:val="2"/>
                <w:sz w:val="22"/>
                <w:szCs w:val="22"/>
                <w:u w:val="none"/>
                <w:lang w:val="en-US" w:eastAsia="zh-CN" w:bidi="ar-SA"/>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115.38</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221</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住房保障支出</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1074" w:type="pct"/>
            <w:tcBorders>
              <w:top w:val="nil"/>
              <w:left w:val="nil"/>
              <w:bottom w:val="single" w:color="auto" w:sz="4" w:space="0"/>
              <w:right w:val="single" w:color="auto" w:sz="8"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22102</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住房改革支出</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1074" w:type="pct"/>
            <w:tcBorders>
              <w:top w:val="nil"/>
              <w:left w:val="nil"/>
              <w:bottom w:val="single" w:color="auto" w:sz="4" w:space="0"/>
              <w:right w:val="single" w:color="auto" w:sz="8"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r>
      <w:tr>
        <w:tblPrEx>
          <w:tblCellMar>
            <w:top w:w="0" w:type="dxa"/>
            <w:left w:w="108" w:type="dxa"/>
            <w:bottom w:w="0" w:type="dxa"/>
            <w:right w:w="108" w:type="dxa"/>
          </w:tblCellMar>
        </w:tblPrEx>
        <w:trPr>
          <w:trHeight w:val="450" w:hRule="atLeast"/>
          <w:jc w:val="center"/>
        </w:trPr>
        <w:tc>
          <w:tcPr>
            <w:tcW w:w="581" w:type="pct"/>
            <w:tcBorders>
              <w:top w:val="single" w:color="auto" w:sz="4" w:space="0"/>
              <w:left w:val="single" w:color="auto" w:sz="8" w:space="0"/>
              <w:bottom w:val="single" w:color="auto" w:sz="4" w:space="0"/>
              <w:right w:val="single" w:color="auto" w:sz="4" w:space="0"/>
            </w:tcBorders>
            <w:shd w:val="clear" w:color="auto" w:fill="auto"/>
            <w:vAlign w:val="center"/>
          </w:tcPr>
          <w:p>
            <w:pPr>
              <w:rPr>
                <w:rFonts w:ascii="宋体" w:hAnsi="宋体" w:eastAsia="宋体" w:cs="宋体"/>
                <w:color w:val="auto"/>
                <w:sz w:val="22"/>
              </w:rPr>
            </w:pPr>
            <w:r>
              <w:rPr>
                <w:rFonts w:hint="eastAsia"/>
                <w:color w:val="auto"/>
                <w:sz w:val="22"/>
              </w:rPr>
              <w:t>2210201</w:t>
            </w:r>
          </w:p>
        </w:tc>
        <w:tc>
          <w:tcPr>
            <w:tcW w:w="1612" w:type="pct"/>
            <w:tcBorders>
              <w:top w:val="nil"/>
              <w:left w:val="nil"/>
              <w:bottom w:val="single" w:color="auto" w:sz="4" w:space="0"/>
              <w:right w:val="single" w:color="auto" w:sz="4" w:space="0"/>
            </w:tcBorders>
            <w:shd w:val="clear" w:color="auto" w:fill="auto"/>
            <w:vAlign w:val="center"/>
          </w:tcPr>
          <w:p>
            <w:pP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 xml:space="preserve">  住房公积金</w:t>
            </w:r>
          </w:p>
        </w:tc>
        <w:tc>
          <w:tcPr>
            <w:tcW w:w="90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830"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207.41</w:t>
            </w:r>
          </w:p>
        </w:tc>
        <w:tc>
          <w:tcPr>
            <w:tcW w:w="1074" w:type="pct"/>
            <w:tcBorders>
              <w:top w:val="nil"/>
              <w:left w:val="nil"/>
              <w:bottom w:val="single" w:color="auto" w:sz="4" w:space="0"/>
              <w:right w:val="single" w:color="auto" w:sz="8" w:space="0"/>
            </w:tcBorders>
            <w:shd w:val="clear" w:color="auto" w:fill="auto"/>
            <w:vAlign w:val="center"/>
          </w:tcPr>
          <w:p>
            <w:pPr>
              <w:jc w:val="center"/>
              <w:rPr>
                <w:rFonts w:hint="eastAsia" w:asciiTheme="minorEastAsia" w:hAnsiTheme="minorEastAsia" w:eastAsiaTheme="minorEastAsia" w:cstheme="minorEastAsia"/>
                <w:b w:val="0"/>
                <w:bCs w:val="0"/>
                <w:color w:val="auto"/>
                <w:sz w:val="22"/>
                <w:szCs w:val="22"/>
              </w:rPr>
            </w:pPr>
            <w:r>
              <w:rPr>
                <w:rFonts w:hint="eastAsia" w:asciiTheme="minorEastAsia" w:hAnsiTheme="minorEastAsia" w:eastAsiaTheme="minorEastAsia" w:cstheme="minorEastAsia"/>
                <w:b w:val="0"/>
                <w:bCs w:val="0"/>
                <w:color w:val="auto"/>
                <w:sz w:val="22"/>
                <w:szCs w:val="22"/>
              </w:rPr>
              <w:t>-</w:t>
            </w:r>
          </w:p>
        </w:tc>
      </w:tr>
      <w:tr>
        <w:tblPrEx>
          <w:tblCellMar>
            <w:top w:w="0" w:type="dxa"/>
            <w:left w:w="108" w:type="dxa"/>
            <w:bottom w:w="0" w:type="dxa"/>
            <w:right w:w="108" w:type="dxa"/>
          </w:tblCellMar>
        </w:tblPrEx>
        <w:trPr>
          <w:trHeight w:val="645" w:hRule="atLeast"/>
          <w:jc w:val="center"/>
        </w:trPr>
        <w:tc>
          <w:tcPr>
            <w:tcW w:w="5000" w:type="pct"/>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注：本表反映部门本年度一般公共预算财政拨款支出情况。</w:t>
            </w:r>
          </w:p>
          <w:p>
            <w:pPr>
              <w:widowControl/>
              <w:jc w:val="left"/>
              <w:rPr>
                <w:rFonts w:ascii="Times New Roman" w:hAnsi="Times New Roman" w:eastAsia="仿宋_GB2312" w:cs="Times New Roman"/>
                <w:color w:val="auto"/>
                <w:kern w:val="0"/>
                <w:szCs w:val="21"/>
              </w:rPr>
            </w:pPr>
          </w:p>
          <w:p>
            <w:pPr>
              <w:widowControl/>
              <w:jc w:val="left"/>
              <w:rPr>
                <w:rFonts w:ascii="Times New Roman" w:hAnsi="Times New Roman" w:eastAsia="仿宋_GB2312" w:cs="Times New Roman"/>
                <w:color w:val="auto"/>
                <w:kern w:val="0"/>
                <w:szCs w:val="21"/>
              </w:rPr>
            </w:pPr>
          </w:p>
          <w:p>
            <w:pPr>
              <w:widowControl/>
              <w:jc w:val="left"/>
              <w:rPr>
                <w:rFonts w:ascii="Times New Roman" w:hAnsi="Times New Roman" w:eastAsia="仿宋_GB2312" w:cs="Times New Roman"/>
                <w:color w:val="auto"/>
                <w:kern w:val="0"/>
                <w:szCs w:val="21"/>
              </w:rPr>
            </w:pPr>
          </w:p>
          <w:p>
            <w:pPr>
              <w:widowControl/>
              <w:jc w:val="left"/>
              <w:rPr>
                <w:rFonts w:ascii="Times New Roman" w:hAnsi="Times New Roman" w:eastAsia="仿宋_GB2312" w:cs="Times New Roman"/>
                <w:color w:val="auto"/>
                <w:kern w:val="0"/>
                <w:szCs w:val="21"/>
              </w:rPr>
            </w:pPr>
          </w:p>
          <w:p>
            <w:pPr>
              <w:widowControl/>
              <w:jc w:val="left"/>
              <w:rPr>
                <w:rFonts w:ascii="Times New Roman" w:hAnsi="Times New Roman" w:eastAsia="仿宋_GB2312" w:cs="Times New Roman"/>
                <w:color w:val="auto"/>
                <w:kern w:val="0"/>
                <w:szCs w:val="21"/>
              </w:rPr>
            </w:pPr>
          </w:p>
        </w:tc>
      </w:tr>
    </w:tbl>
    <w:p>
      <w:pPr>
        <w:rPr>
          <w:color w:val="auto"/>
        </w:rPr>
      </w:pPr>
      <w:bookmarkStart w:id="2" w:name="RANGE!A1:I34"/>
      <w:r>
        <w:rPr>
          <w:color w:val="auto"/>
        </w:rPr>
        <w:br w:type="page"/>
      </w:r>
    </w:p>
    <w:tbl>
      <w:tblPr>
        <w:tblStyle w:val="9"/>
        <w:tblW w:w="5000" w:type="pct"/>
        <w:tblInd w:w="0" w:type="dxa"/>
        <w:tblLayout w:type="fixed"/>
        <w:tblCellMar>
          <w:top w:w="0" w:type="dxa"/>
          <w:left w:w="108" w:type="dxa"/>
          <w:bottom w:w="0" w:type="dxa"/>
          <w:right w:w="108" w:type="dxa"/>
        </w:tblCellMar>
      </w:tblPr>
      <w:tblGrid>
        <w:gridCol w:w="1493"/>
        <w:gridCol w:w="2870"/>
        <w:gridCol w:w="1277"/>
        <w:gridCol w:w="1024"/>
        <w:gridCol w:w="2095"/>
        <w:gridCol w:w="1130"/>
        <w:gridCol w:w="1134"/>
        <w:gridCol w:w="3551"/>
        <w:gridCol w:w="1040"/>
      </w:tblGrid>
      <w:tr>
        <w:tblPrEx>
          <w:tblCellMar>
            <w:top w:w="0" w:type="dxa"/>
            <w:left w:w="108" w:type="dxa"/>
            <w:bottom w:w="0" w:type="dxa"/>
            <w:right w:w="108" w:type="dxa"/>
          </w:tblCellMar>
        </w:tblPrEx>
        <w:trPr>
          <w:trHeight w:val="113" w:hRule="atLeast"/>
        </w:trPr>
        <w:tc>
          <w:tcPr>
            <w:tcW w:w="5000" w:type="pct"/>
            <w:gridSpan w:val="9"/>
            <w:tcBorders>
              <w:top w:val="nil"/>
              <w:left w:val="nil"/>
              <w:bottom w:val="nil"/>
              <w:right w:val="nil"/>
            </w:tcBorders>
            <w:shd w:val="clear" w:color="auto" w:fill="auto"/>
            <w:noWrap/>
            <w:vAlign w:val="center"/>
          </w:tcPr>
          <w:p>
            <w:pPr>
              <w:widowControl/>
              <w:wordWrap/>
              <w:jc w:val="center"/>
              <w:rPr>
                <w:rFonts w:ascii="华文中宋" w:hAnsi="华文中宋" w:eastAsia="华文中宋" w:cs="宋体"/>
                <w:color w:val="auto"/>
                <w:kern w:val="0"/>
                <w:szCs w:val="32"/>
              </w:rPr>
            </w:pPr>
            <w:r>
              <w:rPr>
                <w:rFonts w:hint="eastAsia" w:ascii="华文中宋" w:hAnsi="华文中宋" w:eastAsia="华文中宋" w:cs="宋体"/>
                <w:color w:val="auto"/>
                <w:kern w:val="0"/>
                <w:szCs w:val="32"/>
              </w:rPr>
              <w:t>一般公共预算财政拨款基本支出决算表</w:t>
            </w:r>
            <w:bookmarkEnd w:id="2"/>
          </w:p>
          <w:p>
            <w:pPr>
              <w:widowControl/>
              <w:wordWrap w:val="0"/>
              <w:jc w:val="right"/>
              <w:rPr>
                <w:rFonts w:ascii="华文中宋" w:hAnsi="华文中宋" w:eastAsia="华文中宋" w:cs="宋体"/>
                <w:color w:val="auto"/>
                <w:kern w:val="0"/>
                <w:szCs w:val="32"/>
              </w:rPr>
            </w:pPr>
            <w:r>
              <w:rPr>
                <w:rFonts w:hint="eastAsia" w:ascii="Times New Roman" w:hAnsi="Times New Roman" w:eastAsia="仿宋_GB2312" w:cs="Times New Roman"/>
                <w:color w:val="auto"/>
                <w:kern w:val="0"/>
                <w:szCs w:val="21"/>
              </w:rPr>
              <w:t xml:space="preserve">  </w:t>
            </w:r>
            <w:r>
              <w:rPr>
                <w:rFonts w:ascii="Times New Roman" w:hAnsi="Times New Roman" w:eastAsia="仿宋_GB2312" w:cs="Times New Roman"/>
                <w:color w:val="auto"/>
                <w:kern w:val="0"/>
                <w:szCs w:val="21"/>
              </w:rPr>
              <w:t>部门：</w:t>
            </w:r>
            <w:r>
              <w:rPr>
                <w:rFonts w:hint="eastAsia" w:asciiTheme="minorEastAsia" w:hAnsiTheme="minorEastAsia" w:eastAsiaTheme="minorEastAsia" w:cstheme="minorEastAsia"/>
                <w:color w:val="auto"/>
                <w:kern w:val="0"/>
                <w:sz w:val="22"/>
                <w:szCs w:val="22"/>
              </w:rPr>
              <w:t>湖南省生态环境监测中心</w:t>
            </w:r>
            <w:r>
              <w:rPr>
                <w:rFonts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lang w:val="en-US" w:eastAsia="zh-CN"/>
              </w:rPr>
              <w:t>2021年度</w:t>
            </w:r>
            <w:r>
              <w:rPr>
                <w:rFonts w:hint="eastAsia"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lang w:val="en-US" w:eastAsia="zh-CN"/>
              </w:rPr>
              <w:t xml:space="preserve">          公开06表</w:t>
            </w:r>
            <w:r>
              <w:rPr>
                <w:rFonts w:hint="eastAsia" w:ascii="Times New Roman" w:hAnsi="Times New Roman" w:eastAsia="仿宋_GB2312" w:cs="Times New Roman"/>
                <w:color w:val="auto"/>
                <w:kern w:val="0"/>
                <w:szCs w:val="21"/>
              </w:rPr>
              <w:t xml:space="preserve">                                   </w:t>
            </w:r>
            <w:r>
              <w:rPr>
                <w:rFonts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lang w:val="en-US" w:eastAsia="zh-CN"/>
              </w:rPr>
              <w:t>单位：万元</w:t>
            </w:r>
          </w:p>
        </w:tc>
      </w:tr>
      <w:tr>
        <w:tblPrEx>
          <w:tblCellMar>
            <w:top w:w="0" w:type="dxa"/>
            <w:left w:w="108" w:type="dxa"/>
            <w:bottom w:w="0" w:type="dxa"/>
            <w:right w:w="108" w:type="dxa"/>
          </w:tblCellMar>
        </w:tblPrEx>
        <w:trPr>
          <w:trHeight w:val="113" w:hRule="atLeast"/>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Cs w:val="20"/>
              </w:rPr>
            </w:pPr>
            <w:r>
              <w:rPr>
                <w:rFonts w:hint="eastAsia" w:ascii="宋体" w:hAnsi="宋体" w:eastAsia="宋体" w:cs="宋体"/>
                <w:color w:val="auto"/>
                <w:kern w:val="0"/>
                <w:sz w:val="20"/>
                <w:szCs w:val="20"/>
              </w:rPr>
              <w:t>经济分类科目编码</w:t>
            </w:r>
          </w:p>
        </w:tc>
        <w:tc>
          <w:tcPr>
            <w:tcW w:w="91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科目名称</w:t>
            </w:r>
          </w:p>
        </w:tc>
        <w:tc>
          <w:tcPr>
            <w:tcW w:w="40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决算数</w:t>
            </w:r>
          </w:p>
        </w:tc>
        <w:tc>
          <w:tcPr>
            <w:tcW w:w="32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经济分类科目编码</w:t>
            </w:r>
          </w:p>
        </w:tc>
        <w:tc>
          <w:tcPr>
            <w:tcW w:w="6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科目名称</w:t>
            </w:r>
          </w:p>
        </w:tc>
        <w:tc>
          <w:tcPr>
            <w:tcW w:w="36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决算数</w:t>
            </w:r>
          </w:p>
        </w:tc>
        <w:tc>
          <w:tcPr>
            <w:tcW w:w="3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经济分类科目编码</w:t>
            </w:r>
          </w:p>
        </w:tc>
        <w:tc>
          <w:tcPr>
            <w:tcW w:w="113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科目名称</w:t>
            </w:r>
          </w:p>
        </w:tc>
        <w:tc>
          <w:tcPr>
            <w:tcW w:w="33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Cs w:val="20"/>
              </w:rPr>
            </w:pPr>
            <w:r>
              <w:rPr>
                <w:rFonts w:hint="eastAsia" w:ascii="宋体" w:hAnsi="宋体" w:eastAsia="宋体" w:cs="宋体"/>
                <w:color w:val="auto"/>
                <w:kern w:val="0"/>
                <w:szCs w:val="20"/>
              </w:rPr>
              <w:t>决算数</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工资福利支出</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2,357.17</w:t>
            </w:r>
          </w:p>
        </w:tc>
        <w:tc>
          <w:tcPr>
            <w:tcW w:w="32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302</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商品和服务支出</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749.56</w:t>
            </w:r>
          </w:p>
        </w:tc>
        <w:tc>
          <w:tcPr>
            <w:tcW w:w="36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307</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债务利息及费用支出</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30101</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基本工资</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509.23</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30201</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办公费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20.47</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30701</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国内债务付息</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30102</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津贴补贴</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212.11</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30202</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印刷费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30.38</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30702</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国外债务付息</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30103</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奖金</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261.82</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30203</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咨询费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0.20</w:t>
            </w:r>
          </w:p>
        </w:tc>
        <w:tc>
          <w:tcPr>
            <w:tcW w:w="36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310</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资本性支出</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30106</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伙食补助费</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97.65</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30204</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手续费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0.01</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31001</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房屋建筑物购建</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30107</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绩效工资</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588.24</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30205</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水费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7.02</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31002</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办公设备购置</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30108</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机关事业单位基本养老保险缴费</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216.17</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30206</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电费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100.91</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31003</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专用设备购置</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30109</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职业年金缴费</w:t>
            </w:r>
          </w:p>
        </w:tc>
        <w:tc>
          <w:tcPr>
            <w:tcW w:w="40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30207</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邮电费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0.47</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31005</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基础设施建设</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30110</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职工基本医疗保险缴费</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103.74</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30208</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取暖费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58.90</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31006</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大型修缮</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30111</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公务员医疗补助缴费</w:t>
            </w:r>
          </w:p>
        </w:tc>
        <w:tc>
          <w:tcPr>
            <w:tcW w:w="40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30209</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物业管理费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63.94</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31007</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信息网络及软件购置更新</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30112</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其他社会保障缴费</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62.45</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30211</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差旅费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8.00</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31008</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物资储备</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30113</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住房公积金</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233.99</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30212</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因公出国（境）费用</w:t>
            </w:r>
          </w:p>
        </w:tc>
        <w:tc>
          <w:tcPr>
            <w:tcW w:w="361"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31009</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土地补偿</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30114</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医疗费</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33.94</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30213</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维修（护）费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149.02</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31010</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安置补助</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30199</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其他工资福利支出</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37.83</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30214</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租赁费</w:t>
            </w:r>
          </w:p>
        </w:tc>
        <w:tc>
          <w:tcPr>
            <w:tcW w:w="361"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31011</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地上附着物和青苗补偿</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对个人和家庭的补助</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152.11</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30215</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会议费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0.16</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31012</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拆迁补偿</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30301</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离休费</w:t>
            </w:r>
          </w:p>
        </w:tc>
        <w:tc>
          <w:tcPr>
            <w:tcW w:w="40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30216</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培训费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10.00</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31013</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公务用车购置</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30302</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退休费</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59.15</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30217</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公务接待费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6.00</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31019</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其他交通工具购置</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30303</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退职（役）费</w:t>
            </w:r>
          </w:p>
        </w:tc>
        <w:tc>
          <w:tcPr>
            <w:tcW w:w="40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30218</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专用材料费</w:t>
            </w:r>
          </w:p>
        </w:tc>
        <w:tc>
          <w:tcPr>
            <w:tcW w:w="361"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31021</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文物和陈列品购置</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30304</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抚恤金</w:t>
            </w:r>
          </w:p>
        </w:tc>
        <w:tc>
          <w:tcPr>
            <w:tcW w:w="40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30224</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被装购置费</w:t>
            </w:r>
          </w:p>
        </w:tc>
        <w:tc>
          <w:tcPr>
            <w:tcW w:w="361"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31022</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无形资产购置</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30305</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生活补助</w:t>
            </w:r>
          </w:p>
        </w:tc>
        <w:tc>
          <w:tcPr>
            <w:tcW w:w="40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30225</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专用燃料费</w:t>
            </w:r>
          </w:p>
        </w:tc>
        <w:tc>
          <w:tcPr>
            <w:tcW w:w="361"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31099</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其他资本性支出</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30306</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救济费</w:t>
            </w:r>
          </w:p>
        </w:tc>
        <w:tc>
          <w:tcPr>
            <w:tcW w:w="40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30226</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劳务费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116.64</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399</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其他支出</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30307</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医疗费补助</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0.45</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30227</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委托业务费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10.32</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39906</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赠与</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30308</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助学金</w:t>
            </w:r>
          </w:p>
        </w:tc>
        <w:tc>
          <w:tcPr>
            <w:tcW w:w="40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30228</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工会经费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37.56</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39907</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国家赔偿费用支出</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30309</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奖励金</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91.51</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30229</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福利费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60.05</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39908</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对民间非营利组织和群众性自治组织补贴</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30310</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个人农业生产补贴</w:t>
            </w:r>
          </w:p>
        </w:tc>
        <w:tc>
          <w:tcPr>
            <w:tcW w:w="40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30231</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公务用车运行维护费</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30.00</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39999</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其他支出</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30311</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代缴社会保险费</w:t>
            </w:r>
          </w:p>
        </w:tc>
        <w:tc>
          <w:tcPr>
            <w:tcW w:w="40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30239</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其他交通费用</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5.69</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30399</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其他对个人和家庭的补助</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1.00</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30240</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税金及附加费用</w:t>
            </w:r>
          </w:p>
        </w:tc>
        <w:tc>
          <w:tcPr>
            <w:tcW w:w="361"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113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478"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Cs w:val="20"/>
              </w:rPr>
            </w:pPr>
            <w:r>
              <w:rPr>
                <w:rFonts w:hint="eastAsia" w:ascii="宋体" w:hAnsi="宋体" w:eastAsia="宋体" w:cs="宋体"/>
                <w:color w:val="auto"/>
                <w:kern w:val="0"/>
                <w:szCs w:val="20"/>
              </w:rPr>
              <w:t>　</w:t>
            </w:r>
          </w:p>
        </w:tc>
        <w:tc>
          <w:tcPr>
            <w:tcW w:w="919"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40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2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30299</w:t>
            </w:r>
          </w:p>
        </w:tc>
        <w:tc>
          <w:tcPr>
            <w:tcW w:w="670"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其他商品和服务支出</w:t>
            </w:r>
          </w:p>
        </w:tc>
        <w:tc>
          <w:tcPr>
            <w:tcW w:w="361"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33.81</w:t>
            </w:r>
          </w:p>
        </w:tc>
        <w:tc>
          <w:tcPr>
            <w:tcW w:w="36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113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33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r>
      <w:tr>
        <w:tblPrEx>
          <w:tblCellMar>
            <w:top w:w="0" w:type="dxa"/>
            <w:left w:w="108" w:type="dxa"/>
            <w:bottom w:w="0" w:type="dxa"/>
            <w:right w:w="108" w:type="dxa"/>
          </w:tblCellMar>
        </w:tblPrEx>
        <w:trPr>
          <w:trHeight w:val="284" w:hRule="exact"/>
        </w:trPr>
        <w:tc>
          <w:tcPr>
            <w:tcW w:w="1397"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人员经费合计</w:t>
            </w:r>
          </w:p>
        </w:tc>
        <w:tc>
          <w:tcPr>
            <w:tcW w:w="408"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2,509.28</w:t>
            </w:r>
          </w:p>
        </w:tc>
        <w:tc>
          <w:tcPr>
            <w:tcW w:w="2860" w:type="pct"/>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公用经费合计</w:t>
            </w:r>
          </w:p>
        </w:tc>
        <w:tc>
          <w:tcPr>
            <w:tcW w:w="333" w:type="pct"/>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750.76</w:t>
            </w:r>
          </w:p>
        </w:tc>
      </w:tr>
      <w:tr>
        <w:tblPrEx>
          <w:tblCellMar>
            <w:top w:w="0" w:type="dxa"/>
            <w:left w:w="108" w:type="dxa"/>
            <w:bottom w:w="0" w:type="dxa"/>
            <w:right w:w="108" w:type="dxa"/>
          </w:tblCellMar>
        </w:tblPrEx>
        <w:trPr>
          <w:trHeight w:val="284" w:hRule="exact"/>
        </w:trPr>
        <w:tc>
          <w:tcPr>
            <w:tcW w:w="5000" w:type="pct"/>
            <w:gridSpan w:val="9"/>
            <w:tcBorders>
              <w:top w:val="nil"/>
              <w:left w:val="nil"/>
              <w:bottom w:val="nil"/>
              <w:right w:val="nil"/>
            </w:tcBorders>
            <w:shd w:val="clear" w:color="auto" w:fill="auto"/>
            <w:noWrap/>
            <w:vAlign w:val="center"/>
          </w:tcPr>
          <w:p>
            <w:pPr>
              <w:widowControl/>
              <w:jc w:val="left"/>
              <w:rPr>
                <w:rFonts w:ascii="宋体" w:hAnsi="宋体" w:eastAsia="宋体" w:cs="宋体"/>
                <w:color w:val="auto"/>
                <w:kern w:val="0"/>
                <w:szCs w:val="24"/>
              </w:rPr>
            </w:pPr>
            <w:r>
              <w:rPr>
                <w:rFonts w:hint="eastAsia" w:ascii="宋体" w:hAnsi="宋体" w:eastAsia="宋体" w:cs="宋体"/>
                <w:color w:val="auto"/>
                <w:kern w:val="0"/>
                <w:szCs w:val="24"/>
              </w:rPr>
              <w:t>注：本表反映部门本年度一般公共预算财政拨款基本支出明细情况。</w:t>
            </w:r>
          </w:p>
        </w:tc>
      </w:tr>
    </w:tbl>
    <w:p>
      <w:pPr>
        <w:widowControl/>
        <w:jc w:val="center"/>
        <w:rPr>
          <w:rFonts w:ascii="Times New Roman" w:hAnsi="Times New Roman" w:eastAsia="方正小标宋_GBK" w:cs="Times New Roman"/>
          <w:color w:val="auto"/>
          <w:kern w:val="0"/>
          <w:sz w:val="36"/>
          <w:szCs w:val="36"/>
        </w:rPr>
      </w:pPr>
      <w:r>
        <w:rPr>
          <w:rFonts w:hint="eastAsia" w:ascii="Times New Roman" w:hAnsi="Times New Roman" w:eastAsia="方正小标宋_GBK" w:cs="Times New Roman"/>
          <w:color w:val="auto"/>
          <w:kern w:val="0"/>
          <w:sz w:val="36"/>
          <w:szCs w:val="36"/>
        </w:rPr>
        <w:t>一般公共预算财政拨款“三公”经费支出决算表</w:t>
      </w:r>
    </w:p>
    <w:p>
      <w:pPr>
        <w:widowControl/>
        <w:ind w:firstLine="420" w:firstLineChars="200"/>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xml:space="preserve">部门： </w:t>
      </w:r>
      <w:r>
        <w:rPr>
          <w:rFonts w:hint="eastAsia" w:asciiTheme="minorEastAsia" w:hAnsiTheme="minorEastAsia" w:eastAsiaTheme="minorEastAsia" w:cstheme="minorEastAsia"/>
          <w:color w:val="auto"/>
          <w:kern w:val="0"/>
          <w:sz w:val="22"/>
          <w:szCs w:val="22"/>
        </w:rPr>
        <w:t>湖南省生态环境监测中心</w:t>
      </w:r>
      <w:r>
        <w:rPr>
          <w:rFonts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lang w:val="en-US" w:eastAsia="zh-CN"/>
        </w:rPr>
        <w:t xml:space="preserve">2021年度 </w:t>
      </w:r>
      <w:r>
        <w:rPr>
          <w:rFonts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rPr>
        <w:t>公开0</w:t>
      </w:r>
      <w:r>
        <w:rPr>
          <w:rFonts w:hint="eastAsia" w:ascii="Times New Roman" w:hAnsi="Times New Roman" w:eastAsia="仿宋_GB2312" w:cs="Times New Roman"/>
          <w:color w:val="auto"/>
          <w:kern w:val="0"/>
          <w:szCs w:val="21"/>
          <w:lang w:val="en-US" w:eastAsia="zh-CN"/>
        </w:rPr>
        <w:t>7</w:t>
      </w:r>
      <w:r>
        <w:rPr>
          <w:rFonts w:hint="eastAsia" w:ascii="Times New Roman" w:hAnsi="Times New Roman" w:eastAsia="仿宋_GB2312" w:cs="Times New Roman"/>
          <w:color w:val="auto"/>
          <w:kern w:val="0"/>
          <w:szCs w:val="21"/>
        </w:rPr>
        <w:t>表</w:t>
      </w:r>
    </w:p>
    <w:p>
      <w:pPr>
        <w:widowControl/>
        <w:ind w:right="420"/>
        <w:jc w:val="righ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单位：万元</w:t>
      </w:r>
    </w:p>
    <w:tbl>
      <w:tblPr>
        <w:tblStyle w:val="9"/>
        <w:tblW w:w="14809"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389"/>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预算数</w:t>
            </w:r>
          </w:p>
        </w:tc>
        <w:tc>
          <w:tcPr>
            <w:tcW w:w="7489"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公务</w:t>
            </w:r>
          </w:p>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公务用车购置及运行费</w:t>
            </w:r>
          </w:p>
        </w:tc>
        <w:tc>
          <w:tcPr>
            <w:tcW w:w="1389"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公务</w:t>
            </w:r>
          </w:p>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szCs w:val="21"/>
                <w:lang w:eastAsia="zh-CN"/>
              </w:rPr>
            </w:pPr>
            <w:r>
              <w:rPr>
                <w:rFonts w:ascii="Times New Roman" w:hAnsi="Times New Roman" w:eastAsia="仿宋_GB2312" w:cs="Times New Roman"/>
                <w:color w:val="auto"/>
                <w:kern w:val="0"/>
                <w:szCs w:val="21"/>
              </w:rPr>
              <w:t>公务用车</w:t>
            </w:r>
          </w:p>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szCs w:val="21"/>
                <w:lang w:eastAsia="zh-CN"/>
              </w:rPr>
            </w:pPr>
            <w:r>
              <w:rPr>
                <w:rFonts w:ascii="Times New Roman" w:hAnsi="Times New Roman" w:eastAsia="仿宋_GB2312" w:cs="Times New Roman"/>
                <w:color w:val="auto"/>
                <w:kern w:val="0"/>
                <w:szCs w:val="21"/>
              </w:rPr>
              <w:t>公务用车</w:t>
            </w:r>
          </w:p>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color w:val="auto"/>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szCs w:val="21"/>
                <w:lang w:eastAsia="zh-CN"/>
              </w:rPr>
            </w:pPr>
            <w:r>
              <w:rPr>
                <w:rFonts w:ascii="Times New Roman" w:hAnsi="Times New Roman" w:eastAsia="仿宋_GB2312" w:cs="Times New Roman"/>
                <w:color w:val="auto"/>
                <w:kern w:val="0"/>
                <w:szCs w:val="21"/>
              </w:rPr>
              <w:t>公务用车</w:t>
            </w:r>
          </w:p>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color w:val="auto"/>
                <w:kern w:val="0"/>
                <w:szCs w:val="21"/>
                <w:lang w:eastAsia="zh-CN"/>
              </w:rPr>
            </w:pPr>
            <w:r>
              <w:rPr>
                <w:rFonts w:ascii="Times New Roman" w:hAnsi="Times New Roman" w:eastAsia="仿宋_GB2312" w:cs="Times New Roman"/>
                <w:color w:val="auto"/>
                <w:kern w:val="0"/>
                <w:szCs w:val="21"/>
              </w:rPr>
              <w:t>公务用车</w:t>
            </w:r>
          </w:p>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运行费</w:t>
            </w:r>
          </w:p>
        </w:tc>
        <w:tc>
          <w:tcPr>
            <w:tcW w:w="1389"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color w:val="auto"/>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11</w:t>
            </w:r>
          </w:p>
        </w:tc>
        <w:tc>
          <w:tcPr>
            <w:tcW w:w="1389"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54.00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48.00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18.00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30.00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6.00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54.00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heme="minorEastAsia" w:hAnsiTheme="minorEastAsia" w:eastAsiaTheme="minorEastAsia" w:cstheme="minorEastAsia"/>
                <w:color w:val="auto"/>
                <w:kern w:val="0"/>
                <w:sz w:val="22"/>
                <w:szCs w:val="22"/>
              </w:rPr>
            </w:pPr>
            <w:r>
              <w:rPr>
                <w:rFonts w:hint="eastAsia" w:asciiTheme="minorEastAsia" w:hAnsiTheme="minorEastAsia" w:eastAsiaTheme="minorEastAsia" w:cstheme="minorEastAsia"/>
                <w:color w:val="auto"/>
                <w:kern w:val="0"/>
                <w:sz w:val="22"/>
                <w:szCs w:val="22"/>
              </w:rPr>
              <w:t>　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48.00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18.00</w:t>
            </w:r>
          </w:p>
        </w:tc>
        <w:tc>
          <w:tcPr>
            <w:tcW w:w="1220" w:type="dxa"/>
            <w:tcBorders>
              <w:top w:val="nil"/>
              <w:left w:val="nil"/>
              <w:bottom w:val="single" w:color="auto" w:sz="8" w:space="0"/>
              <w:right w:val="nil"/>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30.00</w:t>
            </w:r>
          </w:p>
        </w:tc>
        <w:tc>
          <w:tcPr>
            <w:tcW w:w="1389" w:type="dxa"/>
            <w:tcBorders>
              <w:top w:val="nil"/>
              <w:left w:val="single" w:color="auto" w:sz="4" w:space="0"/>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auto"/>
                <w:kern w:val="2"/>
                <w:sz w:val="22"/>
                <w:szCs w:val="22"/>
                <w:u w:val="none"/>
                <w:lang w:val="en-US" w:eastAsia="zh-CN" w:bidi="ar-SA"/>
              </w:rPr>
            </w:pPr>
            <w:r>
              <w:rPr>
                <w:rFonts w:hint="eastAsia" w:asciiTheme="minorEastAsia" w:hAnsiTheme="minorEastAsia" w:eastAsiaTheme="minorEastAsia" w:cstheme="minorEastAsia"/>
                <w:i w:val="0"/>
                <w:iCs w:val="0"/>
                <w:color w:val="auto"/>
                <w:kern w:val="0"/>
                <w:sz w:val="22"/>
                <w:szCs w:val="22"/>
                <w:u w:val="none"/>
                <w:lang w:val="en-US" w:eastAsia="zh-CN" w:bidi="ar"/>
              </w:rPr>
              <w:t>6.00</w:t>
            </w:r>
          </w:p>
        </w:tc>
      </w:tr>
    </w:tbl>
    <w:p>
      <w:pPr>
        <w:widowControl/>
        <w:ind w:left="718" w:leftChars="342" w:firstLine="240" w:firstLineChars="100"/>
        <w:jc w:val="left"/>
        <w:rPr>
          <w:rFonts w:hint="eastAsia" w:ascii="宋体" w:eastAsia="宋体" w:cs="宋体"/>
          <w:color w:val="auto"/>
          <w:kern w:val="0"/>
          <w:sz w:val="24"/>
          <w:szCs w:val="24"/>
        </w:rPr>
      </w:pPr>
      <w:r>
        <w:rPr>
          <w:rFonts w:hint="eastAsia" w:ascii="宋体" w:eastAsia="宋体" w:cs="宋体"/>
          <w:color w:val="auto"/>
          <w:kern w:val="0"/>
          <w:sz w:val="24"/>
          <w:szCs w:val="24"/>
        </w:rPr>
        <w:t>注：本表反映部门本年度“三公”经费支出预决算情况。其中，预算数为“三公”经费全年预算数，反映按规定程序调整后的预算数；</w:t>
      </w:r>
    </w:p>
    <w:p>
      <w:pPr>
        <w:widowControl/>
        <w:ind w:left="718" w:leftChars="342" w:firstLine="240" w:firstLineChars="100"/>
        <w:jc w:val="left"/>
        <w:rPr>
          <w:rFonts w:ascii="宋体" w:eastAsia="宋体" w:cs="宋体"/>
          <w:color w:val="auto"/>
          <w:kern w:val="0"/>
          <w:sz w:val="24"/>
          <w:szCs w:val="24"/>
        </w:rPr>
      </w:pPr>
      <w:r>
        <w:rPr>
          <w:rFonts w:hint="eastAsia" w:ascii="宋体" w:eastAsia="宋体" w:cs="宋体"/>
          <w:color w:val="auto"/>
          <w:kern w:val="0"/>
          <w:sz w:val="24"/>
          <w:szCs w:val="24"/>
        </w:rPr>
        <w:t>决算数是包括当年一般公共预算财政拨款和以前年度结转资金安排的实际支出。</w:t>
      </w:r>
      <w:r>
        <w:rPr>
          <w:rFonts w:ascii="宋体" w:eastAsia="宋体" w:cs="宋体"/>
          <w:color w:val="auto"/>
          <w:kern w:val="0"/>
          <w:sz w:val="24"/>
          <w:szCs w:val="24"/>
        </w:rPr>
        <w:br w:type="page"/>
      </w:r>
    </w:p>
    <w:p>
      <w:pPr>
        <w:autoSpaceDE w:val="0"/>
        <w:autoSpaceDN w:val="0"/>
        <w:adjustRightInd w:val="0"/>
        <w:ind w:left="315" w:leftChars="150"/>
        <w:jc w:val="left"/>
        <w:rPr>
          <w:rFonts w:ascii="宋体" w:eastAsia="宋体" w:cs="宋体"/>
          <w:color w:val="auto"/>
          <w:kern w:val="0"/>
          <w:sz w:val="24"/>
          <w:szCs w:val="24"/>
        </w:rPr>
      </w:pPr>
    </w:p>
    <w:p>
      <w:pPr>
        <w:widowControl/>
        <w:jc w:val="center"/>
        <w:rPr>
          <w:rFonts w:ascii="Times New Roman" w:hAnsi="Times New Roman" w:eastAsia="方正小标宋_GBK" w:cs="Times New Roman"/>
          <w:color w:val="auto"/>
          <w:kern w:val="0"/>
          <w:sz w:val="36"/>
          <w:szCs w:val="36"/>
        </w:rPr>
      </w:pPr>
      <w:r>
        <w:rPr>
          <w:rFonts w:ascii="Times New Roman" w:hAnsi="Times New Roman" w:eastAsia="方正小标宋_GBK" w:cs="Times New Roman"/>
          <w:color w:val="auto"/>
          <w:kern w:val="0"/>
          <w:sz w:val="36"/>
          <w:szCs w:val="36"/>
        </w:rPr>
        <w:t>政府性基金预算财政拨款收入支出决算表</w:t>
      </w:r>
    </w:p>
    <w:p>
      <w:pPr>
        <w:widowControl/>
        <w:wordWrap/>
        <w:ind w:left="13440" w:hanging="13440" w:hangingChars="6400"/>
        <w:jc w:val="left"/>
        <w:rPr>
          <w:rFonts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lang w:val="en-US" w:eastAsia="zh-CN"/>
        </w:rPr>
        <w:t xml:space="preserve">        </w:t>
      </w:r>
      <w:r>
        <w:rPr>
          <w:rFonts w:ascii="Times New Roman" w:hAnsi="Times New Roman" w:eastAsia="仿宋_GB2312" w:cs="Times New Roman"/>
          <w:color w:val="auto"/>
          <w:kern w:val="0"/>
          <w:szCs w:val="21"/>
        </w:rPr>
        <w:t xml:space="preserve">部门： </w:t>
      </w:r>
      <w:r>
        <w:rPr>
          <w:rFonts w:hint="eastAsia" w:asciiTheme="minorEastAsia" w:hAnsiTheme="minorEastAsia" w:eastAsiaTheme="minorEastAsia" w:cstheme="minorEastAsia"/>
          <w:color w:val="auto"/>
          <w:kern w:val="0"/>
          <w:sz w:val="22"/>
          <w:szCs w:val="22"/>
        </w:rPr>
        <w:t>湖南省生态环境监测中心</w:t>
      </w:r>
      <w:r>
        <w:rPr>
          <w:rFonts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lang w:val="en-US" w:eastAsia="zh-CN"/>
        </w:rPr>
        <w:t>2021年度</w:t>
      </w:r>
      <w:r>
        <w:rPr>
          <w:rFonts w:ascii="Times New Roman" w:hAnsi="Times New Roman" w:eastAsia="仿宋_GB2312" w:cs="Times New Roman"/>
          <w:color w:val="auto"/>
          <w:kern w:val="0"/>
          <w:szCs w:val="21"/>
        </w:rPr>
        <w:t xml:space="preserve">                                                    </w:t>
      </w:r>
      <w:r>
        <w:rPr>
          <w:rFonts w:hint="eastAsia" w:ascii="Times New Roman" w:hAnsi="Times New Roman" w:eastAsia="仿宋_GB2312" w:cs="Times New Roman"/>
          <w:color w:val="auto"/>
          <w:kern w:val="0"/>
          <w:szCs w:val="21"/>
          <w:lang w:val="en-US" w:eastAsia="zh-CN"/>
        </w:rPr>
        <w:t xml:space="preserve">      公开08表</w:t>
      </w:r>
      <w:r>
        <w:rPr>
          <w:rFonts w:ascii="Times New Roman" w:hAnsi="Times New Roman" w:eastAsia="仿宋_GB2312" w:cs="Times New Roman"/>
          <w:color w:val="auto"/>
          <w:kern w:val="0"/>
          <w:szCs w:val="21"/>
        </w:rPr>
        <w:t xml:space="preserve">                            单位：万元</w:t>
      </w:r>
    </w:p>
    <w:tbl>
      <w:tblPr>
        <w:tblStyle w:val="9"/>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项    目</w:t>
            </w:r>
          </w:p>
        </w:tc>
        <w:tc>
          <w:tcPr>
            <w:tcW w:w="2000" w:type="dxa"/>
            <w:vMerge w:val="restart"/>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科目名称</w:t>
            </w:r>
          </w:p>
        </w:tc>
        <w:tc>
          <w:tcPr>
            <w:tcW w:w="2000" w:type="dxa"/>
            <w:vMerge w:val="continue"/>
            <w:vAlign w:val="center"/>
          </w:tcPr>
          <w:p>
            <w:pPr>
              <w:widowControl/>
              <w:jc w:val="left"/>
              <w:rPr>
                <w:rFonts w:ascii="Times New Roman" w:hAnsi="Times New Roman" w:eastAsia="仿宋_GB2312" w:cs="Times New Roman"/>
                <w:b/>
                <w:color w:val="auto"/>
                <w:kern w:val="0"/>
                <w:szCs w:val="21"/>
              </w:rPr>
            </w:pPr>
          </w:p>
        </w:tc>
        <w:tc>
          <w:tcPr>
            <w:tcW w:w="2000" w:type="dxa"/>
            <w:vMerge w:val="continue"/>
            <w:vAlign w:val="center"/>
          </w:tcPr>
          <w:p>
            <w:pPr>
              <w:widowControl/>
              <w:jc w:val="left"/>
              <w:rPr>
                <w:rFonts w:ascii="Times New Roman" w:hAnsi="Times New Roman" w:eastAsia="仿宋_GB2312" w:cs="Times New Roman"/>
                <w:b/>
                <w:color w:val="auto"/>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color w:val="auto"/>
                <w:kern w:val="0"/>
                <w:szCs w:val="21"/>
              </w:rPr>
            </w:pPr>
            <w:r>
              <w:rPr>
                <w:rFonts w:ascii="Times New Roman" w:hAnsi="Times New Roman" w:eastAsia="仿宋_GB2312" w:cs="Times New Roman"/>
                <w:b/>
                <w:color w:val="auto"/>
                <w:kern w:val="0"/>
                <w:szCs w:val="21"/>
              </w:rPr>
              <w:t>项目支出</w:t>
            </w:r>
          </w:p>
        </w:tc>
        <w:tc>
          <w:tcPr>
            <w:tcW w:w="2000" w:type="dxa"/>
            <w:vMerge w:val="continue"/>
            <w:vAlign w:val="center"/>
          </w:tcPr>
          <w:p>
            <w:pPr>
              <w:widowControl/>
              <w:jc w:val="left"/>
              <w:rPr>
                <w:rFonts w:ascii="Times New Roman" w:hAnsi="Times New Roman" w:eastAsia="仿宋_GB2312" w:cs="Times New Roman"/>
                <w:b/>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color w:val="auto"/>
                <w:kern w:val="0"/>
                <w:szCs w:val="21"/>
              </w:rPr>
            </w:pPr>
          </w:p>
        </w:tc>
        <w:tc>
          <w:tcPr>
            <w:tcW w:w="132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color w:val="auto"/>
                <w:kern w:val="0"/>
                <w:szCs w:val="21"/>
              </w:rPr>
            </w:pPr>
          </w:p>
        </w:tc>
        <w:tc>
          <w:tcPr>
            <w:tcW w:w="132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c>
          <w:tcPr>
            <w:tcW w:w="2000" w:type="dxa"/>
            <w:vMerge w:val="continue"/>
            <w:vAlign w:val="center"/>
          </w:tcPr>
          <w:p>
            <w:pPr>
              <w:widowControl/>
              <w:jc w:val="left"/>
              <w:rPr>
                <w:rFonts w:ascii="Times New Roman" w:hAnsi="Times New Roman" w:eastAsia="仿宋_GB2312" w:cs="Times New Roman"/>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1</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2</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3</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4</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5</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132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132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132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132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132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132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　</w:t>
            </w:r>
          </w:p>
        </w:tc>
      </w:tr>
    </w:tbl>
    <w:p>
      <w:pPr>
        <w:widowControl/>
        <w:ind w:firstLine="630" w:firstLineChars="300"/>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注：本表反映部门本年度政府性基金预算财政拨款收入、支出及结转和结余情况</w:t>
      </w:r>
    </w:p>
    <w:p>
      <w:pPr>
        <w:widowControl/>
        <w:ind w:firstLine="630" w:firstLineChars="300"/>
        <w:jc w:val="left"/>
        <w:rPr>
          <w:rFonts w:ascii="Times New Roman" w:hAnsi="Times New Roman" w:eastAsia="仿宋_GB2312" w:cs="Times New Roman"/>
          <w:color w:val="auto"/>
          <w:kern w:val="0"/>
          <w:szCs w:val="21"/>
        </w:rPr>
      </w:pPr>
      <w:r>
        <w:rPr>
          <w:rFonts w:ascii="Times New Roman" w:hAnsi="Times New Roman" w:eastAsia="仿宋_GB2312" w:cs="Times New Roman"/>
          <w:color w:val="auto"/>
          <w:kern w:val="0"/>
          <w:szCs w:val="21"/>
        </w:rPr>
        <w:t>(</w:t>
      </w:r>
      <w:r>
        <w:rPr>
          <w:rFonts w:hint="eastAsia" w:ascii="Times New Roman" w:hAnsi="Times New Roman" w:eastAsia="仿宋_GB2312" w:cs="Times New Roman"/>
          <w:color w:val="auto"/>
          <w:kern w:val="0"/>
          <w:szCs w:val="21"/>
          <w:lang w:val="en-US" w:eastAsia="zh-CN"/>
        </w:rPr>
        <w:t>本</w:t>
      </w:r>
      <w:r>
        <w:rPr>
          <w:rFonts w:hint="eastAsia" w:ascii="Times New Roman" w:hAnsi="Times New Roman" w:eastAsia="仿宋_GB2312" w:cs="Times New Roman"/>
          <w:color w:val="auto"/>
          <w:kern w:val="0"/>
          <w:szCs w:val="21"/>
        </w:rPr>
        <w:t>单位没有政府性基金收入，也没有使用政府性基金安排的支出，故本表无数据</w:t>
      </w:r>
      <w:r>
        <w:rPr>
          <w:rFonts w:ascii="Times New Roman" w:hAnsi="Times New Roman" w:eastAsia="仿宋_GB2312" w:cs="Times New Roman"/>
          <w:color w:val="auto"/>
          <w:kern w:val="0"/>
          <w:szCs w:val="21"/>
        </w:rPr>
        <w:t>)。</w:t>
      </w:r>
    </w:p>
    <w:p>
      <w:pPr>
        <w:widowControl/>
        <w:jc w:val="left"/>
        <w:rPr>
          <w:rFonts w:ascii="黑体" w:hAnsi="黑体" w:eastAsia="黑体"/>
          <w:color w:val="auto"/>
          <w:szCs w:val="21"/>
        </w:rPr>
      </w:pPr>
      <w:r>
        <w:rPr>
          <w:rFonts w:ascii="黑体" w:hAnsi="黑体" w:eastAsia="黑体"/>
          <w:color w:val="auto"/>
          <w:szCs w:val="21"/>
        </w:rPr>
        <w:br w:type="page"/>
      </w:r>
    </w:p>
    <w:tbl>
      <w:tblPr>
        <w:tblStyle w:val="9"/>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color w:val="auto"/>
                <w:kern w:val="0"/>
                <w:sz w:val="32"/>
                <w:szCs w:val="32"/>
              </w:rPr>
            </w:pPr>
            <w:r>
              <w:rPr>
                <w:rFonts w:hint="eastAsia" w:ascii="华文中宋" w:hAnsi="华文中宋" w:eastAsia="华文中宋" w:cs="宋体"/>
                <w:color w:val="auto"/>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公开09表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部门：</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left"/>
              <w:rPr>
                <w:rFonts w:ascii="宋体" w:hAnsi="宋体" w:eastAsia="宋体" w:cs="宋体"/>
                <w:color w:val="auto"/>
                <w:kern w:val="0"/>
                <w:sz w:val="20"/>
                <w:szCs w:val="20"/>
              </w:rPr>
            </w:pPr>
            <w:r>
              <w:rPr>
                <w:rFonts w:ascii="Times New Roman" w:hAnsi="Times New Roman" w:eastAsia="仿宋_GB2312" w:cs="Times New Roman"/>
                <w:color w:val="auto"/>
                <w:kern w:val="0"/>
                <w:szCs w:val="21"/>
              </w:rPr>
              <w:t xml:space="preserve"> </w:t>
            </w:r>
            <w:r>
              <w:rPr>
                <w:rFonts w:hint="eastAsia" w:asciiTheme="minorEastAsia" w:hAnsiTheme="minorEastAsia" w:eastAsiaTheme="minorEastAsia" w:cstheme="minorEastAsia"/>
                <w:color w:val="auto"/>
                <w:kern w:val="0"/>
                <w:sz w:val="22"/>
                <w:szCs w:val="22"/>
              </w:rPr>
              <w:t>湖南省生态环境监测中心</w:t>
            </w:r>
            <w:r>
              <w:rPr>
                <w:rFonts w:hint="eastAsia" w:ascii="宋体" w:hAnsi="宋体" w:eastAsia="宋体" w:cs="宋体"/>
                <w:color w:val="auto"/>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hint="default" w:ascii="宋体" w:hAnsi="宋体" w:eastAsia="宋体" w:cs="宋体"/>
                <w:color w:val="auto"/>
                <w:kern w:val="0"/>
                <w:sz w:val="20"/>
                <w:szCs w:val="20"/>
                <w:lang w:val="en-US" w:eastAsia="zh-CN"/>
              </w:rPr>
            </w:pPr>
            <w:r>
              <w:rPr>
                <w:rFonts w:hint="eastAsia" w:ascii="宋体" w:hAnsi="宋体" w:eastAsia="宋体" w:cs="宋体"/>
                <w:color w:val="auto"/>
                <w:kern w:val="0"/>
                <w:sz w:val="20"/>
                <w:szCs w:val="20"/>
              </w:rPr>
              <w:t>　</w:t>
            </w:r>
            <w:r>
              <w:rPr>
                <w:rFonts w:hint="eastAsia" w:ascii="宋体" w:hAnsi="宋体" w:eastAsia="宋体" w:cs="宋体"/>
                <w:color w:val="auto"/>
                <w:kern w:val="0"/>
                <w:sz w:val="20"/>
                <w:szCs w:val="20"/>
                <w:lang w:val="en-US" w:eastAsia="zh-CN"/>
              </w:rPr>
              <w:t>2021年度</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rPr>
            </w:pPr>
            <w:r>
              <w:rPr>
                <w:rFonts w:hint="eastAsia" w:ascii="宋体" w:hAnsi="宋体" w:eastAsia="宋体" w:cs="宋体"/>
                <w:color w:val="auto"/>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xml:space="preserve">项 </w:t>
            </w:r>
            <w:r>
              <w:rPr>
                <w:rFonts w:hint="eastAsia" w:ascii="宋体" w:hAnsi="宋体" w:eastAsia="宋体" w:cs="宋体"/>
                <w:color w:val="auto"/>
                <w:kern w:val="0"/>
                <w:sz w:val="22"/>
              </w:rPr>
              <w:t xml:space="preserve">   </w:t>
            </w:r>
            <w:r>
              <w:rPr>
                <w:rFonts w:hint="eastAsia" w:ascii="宋体" w:hAnsi="宋体" w:eastAsia="宋体" w:cs="宋体"/>
                <w:color w:val="auto"/>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注：本表反映部门本年度国有资本经营预算财政拨款支出情况。</w:t>
            </w:r>
          </w:p>
          <w:p>
            <w:pPr>
              <w:pStyle w:val="2"/>
              <w:ind w:left="0" w:leftChars="0" w:firstLine="0" w:firstLineChars="0"/>
              <w:rPr>
                <w:rFonts w:hint="default" w:eastAsia="宋体"/>
                <w:lang w:val="en-US" w:eastAsia="zh-CN"/>
              </w:rPr>
            </w:pPr>
            <w:r>
              <w:rPr>
                <w:rFonts w:hint="eastAsia" w:ascii="宋体" w:hAnsi="宋体" w:cs="宋体"/>
                <w:color w:val="auto"/>
                <w:kern w:val="0"/>
                <w:sz w:val="24"/>
                <w:szCs w:val="24"/>
                <w:lang w:val="en-US" w:eastAsia="zh-CN"/>
              </w:rPr>
              <w:t xml:space="preserve">    本单位无国有资本经营收入支出，故本表为空表。</w:t>
            </w:r>
          </w:p>
        </w:tc>
      </w:tr>
    </w:tbl>
    <w:p>
      <w:pPr>
        <w:pStyle w:val="13"/>
        <w:rPr>
          <w:color w:val="auto"/>
          <w:sz w:val="72"/>
          <w:szCs w:val="72"/>
        </w:rPr>
        <w:sectPr>
          <w:pgSz w:w="16838" w:h="11906" w:orient="landscape"/>
          <w:pgMar w:top="720" w:right="720" w:bottom="720" w:left="720" w:header="851" w:footer="992" w:gutter="0"/>
          <w:cols w:space="425" w:num="1"/>
          <w:docGrid w:type="lines" w:linePitch="312" w:charSpace="0"/>
        </w:sectPr>
      </w:pPr>
    </w:p>
    <w:p>
      <w:pPr>
        <w:pStyle w:val="13"/>
        <w:rPr>
          <w:color w:val="auto"/>
          <w:sz w:val="72"/>
          <w:szCs w:val="72"/>
        </w:rPr>
      </w:pPr>
    </w:p>
    <w:p>
      <w:pPr>
        <w:pStyle w:val="13"/>
        <w:rPr>
          <w:color w:val="auto"/>
          <w:sz w:val="72"/>
          <w:szCs w:val="72"/>
        </w:rPr>
      </w:pPr>
    </w:p>
    <w:p>
      <w:pPr>
        <w:pStyle w:val="13"/>
        <w:rPr>
          <w:color w:val="auto"/>
          <w:sz w:val="72"/>
          <w:szCs w:val="72"/>
        </w:rPr>
      </w:pPr>
    </w:p>
    <w:p>
      <w:pPr>
        <w:pStyle w:val="13"/>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r>
        <w:rPr>
          <w:rFonts w:hint="eastAsia"/>
          <w:color w:val="auto"/>
          <w:sz w:val="72"/>
          <w:szCs w:val="72"/>
        </w:rPr>
        <w:t>第三部分</w:t>
      </w:r>
    </w:p>
    <w:p>
      <w:pPr>
        <w:pStyle w:val="13"/>
        <w:jc w:val="center"/>
        <w:rPr>
          <w:color w:val="auto"/>
          <w:sz w:val="70"/>
          <w:szCs w:val="70"/>
        </w:rPr>
      </w:pPr>
    </w:p>
    <w:p>
      <w:pPr>
        <w:pStyle w:val="13"/>
        <w:jc w:val="center"/>
        <w:rPr>
          <w:color w:val="auto"/>
          <w:sz w:val="70"/>
          <w:szCs w:val="70"/>
        </w:rPr>
      </w:pPr>
      <w:r>
        <w:rPr>
          <w:color w:val="auto"/>
          <w:sz w:val="70"/>
          <w:szCs w:val="70"/>
        </w:rPr>
        <w:t>20</w:t>
      </w:r>
      <w:r>
        <w:rPr>
          <w:rFonts w:hint="eastAsia"/>
          <w:color w:val="auto"/>
          <w:sz w:val="70"/>
          <w:szCs w:val="70"/>
        </w:rPr>
        <w:t>2</w:t>
      </w:r>
      <w:r>
        <w:rPr>
          <w:rFonts w:hint="eastAsia"/>
          <w:color w:val="auto"/>
          <w:sz w:val="70"/>
          <w:szCs w:val="70"/>
          <w:lang w:val="en-US" w:eastAsia="zh-CN"/>
        </w:rPr>
        <w:t>1</w:t>
      </w:r>
      <w:r>
        <w:rPr>
          <w:rFonts w:hint="eastAsia"/>
          <w:color w:val="auto"/>
          <w:sz w:val="70"/>
          <w:szCs w:val="70"/>
        </w:rPr>
        <w:t>年度部门决算情况说明</w:t>
      </w:r>
    </w:p>
    <w:p>
      <w:pPr>
        <w:widowControl/>
        <w:jc w:val="left"/>
        <w:rPr>
          <w:rFonts w:ascii="黑体" w:eastAsia="黑体" w:cs="黑体"/>
          <w:color w:val="auto"/>
          <w:kern w:val="0"/>
          <w:sz w:val="70"/>
          <w:szCs w:val="70"/>
        </w:rPr>
      </w:pPr>
      <w:r>
        <w:rPr>
          <w:color w:val="auto"/>
          <w:sz w:val="70"/>
          <w:szCs w:val="70"/>
        </w:rPr>
        <w:br w:type="page"/>
      </w:r>
    </w:p>
    <w:p>
      <w:pPr>
        <w:pStyle w:val="13"/>
        <w:rPr>
          <w:rFonts w:hAnsi="黑体"/>
          <w:b/>
          <w:color w:val="auto"/>
          <w:sz w:val="32"/>
          <w:szCs w:val="32"/>
        </w:rPr>
      </w:pPr>
      <w:r>
        <w:rPr>
          <w:rFonts w:hint="eastAsia" w:hAnsi="黑体"/>
          <w:b/>
          <w:color w:val="auto"/>
          <w:sz w:val="32"/>
          <w:szCs w:val="32"/>
        </w:rPr>
        <w:t>一、收入支出决算总体情况说明</w:t>
      </w:r>
    </w:p>
    <w:p>
      <w:pPr>
        <w:pStyle w:val="8"/>
        <w:widowControl/>
        <w:pBdr>
          <w:top w:val="none" w:color="auto" w:sz="0" w:space="0"/>
          <w:left w:val="none" w:color="auto" w:sz="0" w:space="0"/>
          <w:bottom w:val="none" w:color="auto" w:sz="0" w:space="0"/>
          <w:right w:val="none" w:color="auto" w:sz="0" w:space="0"/>
        </w:pBdr>
        <w:spacing w:before="158" w:after="158" w:line="460" w:lineRule="atLeast"/>
        <w:ind w:firstLine="560" w:firstLineChars="200"/>
        <w:rPr>
          <w:rFonts w:hint="default"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rPr>
        <w:t>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年度收入总计</w:t>
      </w:r>
      <w:r>
        <w:rPr>
          <w:rFonts w:hint="eastAsia" w:asciiTheme="minorEastAsia" w:hAnsiTheme="minorEastAsia" w:eastAsiaTheme="minorEastAsia"/>
          <w:color w:val="auto"/>
          <w:sz w:val="28"/>
          <w:szCs w:val="28"/>
          <w:lang w:val="en-US" w:eastAsia="zh-CN"/>
        </w:rPr>
        <w:t>32962.27</w:t>
      </w:r>
      <w:r>
        <w:rPr>
          <w:rFonts w:hint="eastAsia" w:asciiTheme="minorEastAsia" w:hAnsiTheme="minorEastAsia" w:eastAsiaTheme="minorEastAsia"/>
          <w:color w:val="auto"/>
          <w:sz w:val="28"/>
          <w:szCs w:val="28"/>
        </w:rPr>
        <w:t>万元</w:t>
      </w:r>
      <w:r>
        <w:rPr>
          <w:rFonts w:hint="eastAsia" w:ascii="宋体" w:hAnsi="宋体" w:eastAsia="宋体"/>
          <w:color w:val="auto"/>
          <w:sz w:val="28"/>
          <w:szCs w:val="28"/>
          <w:highlight w:val="none"/>
        </w:rPr>
        <w:t>（含年初结转和结余资金</w:t>
      </w:r>
      <w:r>
        <w:rPr>
          <w:rFonts w:hint="eastAsia" w:ascii="宋体" w:hAnsi="宋体" w:eastAsia="宋体"/>
          <w:color w:val="auto"/>
          <w:sz w:val="28"/>
          <w:szCs w:val="28"/>
          <w:highlight w:val="none"/>
          <w:lang w:val="en-US" w:eastAsia="zh-CN"/>
        </w:rPr>
        <w:t xml:space="preserve">  </w:t>
      </w:r>
      <w:r>
        <w:rPr>
          <w:rFonts w:hint="eastAsia" w:asciiTheme="minorEastAsia" w:hAnsiTheme="minorEastAsia" w:eastAsiaTheme="minorEastAsia" w:cstheme="minorEastAsia"/>
          <w:i w:val="0"/>
          <w:iCs w:val="0"/>
          <w:color w:val="auto"/>
          <w:kern w:val="0"/>
          <w:sz w:val="28"/>
          <w:szCs w:val="28"/>
          <w:u w:val="none"/>
          <w:lang w:val="en-US" w:eastAsia="zh-CN" w:bidi="ar"/>
        </w:rPr>
        <w:t>748.67</w:t>
      </w:r>
      <w:r>
        <w:rPr>
          <w:rFonts w:hint="eastAsia" w:ascii="宋体" w:hAnsi="宋体" w:eastAsia="宋体"/>
          <w:color w:val="auto"/>
          <w:sz w:val="28"/>
          <w:szCs w:val="28"/>
          <w:highlight w:val="none"/>
        </w:rPr>
        <w:t>万元）</w:t>
      </w:r>
      <w:r>
        <w:rPr>
          <w:rFonts w:hint="eastAsia" w:asciiTheme="minorEastAsia" w:hAnsiTheme="minorEastAsia" w:eastAsiaTheme="minorEastAsia"/>
          <w:color w:val="auto"/>
          <w:sz w:val="28"/>
          <w:szCs w:val="28"/>
        </w:rPr>
        <w:t>。与上年相比</w:t>
      </w:r>
      <w:r>
        <w:rPr>
          <w:rFonts w:hint="eastAsia" w:asciiTheme="minorEastAsia" w:hAnsiTheme="minorEastAsia" w:eastAsiaTheme="minorEastAsia"/>
          <w:color w:val="auto"/>
          <w:sz w:val="28"/>
          <w:szCs w:val="28"/>
          <w:lang w:val="en-US" w:eastAsia="zh-CN"/>
        </w:rPr>
        <w:t>减少7825.49万元，减少19.19%,主要原因是上年度年初结转结余资金较多</w:t>
      </w:r>
      <w:r>
        <w:rPr>
          <w:rFonts w:hint="eastAsia" w:asciiTheme="minorEastAsia" w:hAnsiTheme="minorEastAsia" w:eastAsiaTheme="minorEastAsia"/>
          <w:color w:val="auto"/>
          <w:sz w:val="28"/>
          <w:szCs w:val="28"/>
        </w:rPr>
        <w:t>。</w:t>
      </w:r>
    </w:p>
    <w:p>
      <w:pPr>
        <w:pStyle w:val="13"/>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年度支出总计</w:t>
      </w:r>
      <w:r>
        <w:rPr>
          <w:rFonts w:hint="eastAsia" w:asciiTheme="minorEastAsia" w:hAnsiTheme="minorEastAsia" w:eastAsiaTheme="minorEastAsia"/>
          <w:color w:val="auto"/>
          <w:sz w:val="28"/>
          <w:szCs w:val="28"/>
          <w:lang w:val="en-US" w:eastAsia="zh-CN"/>
        </w:rPr>
        <w:t>32962.27</w:t>
      </w:r>
      <w:r>
        <w:rPr>
          <w:rFonts w:hint="eastAsia" w:asciiTheme="minorEastAsia" w:hAnsiTheme="minorEastAsia" w:eastAsiaTheme="minorEastAsia"/>
          <w:color w:val="auto"/>
          <w:sz w:val="28"/>
          <w:szCs w:val="28"/>
        </w:rPr>
        <w:t>万元</w:t>
      </w:r>
      <w:r>
        <w:rPr>
          <w:rFonts w:hint="eastAsia" w:ascii="宋体" w:hAnsi="宋体" w:eastAsia="宋体"/>
          <w:color w:val="auto"/>
          <w:sz w:val="28"/>
          <w:szCs w:val="28"/>
          <w:highlight w:val="none"/>
        </w:rPr>
        <w:t>（含年</w:t>
      </w:r>
      <w:r>
        <w:rPr>
          <w:rFonts w:hint="eastAsia" w:ascii="宋体" w:hAnsi="宋体" w:eastAsia="宋体"/>
          <w:color w:val="auto"/>
          <w:sz w:val="28"/>
          <w:szCs w:val="28"/>
          <w:highlight w:val="none"/>
          <w:lang w:val="en-US" w:eastAsia="zh-CN"/>
        </w:rPr>
        <w:t>末</w:t>
      </w:r>
      <w:r>
        <w:rPr>
          <w:rFonts w:hint="eastAsia" w:ascii="宋体" w:hAnsi="宋体" w:eastAsia="宋体"/>
          <w:color w:val="auto"/>
          <w:sz w:val="28"/>
          <w:szCs w:val="28"/>
          <w:highlight w:val="none"/>
        </w:rPr>
        <w:t>结转和结余资金</w:t>
      </w:r>
      <w:r>
        <w:rPr>
          <w:rFonts w:hint="eastAsia" w:ascii="宋体" w:hAnsi="宋体" w:eastAsia="宋体"/>
          <w:color w:val="auto"/>
          <w:sz w:val="28"/>
          <w:szCs w:val="28"/>
          <w:highlight w:val="none"/>
          <w:lang w:val="en-US" w:eastAsia="zh-CN"/>
        </w:rPr>
        <w:t xml:space="preserve">  </w:t>
      </w:r>
      <w:r>
        <w:rPr>
          <w:rFonts w:hint="eastAsia" w:asciiTheme="minorEastAsia" w:hAnsiTheme="minorEastAsia" w:eastAsiaTheme="minorEastAsia" w:cstheme="minorEastAsia"/>
          <w:i w:val="0"/>
          <w:iCs w:val="0"/>
          <w:color w:val="auto"/>
          <w:kern w:val="0"/>
          <w:sz w:val="28"/>
          <w:szCs w:val="28"/>
          <w:u w:val="none"/>
          <w:lang w:val="en-US" w:eastAsia="zh-CN" w:bidi="ar"/>
        </w:rPr>
        <w:t>19748.74</w:t>
      </w:r>
      <w:r>
        <w:rPr>
          <w:rFonts w:hint="eastAsia" w:ascii="宋体" w:hAnsi="宋体" w:eastAsia="宋体"/>
          <w:color w:val="auto"/>
          <w:sz w:val="28"/>
          <w:szCs w:val="28"/>
          <w:highlight w:val="none"/>
        </w:rPr>
        <w:t>万元）</w:t>
      </w:r>
      <w:r>
        <w:rPr>
          <w:rFonts w:hint="eastAsia" w:asciiTheme="minorEastAsia" w:hAnsiTheme="minorEastAsia" w:eastAsiaTheme="minorEastAsia"/>
          <w:color w:val="auto"/>
          <w:sz w:val="28"/>
          <w:szCs w:val="28"/>
        </w:rPr>
        <w:t>。与上年相比，</w:t>
      </w:r>
      <w:r>
        <w:rPr>
          <w:rFonts w:hint="eastAsia" w:asciiTheme="minorEastAsia" w:hAnsiTheme="minorEastAsia" w:eastAsiaTheme="minorEastAsia"/>
          <w:color w:val="auto"/>
          <w:sz w:val="28"/>
          <w:szCs w:val="28"/>
          <w:lang w:val="en-US" w:eastAsia="zh-CN"/>
        </w:rPr>
        <w:t>减少7825.49万元，减少19.19%,主要原因是能力建设项目整体概算在2021年度未获得批复，无法启动政府采购等原因，导致实际项目</w:t>
      </w:r>
      <w:r>
        <w:rPr>
          <w:rFonts w:hint="eastAsia" w:asciiTheme="minorEastAsia" w:hAnsiTheme="minorEastAsia" w:eastAsiaTheme="minorEastAsia"/>
          <w:color w:val="auto"/>
          <w:sz w:val="28"/>
          <w:szCs w:val="28"/>
        </w:rPr>
        <w:t>支出</w:t>
      </w:r>
      <w:r>
        <w:rPr>
          <w:rFonts w:hint="eastAsia" w:asciiTheme="minorEastAsia" w:hAnsiTheme="minorEastAsia" w:eastAsiaTheme="minorEastAsia"/>
          <w:color w:val="auto"/>
          <w:sz w:val="28"/>
          <w:szCs w:val="28"/>
          <w:lang w:val="en-US" w:eastAsia="zh-CN"/>
        </w:rPr>
        <w:t>较上年减少</w:t>
      </w:r>
      <w:r>
        <w:rPr>
          <w:rFonts w:hint="eastAsia" w:asciiTheme="minorEastAsia" w:hAnsiTheme="minorEastAsia" w:eastAsiaTheme="minorEastAsia"/>
          <w:color w:val="auto"/>
          <w:sz w:val="28"/>
          <w:szCs w:val="28"/>
        </w:rPr>
        <w:t>。</w:t>
      </w:r>
    </w:p>
    <w:p>
      <w:pPr>
        <w:pStyle w:val="13"/>
        <w:rPr>
          <w:rFonts w:hAnsi="黑体"/>
          <w:b/>
          <w:color w:val="auto"/>
          <w:sz w:val="32"/>
          <w:szCs w:val="32"/>
        </w:rPr>
      </w:pPr>
      <w:r>
        <w:rPr>
          <w:rFonts w:hint="eastAsia" w:hAnsi="黑体"/>
          <w:b/>
          <w:color w:val="auto"/>
          <w:sz w:val="32"/>
          <w:szCs w:val="32"/>
        </w:rPr>
        <w:t>二、收入决算情况说明</w:t>
      </w:r>
    </w:p>
    <w:p>
      <w:pPr>
        <w:pStyle w:val="8"/>
        <w:widowControl/>
        <w:pBdr>
          <w:top w:val="none" w:color="auto" w:sz="0" w:space="0"/>
          <w:left w:val="none" w:color="auto" w:sz="0" w:space="0"/>
          <w:bottom w:val="none" w:color="auto" w:sz="0" w:space="0"/>
          <w:right w:val="none" w:color="auto" w:sz="0" w:space="0"/>
        </w:pBdr>
        <w:spacing w:before="158" w:after="158" w:line="460" w:lineRule="atLeast"/>
        <w:ind w:firstLine="56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28"/>
          <w:szCs w:val="28"/>
          <w:lang w:val="en-US" w:eastAsia="zh-CN"/>
        </w:rPr>
        <w:t>2021</w:t>
      </w:r>
      <w:r>
        <w:rPr>
          <w:rFonts w:hint="eastAsia" w:asciiTheme="minorEastAsia" w:hAnsiTheme="minorEastAsia" w:eastAsiaTheme="minorEastAsia"/>
          <w:color w:val="auto"/>
          <w:sz w:val="28"/>
          <w:szCs w:val="28"/>
        </w:rPr>
        <w:t>年收入合计32213.6万元</w:t>
      </w:r>
      <w:r>
        <w:rPr>
          <w:rFonts w:hint="eastAsia" w:ascii="宋体" w:hAnsi="宋体" w:eastAsia="宋体"/>
          <w:color w:val="auto"/>
          <w:sz w:val="28"/>
          <w:szCs w:val="28"/>
          <w:highlight w:val="none"/>
        </w:rPr>
        <w:t>（不含年初结转和结余资金）</w:t>
      </w:r>
      <w:r>
        <w:rPr>
          <w:rFonts w:hint="eastAsia" w:asciiTheme="minorEastAsia" w:hAnsiTheme="minorEastAsia" w:eastAsiaTheme="minorEastAsia"/>
          <w:color w:val="auto"/>
          <w:sz w:val="28"/>
          <w:szCs w:val="28"/>
        </w:rPr>
        <w:t>。其中：财政拨款收入31801.93万元，占</w:t>
      </w:r>
      <w:r>
        <w:rPr>
          <w:rFonts w:hint="eastAsia" w:asciiTheme="minorEastAsia" w:hAnsiTheme="minorEastAsia" w:eastAsiaTheme="minorEastAsia"/>
          <w:color w:val="auto"/>
          <w:sz w:val="28"/>
          <w:szCs w:val="28"/>
          <w:lang w:val="en-US" w:eastAsia="zh-CN"/>
        </w:rPr>
        <w:t>98.72</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eastAsia="zh-CN"/>
        </w:rPr>
        <w:t>；</w:t>
      </w:r>
      <w:r>
        <w:rPr>
          <w:rFonts w:hint="eastAsia" w:ascii="宋体" w:hAnsi="宋体" w:eastAsia="宋体" w:cs="宋体"/>
          <w:i w:val="0"/>
          <w:iCs w:val="0"/>
          <w:caps w:val="0"/>
          <w:color w:val="auto"/>
          <w:spacing w:val="0"/>
          <w:kern w:val="0"/>
          <w:sz w:val="28"/>
          <w:szCs w:val="28"/>
          <w:shd w:val="clear" w:fill="FFFFFF"/>
          <w:lang w:val="en-US" w:eastAsia="zh-CN" w:bidi="ar"/>
        </w:rPr>
        <w:t>上级补助收入0万元，占0%；事业收入0万元，占0%；经营收入0万元，占0%；附属单位上缴收入0万元，占0%；</w:t>
      </w:r>
      <w:r>
        <w:rPr>
          <w:rFonts w:hint="eastAsia" w:asciiTheme="minorEastAsia" w:hAnsiTheme="minorEastAsia" w:eastAsiaTheme="minorEastAsia"/>
          <w:color w:val="auto"/>
          <w:sz w:val="28"/>
          <w:szCs w:val="28"/>
        </w:rPr>
        <w:t>其他收入411.67万元，占</w:t>
      </w:r>
      <w:r>
        <w:rPr>
          <w:rFonts w:hint="eastAsia" w:asciiTheme="minorEastAsia" w:hAnsiTheme="minorEastAsia" w:eastAsiaTheme="minorEastAsia"/>
          <w:color w:val="auto"/>
          <w:sz w:val="28"/>
          <w:szCs w:val="28"/>
          <w:lang w:val="en-US" w:eastAsia="zh-CN"/>
        </w:rPr>
        <w:t>1.28</w:t>
      </w:r>
      <w:r>
        <w:rPr>
          <w:rFonts w:hint="eastAsia" w:asciiTheme="minorEastAsia" w:hAnsiTheme="minorEastAsia" w:eastAsiaTheme="minorEastAsia"/>
          <w:color w:val="auto"/>
          <w:sz w:val="28"/>
          <w:szCs w:val="28"/>
        </w:rPr>
        <w:t>%。</w:t>
      </w:r>
    </w:p>
    <w:p>
      <w:pPr>
        <w:pStyle w:val="13"/>
        <w:rPr>
          <w:rFonts w:hAnsi="黑体"/>
          <w:b/>
          <w:color w:val="auto"/>
          <w:sz w:val="32"/>
          <w:szCs w:val="32"/>
        </w:rPr>
      </w:pPr>
      <w:r>
        <w:rPr>
          <w:rFonts w:hint="eastAsia" w:hAnsi="黑体"/>
          <w:b/>
          <w:color w:val="auto"/>
          <w:sz w:val="32"/>
          <w:szCs w:val="32"/>
        </w:rPr>
        <w:t>三、支出决算情况说明</w:t>
      </w:r>
    </w:p>
    <w:p>
      <w:pPr>
        <w:spacing w:line="360" w:lineRule="auto"/>
        <w:ind w:firstLine="560" w:firstLineChars="200"/>
        <w:rPr>
          <w:rFonts w:hint="eastAsia" w:asciiTheme="minorEastAsia" w:hAnsiTheme="minorEastAsia" w:eastAsiaTheme="minorEastAsia"/>
          <w:color w:val="auto"/>
          <w:sz w:val="28"/>
          <w:szCs w:val="28"/>
          <w:lang w:eastAsia="zh-CN"/>
        </w:rPr>
      </w:pPr>
      <w:r>
        <w:rPr>
          <w:rFonts w:hint="eastAsia" w:asciiTheme="minorEastAsia" w:hAnsiTheme="minorEastAsia" w:eastAsiaTheme="minorEastAsia"/>
          <w:color w:val="auto"/>
          <w:sz w:val="28"/>
          <w:szCs w:val="28"/>
          <w:lang w:val="en-US" w:eastAsia="zh-CN"/>
        </w:rPr>
        <w:t>2021</w:t>
      </w:r>
      <w:r>
        <w:rPr>
          <w:rFonts w:hint="eastAsia" w:asciiTheme="minorEastAsia" w:hAnsiTheme="minorEastAsia" w:eastAsiaTheme="minorEastAsia"/>
          <w:color w:val="auto"/>
          <w:sz w:val="28"/>
          <w:szCs w:val="28"/>
        </w:rPr>
        <w:t>年支出合计13213.53万元</w:t>
      </w:r>
      <w:r>
        <w:rPr>
          <w:rFonts w:hint="eastAsia" w:ascii="宋体" w:hAnsi="宋体" w:eastAsia="宋体"/>
          <w:color w:val="auto"/>
          <w:sz w:val="28"/>
          <w:szCs w:val="28"/>
          <w:highlight w:val="none"/>
        </w:rPr>
        <w:t>（不含年</w:t>
      </w:r>
      <w:r>
        <w:rPr>
          <w:rFonts w:hint="eastAsia" w:ascii="宋体" w:hAnsi="宋体" w:eastAsia="宋体"/>
          <w:color w:val="auto"/>
          <w:sz w:val="28"/>
          <w:szCs w:val="28"/>
          <w:highlight w:val="none"/>
          <w:lang w:val="en-US" w:eastAsia="zh-CN"/>
        </w:rPr>
        <w:t>末</w:t>
      </w:r>
      <w:r>
        <w:rPr>
          <w:rFonts w:hint="eastAsia" w:ascii="宋体" w:hAnsi="宋体" w:eastAsia="宋体"/>
          <w:color w:val="auto"/>
          <w:sz w:val="28"/>
          <w:szCs w:val="28"/>
          <w:highlight w:val="none"/>
        </w:rPr>
        <w:t>结转和结余资金）</w:t>
      </w:r>
      <w:r>
        <w:rPr>
          <w:rFonts w:hint="eastAsia" w:asciiTheme="minorEastAsia" w:hAnsiTheme="minorEastAsia" w:eastAsiaTheme="minorEastAsia"/>
          <w:color w:val="auto"/>
          <w:sz w:val="28"/>
          <w:szCs w:val="28"/>
        </w:rPr>
        <w:t>，其中：基本支出3260.04万元，占</w:t>
      </w:r>
      <w:r>
        <w:rPr>
          <w:rFonts w:hint="eastAsia" w:asciiTheme="minorEastAsia" w:hAnsiTheme="minorEastAsia" w:eastAsiaTheme="minorEastAsia"/>
          <w:color w:val="auto"/>
          <w:sz w:val="28"/>
          <w:szCs w:val="28"/>
          <w:lang w:val="en-US" w:eastAsia="zh-CN"/>
        </w:rPr>
        <w:t>24.67</w:t>
      </w:r>
      <w:r>
        <w:rPr>
          <w:rFonts w:hint="eastAsia" w:asciiTheme="minorEastAsia" w:hAnsiTheme="minorEastAsia" w:eastAsiaTheme="minorEastAsia"/>
          <w:color w:val="auto"/>
          <w:sz w:val="28"/>
          <w:szCs w:val="28"/>
        </w:rPr>
        <w:t>%；项目支出9953.49万元，占</w:t>
      </w:r>
      <w:r>
        <w:rPr>
          <w:rFonts w:hint="eastAsia" w:asciiTheme="minorEastAsia" w:hAnsiTheme="minorEastAsia" w:eastAsiaTheme="minorEastAsia"/>
          <w:color w:val="auto"/>
          <w:sz w:val="28"/>
          <w:szCs w:val="28"/>
          <w:lang w:val="en-US" w:eastAsia="zh-CN"/>
        </w:rPr>
        <w:t>75.33</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eastAsia="zh-CN"/>
        </w:rPr>
        <w:t>；</w:t>
      </w:r>
      <w:r>
        <w:rPr>
          <w:rFonts w:hint="eastAsia" w:ascii="宋体" w:hAnsi="宋体" w:eastAsia="宋体" w:cs="宋体"/>
          <w:i w:val="0"/>
          <w:iCs w:val="0"/>
          <w:caps w:val="0"/>
          <w:color w:val="auto"/>
          <w:spacing w:val="0"/>
          <w:kern w:val="0"/>
          <w:sz w:val="28"/>
          <w:szCs w:val="28"/>
          <w:shd w:val="clear" w:fill="FFFFFF"/>
          <w:lang w:val="en-US" w:eastAsia="zh-CN" w:bidi="ar"/>
        </w:rPr>
        <w:t>上缴上级支出0万元，占0%；经营支出0万元，占0%；对附属单位补助支出0万元，占0%。</w:t>
      </w:r>
    </w:p>
    <w:p>
      <w:pPr>
        <w:pStyle w:val="13"/>
        <w:rPr>
          <w:rFonts w:hAnsi="黑体"/>
          <w:b/>
          <w:color w:val="auto"/>
          <w:sz w:val="32"/>
          <w:szCs w:val="32"/>
        </w:rPr>
      </w:pPr>
      <w:r>
        <w:rPr>
          <w:rFonts w:hint="eastAsia" w:hAnsi="黑体"/>
          <w:b/>
          <w:color w:val="auto"/>
          <w:sz w:val="32"/>
          <w:szCs w:val="32"/>
        </w:rPr>
        <w:t>四、财政拨款收入支出决算总体情况说明</w:t>
      </w:r>
    </w:p>
    <w:p>
      <w:pPr>
        <w:pStyle w:val="13"/>
        <w:ind w:firstLine="64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年度财政拨款收入</w:t>
      </w:r>
      <w:r>
        <w:rPr>
          <w:rFonts w:hint="eastAsia" w:asciiTheme="minorEastAsia" w:hAnsiTheme="minorEastAsia" w:eastAsiaTheme="minorEastAsia"/>
          <w:color w:val="auto"/>
          <w:sz w:val="28"/>
          <w:szCs w:val="28"/>
          <w:lang w:val="en-US" w:eastAsia="zh-CN"/>
        </w:rPr>
        <w:t>合</w:t>
      </w:r>
      <w:r>
        <w:rPr>
          <w:rFonts w:hint="eastAsia" w:asciiTheme="minorEastAsia" w:hAnsiTheme="minorEastAsia" w:eastAsiaTheme="minorEastAsia"/>
          <w:color w:val="auto"/>
          <w:sz w:val="28"/>
          <w:szCs w:val="28"/>
        </w:rPr>
        <w:t>计31801.93万元</w:t>
      </w:r>
      <w:r>
        <w:rPr>
          <w:rFonts w:hint="eastAsia" w:ascii="宋体" w:hAnsi="宋体" w:eastAsia="宋体"/>
          <w:color w:val="auto"/>
          <w:sz w:val="28"/>
          <w:szCs w:val="28"/>
          <w:highlight w:val="none"/>
        </w:rPr>
        <w:t>（不含</w:t>
      </w:r>
      <w:r>
        <w:rPr>
          <w:rFonts w:hint="eastAsia" w:ascii="宋体" w:hAnsi="宋体" w:eastAsia="宋体"/>
          <w:color w:val="auto"/>
          <w:sz w:val="28"/>
          <w:szCs w:val="28"/>
          <w:highlight w:val="none"/>
          <w:lang w:val="en-US" w:eastAsia="zh-CN"/>
        </w:rPr>
        <w:t>财政拨款</w:t>
      </w:r>
      <w:r>
        <w:rPr>
          <w:rFonts w:hint="eastAsia" w:ascii="宋体" w:hAnsi="宋体" w:eastAsia="宋体"/>
          <w:color w:val="auto"/>
          <w:sz w:val="28"/>
          <w:szCs w:val="28"/>
          <w:highlight w:val="none"/>
        </w:rPr>
        <w:t>年初结转和结余资金）</w:t>
      </w:r>
      <w:r>
        <w:rPr>
          <w:rFonts w:hint="eastAsia" w:asciiTheme="minorEastAsia" w:hAnsiTheme="minorEastAsia" w:eastAsiaTheme="minorEastAsia"/>
          <w:color w:val="auto"/>
          <w:sz w:val="28"/>
          <w:szCs w:val="28"/>
        </w:rPr>
        <w:t>，与20</w:t>
      </w:r>
      <w:r>
        <w:rPr>
          <w:rFonts w:hint="eastAsia" w:asciiTheme="minorEastAsia" w:hAnsiTheme="minorEastAsia" w:eastAsiaTheme="minorEastAsia"/>
          <w:color w:val="auto"/>
          <w:sz w:val="28"/>
          <w:szCs w:val="28"/>
          <w:lang w:val="en-US" w:eastAsia="zh-CN"/>
        </w:rPr>
        <w:t>20</w:t>
      </w:r>
      <w:r>
        <w:rPr>
          <w:rFonts w:hint="eastAsia" w:asciiTheme="minorEastAsia" w:hAnsiTheme="minorEastAsia" w:eastAsiaTheme="minorEastAsia"/>
          <w:color w:val="auto"/>
          <w:sz w:val="28"/>
          <w:szCs w:val="28"/>
        </w:rPr>
        <w:t>年相比，</w:t>
      </w:r>
      <w:r>
        <w:rPr>
          <w:rFonts w:hint="eastAsia" w:asciiTheme="minorEastAsia" w:hAnsiTheme="minorEastAsia" w:eastAsiaTheme="minorEastAsia"/>
          <w:color w:val="auto"/>
          <w:sz w:val="28"/>
          <w:szCs w:val="28"/>
          <w:lang w:val="en-US" w:eastAsia="zh-CN"/>
        </w:rPr>
        <w:t>增加22630.35</w:t>
      </w:r>
      <w:r>
        <w:rPr>
          <w:rFonts w:hint="eastAsia" w:asciiTheme="minorEastAsia" w:hAnsiTheme="minorEastAsia" w:eastAsiaTheme="minorEastAsia"/>
          <w:color w:val="auto"/>
          <w:sz w:val="28"/>
          <w:szCs w:val="28"/>
        </w:rPr>
        <w:t>万元,</w:t>
      </w:r>
      <w:r>
        <w:rPr>
          <w:rFonts w:hint="eastAsia" w:asciiTheme="minorEastAsia" w:hAnsiTheme="minorEastAsia" w:eastAsiaTheme="minorEastAsia"/>
          <w:color w:val="auto"/>
          <w:sz w:val="28"/>
          <w:szCs w:val="28"/>
          <w:lang w:val="en-US" w:eastAsia="zh-CN"/>
        </w:rPr>
        <w:t>增加246.74</w:t>
      </w:r>
      <w:r>
        <w:rPr>
          <w:rFonts w:hint="eastAsia" w:asciiTheme="minorEastAsia" w:hAnsiTheme="minorEastAsia" w:eastAsiaTheme="minorEastAsia"/>
          <w:color w:val="auto"/>
          <w:sz w:val="28"/>
          <w:szCs w:val="28"/>
        </w:rPr>
        <w:t>%。财政拨款收入增加</w:t>
      </w:r>
      <w:r>
        <w:rPr>
          <w:rFonts w:hint="eastAsia" w:asciiTheme="minorEastAsia" w:hAnsiTheme="minorEastAsia" w:eastAsiaTheme="minorEastAsia"/>
          <w:color w:val="auto"/>
          <w:sz w:val="28"/>
          <w:szCs w:val="28"/>
          <w:lang w:val="en-US" w:eastAsia="zh-CN"/>
        </w:rPr>
        <w:t>的</w:t>
      </w:r>
      <w:r>
        <w:rPr>
          <w:rFonts w:hint="eastAsia" w:asciiTheme="minorEastAsia" w:hAnsiTheme="minorEastAsia" w:eastAsiaTheme="minorEastAsia"/>
          <w:color w:val="auto"/>
          <w:sz w:val="28"/>
          <w:szCs w:val="28"/>
        </w:rPr>
        <w:t>主要</w:t>
      </w:r>
      <w:r>
        <w:rPr>
          <w:rFonts w:hint="eastAsia" w:asciiTheme="minorEastAsia" w:hAnsiTheme="minorEastAsia" w:eastAsiaTheme="minorEastAsia"/>
          <w:color w:val="auto"/>
          <w:sz w:val="28"/>
          <w:szCs w:val="28"/>
          <w:lang w:val="en-US" w:eastAsia="zh-CN"/>
        </w:rPr>
        <w:t>原因为2021年新增</w:t>
      </w:r>
      <w:r>
        <w:rPr>
          <w:rFonts w:hint="eastAsia" w:asciiTheme="minorEastAsia" w:hAnsiTheme="minorEastAsia" w:eastAsiaTheme="minorEastAsia"/>
          <w:color w:val="auto"/>
          <w:sz w:val="28"/>
          <w:szCs w:val="28"/>
        </w:rPr>
        <w:t>大气污染防治资金、湖南省空气质量预报预警能力建设、湖南省水生态环境监测管理体系建设综合能力提升等</w:t>
      </w:r>
      <w:r>
        <w:rPr>
          <w:rFonts w:hint="eastAsia" w:asciiTheme="minorEastAsia" w:hAnsiTheme="minorEastAsia" w:eastAsiaTheme="minorEastAsia"/>
          <w:color w:val="auto"/>
          <w:sz w:val="28"/>
          <w:szCs w:val="28"/>
          <w:lang w:val="en-US" w:eastAsia="zh-CN"/>
        </w:rPr>
        <w:t>能力建设</w:t>
      </w:r>
      <w:r>
        <w:rPr>
          <w:rFonts w:hint="eastAsia" w:asciiTheme="minorEastAsia" w:hAnsiTheme="minorEastAsia" w:eastAsiaTheme="minorEastAsia"/>
          <w:color w:val="auto"/>
          <w:sz w:val="28"/>
          <w:szCs w:val="28"/>
        </w:rPr>
        <w:t>项目</w:t>
      </w:r>
      <w:r>
        <w:rPr>
          <w:rFonts w:hint="eastAsia" w:asciiTheme="minorEastAsia" w:hAnsiTheme="minorEastAsia" w:eastAsiaTheme="minorEastAsia"/>
          <w:color w:val="auto"/>
          <w:sz w:val="28"/>
          <w:szCs w:val="28"/>
          <w:lang w:val="en-US" w:eastAsia="zh-CN"/>
        </w:rPr>
        <w:t>资金拨款收入。</w:t>
      </w:r>
    </w:p>
    <w:p>
      <w:pPr>
        <w:pStyle w:val="13"/>
        <w:ind w:firstLine="640"/>
        <w:rPr>
          <w:rFonts w:hint="default"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rPr>
        <w:t>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年度财政拨款支出</w:t>
      </w:r>
      <w:r>
        <w:rPr>
          <w:rFonts w:hint="eastAsia" w:asciiTheme="minorEastAsia" w:hAnsiTheme="minorEastAsia" w:eastAsiaTheme="minorEastAsia"/>
          <w:color w:val="auto"/>
          <w:sz w:val="28"/>
          <w:szCs w:val="28"/>
          <w:lang w:val="en-US" w:eastAsia="zh-CN"/>
        </w:rPr>
        <w:t>合</w:t>
      </w:r>
      <w:r>
        <w:rPr>
          <w:rFonts w:hint="eastAsia" w:asciiTheme="minorEastAsia" w:hAnsiTheme="minorEastAsia" w:eastAsiaTheme="minorEastAsia"/>
          <w:color w:val="auto"/>
          <w:sz w:val="28"/>
          <w:szCs w:val="28"/>
        </w:rPr>
        <w:t>计12609.43万元</w:t>
      </w:r>
      <w:r>
        <w:rPr>
          <w:rFonts w:hint="eastAsia" w:ascii="宋体" w:hAnsi="宋体" w:eastAsia="宋体"/>
          <w:color w:val="auto"/>
          <w:sz w:val="28"/>
          <w:szCs w:val="28"/>
          <w:highlight w:val="none"/>
        </w:rPr>
        <w:t>（不含</w:t>
      </w:r>
      <w:r>
        <w:rPr>
          <w:rFonts w:hint="eastAsia" w:ascii="宋体" w:hAnsi="宋体" w:eastAsia="宋体"/>
          <w:color w:val="auto"/>
          <w:sz w:val="28"/>
          <w:szCs w:val="28"/>
          <w:highlight w:val="none"/>
          <w:lang w:val="en-US" w:eastAsia="zh-CN"/>
        </w:rPr>
        <w:t>财政拨款</w:t>
      </w:r>
      <w:r>
        <w:rPr>
          <w:rFonts w:hint="eastAsia" w:ascii="宋体" w:hAnsi="宋体" w:eastAsia="宋体"/>
          <w:color w:val="auto"/>
          <w:sz w:val="28"/>
          <w:szCs w:val="28"/>
          <w:highlight w:val="none"/>
        </w:rPr>
        <w:t>年</w:t>
      </w:r>
      <w:r>
        <w:rPr>
          <w:rFonts w:hint="eastAsia" w:ascii="宋体" w:hAnsi="宋体" w:eastAsia="宋体"/>
          <w:color w:val="auto"/>
          <w:sz w:val="28"/>
          <w:szCs w:val="28"/>
          <w:highlight w:val="none"/>
          <w:lang w:val="en-US" w:eastAsia="zh-CN"/>
        </w:rPr>
        <w:t>末</w:t>
      </w:r>
      <w:r>
        <w:rPr>
          <w:rFonts w:hint="eastAsia" w:ascii="宋体" w:hAnsi="宋体" w:eastAsia="宋体"/>
          <w:color w:val="auto"/>
          <w:sz w:val="28"/>
          <w:szCs w:val="28"/>
          <w:highlight w:val="none"/>
        </w:rPr>
        <w:t>结转和结余资金）</w:t>
      </w:r>
      <w:r>
        <w:rPr>
          <w:rFonts w:hint="eastAsia" w:asciiTheme="minorEastAsia" w:hAnsiTheme="minorEastAsia" w:eastAsiaTheme="minorEastAsia"/>
          <w:color w:val="auto"/>
          <w:sz w:val="28"/>
          <w:szCs w:val="28"/>
        </w:rPr>
        <w:t>，与</w:t>
      </w:r>
      <w:r>
        <w:rPr>
          <w:rFonts w:hint="eastAsia" w:asciiTheme="minorEastAsia" w:hAnsiTheme="minorEastAsia" w:eastAsiaTheme="minorEastAsia"/>
          <w:color w:val="auto"/>
          <w:sz w:val="28"/>
          <w:szCs w:val="28"/>
          <w:lang w:val="en-US" w:eastAsia="zh-CN"/>
        </w:rPr>
        <w:t>2020</w:t>
      </w:r>
      <w:r>
        <w:rPr>
          <w:rFonts w:hint="eastAsia" w:asciiTheme="minorEastAsia" w:hAnsiTheme="minorEastAsia" w:eastAsiaTheme="minorEastAsia"/>
          <w:color w:val="auto"/>
          <w:sz w:val="28"/>
          <w:szCs w:val="28"/>
        </w:rPr>
        <w:t>年相比，</w:t>
      </w:r>
      <w:r>
        <w:rPr>
          <w:rFonts w:hint="eastAsia" w:asciiTheme="minorEastAsia" w:hAnsiTheme="minorEastAsia" w:eastAsiaTheme="minorEastAsia"/>
          <w:color w:val="auto"/>
          <w:sz w:val="28"/>
          <w:szCs w:val="28"/>
          <w:lang w:val="en-US" w:eastAsia="zh-CN"/>
        </w:rPr>
        <w:t>减少</w:t>
      </w:r>
      <w:r>
        <w:rPr>
          <w:rFonts w:hint="eastAsia" w:asciiTheme="minorEastAsia" w:hAnsiTheme="minorEastAsia" w:eastAsiaTheme="minorEastAsia"/>
          <w:color w:val="auto"/>
          <w:sz w:val="28"/>
          <w:szCs w:val="28"/>
        </w:rPr>
        <w:t>13278.88万元,</w:t>
      </w:r>
      <w:r>
        <w:rPr>
          <w:rFonts w:hint="eastAsia" w:asciiTheme="minorEastAsia" w:hAnsiTheme="minorEastAsia" w:eastAsiaTheme="minorEastAsia"/>
          <w:color w:val="auto"/>
          <w:sz w:val="28"/>
          <w:szCs w:val="28"/>
          <w:lang w:val="en-US" w:eastAsia="zh-CN"/>
        </w:rPr>
        <w:t>减少51.29</w:t>
      </w:r>
      <w:r>
        <w:rPr>
          <w:rFonts w:hint="eastAsia" w:asciiTheme="minorEastAsia" w:hAnsiTheme="minorEastAsia" w:eastAsiaTheme="minorEastAsia"/>
          <w:color w:val="auto"/>
          <w:sz w:val="28"/>
          <w:szCs w:val="28"/>
        </w:rPr>
        <w:t>%。财政拨款支出</w:t>
      </w:r>
      <w:r>
        <w:rPr>
          <w:rFonts w:hint="eastAsia" w:asciiTheme="minorEastAsia" w:hAnsiTheme="minorEastAsia" w:eastAsiaTheme="minorEastAsia"/>
          <w:color w:val="auto"/>
          <w:sz w:val="28"/>
          <w:szCs w:val="28"/>
          <w:lang w:val="en-US" w:eastAsia="zh-CN"/>
        </w:rPr>
        <w:t>减少的</w:t>
      </w:r>
      <w:r>
        <w:rPr>
          <w:rFonts w:hint="eastAsia" w:asciiTheme="minorEastAsia" w:hAnsiTheme="minorEastAsia" w:eastAsiaTheme="minorEastAsia"/>
          <w:color w:val="auto"/>
          <w:sz w:val="28"/>
          <w:szCs w:val="28"/>
        </w:rPr>
        <w:t>主要</w:t>
      </w:r>
      <w:r>
        <w:rPr>
          <w:rFonts w:hint="eastAsia" w:asciiTheme="minorEastAsia" w:hAnsiTheme="minorEastAsia" w:eastAsiaTheme="minorEastAsia"/>
          <w:color w:val="auto"/>
          <w:sz w:val="28"/>
          <w:szCs w:val="28"/>
          <w:lang w:val="en-US" w:eastAsia="zh-CN"/>
        </w:rPr>
        <w:t>原因为能力建设项目整体概算在2021年度未获得批复，无法启动政府采购等原因，导致实际项目</w:t>
      </w:r>
      <w:r>
        <w:rPr>
          <w:rFonts w:hint="eastAsia" w:asciiTheme="minorEastAsia" w:hAnsiTheme="minorEastAsia" w:eastAsiaTheme="minorEastAsia"/>
          <w:color w:val="auto"/>
          <w:sz w:val="28"/>
          <w:szCs w:val="28"/>
        </w:rPr>
        <w:t>支出</w:t>
      </w:r>
      <w:r>
        <w:rPr>
          <w:rFonts w:hint="eastAsia" w:asciiTheme="minorEastAsia" w:hAnsiTheme="minorEastAsia" w:eastAsiaTheme="minorEastAsia"/>
          <w:color w:val="auto"/>
          <w:sz w:val="28"/>
          <w:szCs w:val="28"/>
          <w:lang w:val="en-US" w:eastAsia="zh-CN"/>
        </w:rPr>
        <w:t>较上年减少。</w:t>
      </w:r>
    </w:p>
    <w:p>
      <w:pPr>
        <w:pStyle w:val="13"/>
        <w:ind w:firstLine="640"/>
        <w:rPr>
          <w:rFonts w:hAnsi="黑体"/>
          <w:b/>
          <w:color w:val="auto"/>
          <w:sz w:val="32"/>
          <w:szCs w:val="32"/>
        </w:rPr>
      </w:pPr>
      <w:r>
        <w:rPr>
          <w:rFonts w:hint="eastAsia" w:hAnsi="黑体"/>
          <w:b/>
          <w:color w:val="auto"/>
          <w:sz w:val="32"/>
          <w:szCs w:val="32"/>
        </w:rPr>
        <w:t>五、一般公共预算财政拨款支出决算情况说明</w:t>
      </w:r>
    </w:p>
    <w:p>
      <w:pPr>
        <w:pStyle w:val="13"/>
        <w:ind w:firstLine="560" w:firstLineChars="200"/>
        <w:rPr>
          <w:rFonts w:asciiTheme="minorEastAsia" w:hAnsiTheme="minorEastAsia" w:eastAsiaTheme="minorEastAsia"/>
          <w:b/>
          <w:color w:val="auto"/>
          <w:sz w:val="28"/>
          <w:szCs w:val="28"/>
        </w:rPr>
      </w:pPr>
      <w:r>
        <w:rPr>
          <w:rFonts w:hint="eastAsia" w:asciiTheme="minorEastAsia" w:hAnsiTheme="minorEastAsia" w:eastAsiaTheme="minorEastAsia"/>
          <w:b/>
          <w:color w:val="auto"/>
          <w:sz w:val="28"/>
          <w:szCs w:val="28"/>
        </w:rPr>
        <w:t>（一）财政拨款支出决算总体情况</w:t>
      </w:r>
    </w:p>
    <w:p>
      <w:pPr>
        <w:pStyle w:val="13"/>
        <w:ind w:firstLine="700" w:firstLineChars="25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年度财政拨款支出12609.43万元，占本年支出合计的</w:t>
      </w:r>
      <w:r>
        <w:rPr>
          <w:rFonts w:hint="eastAsia" w:asciiTheme="minorEastAsia" w:hAnsiTheme="minorEastAsia" w:eastAsiaTheme="minorEastAsia"/>
          <w:color w:val="auto"/>
          <w:sz w:val="28"/>
          <w:szCs w:val="28"/>
          <w:lang w:val="en-US" w:eastAsia="zh-CN"/>
        </w:rPr>
        <w:t>95.43</w:t>
      </w:r>
      <w:r>
        <w:rPr>
          <w:rFonts w:hint="eastAsia" w:asciiTheme="minorEastAsia" w:hAnsiTheme="minorEastAsia" w:eastAsiaTheme="minorEastAsia"/>
          <w:color w:val="auto"/>
          <w:sz w:val="28"/>
          <w:szCs w:val="28"/>
        </w:rPr>
        <w:t>%，与</w:t>
      </w:r>
      <w:r>
        <w:rPr>
          <w:rFonts w:hint="eastAsia" w:asciiTheme="minorEastAsia" w:hAnsiTheme="minorEastAsia" w:eastAsiaTheme="minorEastAsia"/>
          <w:color w:val="auto"/>
          <w:sz w:val="28"/>
          <w:szCs w:val="28"/>
          <w:lang w:val="en-US" w:eastAsia="zh-CN"/>
        </w:rPr>
        <w:t>2020</w:t>
      </w:r>
      <w:r>
        <w:rPr>
          <w:rFonts w:hint="eastAsia" w:asciiTheme="minorEastAsia" w:hAnsiTheme="minorEastAsia" w:eastAsiaTheme="minorEastAsia"/>
          <w:color w:val="auto"/>
          <w:sz w:val="28"/>
          <w:szCs w:val="28"/>
        </w:rPr>
        <w:t>年相比，财政拨款支出</w:t>
      </w:r>
      <w:r>
        <w:rPr>
          <w:rFonts w:hint="eastAsia" w:asciiTheme="minorEastAsia" w:hAnsiTheme="minorEastAsia" w:eastAsiaTheme="minorEastAsia"/>
          <w:color w:val="auto"/>
          <w:sz w:val="28"/>
          <w:szCs w:val="28"/>
          <w:lang w:val="en-US" w:eastAsia="zh-CN"/>
        </w:rPr>
        <w:t>减少</w:t>
      </w:r>
      <w:r>
        <w:rPr>
          <w:rFonts w:hint="eastAsia" w:asciiTheme="minorEastAsia" w:hAnsiTheme="minorEastAsia" w:eastAsiaTheme="minorEastAsia"/>
          <w:color w:val="auto"/>
          <w:sz w:val="28"/>
          <w:szCs w:val="28"/>
        </w:rPr>
        <w:t>13278.88万元，</w:t>
      </w:r>
      <w:r>
        <w:rPr>
          <w:rFonts w:hint="eastAsia" w:asciiTheme="minorEastAsia" w:hAnsiTheme="minorEastAsia" w:eastAsiaTheme="minorEastAsia"/>
          <w:color w:val="auto"/>
          <w:sz w:val="28"/>
          <w:szCs w:val="28"/>
          <w:lang w:val="en-US" w:eastAsia="zh-CN"/>
        </w:rPr>
        <w:t>减少51.29</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rPr>
        <w:t>主要</w:t>
      </w:r>
      <w:r>
        <w:rPr>
          <w:rFonts w:hint="eastAsia" w:asciiTheme="minorEastAsia" w:hAnsiTheme="minorEastAsia" w:eastAsiaTheme="minorEastAsia"/>
          <w:color w:val="auto"/>
          <w:sz w:val="28"/>
          <w:szCs w:val="28"/>
          <w:lang w:val="en-US" w:eastAsia="zh-CN"/>
        </w:rPr>
        <w:t>原因为能力建设项目整体概算在2021年度未获得批复，无法启动政府采购等原因，导致实际项目</w:t>
      </w:r>
      <w:r>
        <w:rPr>
          <w:rFonts w:hint="eastAsia" w:asciiTheme="minorEastAsia" w:hAnsiTheme="minorEastAsia" w:eastAsiaTheme="minorEastAsia"/>
          <w:color w:val="auto"/>
          <w:sz w:val="28"/>
          <w:szCs w:val="28"/>
        </w:rPr>
        <w:t>支出</w:t>
      </w:r>
      <w:r>
        <w:rPr>
          <w:rFonts w:hint="eastAsia" w:asciiTheme="minorEastAsia" w:hAnsiTheme="minorEastAsia" w:eastAsiaTheme="minorEastAsia"/>
          <w:color w:val="auto"/>
          <w:sz w:val="28"/>
          <w:szCs w:val="28"/>
          <w:lang w:val="en-US" w:eastAsia="zh-CN"/>
        </w:rPr>
        <w:t>较上年减少。</w:t>
      </w:r>
    </w:p>
    <w:p>
      <w:pPr>
        <w:pStyle w:val="13"/>
        <w:ind w:firstLine="420" w:firstLineChars="150"/>
        <w:rPr>
          <w:rFonts w:asciiTheme="minorEastAsia" w:hAnsiTheme="minorEastAsia" w:eastAsiaTheme="minorEastAsia"/>
          <w:b/>
          <w:color w:val="auto"/>
          <w:sz w:val="28"/>
          <w:szCs w:val="28"/>
        </w:rPr>
      </w:pPr>
      <w:r>
        <w:rPr>
          <w:rFonts w:hint="eastAsia" w:asciiTheme="minorEastAsia" w:hAnsiTheme="minorEastAsia" w:eastAsiaTheme="minorEastAsia"/>
          <w:b/>
          <w:color w:val="auto"/>
          <w:sz w:val="28"/>
          <w:szCs w:val="28"/>
        </w:rPr>
        <w:t>（二）财政拨款支出决算结构情况</w:t>
      </w:r>
    </w:p>
    <w:p>
      <w:pPr>
        <w:pStyle w:val="13"/>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年度财政拨款支出12609.43万元，主要用于以下方面：一科学技术支出</w:t>
      </w:r>
      <w:r>
        <w:rPr>
          <w:rFonts w:hint="eastAsia" w:asciiTheme="minorEastAsia" w:hAnsiTheme="minorEastAsia" w:eastAsiaTheme="minorEastAsia"/>
          <w:color w:val="auto"/>
          <w:sz w:val="28"/>
          <w:szCs w:val="28"/>
          <w:lang w:val="en-US" w:eastAsia="zh-CN"/>
        </w:rPr>
        <w:t>10.59</w:t>
      </w:r>
      <w:r>
        <w:rPr>
          <w:rFonts w:hint="eastAsia" w:asciiTheme="minorEastAsia" w:hAnsiTheme="minorEastAsia" w:eastAsiaTheme="minorEastAsia"/>
          <w:color w:val="auto"/>
          <w:sz w:val="28"/>
          <w:szCs w:val="28"/>
        </w:rPr>
        <w:t>万元，占0.</w:t>
      </w:r>
      <w:r>
        <w:rPr>
          <w:rFonts w:hint="eastAsia" w:asciiTheme="minorEastAsia" w:hAnsiTheme="minorEastAsia" w:eastAsiaTheme="minorEastAsia"/>
          <w:color w:val="auto"/>
          <w:sz w:val="28"/>
          <w:szCs w:val="28"/>
          <w:lang w:val="en-US" w:eastAsia="zh-CN"/>
        </w:rPr>
        <w:t>08</w:t>
      </w:r>
      <w:r>
        <w:rPr>
          <w:rFonts w:hint="eastAsia" w:asciiTheme="minorEastAsia" w:hAnsiTheme="minorEastAsia" w:eastAsiaTheme="minorEastAsia"/>
          <w:color w:val="auto"/>
          <w:sz w:val="28"/>
          <w:szCs w:val="28"/>
        </w:rPr>
        <w:t>%；社会保障和就业支出278.02万元，占</w:t>
      </w:r>
      <w:r>
        <w:rPr>
          <w:rFonts w:hint="eastAsia" w:asciiTheme="minorEastAsia" w:hAnsiTheme="minorEastAsia" w:eastAsiaTheme="minorEastAsia"/>
          <w:color w:val="auto"/>
          <w:sz w:val="28"/>
          <w:szCs w:val="28"/>
          <w:lang w:val="en-US" w:eastAsia="zh-CN"/>
        </w:rPr>
        <w:t>2.2</w:t>
      </w:r>
      <w:r>
        <w:rPr>
          <w:rFonts w:hint="eastAsia" w:asciiTheme="minorEastAsia" w:hAnsiTheme="minorEastAsia" w:eastAsiaTheme="minorEastAsia"/>
          <w:color w:val="auto"/>
          <w:sz w:val="28"/>
          <w:szCs w:val="28"/>
        </w:rPr>
        <w:t>%；卫生健康支出136.27</w:t>
      </w:r>
      <w:r>
        <w:rPr>
          <w:rFonts w:hint="eastAsia" w:asciiTheme="minorEastAsia" w:hAnsiTheme="minorEastAsia" w:eastAsiaTheme="minorEastAsia"/>
          <w:color w:val="auto"/>
          <w:sz w:val="28"/>
          <w:szCs w:val="28"/>
          <w:lang w:val="en-US" w:eastAsia="zh-CN"/>
        </w:rPr>
        <w:t>万元，占1.08%；</w:t>
      </w:r>
      <w:r>
        <w:rPr>
          <w:rFonts w:hint="eastAsia" w:asciiTheme="minorEastAsia" w:hAnsiTheme="minorEastAsia" w:eastAsiaTheme="minorEastAsia"/>
          <w:color w:val="auto"/>
          <w:sz w:val="28"/>
          <w:szCs w:val="28"/>
        </w:rPr>
        <w:t>节能环保支出11977.15万元，占9</w:t>
      </w:r>
      <w:r>
        <w:rPr>
          <w:rFonts w:hint="eastAsia" w:asciiTheme="minorEastAsia" w:hAnsiTheme="minorEastAsia" w:eastAsiaTheme="minorEastAsia"/>
          <w:color w:val="auto"/>
          <w:sz w:val="28"/>
          <w:szCs w:val="28"/>
          <w:lang w:val="en-US" w:eastAsia="zh-CN"/>
        </w:rPr>
        <w:t>4.99</w:t>
      </w:r>
      <w:r>
        <w:rPr>
          <w:rFonts w:hint="eastAsia" w:asciiTheme="minorEastAsia" w:hAnsiTheme="minorEastAsia" w:eastAsiaTheme="minorEastAsia"/>
          <w:color w:val="auto"/>
          <w:sz w:val="28"/>
          <w:szCs w:val="28"/>
        </w:rPr>
        <w:t>%；住房保障支出</w:t>
      </w:r>
      <w:r>
        <w:rPr>
          <w:rFonts w:hint="eastAsia" w:asciiTheme="minorEastAsia" w:hAnsiTheme="minorEastAsia" w:eastAsiaTheme="minorEastAsia"/>
          <w:color w:val="auto"/>
          <w:sz w:val="28"/>
          <w:szCs w:val="28"/>
          <w:lang w:val="en-US" w:eastAsia="zh-CN"/>
        </w:rPr>
        <w:t>207.41</w:t>
      </w:r>
      <w:r>
        <w:rPr>
          <w:rFonts w:hint="eastAsia" w:asciiTheme="minorEastAsia" w:hAnsiTheme="minorEastAsia" w:eastAsiaTheme="minorEastAsia"/>
          <w:color w:val="auto"/>
          <w:sz w:val="28"/>
          <w:szCs w:val="28"/>
        </w:rPr>
        <w:t>万元，占</w:t>
      </w:r>
      <w:r>
        <w:rPr>
          <w:rFonts w:hint="eastAsia" w:asciiTheme="minorEastAsia" w:hAnsiTheme="minorEastAsia" w:eastAsiaTheme="minorEastAsia"/>
          <w:color w:val="auto"/>
          <w:sz w:val="28"/>
          <w:szCs w:val="28"/>
          <w:lang w:val="en-US" w:eastAsia="zh-CN"/>
        </w:rPr>
        <w:t>1.64</w:t>
      </w:r>
      <w:r>
        <w:rPr>
          <w:rFonts w:hint="eastAsia" w:asciiTheme="minorEastAsia" w:hAnsiTheme="minorEastAsia" w:eastAsiaTheme="minorEastAsia"/>
          <w:color w:val="auto"/>
          <w:sz w:val="28"/>
          <w:szCs w:val="28"/>
        </w:rPr>
        <w:t>%。</w:t>
      </w:r>
    </w:p>
    <w:p>
      <w:pPr>
        <w:pStyle w:val="13"/>
        <w:ind w:firstLine="700" w:firstLineChars="250"/>
        <w:rPr>
          <w:rFonts w:asciiTheme="minorEastAsia" w:hAnsiTheme="minorEastAsia" w:eastAsiaTheme="minorEastAsia"/>
          <w:b/>
          <w:color w:val="auto"/>
          <w:sz w:val="28"/>
          <w:szCs w:val="28"/>
        </w:rPr>
      </w:pPr>
      <w:r>
        <w:rPr>
          <w:rFonts w:hint="eastAsia" w:asciiTheme="minorEastAsia" w:hAnsiTheme="minorEastAsia" w:eastAsiaTheme="minorEastAsia"/>
          <w:b/>
          <w:color w:val="auto"/>
          <w:sz w:val="28"/>
          <w:szCs w:val="28"/>
        </w:rPr>
        <w:t>（三）财政拨款支出决算具体情况</w:t>
      </w:r>
    </w:p>
    <w:p>
      <w:pPr>
        <w:pStyle w:val="13"/>
        <w:tabs>
          <w:tab w:val="left" w:pos="0"/>
        </w:tabs>
        <w:ind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年度财政拨款支出年初预算数为</w:t>
      </w:r>
      <w:r>
        <w:rPr>
          <w:rFonts w:hint="eastAsia" w:asciiTheme="minorEastAsia" w:hAnsiTheme="minorEastAsia" w:eastAsiaTheme="minorEastAsia"/>
          <w:color w:val="auto"/>
          <w:sz w:val="28"/>
          <w:szCs w:val="28"/>
          <w:lang w:val="en-US" w:eastAsia="zh-CN"/>
        </w:rPr>
        <w:t>12245.94</w:t>
      </w:r>
      <w:r>
        <w:rPr>
          <w:rFonts w:hint="eastAsia" w:asciiTheme="minorEastAsia" w:hAnsiTheme="minorEastAsia" w:eastAsiaTheme="minorEastAsia"/>
          <w:color w:val="auto"/>
          <w:sz w:val="28"/>
          <w:szCs w:val="28"/>
        </w:rPr>
        <w:t>万元，支出决算数为12609.43万元，完成年初预算的</w:t>
      </w:r>
      <w:r>
        <w:rPr>
          <w:rFonts w:hint="eastAsia" w:asciiTheme="minorEastAsia" w:hAnsiTheme="minorEastAsia" w:eastAsiaTheme="minorEastAsia"/>
          <w:color w:val="auto"/>
          <w:sz w:val="28"/>
          <w:szCs w:val="28"/>
          <w:lang w:val="en-US" w:eastAsia="zh-CN"/>
        </w:rPr>
        <w:t>102.97</w:t>
      </w:r>
      <w:r>
        <w:rPr>
          <w:rFonts w:hint="eastAsia" w:asciiTheme="minorEastAsia" w:hAnsiTheme="minorEastAsia" w:eastAsiaTheme="minorEastAsia"/>
          <w:color w:val="auto"/>
          <w:sz w:val="28"/>
          <w:szCs w:val="28"/>
        </w:rPr>
        <w:t>%，与年初预算安排的差额主要是上年结余结转和年中追加预算安排的支出。其中：</w:t>
      </w:r>
    </w:p>
    <w:p>
      <w:pPr>
        <w:pStyle w:val="13"/>
        <w:numPr>
          <w:ilvl w:val="0"/>
          <w:numId w:val="3"/>
        </w:numPr>
        <w:tabs>
          <w:tab w:val="left" w:pos="0"/>
        </w:tabs>
        <w:ind w:left="0"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科学技术支出（类）应用研究（款）社会公益研究（项）。</w:t>
      </w:r>
    </w:p>
    <w:p>
      <w:pPr>
        <w:pStyle w:val="13"/>
        <w:tabs>
          <w:tab w:val="left" w:pos="0"/>
        </w:tabs>
        <w:ind w:firstLine="742" w:firstLineChars="265"/>
        <w:rPr>
          <w:rFonts w:hint="eastAsia" w:asciiTheme="minorEastAsia" w:hAnsiTheme="minorEastAsia" w:eastAsiaTheme="minorEastAsia"/>
          <w:color w:val="auto"/>
          <w:sz w:val="28"/>
          <w:szCs w:val="28"/>
          <w:lang w:eastAsia="zh-CN"/>
        </w:rPr>
      </w:pPr>
      <w:r>
        <w:rPr>
          <w:rFonts w:hint="eastAsia" w:asciiTheme="minorEastAsia" w:hAnsiTheme="minorEastAsia" w:eastAsiaTheme="minorEastAsia"/>
          <w:color w:val="auto"/>
          <w:sz w:val="28"/>
          <w:szCs w:val="28"/>
        </w:rPr>
        <w:t>年初预算</w:t>
      </w:r>
      <w:r>
        <w:rPr>
          <w:rFonts w:hint="eastAsia" w:asciiTheme="minorEastAsia" w:hAnsiTheme="minorEastAsia" w:eastAsiaTheme="minorEastAsia"/>
          <w:color w:val="auto"/>
          <w:sz w:val="28"/>
          <w:szCs w:val="28"/>
          <w:lang w:val="en-US" w:eastAsia="zh-CN"/>
        </w:rPr>
        <w:t>5</w:t>
      </w:r>
      <w:r>
        <w:rPr>
          <w:rFonts w:hint="eastAsia" w:asciiTheme="minorEastAsia" w:hAnsiTheme="minorEastAsia" w:eastAsiaTheme="minorEastAsia"/>
          <w:color w:val="auto"/>
          <w:sz w:val="28"/>
          <w:szCs w:val="28"/>
        </w:rPr>
        <w:t>万元，支出决算为</w:t>
      </w:r>
      <w:r>
        <w:rPr>
          <w:rFonts w:hint="eastAsia" w:asciiTheme="minorEastAsia" w:hAnsiTheme="minorEastAsia" w:eastAsiaTheme="minorEastAsia"/>
          <w:color w:val="auto"/>
          <w:sz w:val="28"/>
          <w:szCs w:val="28"/>
          <w:lang w:val="en-US" w:eastAsia="zh-CN"/>
        </w:rPr>
        <w:t>10.59</w:t>
      </w:r>
      <w:r>
        <w:rPr>
          <w:rFonts w:hint="eastAsia" w:asciiTheme="minorEastAsia" w:hAnsiTheme="minorEastAsia" w:eastAsiaTheme="minorEastAsia"/>
          <w:color w:val="auto"/>
          <w:sz w:val="28"/>
          <w:szCs w:val="28"/>
        </w:rPr>
        <w:t>万元</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完成年初预算的211.8%，决算数大于预算数的原因:</w:t>
      </w:r>
      <w:r>
        <w:rPr>
          <w:rFonts w:hint="eastAsia" w:asciiTheme="minorEastAsia" w:hAnsiTheme="minorEastAsia" w:eastAsiaTheme="minorEastAsia"/>
          <w:color w:val="auto"/>
          <w:sz w:val="28"/>
          <w:szCs w:val="28"/>
        </w:rPr>
        <w:t>主要</w:t>
      </w:r>
      <w:r>
        <w:rPr>
          <w:rFonts w:hint="eastAsia" w:asciiTheme="minorEastAsia" w:hAnsiTheme="minorEastAsia" w:eastAsiaTheme="minorEastAsia"/>
          <w:color w:val="auto"/>
          <w:sz w:val="28"/>
          <w:szCs w:val="28"/>
          <w:lang w:val="en-US" w:eastAsia="zh-CN"/>
        </w:rPr>
        <w:t>为</w:t>
      </w:r>
      <w:r>
        <w:rPr>
          <w:rFonts w:hint="eastAsia" w:asciiTheme="minorEastAsia" w:hAnsiTheme="minorEastAsia" w:eastAsiaTheme="minorEastAsia"/>
          <w:color w:val="auto"/>
          <w:sz w:val="28"/>
          <w:szCs w:val="28"/>
        </w:rPr>
        <w:t>年中追加</w:t>
      </w:r>
      <w:r>
        <w:rPr>
          <w:rFonts w:hint="eastAsia" w:asciiTheme="minorEastAsia" w:hAnsiTheme="minorEastAsia" w:eastAsiaTheme="minorEastAsia"/>
          <w:color w:val="auto"/>
          <w:sz w:val="28"/>
          <w:szCs w:val="28"/>
          <w:lang w:val="en-US" w:eastAsia="zh-CN"/>
        </w:rPr>
        <w:t>预算</w:t>
      </w:r>
      <w:r>
        <w:rPr>
          <w:rFonts w:hint="eastAsia" w:asciiTheme="minorEastAsia" w:hAnsiTheme="minorEastAsia" w:eastAsiaTheme="minorEastAsia"/>
          <w:color w:val="auto"/>
          <w:sz w:val="28"/>
          <w:szCs w:val="28"/>
          <w:lang w:eastAsia="zh-CN"/>
        </w:rPr>
        <w:t>。</w:t>
      </w:r>
    </w:p>
    <w:p>
      <w:pPr>
        <w:pStyle w:val="13"/>
        <w:numPr>
          <w:ilvl w:val="0"/>
          <w:numId w:val="3"/>
        </w:numPr>
        <w:tabs>
          <w:tab w:val="left" w:pos="0"/>
        </w:tabs>
        <w:ind w:left="0"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社会保障和就业支出（类）行政事业单位养老支出（款）机关事业单位基本养老保险缴费支出（项）。</w:t>
      </w:r>
    </w:p>
    <w:p>
      <w:pPr>
        <w:pStyle w:val="13"/>
        <w:tabs>
          <w:tab w:val="left" w:pos="0"/>
        </w:tabs>
        <w:ind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年初预算为</w:t>
      </w:r>
      <w:r>
        <w:rPr>
          <w:rFonts w:hint="eastAsia" w:asciiTheme="minorEastAsia" w:hAnsiTheme="minorEastAsia" w:eastAsiaTheme="minorEastAsia"/>
          <w:color w:val="auto"/>
          <w:sz w:val="28"/>
          <w:szCs w:val="28"/>
          <w:lang w:val="en-US" w:eastAsia="zh-CN"/>
        </w:rPr>
        <w:t>278.02</w:t>
      </w:r>
      <w:r>
        <w:rPr>
          <w:rFonts w:hint="eastAsia" w:asciiTheme="minorEastAsia" w:hAnsiTheme="minorEastAsia" w:eastAsiaTheme="minorEastAsia"/>
          <w:color w:val="auto"/>
          <w:sz w:val="28"/>
          <w:szCs w:val="28"/>
        </w:rPr>
        <w:t>万元，支出决算为</w:t>
      </w:r>
      <w:r>
        <w:rPr>
          <w:rFonts w:hint="eastAsia" w:asciiTheme="minorEastAsia" w:hAnsiTheme="minorEastAsia" w:eastAsiaTheme="minorEastAsia"/>
          <w:color w:val="auto"/>
          <w:sz w:val="28"/>
          <w:szCs w:val="28"/>
          <w:lang w:val="en-US" w:eastAsia="zh-CN"/>
        </w:rPr>
        <w:t>278.02</w:t>
      </w:r>
      <w:r>
        <w:rPr>
          <w:rFonts w:hint="eastAsia" w:asciiTheme="minorEastAsia" w:hAnsiTheme="minorEastAsia" w:eastAsiaTheme="minorEastAsia"/>
          <w:color w:val="auto"/>
          <w:sz w:val="28"/>
          <w:szCs w:val="28"/>
        </w:rPr>
        <w:t>万元，完成年初预算的</w:t>
      </w:r>
      <w:r>
        <w:rPr>
          <w:rFonts w:hint="eastAsia" w:asciiTheme="minorEastAsia" w:hAnsiTheme="minorEastAsia" w:eastAsiaTheme="minorEastAsia"/>
          <w:color w:val="auto"/>
          <w:sz w:val="28"/>
          <w:szCs w:val="28"/>
          <w:lang w:val="en-US" w:eastAsia="zh-CN"/>
        </w:rPr>
        <w:t>100</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决算数与预算数一致，我单位人员未变化，严格按预算执行</w:t>
      </w:r>
      <w:r>
        <w:rPr>
          <w:rFonts w:hint="eastAsia" w:asciiTheme="minorEastAsia" w:hAnsiTheme="minorEastAsia" w:eastAsiaTheme="minorEastAsia"/>
          <w:color w:val="auto"/>
          <w:sz w:val="28"/>
          <w:szCs w:val="28"/>
        </w:rPr>
        <w:t>。</w:t>
      </w:r>
    </w:p>
    <w:p>
      <w:pPr>
        <w:pStyle w:val="13"/>
        <w:numPr>
          <w:ilvl w:val="0"/>
          <w:numId w:val="3"/>
        </w:numPr>
        <w:tabs>
          <w:tab w:val="left" w:pos="0"/>
        </w:tabs>
        <w:ind w:left="0"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卫生健康支出（类）行政事业单位医疗（款）事业单位医疗（项）。</w:t>
      </w:r>
    </w:p>
    <w:p>
      <w:pPr>
        <w:pStyle w:val="13"/>
        <w:tabs>
          <w:tab w:val="left" w:pos="0"/>
        </w:tabs>
        <w:ind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年初预算为</w:t>
      </w:r>
      <w:r>
        <w:rPr>
          <w:rFonts w:hint="eastAsia" w:asciiTheme="minorEastAsia" w:hAnsiTheme="minorEastAsia" w:eastAsiaTheme="minorEastAsia"/>
          <w:color w:val="auto"/>
          <w:sz w:val="28"/>
          <w:szCs w:val="28"/>
          <w:lang w:val="en-US" w:eastAsia="zh-CN"/>
        </w:rPr>
        <w:t>136.27</w:t>
      </w:r>
      <w:r>
        <w:rPr>
          <w:rFonts w:hint="eastAsia" w:asciiTheme="minorEastAsia" w:hAnsiTheme="minorEastAsia" w:eastAsiaTheme="minorEastAsia"/>
          <w:color w:val="auto"/>
          <w:sz w:val="28"/>
          <w:szCs w:val="28"/>
        </w:rPr>
        <w:t>万元，支出决算为</w:t>
      </w:r>
      <w:r>
        <w:rPr>
          <w:rFonts w:hint="eastAsia" w:asciiTheme="minorEastAsia" w:hAnsiTheme="minorEastAsia" w:eastAsiaTheme="minorEastAsia"/>
          <w:color w:val="auto"/>
          <w:sz w:val="28"/>
          <w:szCs w:val="28"/>
          <w:lang w:val="en-US" w:eastAsia="zh-CN"/>
        </w:rPr>
        <w:t>136.27</w:t>
      </w:r>
      <w:r>
        <w:rPr>
          <w:rFonts w:hint="eastAsia" w:asciiTheme="minorEastAsia" w:hAnsiTheme="minorEastAsia" w:eastAsiaTheme="minorEastAsia"/>
          <w:color w:val="auto"/>
          <w:sz w:val="28"/>
          <w:szCs w:val="28"/>
        </w:rPr>
        <w:t>万元，完成年初预算的</w:t>
      </w:r>
      <w:r>
        <w:rPr>
          <w:rFonts w:hint="eastAsia" w:asciiTheme="minorEastAsia" w:hAnsiTheme="minorEastAsia" w:eastAsiaTheme="minorEastAsia"/>
          <w:color w:val="auto"/>
          <w:sz w:val="28"/>
          <w:szCs w:val="28"/>
          <w:lang w:val="en-US" w:eastAsia="zh-CN"/>
        </w:rPr>
        <w:t>100</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决算数与预算数一致，我单位人员未变化，严格按预算执行</w:t>
      </w:r>
      <w:r>
        <w:rPr>
          <w:rFonts w:hint="eastAsia" w:asciiTheme="minorEastAsia" w:hAnsiTheme="minorEastAsia" w:eastAsiaTheme="minorEastAsia"/>
          <w:color w:val="auto"/>
          <w:sz w:val="28"/>
          <w:szCs w:val="28"/>
        </w:rPr>
        <w:t>。</w:t>
      </w:r>
    </w:p>
    <w:p>
      <w:pPr>
        <w:pStyle w:val="13"/>
        <w:numPr>
          <w:ilvl w:val="0"/>
          <w:numId w:val="3"/>
        </w:numPr>
        <w:tabs>
          <w:tab w:val="left" w:pos="0"/>
        </w:tabs>
        <w:ind w:left="0"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节能环保支出（类）环境保护管理事务（款）行政运行（项）。</w:t>
      </w:r>
    </w:p>
    <w:p>
      <w:pPr>
        <w:pStyle w:val="13"/>
        <w:tabs>
          <w:tab w:val="left" w:pos="0"/>
        </w:tabs>
        <w:ind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年初预算为</w:t>
      </w:r>
      <w:r>
        <w:rPr>
          <w:rFonts w:hint="eastAsia" w:asciiTheme="minorEastAsia" w:hAnsiTheme="minorEastAsia" w:eastAsiaTheme="minorEastAsia"/>
          <w:color w:val="auto"/>
          <w:sz w:val="28"/>
          <w:szCs w:val="28"/>
          <w:lang w:val="en-US" w:eastAsia="zh-CN"/>
        </w:rPr>
        <w:t>2656.14</w:t>
      </w:r>
      <w:r>
        <w:rPr>
          <w:rFonts w:hint="eastAsia" w:asciiTheme="minorEastAsia" w:hAnsiTheme="minorEastAsia" w:eastAsiaTheme="minorEastAsia"/>
          <w:color w:val="auto"/>
          <w:sz w:val="28"/>
          <w:szCs w:val="28"/>
        </w:rPr>
        <w:t>万元，支出决算为2638.34万元，完成年初预算的</w:t>
      </w:r>
      <w:r>
        <w:rPr>
          <w:rFonts w:hint="eastAsia" w:asciiTheme="minorEastAsia" w:hAnsiTheme="minorEastAsia" w:eastAsiaTheme="minorEastAsia"/>
          <w:color w:val="auto"/>
          <w:sz w:val="28"/>
          <w:szCs w:val="28"/>
          <w:lang w:val="en-US" w:eastAsia="zh-CN"/>
        </w:rPr>
        <w:t>99.33</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决算数小于预</w:t>
      </w:r>
      <w:r>
        <w:rPr>
          <w:rFonts w:hint="eastAsia" w:asciiTheme="minorEastAsia" w:hAnsiTheme="minorEastAsia" w:eastAsiaTheme="minorEastAsia"/>
          <w:color w:val="auto"/>
          <w:sz w:val="28"/>
          <w:szCs w:val="28"/>
          <w:lang w:val="en-US" w:eastAsia="zh-CN"/>
        </w:rPr>
        <w:tab/>
      </w:r>
      <w:r>
        <w:rPr>
          <w:rFonts w:hint="eastAsia" w:asciiTheme="minorEastAsia" w:hAnsiTheme="minorEastAsia" w:eastAsiaTheme="minorEastAsia"/>
          <w:color w:val="auto"/>
          <w:sz w:val="28"/>
          <w:szCs w:val="28"/>
          <w:lang w:val="en-US" w:eastAsia="zh-CN"/>
        </w:rPr>
        <w:t>算数，主要为年中指标调整</w:t>
      </w:r>
      <w:r>
        <w:rPr>
          <w:rFonts w:hint="eastAsia" w:asciiTheme="minorEastAsia" w:hAnsiTheme="minorEastAsia" w:eastAsiaTheme="minorEastAsia"/>
          <w:color w:val="auto"/>
          <w:sz w:val="28"/>
          <w:szCs w:val="28"/>
        </w:rPr>
        <w:t>。</w:t>
      </w:r>
    </w:p>
    <w:p>
      <w:pPr>
        <w:pStyle w:val="13"/>
        <w:numPr>
          <w:ilvl w:val="0"/>
          <w:numId w:val="3"/>
        </w:numPr>
        <w:tabs>
          <w:tab w:val="left" w:pos="0"/>
        </w:tabs>
        <w:ind w:left="0"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节能环保支出（类）环境保护管理事务（款）其他环境保护管理事务支出（项）。</w:t>
      </w:r>
    </w:p>
    <w:p>
      <w:pPr>
        <w:pStyle w:val="13"/>
        <w:tabs>
          <w:tab w:val="left" w:pos="0"/>
        </w:tabs>
        <w:ind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年初预算未安排</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rPr>
        <w:t>支出决算为</w:t>
      </w:r>
      <w:r>
        <w:rPr>
          <w:rFonts w:hint="eastAsia" w:asciiTheme="minorEastAsia" w:hAnsiTheme="minorEastAsia" w:eastAsiaTheme="minorEastAsia"/>
          <w:color w:val="auto"/>
          <w:sz w:val="28"/>
          <w:szCs w:val="28"/>
          <w:lang w:val="en-US" w:eastAsia="zh-CN"/>
        </w:rPr>
        <w:t>3.78</w:t>
      </w:r>
      <w:r>
        <w:rPr>
          <w:rFonts w:hint="eastAsia" w:asciiTheme="minorEastAsia" w:hAnsiTheme="minorEastAsia" w:eastAsiaTheme="minorEastAsia"/>
          <w:color w:val="auto"/>
          <w:sz w:val="28"/>
          <w:szCs w:val="28"/>
        </w:rPr>
        <w:t>万元，</w:t>
      </w:r>
      <w:r>
        <w:rPr>
          <w:rFonts w:hint="eastAsia" w:asciiTheme="minorEastAsia" w:hAnsiTheme="minorEastAsia" w:eastAsiaTheme="minorEastAsia"/>
          <w:color w:val="auto"/>
          <w:sz w:val="28"/>
          <w:szCs w:val="28"/>
          <w:lang w:val="en-US" w:eastAsia="zh-CN"/>
        </w:rPr>
        <w:t>增加原因</w:t>
      </w:r>
      <w:r>
        <w:rPr>
          <w:rFonts w:hint="eastAsia" w:asciiTheme="minorEastAsia" w:hAnsiTheme="minorEastAsia" w:eastAsiaTheme="minorEastAsia"/>
          <w:color w:val="auto"/>
          <w:sz w:val="28"/>
          <w:szCs w:val="28"/>
        </w:rPr>
        <w:t>主要为年中追加安排的支出。</w:t>
      </w:r>
    </w:p>
    <w:p>
      <w:pPr>
        <w:pStyle w:val="13"/>
        <w:numPr>
          <w:ilvl w:val="0"/>
          <w:numId w:val="3"/>
        </w:numPr>
        <w:tabs>
          <w:tab w:val="left" w:pos="0"/>
        </w:tabs>
        <w:ind w:left="0" w:firstLine="8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节能环保支出（类）环境监测与监察（款）其他环境环境监测与监察支出（项）。</w:t>
      </w:r>
    </w:p>
    <w:p>
      <w:pPr>
        <w:pStyle w:val="13"/>
        <w:tabs>
          <w:tab w:val="left" w:pos="0"/>
        </w:tabs>
        <w:ind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年初预算为</w:t>
      </w:r>
      <w:r>
        <w:rPr>
          <w:rFonts w:hint="eastAsia" w:asciiTheme="minorEastAsia" w:hAnsiTheme="minorEastAsia" w:eastAsiaTheme="minorEastAsia"/>
          <w:color w:val="auto"/>
          <w:sz w:val="28"/>
          <w:szCs w:val="28"/>
          <w:lang w:val="en-US" w:eastAsia="zh-CN"/>
        </w:rPr>
        <w:t>5494.3</w:t>
      </w:r>
      <w:r>
        <w:rPr>
          <w:rFonts w:hint="eastAsia" w:asciiTheme="minorEastAsia" w:hAnsiTheme="minorEastAsia" w:eastAsiaTheme="minorEastAsia"/>
          <w:color w:val="auto"/>
          <w:sz w:val="28"/>
          <w:szCs w:val="28"/>
        </w:rPr>
        <w:t>万元，支出决算为3472.88万元，完成年初预算的</w:t>
      </w:r>
      <w:r>
        <w:rPr>
          <w:rFonts w:hint="eastAsia" w:asciiTheme="minorEastAsia" w:hAnsiTheme="minorEastAsia" w:eastAsiaTheme="minorEastAsia"/>
          <w:color w:val="auto"/>
          <w:sz w:val="28"/>
          <w:szCs w:val="28"/>
          <w:lang w:val="en-US" w:eastAsia="zh-CN"/>
        </w:rPr>
        <w:t>63.21</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决算数小于年初预算数的原因：能力建设项目整体概算在2021年度未获得批复，无法启动政府采购等原因</w:t>
      </w:r>
      <w:r>
        <w:rPr>
          <w:rFonts w:hint="eastAsia" w:asciiTheme="minorEastAsia" w:hAnsiTheme="minorEastAsia" w:eastAsiaTheme="minorEastAsia"/>
          <w:color w:val="auto"/>
          <w:sz w:val="28"/>
          <w:szCs w:val="28"/>
        </w:rPr>
        <w:t>。</w:t>
      </w:r>
    </w:p>
    <w:p>
      <w:pPr>
        <w:pStyle w:val="13"/>
        <w:numPr>
          <w:ilvl w:val="0"/>
          <w:numId w:val="3"/>
        </w:numPr>
        <w:tabs>
          <w:tab w:val="left" w:pos="0"/>
        </w:tabs>
        <w:ind w:left="0"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节能环保支出（类）污染防治（款）大气（项）。</w:t>
      </w:r>
    </w:p>
    <w:p>
      <w:pPr>
        <w:pStyle w:val="13"/>
        <w:tabs>
          <w:tab w:val="left" w:pos="0"/>
        </w:tabs>
        <w:ind w:firstLine="742" w:firstLineChars="265"/>
        <w:rPr>
          <w:rFonts w:hint="eastAsia" w:asciiTheme="minorEastAsia" w:hAnsiTheme="minorEastAsia" w:eastAsiaTheme="minorEastAsia"/>
          <w:color w:val="auto"/>
          <w:sz w:val="28"/>
          <w:szCs w:val="28"/>
          <w:lang w:eastAsia="zh-CN"/>
        </w:rPr>
      </w:pPr>
      <w:r>
        <w:rPr>
          <w:rFonts w:hint="eastAsia" w:asciiTheme="minorEastAsia" w:hAnsiTheme="minorEastAsia" w:eastAsiaTheme="minorEastAsia"/>
          <w:color w:val="auto"/>
          <w:sz w:val="28"/>
          <w:szCs w:val="28"/>
        </w:rPr>
        <w:t>年初预算2229.1</w:t>
      </w:r>
      <w:r>
        <w:rPr>
          <w:rFonts w:hint="eastAsia" w:asciiTheme="minorEastAsia" w:hAnsiTheme="minorEastAsia" w:eastAsiaTheme="minorEastAsia"/>
          <w:color w:val="auto"/>
          <w:sz w:val="28"/>
          <w:szCs w:val="28"/>
          <w:lang w:val="en-US" w:eastAsia="zh-CN"/>
        </w:rPr>
        <w:t>万元，</w:t>
      </w:r>
      <w:r>
        <w:rPr>
          <w:rFonts w:hint="eastAsia" w:asciiTheme="minorEastAsia" w:hAnsiTheme="minorEastAsia" w:eastAsiaTheme="minorEastAsia"/>
          <w:color w:val="auto"/>
          <w:sz w:val="28"/>
          <w:szCs w:val="28"/>
        </w:rPr>
        <w:t>支出决算为1637.07万元，</w:t>
      </w:r>
      <w:r>
        <w:rPr>
          <w:rFonts w:hint="eastAsia" w:asciiTheme="minorEastAsia" w:hAnsiTheme="minorEastAsia" w:eastAsiaTheme="minorEastAsia"/>
          <w:color w:val="auto"/>
          <w:sz w:val="28"/>
          <w:szCs w:val="28"/>
          <w:lang w:val="en-US" w:eastAsia="zh-CN"/>
        </w:rPr>
        <w:t>完成年初预算的73.44%，决算数小于年初预算数的原因：能力建设项目整体概算在2021年度未获得批复，无法启动政府采购等原因</w:t>
      </w:r>
      <w:r>
        <w:rPr>
          <w:rFonts w:hint="eastAsia" w:asciiTheme="minorEastAsia" w:hAnsiTheme="minorEastAsia" w:eastAsiaTheme="minorEastAsia"/>
          <w:color w:val="auto"/>
          <w:sz w:val="28"/>
          <w:szCs w:val="28"/>
        </w:rPr>
        <w:t>。</w:t>
      </w:r>
    </w:p>
    <w:p>
      <w:pPr>
        <w:pStyle w:val="13"/>
        <w:numPr>
          <w:ilvl w:val="0"/>
          <w:numId w:val="3"/>
        </w:numPr>
        <w:tabs>
          <w:tab w:val="left" w:pos="0"/>
        </w:tabs>
        <w:ind w:left="0"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节能环保支出（类）污染防治（款）水体（项）。</w:t>
      </w:r>
    </w:p>
    <w:p>
      <w:pPr>
        <w:pStyle w:val="13"/>
        <w:tabs>
          <w:tab w:val="left" w:pos="0"/>
        </w:tabs>
        <w:ind w:firstLine="742" w:firstLineChars="265"/>
        <w:rPr>
          <w:rFonts w:hint="default"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年初预算</w:t>
      </w:r>
      <w:r>
        <w:rPr>
          <w:rFonts w:hint="eastAsia" w:asciiTheme="minorEastAsia" w:hAnsiTheme="minorEastAsia" w:eastAsiaTheme="minorEastAsia"/>
          <w:color w:val="auto"/>
          <w:sz w:val="28"/>
          <w:szCs w:val="28"/>
          <w:lang w:val="en-US" w:eastAsia="zh-CN"/>
        </w:rPr>
        <w:t>11</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val="en-US" w:eastAsia="zh-CN"/>
        </w:rPr>
        <w:t>4万元，</w:t>
      </w:r>
      <w:r>
        <w:rPr>
          <w:rFonts w:hint="eastAsia" w:asciiTheme="minorEastAsia" w:hAnsiTheme="minorEastAsia" w:eastAsiaTheme="minorEastAsia"/>
          <w:color w:val="auto"/>
          <w:sz w:val="28"/>
          <w:szCs w:val="28"/>
        </w:rPr>
        <w:t>支出决算为3482.28万元，</w:t>
      </w:r>
      <w:r>
        <w:rPr>
          <w:rFonts w:hint="eastAsia" w:asciiTheme="minorEastAsia" w:hAnsiTheme="minorEastAsia" w:eastAsiaTheme="minorEastAsia"/>
          <w:color w:val="auto"/>
          <w:sz w:val="28"/>
          <w:szCs w:val="28"/>
          <w:lang w:val="en-US" w:eastAsia="zh-CN"/>
        </w:rPr>
        <w:t>完成年初预算的30546.31%，决算数大于</w:t>
      </w:r>
      <w:r>
        <w:rPr>
          <w:rFonts w:hint="eastAsia" w:asciiTheme="minorEastAsia" w:hAnsiTheme="minorEastAsia" w:eastAsiaTheme="minorEastAsia"/>
          <w:color w:val="auto"/>
          <w:sz w:val="28"/>
          <w:szCs w:val="28"/>
        </w:rPr>
        <w:t>年初预算</w:t>
      </w:r>
      <w:r>
        <w:rPr>
          <w:rFonts w:hint="eastAsia" w:asciiTheme="minorEastAsia" w:hAnsiTheme="minorEastAsia" w:eastAsiaTheme="minorEastAsia"/>
          <w:color w:val="auto"/>
          <w:sz w:val="28"/>
          <w:szCs w:val="28"/>
          <w:lang w:val="en-US" w:eastAsia="zh-CN"/>
        </w:rPr>
        <w:t>数，增加原因</w:t>
      </w:r>
      <w:r>
        <w:rPr>
          <w:rFonts w:hint="eastAsia" w:asciiTheme="minorEastAsia" w:hAnsiTheme="minorEastAsia" w:eastAsiaTheme="minorEastAsia"/>
          <w:color w:val="auto"/>
          <w:sz w:val="28"/>
          <w:szCs w:val="28"/>
        </w:rPr>
        <w:t>主要</w:t>
      </w:r>
      <w:r>
        <w:rPr>
          <w:rFonts w:hint="eastAsia" w:asciiTheme="minorEastAsia" w:hAnsiTheme="minorEastAsia" w:eastAsiaTheme="minorEastAsia"/>
          <w:color w:val="auto"/>
          <w:sz w:val="28"/>
          <w:szCs w:val="28"/>
          <w:lang w:val="en-US" w:eastAsia="zh-CN"/>
        </w:rPr>
        <w:t>为</w:t>
      </w:r>
      <w:r>
        <w:rPr>
          <w:rFonts w:hint="eastAsia" w:asciiTheme="minorEastAsia" w:hAnsiTheme="minorEastAsia" w:eastAsiaTheme="minorEastAsia"/>
          <w:color w:val="auto"/>
          <w:sz w:val="28"/>
          <w:szCs w:val="28"/>
        </w:rPr>
        <w:t>年中追加</w:t>
      </w:r>
      <w:r>
        <w:rPr>
          <w:rFonts w:hint="eastAsia" w:asciiTheme="minorEastAsia" w:hAnsiTheme="minorEastAsia" w:eastAsiaTheme="minorEastAsia"/>
          <w:color w:val="auto"/>
          <w:sz w:val="28"/>
          <w:szCs w:val="28"/>
          <w:lang w:val="en-US" w:eastAsia="zh-CN"/>
        </w:rPr>
        <w:t>的能力建设项目资金。</w:t>
      </w:r>
    </w:p>
    <w:p>
      <w:pPr>
        <w:pStyle w:val="13"/>
        <w:numPr>
          <w:ilvl w:val="-1"/>
          <w:numId w:val="0"/>
        </w:numPr>
        <w:tabs>
          <w:tab w:val="left" w:pos="0"/>
        </w:tabs>
        <w:ind w:left="0" w:firstLine="840" w:firstLineChars="3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9、</w:t>
      </w:r>
      <w:r>
        <w:rPr>
          <w:rFonts w:hint="eastAsia" w:asciiTheme="minorEastAsia" w:hAnsiTheme="minorEastAsia" w:eastAsiaTheme="minorEastAsia"/>
          <w:color w:val="auto"/>
          <w:sz w:val="28"/>
          <w:szCs w:val="28"/>
        </w:rPr>
        <w:t>节能环保支出（类）污染防治（款）放射源和放射性废物监管</w:t>
      </w:r>
      <w:r>
        <w:rPr>
          <w:rFonts w:hint="eastAsia" w:asciiTheme="minorEastAsia" w:hAnsiTheme="minorEastAsia" w:eastAsiaTheme="minorEastAsia"/>
          <w:color w:val="auto"/>
          <w:sz w:val="28"/>
          <w:szCs w:val="28"/>
          <w:lang w:val="en-US" w:eastAsia="zh-CN"/>
        </w:rPr>
        <w:t xml:space="preserve"> </w:t>
      </w:r>
      <w:r>
        <w:rPr>
          <w:rFonts w:hint="eastAsia" w:asciiTheme="minorEastAsia" w:hAnsiTheme="minorEastAsia" w:eastAsiaTheme="minorEastAsia"/>
          <w:color w:val="auto"/>
          <w:sz w:val="28"/>
          <w:szCs w:val="28"/>
        </w:rPr>
        <w:t>（项）。</w:t>
      </w:r>
    </w:p>
    <w:p>
      <w:pPr>
        <w:pStyle w:val="13"/>
        <w:tabs>
          <w:tab w:val="left" w:pos="0"/>
        </w:tabs>
        <w:ind w:firstLine="742" w:firstLineChars="265"/>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支出决算为</w:t>
      </w:r>
      <w:r>
        <w:rPr>
          <w:rFonts w:hint="eastAsia" w:asciiTheme="minorEastAsia" w:hAnsiTheme="minorEastAsia" w:eastAsiaTheme="minorEastAsia"/>
          <w:color w:val="auto"/>
          <w:sz w:val="28"/>
          <w:szCs w:val="28"/>
          <w:lang w:val="en-US" w:eastAsia="zh-CN"/>
        </w:rPr>
        <w:t>119.2</w:t>
      </w:r>
      <w:r>
        <w:rPr>
          <w:rFonts w:hint="eastAsia" w:asciiTheme="minorEastAsia" w:hAnsiTheme="minorEastAsia" w:eastAsiaTheme="minorEastAsia"/>
          <w:color w:val="auto"/>
          <w:sz w:val="28"/>
          <w:szCs w:val="28"/>
        </w:rPr>
        <w:t>万元，年初预算未安排，</w:t>
      </w:r>
      <w:r>
        <w:rPr>
          <w:rFonts w:hint="eastAsia" w:asciiTheme="minorEastAsia" w:hAnsiTheme="minorEastAsia" w:eastAsiaTheme="minorEastAsia"/>
          <w:color w:val="auto"/>
          <w:sz w:val="28"/>
          <w:szCs w:val="28"/>
          <w:lang w:val="en-US" w:eastAsia="zh-CN"/>
        </w:rPr>
        <w:t>增加原因</w:t>
      </w:r>
      <w:r>
        <w:rPr>
          <w:rFonts w:hint="eastAsia" w:asciiTheme="minorEastAsia" w:hAnsiTheme="minorEastAsia" w:eastAsiaTheme="minorEastAsia"/>
          <w:color w:val="auto"/>
          <w:sz w:val="28"/>
          <w:szCs w:val="28"/>
        </w:rPr>
        <w:t>主要为年中追加安排的</w:t>
      </w:r>
      <w:r>
        <w:rPr>
          <w:rFonts w:hint="eastAsia" w:asciiTheme="minorEastAsia" w:hAnsiTheme="minorEastAsia" w:eastAsiaTheme="minorEastAsia"/>
          <w:color w:val="auto"/>
          <w:sz w:val="28"/>
          <w:szCs w:val="28"/>
          <w:lang w:val="en-US" w:eastAsia="zh-CN"/>
        </w:rPr>
        <w:t>项目</w:t>
      </w:r>
      <w:r>
        <w:rPr>
          <w:rFonts w:hint="eastAsia" w:asciiTheme="minorEastAsia" w:hAnsiTheme="minorEastAsia" w:eastAsiaTheme="minorEastAsia"/>
          <w:color w:val="auto"/>
          <w:sz w:val="28"/>
          <w:szCs w:val="28"/>
        </w:rPr>
        <w:t>支出。</w:t>
      </w:r>
    </w:p>
    <w:p>
      <w:pPr>
        <w:pStyle w:val="13"/>
        <w:numPr>
          <w:ilvl w:val="-1"/>
          <w:numId w:val="0"/>
        </w:numPr>
        <w:tabs>
          <w:tab w:val="left" w:pos="0"/>
        </w:tabs>
        <w:ind w:left="800" w:firstLine="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10、</w:t>
      </w:r>
      <w:r>
        <w:rPr>
          <w:rFonts w:hint="eastAsia" w:asciiTheme="minorEastAsia" w:hAnsiTheme="minorEastAsia" w:eastAsiaTheme="minorEastAsia"/>
          <w:color w:val="auto"/>
          <w:sz w:val="28"/>
          <w:szCs w:val="28"/>
        </w:rPr>
        <w:t>节能环保支出（类）污染防治（款）土壤（项）。</w:t>
      </w:r>
    </w:p>
    <w:p>
      <w:pPr>
        <w:pStyle w:val="13"/>
        <w:tabs>
          <w:tab w:val="left" w:pos="0"/>
        </w:tabs>
        <w:ind w:firstLine="742" w:firstLineChars="265"/>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支出决算206.7万元，年初预算未安排，</w:t>
      </w:r>
      <w:r>
        <w:rPr>
          <w:rFonts w:hint="eastAsia" w:asciiTheme="minorEastAsia" w:hAnsiTheme="minorEastAsia" w:eastAsiaTheme="minorEastAsia"/>
          <w:color w:val="auto"/>
          <w:sz w:val="28"/>
          <w:szCs w:val="28"/>
          <w:lang w:val="en-US" w:eastAsia="zh-CN"/>
        </w:rPr>
        <w:t>增加原因</w:t>
      </w:r>
      <w:r>
        <w:rPr>
          <w:rFonts w:hint="eastAsia" w:asciiTheme="minorEastAsia" w:hAnsiTheme="minorEastAsia" w:eastAsiaTheme="minorEastAsia"/>
          <w:color w:val="auto"/>
          <w:sz w:val="28"/>
          <w:szCs w:val="28"/>
        </w:rPr>
        <w:t>主要为年中追加安排的</w:t>
      </w:r>
      <w:r>
        <w:rPr>
          <w:rFonts w:hint="eastAsia" w:asciiTheme="minorEastAsia" w:hAnsiTheme="minorEastAsia" w:eastAsiaTheme="minorEastAsia"/>
          <w:color w:val="auto"/>
          <w:sz w:val="28"/>
          <w:szCs w:val="28"/>
          <w:lang w:val="en-US" w:eastAsia="zh-CN"/>
        </w:rPr>
        <w:t>项目支出</w:t>
      </w:r>
      <w:r>
        <w:rPr>
          <w:rFonts w:hint="eastAsia" w:asciiTheme="minorEastAsia" w:hAnsiTheme="minorEastAsia" w:eastAsiaTheme="minorEastAsia"/>
          <w:color w:val="auto"/>
          <w:sz w:val="28"/>
          <w:szCs w:val="28"/>
        </w:rPr>
        <w:t>支出。</w:t>
      </w:r>
    </w:p>
    <w:p>
      <w:pPr>
        <w:pStyle w:val="13"/>
        <w:numPr>
          <w:ilvl w:val="-1"/>
          <w:numId w:val="0"/>
        </w:numPr>
        <w:tabs>
          <w:tab w:val="left" w:pos="0"/>
        </w:tabs>
        <w:ind w:left="851" w:firstLine="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11、</w:t>
      </w:r>
      <w:r>
        <w:rPr>
          <w:rFonts w:hint="eastAsia" w:asciiTheme="minorEastAsia" w:hAnsiTheme="minorEastAsia" w:eastAsiaTheme="minorEastAsia"/>
          <w:color w:val="auto"/>
          <w:sz w:val="28"/>
          <w:szCs w:val="28"/>
        </w:rPr>
        <w:t>节能环保支出（类）污染防治（款）其他污染防治支出（项）。</w:t>
      </w:r>
    </w:p>
    <w:p>
      <w:pPr>
        <w:pStyle w:val="13"/>
        <w:tabs>
          <w:tab w:val="left" w:pos="0"/>
        </w:tabs>
        <w:ind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年初预算</w:t>
      </w:r>
      <w:r>
        <w:rPr>
          <w:rFonts w:hint="eastAsia" w:asciiTheme="minorEastAsia" w:hAnsiTheme="minorEastAsia" w:eastAsiaTheme="minorEastAsia"/>
          <w:color w:val="auto"/>
          <w:sz w:val="28"/>
          <w:szCs w:val="28"/>
          <w:lang w:val="en-US" w:eastAsia="zh-CN"/>
        </w:rPr>
        <w:t>160</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val="en-US" w:eastAsia="zh-CN"/>
        </w:rPr>
        <w:t>4万元，</w:t>
      </w:r>
      <w:r>
        <w:rPr>
          <w:rFonts w:hint="eastAsia" w:asciiTheme="minorEastAsia" w:hAnsiTheme="minorEastAsia" w:eastAsiaTheme="minorEastAsia"/>
          <w:color w:val="auto"/>
          <w:sz w:val="28"/>
          <w:szCs w:val="28"/>
        </w:rPr>
        <w:t>支出决算为301.52万元，</w:t>
      </w:r>
      <w:r>
        <w:rPr>
          <w:rFonts w:hint="eastAsia" w:asciiTheme="minorEastAsia" w:hAnsiTheme="minorEastAsia" w:eastAsiaTheme="minorEastAsia"/>
          <w:color w:val="auto"/>
          <w:sz w:val="28"/>
          <w:szCs w:val="28"/>
          <w:lang w:val="en-US" w:eastAsia="zh-CN"/>
        </w:rPr>
        <w:t>完成年初预算的187.98%，决算数大于</w:t>
      </w:r>
      <w:r>
        <w:rPr>
          <w:rFonts w:hint="eastAsia" w:asciiTheme="minorEastAsia" w:hAnsiTheme="minorEastAsia" w:eastAsiaTheme="minorEastAsia"/>
          <w:color w:val="auto"/>
          <w:sz w:val="28"/>
          <w:szCs w:val="28"/>
        </w:rPr>
        <w:t>年初预算</w:t>
      </w:r>
      <w:r>
        <w:rPr>
          <w:rFonts w:hint="eastAsia" w:asciiTheme="minorEastAsia" w:hAnsiTheme="minorEastAsia" w:eastAsiaTheme="minorEastAsia"/>
          <w:color w:val="auto"/>
          <w:sz w:val="28"/>
          <w:szCs w:val="28"/>
          <w:lang w:val="en-US" w:eastAsia="zh-CN"/>
        </w:rPr>
        <w:t>数，增加原因</w:t>
      </w:r>
      <w:r>
        <w:rPr>
          <w:rFonts w:hint="eastAsia" w:asciiTheme="minorEastAsia" w:hAnsiTheme="minorEastAsia" w:eastAsiaTheme="minorEastAsia"/>
          <w:color w:val="auto"/>
          <w:sz w:val="28"/>
          <w:szCs w:val="28"/>
        </w:rPr>
        <w:t>主要</w:t>
      </w:r>
      <w:r>
        <w:rPr>
          <w:rFonts w:hint="eastAsia" w:asciiTheme="minorEastAsia" w:hAnsiTheme="minorEastAsia" w:eastAsiaTheme="minorEastAsia"/>
          <w:color w:val="auto"/>
          <w:sz w:val="28"/>
          <w:szCs w:val="28"/>
          <w:lang w:val="en-US" w:eastAsia="zh-CN"/>
        </w:rPr>
        <w:t>为</w:t>
      </w:r>
      <w:r>
        <w:rPr>
          <w:rFonts w:hint="eastAsia" w:asciiTheme="minorEastAsia" w:hAnsiTheme="minorEastAsia" w:eastAsiaTheme="minorEastAsia"/>
          <w:color w:val="auto"/>
          <w:sz w:val="28"/>
          <w:szCs w:val="28"/>
        </w:rPr>
        <w:t>年中追加</w:t>
      </w:r>
      <w:r>
        <w:rPr>
          <w:rFonts w:hint="eastAsia" w:asciiTheme="minorEastAsia" w:hAnsiTheme="minorEastAsia" w:eastAsiaTheme="minorEastAsia"/>
          <w:color w:val="auto"/>
          <w:sz w:val="28"/>
          <w:szCs w:val="28"/>
          <w:lang w:val="en-US" w:eastAsia="zh-CN"/>
        </w:rPr>
        <w:t>中央土壤污染防治专项</w:t>
      </w:r>
      <w:r>
        <w:rPr>
          <w:rFonts w:hint="eastAsia" w:asciiTheme="minorEastAsia" w:hAnsiTheme="minorEastAsia" w:eastAsiaTheme="minorEastAsia"/>
          <w:color w:val="auto"/>
          <w:sz w:val="28"/>
          <w:szCs w:val="28"/>
        </w:rPr>
        <w:t>资金。</w:t>
      </w:r>
    </w:p>
    <w:p>
      <w:pPr>
        <w:pStyle w:val="13"/>
        <w:numPr>
          <w:ilvl w:val="-1"/>
          <w:numId w:val="0"/>
        </w:numPr>
        <w:tabs>
          <w:tab w:val="left" w:pos="0"/>
        </w:tabs>
        <w:ind w:left="0" w:firstLine="840" w:firstLineChars="3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12、</w:t>
      </w:r>
      <w:r>
        <w:rPr>
          <w:rFonts w:hint="eastAsia" w:asciiTheme="minorEastAsia" w:hAnsiTheme="minorEastAsia" w:eastAsiaTheme="minorEastAsia"/>
          <w:color w:val="auto"/>
          <w:sz w:val="28"/>
          <w:szCs w:val="28"/>
        </w:rPr>
        <w:t>节能环保支出（类）污染减排（款）生态环境监测与信息（项）。</w:t>
      </w:r>
    </w:p>
    <w:p>
      <w:pPr>
        <w:pStyle w:val="13"/>
        <w:tabs>
          <w:tab w:val="left" w:pos="0"/>
        </w:tabs>
        <w:ind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年初预算</w:t>
      </w:r>
      <w:r>
        <w:rPr>
          <w:rFonts w:hint="eastAsia" w:asciiTheme="minorEastAsia" w:hAnsiTheme="minorEastAsia" w:eastAsiaTheme="minorEastAsia"/>
          <w:color w:val="auto"/>
          <w:sz w:val="28"/>
          <w:szCs w:val="28"/>
          <w:lang w:val="en-US" w:eastAsia="zh-CN"/>
        </w:rPr>
        <w:t>1067.9万元，</w:t>
      </w:r>
      <w:r>
        <w:rPr>
          <w:rFonts w:hint="eastAsia" w:asciiTheme="minorEastAsia" w:hAnsiTheme="minorEastAsia" w:eastAsiaTheme="minorEastAsia"/>
          <w:color w:val="auto"/>
          <w:sz w:val="28"/>
          <w:szCs w:val="28"/>
        </w:rPr>
        <w:t>支出决算为</w:t>
      </w:r>
      <w:r>
        <w:rPr>
          <w:rFonts w:hint="eastAsia" w:asciiTheme="minorEastAsia" w:hAnsiTheme="minorEastAsia" w:eastAsiaTheme="minorEastAsia"/>
          <w:color w:val="auto"/>
          <w:sz w:val="28"/>
          <w:szCs w:val="28"/>
          <w:lang w:val="en-US" w:eastAsia="zh-CN"/>
        </w:rPr>
        <w:t>115.38</w:t>
      </w:r>
      <w:r>
        <w:rPr>
          <w:rFonts w:hint="eastAsia" w:asciiTheme="minorEastAsia" w:hAnsiTheme="minorEastAsia" w:eastAsiaTheme="minorEastAsia"/>
          <w:color w:val="auto"/>
          <w:sz w:val="28"/>
          <w:szCs w:val="28"/>
        </w:rPr>
        <w:t>万元，</w:t>
      </w:r>
      <w:r>
        <w:rPr>
          <w:rFonts w:hint="eastAsia" w:asciiTheme="minorEastAsia" w:hAnsiTheme="minorEastAsia" w:eastAsiaTheme="minorEastAsia"/>
          <w:color w:val="auto"/>
          <w:sz w:val="28"/>
          <w:szCs w:val="28"/>
          <w:lang w:val="en-US" w:eastAsia="zh-CN"/>
        </w:rPr>
        <w:t>完成年初预算的10.80%，决算数小于</w:t>
      </w:r>
      <w:r>
        <w:rPr>
          <w:rFonts w:hint="eastAsia" w:asciiTheme="minorEastAsia" w:hAnsiTheme="minorEastAsia" w:eastAsiaTheme="minorEastAsia"/>
          <w:color w:val="auto"/>
          <w:sz w:val="28"/>
          <w:szCs w:val="28"/>
        </w:rPr>
        <w:t>年初预算</w:t>
      </w:r>
      <w:r>
        <w:rPr>
          <w:rFonts w:hint="eastAsia" w:asciiTheme="minorEastAsia" w:hAnsiTheme="minorEastAsia" w:eastAsiaTheme="minorEastAsia"/>
          <w:color w:val="auto"/>
          <w:sz w:val="28"/>
          <w:szCs w:val="28"/>
          <w:lang w:val="en-US" w:eastAsia="zh-CN"/>
        </w:rPr>
        <w:t>数的原因：</w:t>
      </w:r>
      <w:bookmarkStart w:id="3" w:name="_GoBack"/>
      <w:bookmarkEnd w:id="3"/>
      <w:r>
        <w:rPr>
          <w:rFonts w:hint="eastAsia" w:asciiTheme="minorEastAsia" w:hAnsiTheme="minorEastAsia" w:eastAsiaTheme="minorEastAsia"/>
          <w:color w:val="auto"/>
          <w:sz w:val="28"/>
          <w:szCs w:val="28"/>
          <w:lang w:val="en-US" w:eastAsia="zh-CN"/>
        </w:rPr>
        <w:t>建设项目整体概算在2021年度未获得批复，无法启动政府采购等原因</w:t>
      </w:r>
      <w:r>
        <w:rPr>
          <w:rFonts w:hint="eastAsia" w:asciiTheme="minorEastAsia" w:hAnsiTheme="minorEastAsia" w:eastAsiaTheme="minorEastAsia"/>
          <w:color w:val="auto"/>
          <w:sz w:val="28"/>
          <w:szCs w:val="28"/>
        </w:rPr>
        <w:t>。</w:t>
      </w:r>
    </w:p>
    <w:p>
      <w:pPr>
        <w:pStyle w:val="13"/>
        <w:numPr>
          <w:ilvl w:val="-1"/>
          <w:numId w:val="0"/>
        </w:numPr>
        <w:tabs>
          <w:tab w:val="left" w:pos="0"/>
        </w:tabs>
        <w:ind w:left="556" w:leftChars="265" w:firstLine="0" w:firstLineChars="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13、</w:t>
      </w:r>
      <w:r>
        <w:rPr>
          <w:rFonts w:hint="eastAsia" w:asciiTheme="minorEastAsia" w:hAnsiTheme="minorEastAsia" w:eastAsiaTheme="minorEastAsia"/>
          <w:color w:val="auto"/>
          <w:sz w:val="28"/>
          <w:szCs w:val="28"/>
        </w:rPr>
        <w:t>住房保障支出（类）住房改革支出（款）住房公积金（项）。</w:t>
      </w:r>
    </w:p>
    <w:p>
      <w:pPr>
        <w:pStyle w:val="13"/>
        <w:tabs>
          <w:tab w:val="left" w:pos="0"/>
        </w:tabs>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年初预算为</w:t>
      </w:r>
      <w:r>
        <w:rPr>
          <w:rFonts w:hint="eastAsia" w:asciiTheme="minorEastAsia" w:hAnsiTheme="minorEastAsia" w:eastAsiaTheme="minorEastAsia"/>
          <w:color w:val="auto"/>
          <w:sz w:val="28"/>
          <w:szCs w:val="28"/>
          <w:lang w:val="en-US" w:eastAsia="zh-CN"/>
        </w:rPr>
        <w:t>207.41</w:t>
      </w:r>
      <w:r>
        <w:rPr>
          <w:rFonts w:hint="eastAsia" w:asciiTheme="minorEastAsia" w:hAnsiTheme="minorEastAsia" w:eastAsiaTheme="minorEastAsia"/>
          <w:color w:val="auto"/>
          <w:sz w:val="28"/>
          <w:szCs w:val="28"/>
        </w:rPr>
        <w:t>万元，支出决算为207.41万元，完成年初预算的</w:t>
      </w:r>
      <w:r>
        <w:rPr>
          <w:rFonts w:hint="eastAsia" w:asciiTheme="minorEastAsia" w:hAnsiTheme="minorEastAsia" w:eastAsiaTheme="minorEastAsia"/>
          <w:color w:val="auto"/>
          <w:sz w:val="28"/>
          <w:szCs w:val="28"/>
          <w:lang w:val="en-US" w:eastAsia="zh-CN"/>
        </w:rPr>
        <w:t>100</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决算数与预算数一致，我单位人员未变化，严格按预算执行。</w:t>
      </w:r>
    </w:p>
    <w:p>
      <w:pPr>
        <w:pStyle w:val="13"/>
        <w:rPr>
          <w:rFonts w:hAnsi="黑体"/>
          <w:b/>
          <w:color w:val="auto"/>
          <w:sz w:val="32"/>
          <w:szCs w:val="32"/>
        </w:rPr>
      </w:pPr>
      <w:r>
        <w:rPr>
          <w:rFonts w:hint="eastAsia" w:hAnsi="黑体"/>
          <w:b/>
          <w:color w:val="auto"/>
          <w:sz w:val="32"/>
          <w:szCs w:val="32"/>
        </w:rPr>
        <w:t>六、一般公共预算财政拨款基本支出决算情况说明</w:t>
      </w:r>
    </w:p>
    <w:p>
      <w:pPr>
        <w:pStyle w:val="13"/>
        <w:ind w:firstLine="618" w:firstLineChars="221"/>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年度财政拨款基本支出</w:t>
      </w:r>
      <w:r>
        <w:rPr>
          <w:rFonts w:hint="eastAsia" w:asciiTheme="minorEastAsia" w:hAnsiTheme="minorEastAsia" w:eastAsiaTheme="minorEastAsia"/>
          <w:color w:val="auto"/>
          <w:sz w:val="28"/>
          <w:szCs w:val="28"/>
          <w:lang w:val="en-US" w:eastAsia="zh-CN"/>
        </w:rPr>
        <w:t>决算为</w:t>
      </w:r>
      <w:r>
        <w:rPr>
          <w:rFonts w:hint="eastAsia" w:asciiTheme="minorEastAsia" w:hAnsiTheme="minorEastAsia" w:eastAsiaTheme="minorEastAsia"/>
          <w:color w:val="auto"/>
          <w:sz w:val="28"/>
          <w:szCs w:val="28"/>
        </w:rPr>
        <w:t>3260.04万元，其中：人员经费2509.28万元，占基本支出的</w:t>
      </w:r>
      <w:r>
        <w:rPr>
          <w:rFonts w:hint="eastAsia" w:asciiTheme="minorEastAsia" w:hAnsiTheme="minorEastAsia" w:eastAsiaTheme="minorEastAsia"/>
          <w:color w:val="auto"/>
          <w:sz w:val="28"/>
          <w:szCs w:val="28"/>
          <w:lang w:val="en-US" w:eastAsia="zh-CN"/>
        </w:rPr>
        <w:t>76.97</w:t>
      </w:r>
      <w:r>
        <w:rPr>
          <w:rFonts w:hint="eastAsia" w:asciiTheme="minorEastAsia" w:hAnsiTheme="minorEastAsia" w:eastAsiaTheme="minorEastAsia"/>
          <w:color w:val="auto"/>
          <w:sz w:val="28"/>
          <w:szCs w:val="28"/>
        </w:rPr>
        <w:t>%,主要包括基本工资、津贴补贴、奖金、</w:t>
      </w:r>
      <w:r>
        <w:rPr>
          <w:rFonts w:hint="eastAsia" w:asciiTheme="minorEastAsia" w:hAnsiTheme="minorEastAsia" w:eastAsiaTheme="minorEastAsia"/>
          <w:color w:val="auto"/>
          <w:sz w:val="28"/>
          <w:szCs w:val="28"/>
          <w:lang w:val="en-US" w:eastAsia="zh-CN"/>
        </w:rPr>
        <w:t>绩效工资、</w:t>
      </w:r>
      <w:r>
        <w:rPr>
          <w:rFonts w:hint="eastAsia" w:asciiTheme="minorEastAsia" w:hAnsiTheme="minorEastAsia" w:eastAsiaTheme="minorEastAsia"/>
          <w:color w:val="auto"/>
          <w:sz w:val="28"/>
          <w:szCs w:val="28"/>
        </w:rPr>
        <w:t>机关事业单位基本养老保险缴费、职工基本医疗保险缴费、住房公积金、退休费</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奖励金、医疗费、伙食补助、 其他工资福利支出</w:t>
      </w:r>
      <w:r>
        <w:rPr>
          <w:rFonts w:hint="eastAsia" w:asciiTheme="minorEastAsia" w:hAnsiTheme="minorEastAsia" w:eastAsiaTheme="minorEastAsia"/>
          <w:color w:val="auto"/>
          <w:sz w:val="28"/>
          <w:szCs w:val="28"/>
        </w:rPr>
        <w:t>；公用经费</w:t>
      </w:r>
      <w:r>
        <w:rPr>
          <w:rFonts w:hint="eastAsia" w:asciiTheme="minorEastAsia" w:hAnsiTheme="minorEastAsia" w:eastAsiaTheme="minorEastAsia"/>
          <w:color w:val="auto"/>
          <w:sz w:val="28"/>
          <w:szCs w:val="28"/>
          <w:lang w:val="en-US" w:eastAsia="zh-CN"/>
        </w:rPr>
        <w:t>750.76</w:t>
      </w:r>
      <w:r>
        <w:rPr>
          <w:rFonts w:hint="eastAsia" w:asciiTheme="minorEastAsia" w:hAnsiTheme="minorEastAsia" w:eastAsiaTheme="minorEastAsia"/>
          <w:color w:val="auto"/>
          <w:sz w:val="28"/>
          <w:szCs w:val="28"/>
        </w:rPr>
        <w:t>万元，占基本支出的</w:t>
      </w:r>
      <w:r>
        <w:rPr>
          <w:rFonts w:hint="eastAsia" w:asciiTheme="minorEastAsia" w:hAnsiTheme="minorEastAsia" w:eastAsiaTheme="minorEastAsia"/>
          <w:color w:val="auto"/>
          <w:sz w:val="28"/>
          <w:szCs w:val="28"/>
          <w:lang w:val="en-US" w:eastAsia="zh-CN"/>
        </w:rPr>
        <w:t>23.03</w:t>
      </w:r>
      <w:r>
        <w:rPr>
          <w:rFonts w:hint="eastAsia" w:asciiTheme="minorEastAsia" w:hAnsiTheme="minorEastAsia" w:eastAsiaTheme="minorEastAsia"/>
          <w:color w:val="auto"/>
          <w:sz w:val="28"/>
          <w:szCs w:val="28"/>
        </w:rPr>
        <w:t>%，主要包括办公费、印刷费、水费、电费、取暖费、物业费、差旅费、维修（护）费、劳务费、</w:t>
      </w:r>
      <w:r>
        <w:rPr>
          <w:rFonts w:hint="eastAsia" w:asciiTheme="minorEastAsia" w:hAnsiTheme="minorEastAsia" w:eastAsiaTheme="minorEastAsia"/>
          <w:color w:val="auto"/>
          <w:sz w:val="28"/>
          <w:szCs w:val="28"/>
          <w:lang w:val="en-US" w:eastAsia="zh-CN"/>
        </w:rPr>
        <w:t>手续费、</w:t>
      </w:r>
      <w:r>
        <w:rPr>
          <w:rFonts w:hint="eastAsia" w:asciiTheme="minorEastAsia" w:hAnsiTheme="minorEastAsia" w:eastAsiaTheme="minorEastAsia"/>
          <w:color w:val="auto"/>
          <w:sz w:val="28"/>
          <w:szCs w:val="28"/>
        </w:rPr>
        <w:t>工会经费、福利费、其他交通费用、其他商品与服务支出。</w:t>
      </w:r>
    </w:p>
    <w:p>
      <w:pPr>
        <w:pStyle w:val="13"/>
        <w:rPr>
          <w:rFonts w:hAnsi="黑体"/>
          <w:b/>
          <w:color w:val="auto"/>
          <w:sz w:val="32"/>
          <w:szCs w:val="32"/>
        </w:rPr>
      </w:pPr>
      <w:r>
        <w:rPr>
          <w:rFonts w:hint="eastAsia" w:hAnsi="黑体"/>
          <w:b/>
          <w:color w:val="auto"/>
          <w:sz w:val="32"/>
          <w:szCs w:val="32"/>
        </w:rPr>
        <w:t>七、一般公共预算财政拨款三公经费支出决算情况说明</w:t>
      </w:r>
    </w:p>
    <w:p>
      <w:pPr>
        <w:pStyle w:val="13"/>
        <w:rPr>
          <w:rFonts w:asciiTheme="minorEastAsia" w:hAnsiTheme="minorEastAsia" w:eastAsiaTheme="minorEastAsia"/>
          <w:b/>
          <w:bCs/>
          <w:color w:val="auto"/>
          <w:sz w:val="28"/>
          <w:szCs w:val="28"/>
        </w:rPr>
      </w:pPr>
      <w:r>
        <w:rPr>
          <w:rFonts w:hint="eastAsia" w:asciiTheme="minorEastAsia" w:hAnsiTheme="minorEastAsia" w:eastAsiaTheme="minorEastAsia"/>
          <w:b/>
          <w:bCs/>
          <w:color w:val="auto"/>
          <w:sz w:val="28"/>
          <w:szCs w:val="28"/>
        </w:rPr>
        <w:t>（一）“ 三公” 经费财政拨款支出决算总体情况说明</w:t>
      </w:r>
    </w:p>
    <w:p>
      <w:pPr>
        <w:pStyle w:val="13"/>
        <w:ind w:firstLine="742" w:firstLineChars="265"/>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“三公”经费财政拨款支出预算为</w:t>
      </w:r>
      <w:r>
        <w:rPr>
          <w:rFonts w:hint="eastAsia" w:asciiTheme="minorEastAsia" w:hAnsiTheme="minorEastAsia" w:eastAsiaTheme="minorEastAsia"/>
          <w:color w:val="auto"/>
          <w:sz w:val="28"/>
          <w:szCs w:val="28"/>
          <w:lang w:val="en-US" w:eastAsia="zh-CN"/>
        </w:rPr>
        <w:t>54</w:t>
      </w:r>
      <w:r>
        <w:rPr>
          <w:rFonts w:hint="eastAsia" w:asciiTheme="minorEastAsia" w:hAnsiTheme="minorEastAsia" w:eastAsiaTheme="minorEastAsia"/>
          <w:color w:val="auto"/>
          <w:sz w:val="28"/>
          <w:szCs w:val="28"/>
        </w:rPr>
        <w:t>.00万元，支出决算为</w:t>
      </w:r>
      <w:r>
        <w:rPr>
          <w:rFonts w:hint="eastAsia" w:asciiTheme="minorEastAsia" w:hAnsiTheme="minorEastAsia" w:eastAsiaTheme="minorEastAsia"/>
          <w:color w:val="auto"/>
          <w:sz w:val="28"/>
          <w:szCs w:val="28"/>
          <w:lang w:val="en-US" w:eastAsia="zh-CN"/>
        </w:rPr>
        <w:t>54</w:t>
      </w:r>
      <w:r>
        <w:rPr>
          <w:rFonts w:hint="eastAsia" w:asciiTheme="minorEastAsia" w:hAnsiTheme="minorEastAsia" w:eastAsiaTheme="minorEastAsia"/>
          <w:color w:val="auto"/>
          <w:sz w:val="28"/>
          <w:szCs w:val="28"/>
        </w:rPr>
        <w:t>.00万元，完成预算的100%，其中：</w:t>
      </w:r>
    </w:p>
    <w:p>
      <w:pPr>
        <w:pStyle w:val="13"/>
        <w:keepNext w:val="0"/>
        <w:keepLines w:val="0"/>
        <w:pageBreakBefore w:val="0"/>
        <w:widowControl w:val="0"/>
        <w:kinsoku/>
        <w:wordWrap/>
        <w:overflowPunct/>
        <w:topLinePunct w:val="0"/>
        <w:autoSpaceDE w:val="0"/>
        <w:autoSpaceDN w:val="0"/>
        <w:bidi w:val="0"/>
        <w:adjustRightInd w:val="0"/>
        <w:snapToGrid/>
        <w:ind w:left="210" w:leftChars="100" w:firstLine="736" w:firstLineChars="263"/>
        <w:textAlignment w:val="auto"/>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因公出国（境）费支出预算为0万元，支出决算为0万元，</w:t>
      </w:r>
      <w:r>
        <w:rPr>
          <w:rFonts w:hint="eastAsia" w:asciiTheme="minorEastAsia" w:hAnsiTheme="minorEastAsia" w:eastAsiaTheme="minorEastAsia"/>
          <w:color w:val="auto"/>
          <w:sz w:val="28"/>
          <w:szCs w:val="28"/>
          <w:highlight w:val="none"/>
        </w:rPr>
        <w:t>决算数等于预算数的</w:t>
      </w:r>
      <w:r>
        <w:rPr>
          <w:rFonts w:hint="eastAsia" w:asciiTheme="minorEastAsia" w:hAnsiTheme="minorEastAsia" w:eastAsiaTheme="minorEastAsia"/>
          <w:color w:val="auto"/>
          <w:sz w:val="28"/>
          <w:szCs w:val="28"/>
          <w:highlight w:val="none"/>
          <w:lang w:val="en-US" w:eastAsia="zh-CN"/>
        </w:rPr>
        <w:t>原因</w:t>
      </w:r>
      <w:r>
        <w:rPr>
          <w:rFonts w:hint="eastAsia" w:asciiTheme="minorEastAsia" w:hAnsiTheme="minorEastAsia" w:eastAsiaTheme="minorEastAsia"/>
          <w:color w:val="auto"/>
          <w:sz w:val="28"/>
          <w:szCs w:val="28"/>
          <w:highlight w:val="none"/>
        </w:rPr>
        <w:t>主要是疫情影响，今年未安排出国出境</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highlight w:val="none"/>
        </w:rPr>
        <w:t>与上年相比无变化，主要原因是主要是疫情影响，今年及去年均未安排出国出境</w:t>
      </w:r>
      <w:r>
        <w:rPr>
          <w:rFonts w:hint="eastAsia" w:asciiTheme="minorEastAsia" w:hAnsiTheme="minorEastAsia" w:eastAsiaTheme="minorEastAsia"/>
          <w:color w:val="auto"/>
          <w:sz w:val="28"/>
          <w:szCs w:val="28"/>
        </w:rPr>
        <w:t>。</w:t>
      </w:r>
    </w:p>
    <w:p>
      <w:pPr>
        <w:pStyle w:val="13"/>
        <w:keepNext w:val="0"/>
        <w:keepLines w:val="0"/>
        <w:pageBreakBefore w:val="0"/>
        <w:widowControl w:val="0"/>
        <w:kinsoku/>
        <w:wordWrap/>
        <w:overflowPunct/>
        <w:topLinePunct w:val="0"/>
        <w:autoSpaceDE w:val="0"/>
        <w:autoSpaceDN w:val="0"/>
        <w:bidi w:val="0"/>
        <w:adjustRightInd w:val="0"/>
        <w:snapToGrid/>
        <w:ind w:left="210" w:leftChars="100" w:firstLine="736" w:firstLineChars="263"/>
        <w:textAlignment w:val="auto"/>
        <w:rPr>
          <w:rFonts w:hint="default"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rPr>
        <w:t>公务接待费支出预算为</w:t>
      </w: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万元，支出决算为</w:t>
      </w: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万元，完成预算的100%，</w:t>
      </w:r>
      <w:r>
        <w:rPr>
          <w:rFonts w:hint="eastAsia" w:asciiTheme="minorEastAsia" w:hAnsiTheme="minorEastAsia" w:eastAsiaTheme="minorEastAsia"/>
          <w:color w:val="auto"/>
          <w:sz w:val="28"/>
          <w:szCs w:val="28"/>
          <w:lang w:val="en-US" w:eastAsia="zh-CN"/>
        </w:rPr>
        <w:t>决算数与预算一致，我单位严格执行预算。</w:t>
      </w:r>
      <w:r>
        <w:rPr>
          <w:rFonts w:hint="eastAsia" w:asciiTheme="minorEastAsia" w:hAnsiTheme="minorEastAsia" w:eastAsiaTheme="minorEastAsia"/>
          <w:color w:val="auto"/>
          <w:sz w:val="28"/>
          <w:szCs w:val="28"/>
        </w:rPr>
        <w:t>与上年</w:t>
      </w:r>
      <w:r>
        <w:rPr>
          <w:rFonts w:hint="eastAsia" w:asciiTheme="minorEastAsia" w:hAnsiTheme="minorEastAsia" w:eastAsiaTheme="minorEastAsia"/>
          <w:color w:val="auto"/>
          <w:sz w:val="28"/>
          <w:szCs w:val="28"/>
          <w:lang w:val="en-US" w:eastAsia="zh-CN"/>
        </w:rPr>
        <w:t>决算数</w:t>
      </w:r>
      <w:r>
        <w:rPr>
          <w:rFonts w:hint="eastAsia" w:asciiTheme="minorEastAsia" w:hAnsiTheme="minorEastAsia" w:eastAsiaTheme="minorEastAsia"/>
          <w:color w:val="auto"/>
          <w:sz w:val="28"/>
          <w:szCs w:val="28"/>
        </w:rPr>
        <w:t>相比增加</w:t>
      </w:r>
      <w:r>
        <w:rPr>
          <w:rFonts w:hint="eastAsia" w:asciiTheme="minorEastAsia" w:hAnsiTheme="minorEastAsia" w:eastAsiaTheme="minorEastAsia"/>
          <w:color w:val="auto"/>
          <w:sz w:val="28"/>
          <w:szCs w:val="28"/>
          <w:lang w:val="en-US" w:eastAsia="zh-CN"/>
        </w:rPr>
        <w:t>2</w:t>
      </w:r>
      <w:r>
        <w:rPr>
          <w:rFonts w:hint="eastAsia" w:asciiTheme="minorEastAsia" w:hAnsiTheme="minorEastAsia" w:eastAsiaTheme="minorEastAsia"/>
          <w:color w:val="auto"/>
          <w:sz w:val="28"/>
          <w:szCs w:val="28"/>
        </w:rPr>
        <w:t>万元，增加</w:t>
      </w:r>
      <w:r>
        <w:rPr>
          <w:rFonts w:hint="eastAsia" w:asciiTheme="minorEastAsia" w:hAnsiTheme="minorEastAsia" w:eastAsiaTheme="minorEastAsia"/>
          <w:color w:val="auto"/>
          <w:sz w:val="28"/>
          <w:szCs w:val="28"/>
          <w:lang w:val="en-US" w:eastAsia="zh-CN"/>
        </w:rPr>
        <w:t>50</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val="en-US" w:eastAsia="zh-CN"/>
        </w:rPr>
        <w:t>增加的主要原因为由于省市垂管改革，管理业务工作增加。</w:t>
      </w:r>
    </w:p>
    <w:p>
      <w:pPr>
        <w:pStyle w:val="13"/>
        <w:ind w:firstLine="840" w:firstLineChars="300"/>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rPr>
        <w:t>公务用车购置费预算为</w:t>
      </w:r>
      <w:r>
        <w:rPr>
          <w:rFonts w:hint="eastAsia" w:asciiTheme="minorEastAsia" w:hAnsiTheme="minorEastAsia" w:eastAsiaTheme="minorEastAsia"/>
          <w:color w:val="auto"/>
          <w:sz w:val="28"/>
          <w:szCs w:val="28"/>
          <w:lang w:val="en-US" w:eastAsia="zh-CN"/>
        </w:rPr>
        <w:t>18</w:t>
      </w:r>
      <w:r>
        <w:rPr>
          <w:rFonts w:hint="eastAsia" w:asciiTheme="minorEastAsia" w:hAnsiTheme="minorEastAsia" w:eastAsiaTheme="minorEastAsia"/>
          <w:color w:val="auto"/>
          <w:sz w:val="28"/>
          <w:szCs w:val="28"/>
        </w:rPr>
        <w:t>万元，支出决算为</w:t>
      </w:r>
      <w:r>
        <w:rPr>
          <w:rFonts w:hint="eastAsia" w:asciiTheme="minorEastAsia" w:hAnsiTheme="minorEastAsia" w:eastAsiaTheme="minorEastAsia"/>
          <w:color w:val="auto"/>
          <w:sz w:val="28"/>
          <w:szCs w:val="28"/>
          <w:lang w:val="en-US" w:eastAsia="zh-CN"/>
        </w:rPr>
        <w:t>18</w:t>
      </w:r>
      <w:r>
        <w:rPr>
          <w:rFonts w:hint="eastAsia" w:asciiTheme="minorEastAsia" w:hAnsiTheme="minorEastAsia" w:eastAsiaTheme="minorEastAsia"/>
          <w:color w:val="auto"/>
          <w:sz w:val="28"/>
          <w:szCs w:val="28"/>
        </w:rPr>
        <w:t>万元，完成预算的100%，</w:t>
      </w:r>
      <w:r>
        <w:rPr>
          <w:rFonts w:hint="eastAsia" w:asciiTheme="minorEastAsia" w:hAnsiTheme="minorEastAsia" w:eastAsiaTheme="minorEastAsia"/>
          <w:color w:val="auto"/>
          <w:sz w:val="28"/>
          <w:szCs w:val="28"/>
          <w:lang w:val="en-US" w:eastAsia="zh-CN"/>
        </w:rPr>
        <w:t>决算数与预算一致，我单位严格执行预算。</w:t>
      </w:r>
      <w:r>
        <w:rPr>
          <w:rFonts w:hint="eastAsia" w:asciiTheme="minorEastAsia" w:hAnsiTheme="minorEastAsia" w:eastAsiaTheme="minorEastAsia"/>
          <w:color w:val="auto"/>
          <w:sz w:val="28"/>
          <w:szCs w:val="28"/>
        </w:rPr>
        <w:t>与上年</w:t>
      </w:r>
      <w:r>
        <w:rPr>
          <w:rFonts w:hint="eastAsia" w:asciiTheme="minorEastAsia" w:hAnsiTheme="minorEastAsia" w:eastAsiaTheme="minorEastAsia"/>
          <w:color w:val="auto"/>
          <w:sz w:val="28"/>
          <w:szCs w:val="28"/>
          <w:lang w:val="en-US" w:eastAsia="zh-CN"/>
        </w:rPr>
        <w:t>决算数</w:t>
      </w:r>
      <w:r>
        <w:rPr>
          <w:rFonts w:hint="eastAsia" w:asciiTheme="minorEastAsia" w:hAnsiTheme="minorEastAsia" w:eastAsiaTheme="minorEastAsia"/>
          <w:color w:val="auto"/>
          <w:sz w:val="28"/>
          <w:szCs w:val="28"/>
        </w:rPr>
        <w:t>相比</w:t>
      </w:r>
      <w:r>
        <w:rPr>
          <w:rFonts w:hint="eastAsia" w:asciiTheme="minorEastAsia" w:hAnsiTheme="minorEastAsia" w:eastAsiaTheme="minorEastAsia"/>
          <w:color w:val="auto"/>
          <w:sz w:val="28"/>
          <w:szCs w:val="28"/>
          <w:lang w:val="en-US" w:eastAsia="zh-CN"/>
        </w:rPr>
        <w:t>减少7</w:t>
      </w:r>
      <w:r>
        <w:rPr>
          <w:rFonts w:hint="eastAsia" w:asciiTheme="minorEastAsia" w:hAnsiTheme="minorEastAsia" w:eastAsiaTheme="minorEastAsia"/>
          <w:color w:val="auto"/>
          <w:sz w:val="28"/>
          <w:szCs w:val="28"/>
        </w:rPr>
        <w:t>万元，</w:t>
      </w:r>
      <w:r>
        <w:rPr>
          <w:rFonts w:hint="eastAsia" w:asciiTheme="minorEastAsia" w:hAnsiTheme="minorEastAsia" w:eastAsiaTheme="minorEastAsia"/>
          <w:color w:val="auto"/>
          <w:sz w:val="28"/>
          <w:szCs w:val="28"/>
          <w:lang w:val="en-US" w:eastAsia="zh-CN"/>
        </w:rPr>
        <w:t>减少28</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val="en-US" w:eastAsia="zh-CN"/>
        </w:rPr>
        <w:t>减少的</w:t>
      </w:r>
      <w:r>
        <w:rPr>
          <w:rFonts w:hint="eastAsia" w:asciiTheme="minorEastAsia" w:hAnsiTheme="minorEastAsia" w:eastAsiaTheme="minorEastAsia"/>
          <w:color w:val="auto"/>
          <w:sz w:val="28"/>
          <w:szCs w:val="28"/>
        </w:rPr>
        <w:t>主要</w:t>
      </w:r>
      <w:r>
        <w:rPr>
          <w:rFonts w:hint="eastAsia" w:asciiTheme="minorEastAsia" w:hAnsiTheme="minorEastAsia" w:eastAsiaTheme="minorEastAsia"/>
          <w:color w:val="auto"/>
          <w:sz w:val="28"/>
          <w:szCs w:val="28"/>
          <w:lang w:val="en-US" w:eastAsia="zh-CN"/>
        </w:rPr>
        <w:t>原因车辆购置金额较去年减少。</w:t>
      </w:r>
    </w:p>
    <w:p>
      <w:pPr>
        <w:pStyle w:val="13"/>
        <w:ind w:firstLine="840" w:firstLineChars="300"/>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rPr>
        <w:t>公务用车运行费支出预算为</w:t>
      </w:r>
      <w:r>
        <w:rPr>
          <w:rFonts w:hint="eastAsia" w:asciiTheme="minorEastAsia" w:hAnsiTheme="minorEastAsia" w:eastAsiaTheme="minorEastAsia"/>
          <w:color w:val="auto"/>
          <w:sz w:val="28"/>
          <w:szCs w:val="28"/>
          <w:lang w:val="en-US" w:eastAsia="zh-CN"/>
        </w:rPr>
        <w:t>30</w:t>
      </w:r>
      <w:r>
        <w:rPr>
          <w:rFonts w:hint="eastAsia" w:asciiTheme="minorEastAsia" w:hAnsiTheme="minorEastAsia" w:eastAsiaTheme="minorEastAsia"/>
          <w:color w:val="auto"/>
          <w:sz w:val="28"/>
          <w:szCs w:val="28"/>
        </w:rPr>
        <w:t>万元，支出决算为</w:t>
      </w:r>
      <w:r>
        <w:rPr>
          <w:rFonts w:hint="eastAsia" w:asciiTheme="minorEastAsia" w:hAnsiTheme="minorEastAsia" w:eastAsiaTheme="minorEastAsia"/>
          <w:color w:val="auto"/>
          <w:sz w:val="28"/>
          <w:szCs w:val="28"/>
          <w:lang w:val="en-US" w:eastAsia="zh-CN"/>
        </w:rPr>
        <w:t>30</w:t>
      </w:r>
      <w:r>
        <w:rPr>
          <w:rFonts w:hint="eastAsia" w:asciiTheme="minorEastAsia" w:hAnsiTheme="minorEastAsia" w:eastAsiaTheme="minorEastAsia"/>
          <w:color w:val="auto"/>
          <w:sz w:val="28"/>
          <w:szCs w:val="28"/>
        </w:rPr>
        <w:t>万元，完成预算的100%，</w:t>
      </w:r>
      <w:r>
        <w:rPr>
          <w:rFonts w:hint="eastAsia" w:asciiTheme="minorEastAsia" w:hAnsiTheme="minorEastAsia" w:eastAsiaTheme="minorEastAsia"/>
          <w:color w:val="auto"/>
          <w:sz w:val="28"/>
          <w:szCs w:val="28"/>
          <w:lang w:val="en-US" w:eastAsia="zh-CN"/>
        </w:rPr>
        <w:t>决算数与预算一致，我单位严格执行预算。</w:t>
      </w:r>
      <w:r>
        <w:rPr>
          <w:rFonts w:hint="eastAsia" w:asciiTheme="minorEastAsia" w:hAnsiTheme="minorEastAsia" w:eastAsiaTheme="minorEastAsia"/>
          <w:color w:val="auto"/>
          <w:sz w:val="28"/>
          <w:szCs w:val="28"/>
        </w:rPr>
        <w:t>与上年</w:t>
      </w:r>
      <w:r>
        <w:rPr>
          <w:rFonts w:hint="eastAsia" w:asciiTheme="minorEastAsia" w:hAnsiTheme="minorEastAsia" w:eastAsiaTheme="minorEastAsia"/>
          <w:color w:val="auto"/>
          <w:sz w:val="28"/>
          <w:szCs w:val="28"/>
          <w:lang w:val="en-US" w:eastAsia="zh-CN"/>
        </w:rPr>
        <w:t>决算数</w:t>
      </w:r>
      <w:r>
        <w:rPr>
          <w:rFonts w:hint="eastAsia" w:asciiTheme="minorEastAsia" w:hAnsiTheme="minorEastAsia" w:eastAsiaTheme="minorEastAsia"/>
          <w:color w:val="auto"/>
          <w:sz w:val="28"/>
          <w:szCs w:val="28"/>
        </w:rPr>
        <w:t>相比</w:t>
      </w:r>
      <w:r>
        <w:rPr>
          <w:rFonts w:hint="eastAsia" w:asciiTheme="minorEastAsia" w:hAnsiTheme="minorEastAsia" w:eastAsiaTheme="minorEastAsia"/>
          <w:color w:val="auto"/>
          <w:sz w:val="28"/>
          <w:szCs w:val="28"/>
          <w:lang w:val="en-US" w:eastAsia="zh-CN"/>
        </w:rPr>
        <w:t>减少2</w:t>
      </w:r>
      <w:r>
        <w:rPr>
          <w:rFonts w:hint="eastAsia" w:asciiTheme="minorEastAsia" w:hAnsiTheme="minorEastAsia" w:eastAsiaTheme="minorEastAsia"/>
          <w:color w:val="auto"/>
          <w:sz w:val="28"/>
          <w:szCs w:val="28"/>
        </w:rPr>
        <w:t>万元，</w:t>
      </w:r>
      <w:r>
        <w:rPr>
          <w:rFonts w:hint="eastAsia" w:asciiTheme="minorEastAsia" w:hAnsiTheme="minorEastAsia" w:eastAsiaTheme="minorEastAsia"/>
          <w:color w:val="auto"/>
          <w:sz w:val="28"/>
          <w:szCs w:val="28"/>
          <w:lang w:val="en-US" w:eastAsia="zh-CN"/>
        </w:rPr>
        <w:t>减少6.67</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val="en-US" w:eastAsia="zh-CN"/>
        </w:rPr>
        <w:t>减少的</w:t>
      </w:r>
      <w:r>
        <w:rPr>
          <w:rFonts w:hint="eastAsia" w:asciiTheme="minorEastAsia" w:hAnsiTheme="minorEastAsia" w:eastAsiaTheme="minorEastAsia"/>
          <w:color w:val="auto"/>
          <w:sz w:val="28"/>
          <w:szCs w:val="28"/>
        </w:rPr>
        <w:t>主要因为</w:t>
      </w:r>
      <w:r>
        <w:rPr>
          <w:rFonts w:hint="eastAsia" w:ascii="仿宋" w:hAnsi="仿宋" w:eastAsia="仿宋" w:cstheme="minorBidi"/>
          <w:color w:val="auto"/>
          <w:kern w:val="2"/>
          <w:sz w:val="28"/>
          <w:szCs w:val="28"/>
        </w:rPr>
        <w:t>是</w:t>
      </w:r>
      <w:r>
        <w:rPr>
          <w:rFonts w:hint="eastAsia" w:asciiTheme="minorEastAsia" w:hAnsiTheme="minorEastAsia" w:eastAsiaTheme="minorEastAsia"/>
          <w:color w:val="auto"/>
          <w:sz w:val="28"/>
          <w:szCs w:val="28"/>
          <w:lang w:val="en-US" w:eastAsia="zh-CN"/>
        </w:rPr>
        <w:t>部分</w:t>
      </w:r>
      <w:r>
        <w:rPr>
          <w:rFonts w:hint="eastAsia" w:ascii="仿宋" w:hAnsi="仿宋" w:eastAsia="仿宋" w:cstheme="minorBidi"/>
          <w:color w:val="auto"/>
          <w:kern w:val="2"/>
          <w:sz w:val="28"/>
          <w:szCs w:val="28"/>
        </w:rPr>
        <w:t>车</w:t>
      </w:r>
      <w:r>
        <w:rPr>
          <w:rFonts w:hint="eastAsia" w:asciiTheme="minorEastAsia" w:hAnsiTheme="minorEastAsia" w:eastAsiaTheme="minorEastAsia"/>
          <w:color w:val="auto"/>
          <w:sz w:val="28"/>
          <w:szCs w:val="28"/>
          <w:lang w:val="en-US" w:eastAsia="zh-CN"/>
        </w:rPr>
        <w:t>辆报废，相应支出减少。</w:t>
      </w:r>
    </w:p>
    <w:p>
      <w:pPr>
        <w:pStyle w:val="13"/>
        <w:rPr>
          <w:rFonts w:asciiTheme="minorEastAsia" w:hAnsiTheme="minorEastAsia" w:eastAsiaTheme="minorEastAsia"/>
          <w:b/>
          <w:bCs/>
          <w:color w:val="auto"/>
          <w:sz w:val="28"/>
          <w:szCs w:val="28"/>
        </w:rPr>
      </w:pPr>
      <w:r>
        <w:rPr>
          <w:rFonts w:hint="eastAsia" w:asciiTheme="minorEastAsia" w:hAnsiTheme="minorEastAsia" w:eastAsiaTheme="minorEastAsia"/>
          <w:b/>
          <w:bCs/>
          <w:color w:val="auto"/>
          <w:sz w:val="28"/>
          <w:szCs w:val="28"/>
        </w:rPr>
        <w:t>（二）“ 三公” 经费财政拨款支出决算具体情况说明</w:t>
      </w:r>
    </w:p>
    <w:p>
      <w:pPr>
        <w:pStyle w:val="13"/>
        <w:ind w:firstLine="742" w:firstLineChars="265"/>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年度“三公”经费财政拨款支出决算中，公务接待费支出决算</w:t>
      </w: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万元，占</w:t>
      </w:r>
      <w:r>
        <w:rPr>
          <w:rFonts w:hint="eastAsia" w:asciiTheme="minorEastAsia" w:hAnsiTheme="minorEastAsia" w:eastAsiaTheme="minorEastAsia"/>
          <w:color w:val="auto"/>
          <w:sz w:val="28"/>
          <w:szCs w:val="28"/>
          <w:lang w:val="en-US" w:eastAsia="zh-CN"/>
        </w:rPr>
        <w:t>11.11</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rPr>
        <w:t>因公出国（境）费支出决算0万元,</w:t>
      </w:r>
      <w:r>
        <w:rPr>
          <w:rFonts w:hint="eastAsia" w:asciiTheme="minorEastAsia" w:hAnsiTheme="minorEastAsia" w:eastAsiaTheme="minorEastAsia"/>
          <w:color w:val="auto"/>
          <w:sz w:val="28"/>
          <w:szCs w:val="28"/>
          <w:lang w:val="en-US" w:eastAsia="zh-CN"/>
        </w:rPr>
        <w:t>占0%；</w:t>
      </w:r>
      <w:r>
        <w:rPr>
          <w:rFonts w:hint="eastAsia" w:asciiTheme="minorEastAsia" w:hAnsiTheme="minorEastAsia" w:eastAsiaTheme="minorEastAsia"/>
          <w:color w:val="auto"/>
          <w:sz w:val="28"/>
          <w:szCs w:val="28"/>
        </w:rPr>
        <w:t>公务用车购置费</w:t>
      </w:r>
      <w:r>
        <w:rPr>
          <w:rFonts w:hint="eastAsia" w:asciiTheme="minorEastAsia" w:hAnsiTheme="minorEastAsia" w:eastAsiaTheme="minorEastAsia"/>
          <w:color w:val="auto"/>
          <w:sz w:val="28"/>
          <w:szCs w:val="28"/>
          <w:lang w:val="en-US" w:eastAsia="zh-CN"/>
        </w:rPr>
        <w:t>及运行维护费48万元，</w:t>
      </w:r>
      <w:r>
        <w:rPr>
          <w:rFonts w:hint="eastAsia" w:asciiTheme="minorEastAsia" w:hAnsiTheme="minorEastAsia" w:eastAsiaTheme="minorEastAsia"/>
          <w:color w:val="auto"/>
          <w:sz w:val="28"/>
          <w:szCs w:val="28"/>
        </w:rPr>
        <w:t>占</w:t>
      </w:r>
      <w:r>
        <w:rPr>
          <w:rFonts w:hint="eastAsia" w:asciiTheme="minorEastAsia" w:hAnsiTheme="minorEastAsia" w:eastAsiaTheme="minorEastAsia"/>
          <w:color w:val="auto"/>
          <w:sz w:val="28"/>
          <w:szCs w:val="28"/>
          <w:lang w:val="en-US" w:eastAsia="zh-CN"/>
        </w:rPr>
        <w:t>88.89</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val="en-US" w:eastAsia="zh-CN"/>
        </w:rPr>
        <w:t>。</w:t>
      </w:r>
      <w:r>
        <w:rPr>
          <w:rFonts w:hint="eastAsia" w:asciiTheme="minorEastAsia" w:hAnsiTheme="minorEastAsia" w:eastAsiaTheme="minorEastAsia"/>
          <w:color w:val="auto"/>
          <w:sz w:val="28"/>
          <w:szCs w:val="28"/>
        </w:rPr>
        <w:t>其中：</w:t>
      </w:r>
    </w:p>
    <w:p>
      <w:pPr>
        <w:pStyle w:val="13"/>
        <w:numPr>
          <w:ilvl w:val="-1"/>
          <w:numId w:val="0"/>
        </w:numPr>
        <w:ind w:left="0" w:firstLine="560" w:firstLineChars="200"/>
        <w:rPr>
          <w:rFonts w:hint="eastAsia" w:eastAsia="宋体" w:asciiTheme="minorEastAsia" w:hAnsiTheme="minorEastAsia"/>
          <w:color w:val="auto"/>
          <w:sz w:val="28"/>
          <w:szCs w:val="28"/>
          <w:lang w:eastAsia="zh-CN"/>
        </w:rPr>
      </w:pPr>
      <w:r>
        <w:rPr>
          <w:rFonts w:hint="eastAsia" w:ascii="宋体" w:hAnsi="宋体" w:eastAsia="宋体"/>
          <w:color w:val="auto"/>
          <w:sz w:val="28"/>
          <w:szCs w:val="28"/>
        </w:rPr>
        <w:t>1、因公出国（境）费支出决算为</w:t>
      </w:r>
      <w:r>
        <w:rPr>
          <w:rFonts w:hint="eastAsia" w:ascii="宋体" w:hAnsi="宋体" w:eastAsia="宋体"/>
          <w:color w:val="auto"/>
          <w:sz w:val="28"/>
          <w:szCs w:val="28"/>
          <w:lang w:eastAsia="zh-CN"/>
        </w:rPr>
        <w:t>0</w:t>
      </w:r>
      <w:r>
        <w:rPr>
          <w:rFonts w:hint="eastAsia" w:ascii="宋体" w:hAnsi="宋体" w:eastAsia="宋体"/>
          <w:color w:val="auto"/>
          <w:sz w:val="28"/>
          <w:szCs w:val="28"/>
        </w:rPr>
        <w:t>万元，全年安排因公出国（境）团组</w:t>
      </w:r>
      <w:r>
        <w:rPr>
          <w:rFonts w:hint="eastAsia" w:ascii="宋体" w:hAnsi="宋体" w:eastAsia="宋体"/>
          <w:color w:val="auto"/>
          <w:sz w:val="28"/>
          <w:szCs w:val="28"/>
          <w:lang w:eastAsia="zh-CN"/>
        </w:rPr>
        <w:t>0</w:t>
      </w:r>
      <w:r>
        <w:rPr>
          <w:rFonts w:hint="eastAsia" w:ascii="宋体" w:hAnsi="宋体" w:eastAsia="宋体"/>
          <w:color w:val="auto"/>
          <w:sz w:val="28"/>
          <w:szCs w:val="28"/>
        </w:rPr>
        <w:t>个，累计</w:t>
      </w:r>
      <w:r>
        <w:rPr>
          <w:rFonts w:hint="eastAsia" w:ascii="宋体" w:hAnsi="宋体" w:eastAsia="宋体"/>
          <w:color w:val="auto"/>
          <w:sz w:val="28"/>
          <w:szCs w:val="28"/>
          <w:lang w:eastAsia="zh-CN"/>
        </w:rPr>
        <w:t>0</w:t>
      </w:r>
      <w:r>
        <w:rPr>
          <w:rFonts w:hint="eastAsia" w:ascii="宋体" w:hAnsi="宋体" w:eastAsia="宋体"/>
          <w:color w:val="auto"/>
          <w:sz w:val="28"/>
          <w:szCs w:val="28"/>
        </w:rPr>
        <w:t>人次</w:t>
      </w:r>
      <w:r>
        <w:rPr>
          <w:rFonts w:hint="eastAsia" w:ascii="宋体" w:hAnsi="宋体" w:eastAsia="宋体"/>
          <w:color w:val="auto"/>
          <w:sz w:val="28"/>
          <w:szCs w:val="28"/>
          <w:lang w:eastAsia="zh-CN"/>
        </w:rPr>
        <w:t>。</w:t>
      </w:r>
    </w:p>
    <w:p>
      <w:pPr>
        <w:pStyle w:val="13"/>
        <w:numPr>
          <w:ilvl w:val="-1"/>
          <w:numId w:val="0"/>
        </w:numPr>
        <w:ind w:left="0"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2、</w:t>
      </w:r>
      <w:r>
        <w:rPr>
          <w:rFonts w:hint="eastAsia" w:asciiTheme="minorEastAsia" w:hAnsiTheme="minorEastAsia" w:eastAsiaTheme="minorEastAsia"/>
          <w:color w:val="auto"/>
          <w:sz w:val="28"/>
          <w:szCs w:val="28"/>
        </w:rPr>
        <w:t>公务接待费支出决算为</w:t>
      </w: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万元。全年共接待来访团组</w:t>
      </w:r>
      <w:r>
        <w:rPr>
          <w:rFonts w:hint="eastAsia" w:asciiTheme="minorEastAsia" w:hAnsiTheme="minorEastAsia" w:eastAsiaTheme="minorEastAsia"/>
          <w:color w:val="auto"/>
          <w:sz w:val="28"/>
          <w:szCs w:val="28"/>
          <w:lang w:val="en-US" w:eastAsia="zh-CN"/>
        </w:rPr>
        <w:t>54</w:t>
      </w:r>
      <w:r>
        <w:rPr>
          <w:rFonts w:hint="eastAsia" w:asciiTheme="minorEastAsia" w:hAnsiTheme="minorEastAsia" w:eastAsiaTheme="minorEastAsia"/>
          <w:color w:val="auto"/>
          <w:sz w:val="28"/>
          <w:szCs w:val="28"/>
        </w:rPr>
        <w:t>个、来宾</w:t>
      </w:r>
      <w:r>
        <w:rPr>
          <w:rFonts w:hint="eastAsia" w:asciiTheme="minorEastAsia" w:hAnsiTheme="minorEastAsia" w:eastAsiaTheme="minorEastAsia"/>
          <w:color w:val="auto"/>
          <w:sz w:val="28"/>
          <w:szCs w:val="28"/>
          <w:lang w:val="en-US" w:eastAsia="zh-CN"/>
        </w:rPr>
        <w:t>494</w:t>
      </w:r>
      <w:r>
        <w:rPr>
          <w:rFonts w:hint="eastAsia" w:asciiTheme="minorEastAsia" w:hAnsiTheme="minorEastAsia" w:eastAsiaTheme="minorEastAsia"/>
          <w:color w:val="auto"/>
          <w:sz w:val="28"/>
          <w:szCs w:val="28"/>
        </w:rPr>
        <w:t>人次，主要是接待市州生态环境监测中心人员来长公务活动发生的接待支出。</w:t>
      </w:r>
    </w:p>
    <w:p>
      <w:pPr>
        <w:pStyle w:val="13"/>
        <w:numPr>
          <w:ilvl w:val="-1"/>
          <w:numId w:val="0"/>
        </w:numPr>
        <w:ind w:left="0" w:firstLine="56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28"/>
          <w:szCs w:val="28"/>
          <w:lang w:val="en-US" w:eastAsia="zh-CN"/>
        </w:rPr>
        <w:t>3、</w:t>
      </w:r>
      <w:r>
        <w:rPr>
          <w:rFonts w:hint="eastAsia" w:asciiTheme="minorEastAsia" w:hAnsiTheme="minorEastAsia" w:eastAsiaTheme="minorEastAsia"/>
          <w:color w:val="auto"/>
          <w:sz w:val="28"/>
          <w:szCs w:val="28"/>
        </w:rPr>
        <w:t>公务用车购置费及运行</w:t>
      </w:r>
      <w:r>
        <w:rPr>
          <w:rFonts w:hint="eastAsia" w:asciiTheme="minorEastAsia" w:hAnsiTheme="minorEastAsia" w:eastAsiaTheme="minorEastAsia"/>
          <w:color w:val="auto"/>
          <w:sz w:val="28"/>
          <w:szCs w:val="28"/>
          <w:lang w:val="en-US" w:eastAsia="zh-CN"/>
        </w:rPr>
        <w:t>维护</w:t>
      </w:r>
      <w:r>
        <w:rPr>
          <w:rFonts w:hint="eastAsia" w:asciiTheme="minorEastAsia" w:hAnsiTheme="minorEastAsia" w:eastAsiaTheme="minorEastAsia"/>
          <w:color w:val="auto"/>
          <w:sz w:val="28"/>
          <w:szCs w:val="28"/>
        </w:rPr>
        <w:t>费支出决算为</w:t>
      </w:r>
      <w:r>
        <w:rPr>
          <w:rFonts w:hint="eastAsia" w:asciiTheme="minorEastAsia" w:hAnsiTheme="minorEastAsia" w:eastAsiaTheme="minorEastAsia"/>
          <w:color w:val="auto"/>
          <w:sz w:val="28"/>
          <w:szCs w:val="28"/>
          <w:lang w:val="en-US" w:eastAsia="zh-CN"/>
        </w:rPr>
        <w:t>48</w:t>
      </w:r>
      <w:r>
        <w:rPr>
          <w:rFonts w:hint="eastAsia" w:asciiTheme="minorEastAsia" w:hAnsiTheme="minorEastAsia" w:eastAsiaTheme="minorEastAsia"/>
          <w:color w:val="auto"/>
          <w:sz w:val="28"/>
          <w:szCs w:val="28"/>
        </w:rPr>
        <w:t xml:space="preserve">万元，其中：公务用车购置费 </w:t>
      </w:r>
      <w:r>
        <w:rPr>
          <w:rFonts w:hint="eastAsia" w:asciiTheme="minorEastAsia" w:hAnsiTheme="minorEastAsia" w:eastAsiaTheme="minorEastAsia"/>
          <w:color w:val="auto"/>
          <w:sz w:val="28"/>
          <w:szCs w:val="28"/>
          <w:lang w:val="en-US" w:eastAsia="zh-CN"/>
        </w:rPr>
        <w:t>18</w:t>
      </w:r>
      <w:r>
        <w:rPr>
          <w:rFonts w:hint="eastAsia" w:asciiTheme="minorEastAsia" w:hAnsiTheme="minorEastAsia" w:eastAsiaTheme="minorEastAsia"/>
          <w:color w:val="auto"/>
          <w:sz w:val="28"/>
          <w:szCs w:val="28"/>
        </w:rPr>
        <w:t>万元</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我单位新购置公务用车一台；</w:t>
      </w:r>
      <w:r>
        <w:rPr>
          <w:rFonts w:hint="eastAsia" w:asciiTheme="minorEastAsia" w:hAnsiTheme="minorEastAsia" w:eastAsiaTheme="minorEastAsia"/>
          <w:color w:val="auto"/>
          <w:sz w:val="28"/>
          <w:szCs w:val="28"/>
        </w:rPr>
        <w:t>公务用车运行维护费3</w:t>
      </w:r>
      <w:r>
        <w:rPr>
          <w:rFonts w:hint="eastAsia" w:asciiTheme="minorEastAsia" w:hAnsiTheme="minorEastAsia" w:eastAsiaTheme="minorEastAsia"/>
          <w:color w:val="auto"/>
          <w:sz w:val="28"/>
          <w:szCs w:val="28"/>
          <w:lang w:val="en-US" w:eastAsia="zh-CN"/>
        </w:rPr>
        <w:t>0</w:t>
      </w:r>
      <w:r>
        <w:rPr>
          <w:rFonts w:hint="eastAsia" w:asciiTheme="minorEastAsia" w:hAnsiTheme="minorEastAsia" w:eastAsiaTheme="minorEastAsia"/>
          <w:color w:val="auto"/>
          <w:sz w:val="28"/>
          <w:szCs w:val="28"/>
        </w:rPr>
        <w:t>万元，主要是公务用车</w:t>
      </w:r>
      <w:r>
        <w:rPr>
          <w:rFonts w:hint="eastAsia" w:asciiTheme="minorEastAsia" w:hAnsiTheme="minorEastAsia" w:eastAsiaTheme="minorEastAsia"/>
          <w:color w:val="auto"/>
          <w:sz w:val="28"/>
          <w:szCs w:val="28"/>
          <w:lang w:val="en-US" w:eastAsia="zh-CN"/>
        </w:rPr>
        <w:t>加油、维修、保险等</w:t>
      </w:r>
      <w:r>
        <w:rPr>
          <w:rFonts w:hint="eastAsia" w:asciiTheme="minorEastAsia" w:hAnsiTheme="minorEastAsia" w:eastAsiaTheme="minorEastAsia"/>
          <w:color w:val="auto"/>
          <w:sz w:val="28"/>
          <w:szCs w:val="28"/>
        </w:rPr>
        <w:t>支出</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rPr>
        <w:t>截止202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 xml:space="preserve"> 年12月31日，我单位开支财政拨款的公务用车保有量为1</w:t>
      </w:r>
      <w:r>
        <w:rPr>
          <w:rFonts w:hint="eastAsia" w:asciiTheme="minorEastAsia" w:hAnsiTheme="minorEastAsia" w:eastAsiaTheme="minorEastAsia"/>
          <w:color w:val="auto"/>
          <w:sz w:val="28"/>
          <w:szCs w:val="28"/>
          <w:lang w:val="en-US" w:eastAsia="zh-CN"/>
        </w:rPr>
        <w:t>8</w:t>
      </w:r>
      <w:r>
        <w:rPr>
          <w:rFonts w:hint="eastAsia" w:asciiTheme="minorEastAsia" w:hAnsiTheme="minorEastAsia" w:eastAsiaTheme="minorEastAsia"/>
          <w:color w:val="auto"/>
          <w:sz w:val="28"/>
          <w:szCs w:val="28"/>
        </w:rPr>
        <w:t>辆。</w:t>
      </w:r>
      <w:r>
        <w:rPr>
          <w:rFonts w:asciiTheme="minorEastAsia" w:hAnsiTheme="minorEastAsia" w:eastAsiaTheme="minorEastAsia"/>
          <w:color w:val="auto"/>
          <w:sz w:val="32"/>
          <w:szCs w:val="32"/>
        </w:rPr>
        <w:t xml:space="preserve"> </w:t>
      </w:r>
    </w:p>
    <w:p>
      <w:pPr>
        <w:pStyle w:val="13"/>
        <w:rPr>
          <w:rFonts w:hAnsi="黑体"/>
          <w:b/>
          <w:color w:val="auto"/>
          <w:sz w:val="32"/>
          <w:szCs w:val="32"/>
        </w:rPr>
      </w:pPr>
      <w:r>
        <w:rPr>
          <w:rFonts w:hint="eastAsia" w:hAnsi="黑体"/>
          <w:b/>
          <w:color w:val="auto"/>
          <w:sz w:val="32"/>
          <w:szCs w:val="32"/>
        </w:rPr>
        <w:t>八、政府性基金预算收入支出决算情况</w:t>
      </w:r>
    </w:p>
    <w:p>
      <w:pPr>
        <w:pStyle w:val="13"/>
        <w:rPr>
          <w:rFonts w:asciiTheme="minorEastAsia" w:hAnsiTheme="minorEastAsia" w:eastAsiaTheme="minorEastAsia"/>
          <w:i/>
          <w:color w:val="auto"/>
          <w:sz w:val="32"/>
          <w:szCs w:val="32"/>
        </w:rPr>
      </w:pPr>
      <w:r>
        <w:rPr>
          <w:rFonts w:hint="eastAsia" w:asciiTheme="minorEastAsia" w:hAnsiTheme="minorEastAsia" w:eastAsiaTheme="minorEastAsia"/>
          <w:color w:val="auto"/>
          <w:sz w:val="32"/>
          <w:szCs w:val="32"/>
        </w:rPr>
        <w:t xml:space="preserve">    </w:t>
      </w:r>
      <w:r>
        <w:rPr>
          <w:rFonts w:hint="eastAsia" w:asciiTheme="minorEastAsia" w:hAnsiTheme="minorEastAsia" w:eastAsiaTheme="minorEastAsia"/>
          <w:color w:val="auto"/>
          <w:sz w:val="28"/>
          <w:szCs w:val="28"/>
        </w:rPr>
        <w:t xml:space="preserve"> 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年度无政府性基金预算财政拨款收支。</w:t>
      </w:r>
      <w:r>
        <w:rPr>
          <w:rFonts w:asciiTheme="minorEastAsia" w:hAnsiTheme="minorEastAsia" w:eastAsiaTheme="minorEastAsia"/>
          <w:i/>
          <w:color w:val="auto"/>
          <w:sz w:val="32"/>
          <w:szCs w:val="32"/>
        </w:rPr>
        <w:t xml:space="preserve"> </w:t>
      </w:r>
    </w:p>
    <w:p>
      <w:pPr>
        <w:pStyle w:val="13"/>
        <w:rPr>
          <w:rFonts w:hAnsi="黑体"/>
          <w:b/>
          <w:color w:val="auto"/>
          <w:sz w:val="32"/>
          <w:szCs w:val="32"/>
        </w:rPr>
      </w:pPr>
      <w:r>
        <w:rPr>
          <w:rFonts w:hint="eastAsia" w:hAnsi="黑体"/>
          <w:b/>
          <w:color w:val="auto"/>
          <w:sz w:val="32"/>
          <w:szCs w:val="32"/>
        </w:rPr>
        <w:t>九、机关运行经费支出说明</w:t>
      </w:r>
    </w:p>
    <w:p>
      <w:pPr>
        <w:pStyle w:val="13"/>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本部门 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 xml:space="preserve"> 年度机关运行经费支出 </w:t>
      </w:r>
      <w:r>
        <w:rPr>
          <w:rFonts w:hint="eastAsia" w:asciiTheme="minorEastAsia" w:hAnsiTheme="minorEastAsia" w:eastAsiaTheme="minorEastAsia"/>
          <w:color w:val="auto"/>
          <w:sz w:val="28"/>
          <w:szCs w:val="28"/>
          <w:lang w:val="en-US" w:eastAsia="zh-CN"/>
        </w:rPr>
        <w:t>750.76</w:t>
      </w:r>
      <w:r>
        <w:rPr>
          <w:rFonts w:hint="eastAsia" w:asciiTheme="minorEastAsia" w:hAnsiTheme="minorEastAsia" w:eastAsiaTheme="minorEastAsia"/>
          <w:color w:val="auto"/>
          <w:sz w:val="28"/>
          <w:szCs w:val="28"/>
        </w:rPr>
        <w:t xml:space="preserve"> 万元，较上年</w:t>
      </w:r>
      <w:r>
        <w:rPr>
          <w:rFonts w:hint="eastAsia" w:asciiTheme="minorEastAsia" w:hAnsiTheme="minorEastAsia" w:eastAsiaTheme="minorEastAsia"/>
          <w:color w:val="auto"/>
          <w:sz w:val="28"/>
          <w:szCs w:val="28"/>
          <w:lang w:val="en-US" w:eastAsia="zh-CN"/>
        </w:rPr>
        <w:t>增加335.66万元，增加</w:t>
      </w:r>
      <w:r>
        <w:rPr>
          <w:rFonts w:hint="eastAsia" w:asciiTheme="minorEastAsia" w:hAnsiTheme="minorEastAsia" w:eastAsiaTheme="minorEastAsia"/>
          <w:color w:val="auto"/>
          <w:sz w:val="28"/>
          <w:szCs w:val="28"/>
        </w:rPr>
        <w:t xml:space="preserve"> </w:t>
      </w:r>
      <w:r>
        <w:rPr>
          <w:rFonts w:hint="eastAsia" w:asciiTheme="minorEastAsia" w:hAnsiTheme="minorEastAsia" w:eastAsiaTheme="minorEastAsia"/>
          <w:color w:val="auto"/>
          <w:sz w:val="28"/>
          <w:szCs w:val="28"/>
          <w:lang w:val="en-US" w:eastAsia="zh-CN"/>
        </w:rPr>
        <w:t>80.86</w:t>
      </w:r>
      <w:r>
        <w:rPr>
          <w:rFonts w:hint="eastAsia" w:asciiTheme="minorEastAsia" w:hAnsiTheme="minorEastAsia" w:eastAsiaTheme="minorEastAsia"/>
          <w:color w:val="auto"/>
          <w:sz w:val="28"/>
          <w:szCs w:val="28"/>
        </w:rPr>
        <w:t>%，主要原因是 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 xml:space="preserve"> 年我中心</w:t>
      </w:r>
      <w:r>
        <w:rPr>
          <w:rFonts w:hint="eastAsia" w:asciiTheme="minorEastAsia" w:hAnsiTheme="minorEastAsia" w:eastAsiaTheme="minorEastAsia"/>
          <w:color w:val="auto"/>
          <w:sz w:val="28"/>
          <w:szCs w:val="28"/>
          <w:lang w:val="en-US" w:eastAsia="zh-CN"/>
        </w:rPr>
        <w:t>改造、维护等方面支出增加</w:t>
      </w:r>
      <w:r>
        <w:rPr>
          <w:rFonts w:hint="eastAsia" w:asciiTheme="minorEastAsia" w:hAnsiTheme="minorEastAsia" w:eastAsiaTheme="minorEastAsia"/>
          <w:color w:val="auto"/>
          <w:sz w:val="28"/>
          <w:szCs w:val="28"/>
        </w:rPr>
        <w:t>。</w:t>
      </w:r>
    </w:p>
    <w:p>
      <w:pPr>
        <w:pStyle w:val="13"/>
        <w:rPr>
          <w:rFonts w:hAnsi="黑体"/>
          <w:b/>
          <w:color w:val="auto"/>
          <w:sz w:val="32"/>
          <w:szCs w:val="32"/>
        </w:rPr>
      </w:pPr>
      <w:r>
        <w:rPr>
          <w:rFonts w:hint="eastAsia" w:hAnsi="黑体"/>
          <w:b/>
          <w:color w:val="auto"/>
          <w:sz w:val="32"/>
          <w:szCs w:val="32"/>
        </w:rPr>
        <w:t>十、一般性支出情况说明</w:t>
      </w:r>
    </w:p>
    <w:p>
      <w:pPr>
        <w:pStyle w:val="13"/>
        <w:ind w:firstLine="56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28"/>
          <w:szCs w:val="28"/>
        </w:rPr>
        <w:t>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 xml:space="preserve"> 年本部门开支会议费</w:t>
      </w:r>
      <w:r>
        <w:rPr>
          <w:rFonts w:hint="eastAsia" w:asciiTheme="minorEastAsia" w:hAnsiTheme="minorEastAsia" w:eastAsiaTheme="minorEastAsia"/>
          <w:color w:val="auto"/>
          <w:sz w:val="28"/>
          <w:szCs w:val="28"/>
          <w:lang w:val="en-US" w:eastAsia="zh-CN"/>
        </w:rPr>
        <w:t>0.16</w:t>
      </w:r>
      <w:r>
        <w:rPr>
          <w:rFonts w:hint="eastAsia" w:asciiTheme="minorEastAsia" w:hAnsiTheme="minorEastAsia" w:eastAsiaTheme="minorEastAsia"/>
          <w:color w:val="auto"/>
          <w:sz w:val="28"/>
          <w:szCs w:val="28"/>
        </w:rPr>
        <w:t>万元，用于召开</w:t>
      </w:r>
      <w:r>
        <w:rPr>
          <w:rFonts w:hint="eastAsia" w:asciiTheme="minorEastAsia" w:hAnsiTheme="minorEastAsia" w:eastAsiaTheme="minorEastAsia"/>
          <w:color w:val="auto"/>
          <w:sz w:val="28"/>
          <w:szCs w:val="28"/>
          <w:lang w:val="en-US" w:eastAsia="zh-CN"/>
        </w:rPr>
        <w:t>资产管理</w:t>
      </w:r>
      <w:r>
        <w:rPr>
          <w:rFonts w:hint="eastAsia" w:asciiTheme="minorEastAsia" w:hAnsiTheme="minorEastAsia" w:eastAsiaTheme="minorEastAsia"/>
          <w:color w:val="auto"/>
          <w:sz w:val="28"/>
          <w:szCs w:val="28"/>
        </w:rPr>
        <w:t>等会议支出</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参加人员38人</w:t>
      </w:r>
      <w:r>
        <w:rPr>
          <w:rFonts w:hint="eastAsia" w:asciiTheme="minorEastAsia" w:hAnsiTheme="minorEastAsia" w:eastAsiaTheme="minorEastAsia"/>
          <w:color w:val="auto"/>
          <w:sz w:val="28"/>
          <w:szCs w:val="28"/>
        </w:rPr>
        <w:t>；开支培训费</w:t>
      </w:r>
      <w:r>
        <w:rPr>
          <w:rFonts w:hint="eastAsia" w:ascii="宋体" w:hAnsi="宋体" w:eastAsia="宋体" w:cs="宋体"/>
          <w:i w:val="0"/>
          <w:iCs w:val="0"/>
          <w:color w:val="auto"/>
          <w:kern w:val="0"/>
          <w:sz w:val="28"/>
          <w:szCs w:val="28"/>
          <w:u w:val="none"/>
          <w:lang w:val="en-US" w:eastAsia="zh-CN" w:bidi="ar"/>
        </w:rPr>
        <w:t>10.00</w:t>
      </w:r>
      <w:r>
        <w:rPr>
          <w:rFonts w:hint="eastAsia" w:asciiTheme="minorEastAsia" w:hAnsiTheme="minorEastAsia" w:eastAsiaTheme="minorEastAsia"/>
          <w:color w:val="auto"/>
          <w:sz w:val="28"/>
          <w:szCs w:val="28"/>
        </w:rPr>
        <w:t>万元，用于组织各市州中心</w:t>
      </w:r>
      <w:r>
        <w:rPr>
          <w:rFonts w:hint="eastAsia" w:asciiTheme="minorEastAsia" w:hAnsiTheme="minorEastAsia" w:eastAsiaTheme="minorEastAsia"/>
          <w:color w:val="auto"/>
          <w:sz w:val="28"/>
          <w:szCs w:val="28"/>
          <w:lang w:val="en-US" w:eastAsia="zh-CN"/>
        </w:rPr>
        <w:t>开展</w:t>
      </w:r>
      <w:r>
        <w:rPr>
          <w:rFonts w:hint="eastAsia" w:asciiTheme="minorEastAsia" w:hAnsiTheme="minorEastAsia" w:eastAsiaTheme="minorEastAsia"/>
          <w:color w:val="auto"/>
          <w:sz w:val="28"/>
          <w:szCs w:val="28"/>
        </w:rPr>
        <w:t>专业技术培训、</w:t>
      </w:r>
      <w:r>
        <w:rPr>
          <w:rFonts w:hint="eastAsia" w:asciiTheme="minorEastAsia" w:hAnsiTheme="minorEastAsia" w:eastAsiaTheme="minorEastAsia"/>
          <w:color w:val="auto"/>
          <w:sz w:val="28"/>
          <w:szCs w:val="28"/>
          <w:lang w:val="en-US" w:eastAsia="zh-CN"/>
        </w:rPr>
        <w:t>环境监测系统办公室业务培训等，参加人员200人次</w:t>
      </w:r>
      <w:r>
        <w:rPr>
          <w:rFonts w:hint="eastAsia" w:asciiTheme="minorEastAsia" w:hAnsiTheme="minorEastAsia" w:eastAsiaTheme="minorEastAsia"/>
          <w:color w:val="auto"/>
          <w:sz w:val="28"/>
          <w:szCs w:val="28"/>
        </w:rPr>
        <w:t>；未举办节庆、晚会、论坛、赛事等活动。</w:t>
      </w:r>
    </w:p>
    <w:p>
      <w:pPr>
        <w:pStyle w:val="13"/>
        <w:rPr>
          <w:rFonts w:hAnsi="黑体"/>
          <w:b/>
          <w:color w:val="auto"/>
          <w:sz w:val="32"/>
          <w:szCs w:val="32"/>
        </w:rPr>
      </w:pPr>
      <w:r>
        <w:rPr>
          <w:rFonts w:hint="eastAsia" w:hAnsi="黑体"/>
          <w:b/>
          <w:color w:val="auto"/>
          <w:sz w:val="32"/>
          <w:szCs w:val="32"/>
        </w:rPr>
        <w:t>十一、政府采购支出说明</w:t>
      </w:r>
    </w:p>
    <w:p>
      <w:pPr>
        <w:pStyle w:val="13"/>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本部门 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 xml:space="preserve"> 年度政府采购支出总额 </w:t>
      </w:r>
      <w:r>
        <w:rPr>
          <w:rFonts w:hint="eastAsia" w:asciiTheme="minorEastAsia" w:hAnsiTheme="minorEastAsia" w:eastAsiaTheme="minorEastAsia"/>
          <w:color w:val="auto"/>
          <w:sz w:val="28"/>
          <w:szCs w:val="28"/>
          <w:lang w:val="en-US" w:eastAsia="zh-CN"/>
        </w:rPr>
        <w:t>6443.48</w:t>
      </w:r>
      <w:r>
        <w:rPr>
          <w:rFonts w:hint="eastAsia" w:asciiTheme="minorEastAsia" w:hAnsiTheme="minorEastAsia" w:eastAsiaTheme="minorEastAsia"/>
          <w:color w:val="auto"/>
          <w:sz w:val="28"/>
          <w:szCs w:val="28"/>
        </w:rPr>
        <w:t xml:space="preserve"> 万元，其中：政府采购货物支出 </w:t>
      </w:r>
      <w:r>
        <w:rPr>
          <w:rFonts w:hint="eastAsia" w:asciiTheme="minorEastAsia" w:hAnsiTheme="minorEastAsia" w:eastAsiaTheme="minorEastAsia"/>
          <w:color w:val="auto"/>
          <w:sz w:val="28"/>
          <w:szCs w:val="28"/>
          <w:lang w:val="en-US" w:eastAsia="zh-CN"/>
        </w:rPr>
        <w:t>1535.51</w:t>
      </w:r>
      <w:r>
        <w:rPr>
          <w:rFonts w:hint="eastAsia" w:asciiTheme="minorEastAsia" w:hAnsiTheme="minorEastAsia" w:eastAsiaTheme="minorEastAsia"/>
          <w:color w:val="auto"/>
          <w:sz w:val="28"/>
          <w:szCs w:val="28"/>
        </w:rPr>
        <w:t xml:space="preserve"> 万元，政府采购服务支出 </w:t>
      </w:r>
      <w:r>
        <w:rPr>
          <w:rFonts w:hint="eastAsia" w:asciiTheme="minorEastAsia" w:hAnsiTheme="minorEastAsia" w:eastAsiaTheme="minorEastAsia"/>
          <w:color w:val="auto"/>
          <w:sz w:val="28"/>
          <w:szCs w:val="28"/>
          <w:lang w:val="en-US" w:eastAsia="zh-CN"/>
        </w:rPr>
        <w:t>2426.96</w:t>
      </w:r>
      <w:r>
        <w:rPr>
          <w:rFonts w:hint="eastAsia" w:asciiTheme="minorEastAsia" w:hAnsiTheme="minorEastAsia" w:eastAsiaTheme="minorEastAsia"/>
          <w:color w:val="auto"/>
          <w:sz w:val="28"/>
          <w:szCs w:val="28"/>
        </w:rPr>
        <w:t xml:space="preserve"> 万元，政府采购工程支出 </w:t>
      </w:r>
      <w:r>
        <w:rPr>
          <w:rFonts w:hint="eastAsia" w:asciiTheme="minorEastAsia" w:hAnsiTheme="minorEastAsia" w:eastAsiaTheme="minorEastAsia"/>
          <w:color w:val="auto"/>
          <w:sz w:val="28"/>
          <w:szCs w:val="28"/>
          <w:lang w:val="en-US" w:eastAsia="zh-CN"/>
        </w:rPr>
        <w:t>2481.01</w:t>
      </w:r>
      <w:r>
        <w:rPr>
          <w:rFonts w:hint="eastAsia" w:asciiTheme="minorEastAsia" w:hAnsiTheme="minorEastAsia" w:eastAsiaTheme="minorEastAsia"/>
          <w:color w:val="auto"/>
          <w:sz w:val="28"/>
          <w:szCs w:val="28"/>
        </w:rPr>
        <w:t>万元</w:t>
      </w:r>
      <w:r>
        <w:rPr>
          <w:rFonts w:hint="eastAsia" w:asciiTheme="minorEastAsia" w:hAnsiTheme="minorEastAsia" w:eastAsiaTheme="minorEastAsia"/>
          <w:color w:val="auto"/>
          <w:sz w:val="28"/>
          <w:szCs w:val="28"/>
          <w:lang w:eastAsia="zh-CN"/>
        </w:rPr>
        <w:t>。</w:t>
      </w:r>
      <w:r>
        <w:rPr>
          <w:rFonts w:hint="eastAsia" w:ascii="宋体" w:hAnsi="宋体" w:eastAsia="宋体"/>
          <w:color w:val="auto"/>
          <w:sz w:val="28"/>
          <w:szCs w:val="28"/>
        </w:rPr>
        <w:t>授予中小企业合同金额</w:t>
      </w:r>
      <w:r>
        <w:rPr>
          <w:rFonts w:hint="eastAsia" w:asciiTheme="minorEastAsia" w:hAnsiTheme="minorEastAsia" w:eastAsiaTheme="minorEastAsia"/>
          <w:color w:val="auto"/>
          <w:sz w:val="28"/>
          <w:szCs w:val="28"/>
          <w:lang w:val="en-US" w:eastAsia="zh-CN"/>
        </w:rPr>
        <w:t>1513.3</w:t>
      </w:r>
      <w:r>
        <w:rPr>
          <w:rFonts w:hint="eastAsia" w:ascii="宋体" w:hAnsi="宋体" w:eastAsia="宋体"/>
          <w:color w:val="auto"/>
          <w:sz w:val="28"/>
          <w:szCs w:val="28"/>
        </w:rPr>
        <w:t>万元，占政府采购支出总额的</w:t>
      </w:r>
      <w:r>
        <w:rPr>
          <w:rFonts w:hint="eastAsia" w:asciiTheme="minorEastAsia" w:hAnsiTheme="minorEastAsia" w:eastAsiaTheme="minorEastAsia"/>
          <w:color w:val="auto"/>
          <w:sz w:val="28"/>
          <w:szCs w:val="28"/>
          <w:lang w:val="en-US" w:eastAsia="zh-CN"/>
        </w:rPr>
        <w:t>23.49</w:t>
      </w:r>
      <w:r>
        <w:rPr>
          <w:rFonts w:hint="eastAsia" w:ascii="宋体" w:hAnsi="宋体" w:eastAsia="宋体"/>
          <w:color w:val="auto"/>
          <w:sz w:val="28"/>
          <w:szCs w:val="28"/>
        </w:rPr>
        <w:t>%，其中：授予小微企业合同金额0万元，占政府采购支出总额的0%</w:t>
      </w:r>
      <w:r>
        <w:rPr>
          <w:rFonts w:hint="eastAsia" w:ascii="宋体" w:hAnsi="宋体" w:eastAsia="宋体"/>
          <w:color w:val="auto"/>
          <w:sz w:val="28"/>
          <w:szCs w:val="28"/>
          <w:lang w:eastAsia="zh-CN"/>
        </w:rPr>
        <w:t>。</w:t>
      </w:r>
    </w:p>
    <w:p>
      <w:pPr>
        <w:pStyle w:val="13"/>
        <w:rPr>
          <w:rFonts w:hAnsi="黑体"/>
          <w:b/>
          <w:color w:val="auto"/>
          <w:sz w:val="32"/>
          <w:szCs w:val="32"/>
        </w:rPr>
      </w:pPr>
      <w:r>
        <w:rPr>
          <w:rFonts w:hint="eastAsia" w:hAnsi="黑体"/>
          <w:b/>
          <w:color w:val="auto"/>
          <w:sz w:val="32"/>
          <w:szCs w:val="32"/>
        </w:rPr>
        <w:t>十二、关于国有资产占用情况说明</w:t>
      </w:r>
    </w:p>
    <w:p>
      <w:pPr>
        <w:pStyle w:val="13"/>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截至202</w:t>
      </w: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color w:val="auto"/>
          <w:sz w:val="28"/>
          <w:szCs w:val="28"/>
        </w:rPr>
        <w:t xml:space="preserve"> 年12 月31 日，本部门账目上登记车辆为1</w:t>
      </w:r>
      <w:r>
        <w:rPr>
          <w:rFonts w:hint="eastAsia" w:asciiTheme="minorEastAsia" w:hAnsiTheme="minorEastAsia" w:eastAsiaTheme="minorEastAsia"/>
          <w:color w:val="auto"/>
          <w:sz w:val="28"/>
          <w:szCs w:val="28"/>
          <w:lang w:val="en-US" w:eastAsia="zh-CN"/>
        </w:rPr>
        <w:t>8</w:t>
      </w:r>
      <w:r>
        <w:rPr>
          <w:rFonts w:hint="eastAsia" w:asciiTheme="minorEastAsia" w:hAnsiTheme="minorEastAsia" w:eastAsiaTheme="minorEastAsia"/>
          <w:color w:val="auto"/>
          <w:sz w:val="28"/>
          <w:szCs w:val="28"/>
        </w:rPr>
        <w:t>辆，实际在用车辆为1</w:t>
      </w:r>
      <w:r>
        <w:rPr>
          <w:rFonts w:hint="eastAsia" w:asciiTheme="minorEastAsia" w:hAnsiTheme="minorEastAsia" w:eastAsiaTheme="minorEastAsia"/>
          <w:color w:val="auto"/>
          <w:sz w:val="28"/>
          <w:szCs w:val="28"/>
          <w:lang w:val="en-US" w:eastAsia="zh-CN"/>
        </w:rPr>
        <w:t>3</w:t>
      </w:r>
      <w:r>
        <w:rPr>
          <w:rFonts w:hint="eastAsia" w:asciiTheme="minorEastAsia" w:hAnsiTheme="minorEastAsia" w:eastAsiaTheme="minorEastAsia"/>
          <w:color w:val="auto"/>
          <w:sz w:val="28"/>
          <w:szCs w:val="28"/>
        </w:rPr>
        <w:t>辆，其中有</w:t>
      </w:r>
      <w:r>
        <w:rPr>
          <w:rFonts w:hint="eastAsia" w:asciiTheme="minorEastAsia" w:hAnsiTheme="minorEastAsia" w:eastAsiaTheme="minorEastAsia"/>
          <w:color w:val="auto"/>
          <w:sz w:val="28"/>
          <w:szCs w:val="28"/>
          <w:lang w:val="en-US" w:eastAsia="zh-CN"/>
        </w:rPr>
        <w:t>3</w:t>
      </w:r>
      <w:r>
        <w:rPr>
          <w:rFonts w:hint="eastAsia" w:asciiTheme="minorEastAsia" w:hAnsiTheme="minorEastAsia" w:eastAsiaTheme="minorEastAsia"/>
          <w:color w:val="auto"/>
          <w:sz w:val="28"/>
          <w:szCs w:val="28"/>
        </w:rPr>
        <w:t>辆专业技术用车，1</w:t>
      </w:r>
      <w:r>
        <w:rPr>
          <w:rFonts w:hint="eastAsia" w:asciiTheme="minorEastAsia" w:hAnsiTheme="minorEastAsia" w:eastAsiaTheme="minorEastAsia"/>
          <w:color w:val="auto"/>
          <w:sz w:val="28"/>
          <w:szCs w:val="28"/>
          <w:lang w:val="en-US" w:eastAsia="zh-CN"/>
        </w:rPr>
        <w:t>0</w:t>
      </w:r>
      <w:r>
        <w:rPr>
          <w:rFonts w:hint="eastAsia" w:asciiTheme="minorEastAsia" w:hAnsiTheme="minorEastAsia" w:eastAsiaTheme="minorEastAsia"/>
          <w:color w:val="auto"/>
          <w:sz w:val="28"/>
          <w:szCs w:val="28"/>
        </w:rPr>
        <w:t>辆业务用车。其余</w:t>
      </w:r>
      <w:r>
        <w:rPr>
          <w:rFonts w:hint="eastAsia" w:asciiTheme="minorEastAsia" w:hAnsiTheme="minorEastAsia" w:eastAsiaTheme="minorEastAsia"/>
          <w:color w:val="auto"/>
          <w:sz w:val="28"/>
          <w:szCs w:val="28"/>
          <w:lang w:val="en-US" w:eastAsia="zh-CN"/>
        </w:rPr>
        <w:t>5</w:t>
      </w:r>
      <w:r>
        <w:rPr>
          <w:rFonts w:hint="eastAsia" w:asciiTheme="minorEastAsia" w:hAnsiTheme="minorEastAsia" w:eastAsiaTheme="minorEastAsia"/>
          <w:color w:val="auto"/>
          <w:sz w:val="28"/>
          <w:szCs w:val="28"/>
        </w:rPr>
        <w:t>辆车</w:t>
      </w:r>
      <w:r>
        <w:rPr>
          <w:rFonts w:hint="eastAsia" w:asciiTheme="minorEastAsia" w:hAnsiTheme="minorEastAsia" w:eastAsiaTheme="minorEastAsia"/>
          <w:color w:val="auto"/>
          <w:sz w:val="28"/>
          <w:szCs w:val="28"/>
          <w:lang w:val="en-US" w:eastAsia="zh-CN"/>
        </w:rPr>
        <w:t>其中：</w:t>
      </w:r>
      <w:r>
        <w:rPr>
          <w:rFonts w:hint="eastAsia" w:asciiTheme="minorEastAsia" w:hAnsiTheme="minorEastAsia" w:eastAsiaTheme="minorEastAsia"/>
          <w:color w:val="auto"/>
          <w:sz w:val="28"/>
          <w:szCs w:val="28"/>
        </w:rPr>
        <w:t>转送市州监测站3辆，</w:t>
      </w:r>
      <w:r>
        <w:rPr>
          <w:rFonts w:hint="eastAsia" w:asciiTheme="minorEastAsia" w:hAnsiTheme="minorEastAsia" w:eastAsiaTheme="minorEastAsia"/>
          <w:color w:val="auto"/>
          <w:sz w:val="28"/>
          <w:szCs w:val="28"/>
          <w:lang w:val="en-US" w:eastAsia="zh-CN"/>
        </w:rPr>
        <w:t>待</w:t>
      </w:r>
      <w:r>
        <w:rPr>
          <w:rFonts w:hint="eastAsia" w:asciiTheme="minorEastAsia" w:hAnsiTheme="minorEastAsia" w:eastAsiaTheme="minorEastAsia"/>
          <w:color w:val="auto"/>
          <w:sz w:val="28"/>
          <w:szCs w:val="28"/>
        </w:rPr>
        <w:t>报废</w:t>
      </w:r>
      <w:r>
        <w:rPr>
          <w:rFonts w:hint="eastAsia" w:asciiTheme="minorEastAsia" w:hAnsiTheme="minorEastAsia" w:eastAsiaTheme="minorEastAsia"/>
          <w:color w:val="auto"/>
          <w:sz w:val="28"/>
          <w:szCs w:val="28"/>
          <w:lang w:val="en-US" w:eastAsia="zh-CN"/>
        </w:rPr>
        <w:t>2</w:t>
      </w:r>
      <w:r>
        <w:rPr>
          <w:rFonts w:hint="eastAsia" w:asciiTheme="minorEastAsia" w:hAnsiTheme="minorEastAsia" w:eastAsiaTheme="minorEastAsia"/>
          <w:color w:val="auto"/>
          <w:sz w:val="28"/>
          <w:szCs w:val="28"/>
        </w:rPr>
        <w:t>辆。单位价值50万元以上通用设备1</w:t>
      </w:r>
      <w:r>
        <w:rPr>
          <w:rFonts w:hint="eastAsia" w:asciiTheme="minorEastAsia" w:hAnsiTheme="minorEastAsia" w:eastAsiaTheme="minorEastAsia"/>
          <w:color w:val="auto"/>
          <w:sz w:val="28"/>
          <w:szCs w:val="28"/>
          <w:lang w:val="en-US" w:eastAsia="zh-CN"/>
        </w:rPr>
        <w:t>3</w:t>
      </w:r>
      <w:r>
        <w:rPr>
          <w:rFonts w:hint="eastAsia" w:asciiTheme="minorEastAsia" w:hAnsiTheme="minorEastAsia" w:eastAsiaTheme="minorEastAsia"/>
          <w:color w:val="auto"/>
          <w:sz w:val="28"/>
          <w:szCs w:val="28"/>
        </w:rPr>
        <w:t>台（套），单价100 万元以上专用设备15台（套）。</w:t>
      </w:r>
    </w:p>
    <w:p>
      <w:pPr>
        <w:pStyle w:val="13"/>
        <w:rPr>
          <w:rFonts w:hAnsi="黑体"/>
          <w:b/>
          <w:color w:val="auto"/>
          <w:sz w:val="32"/>
          <w:szCs w:val="32"/>
        </w:rPr>
      </w:pPr>
      <w:r>
        <w:rPr>
          <w:rFonts w:hint="eastAsia" w:hAnsi="黑体"/>
          <w:b/>
          <w:color w:val="auto"/>
          <w:sz w:val="32"/>
          <w:szCs w:val="32"/>
        </w:rPr>
        <w:t>十三、2021年度预算绩效情况说明</w:t>
      </w:r>
    </w:p>
    <w:p>
      <w:pPr>
        <w:pStyle w:val="13"/>
        <w:ind w:firstLine="618" w:firstLineChars="221"/>
        <w:rPr>
          <w:rFonts w:hint="eastAsia" w:asciiTheme="minorEastAsia" w:hAnsiTheme="minorEastAsia" w:eastAsiaTheme="minorEastAsia"/>
          <w:color w:val="auto"/>
          <w:sz w:val="32"/>
          <w:szCs w:val="32"/>
        </w:rPr>
      </w:pPr>
      <w:r>
        <w:rPr>
          <w:rFonts w:hint="eastAsia" w:ascii="宋体" w:hAnsi="宋体" w:eastAsia="宋体"/>
          <w:color w:val="auto"/>
          <w:sz w:val="28"/>
          <w:szCs w:val="28"/>
        </w:rPr>
        <w:t>为进一步规范财政资金管理，强化绩效和责任意识，切实提高财政资金使用效益，</w:t>
      </w:r>
      <w:r>
        <w:rPr>
          <w:rFonts w:hint="eastAsia" w:ascii="宋体" w:hAnsi="宋体" w:eastAsia="宋体" w:cs="宋体"/>
          <w:i w:val="0"/>
          <w:iCs w:val="0"/>
          <w:caps w:val="0"/>
          <w:color w:val="auto"/>
          <w:spacing w:val="0"/>
          <w:sz w:val="28"/>
          <w:szCs w:val="28"/>
          <w:shd w:val="clear" w:fill="FFFFFF"/>
          <w:lang w:val="en-US" w:eastAsia="zh-CN"/>
        </w:rPr>
        <w:t>我部门组织对2021年部门整体支出进行绩效自评，涉及财政资金</w:t>
      </w:r>
      <w:r>
        <w:rPr>
          <w:rFonts w:hint="eastAsia" w:asciiTheme="minorEastAsia" w:hAnsiTheme="minorEastAsia" w:eastAsiaTheme="minorEastAsia" w:cstheme="minorEastAsia"/>
          <w:b w:val="0"/>
          <w:bCs w:val="0"/>
          <w:i w:val="0"/>
          <w:iCs w:val="0"/>
          <w:color w:val="auto"/>
          <w:kern w:val="0"/>
          <w:sz w:val="28"/>
          <w:szCs w:val="28"/>
          <w:u w:val="none"/>
          <w:lang w:val="en-US" w:eastAsia="zh-CN" w:bidi="ar"/>
        </w:rPr>
        <w:t>13213.53</w:t>
      </w:r>
      <w:r>
        <w:rPr>
          <w:rFonts w:hint="eastAsia" w:ascii="宋体" w:hAnsi="宋体" w:eastAsia="宋体" w:cs="宋体"/>
          <w:i w:val="0"/>
          <w:iCs w:val="0"/>
          <w:caps w:val="0"/>
          <w:color w:val="auto"/>
          <w:spacing w:val="0"/>
          <w:sz w:val="28"/>
          <w:szCs w:val="28"/>
          <w:shd w:val="clear" w:fill="FFFFFF"/>
          <w:lang w:val="en-US" w:eastAsia="zh-CN"/>
        </w:rPr>
        <w:t>万元，其中：基本支出</w:t>
      </w:r>
      <w:r>
        <w:rPr>
          <w:rFonts w:hint="eastAsia" w:asciiTheme="minorEastAsia" w:hAnsiTheme="minorEastAsia" w:eastAsiaTheme="minorEastAsia" w:cstheme="minorEastAsia"/>
          <w:b w:val="0"/>
          <w:bCs w:val="0"/>
          <w:i w:val="0"/>
          <w:iCs w:val="0"/>
          <w:color w:val="auto"/>
          <w:kern w:val="0"/>
          <w:sz w:val="28"/>
          <w:szCs w:val="28"/>
          <w:u w:val="none"/>
          <w:lang w:val="en-US" w:eastAsia="zh-CN" w:bidi="ar"/>
        </w:rPr>
        <w:t>3260.04</w:t>
      </w:r>
      <w:r>
        <w:rPr>
          <w:rFonts w:hint="eastAsia" w:ascii="宋体" w:hAnsi="宋体" w:eastAsia="宋体" w:cs="宋体"/>
          <w:i w:val="0"/>
          <w:iCs w:val="0"/>
          <w:caps w:val="0"/>
          <w:color w:val="auto"/>
          <w:spacing w:val="0"/>
          <w:sz w:val="28"/>
          <w:szCs w:val="28"/>
          <w:shd w:val="clear" w:fill="FFFFFF"/>
          <w:lang w:val="en-US" w:eastAsia="zh-CN"/>
        </w:rPr>
        <w:t xml:space="preserve">万元，项目支出  </w:t>
      </w:r>
      <w:r>
        <w:rPr>
          <w:rFonts w:hint="eastAsia" w:asciiTheme="minorEastAsia" w:hAnsiTheme="minorEastAsia" w:eastAsiaTheme="minorEastAsia" w:cstheme="minorEastAsia"/>
          <w:b w:val="0"/>
          <w:bCs w:val="0"/>
          <w:i w:val="0"/>
          <w:iCs w:val="0"/>
          <w:color w:val="auto"/>
          <w:kern w:val="0"/>
          <w:sz w:val="28"/>
          <w:szCs w:val="28"/>
          <w:u w:val="none"/>
          <w:lang w:val="en-US" w:eastAsia="zh-CN" w:bidi="ar"/>
        </w:rPr>
        <w:t>9953.49</w:t>
      </w:r>
      <w:r>
        <w:rPr>
          <w:rFonts w:hint="eastAsia" w:ascii="宋体" w:hAnsi="宋体" w:eastAsia="宋体" w:cs="宋体"/>
          <w:i w:val="0"/>
          <w:iCs w:val="0"/>
          <w:caps w:val="0"/>
          <w:color w:val="auto"/>
          <w:spacing w:val="0"/>
          <w:sz w:val="28"/>
          <w:szCs w:val="28"/>
          <w:shd w:val="clear" w:fill="FFFFFF"/>
          <w:lang w:val="en-US" w:eastAsia="zh-CN"/>
        </w:rPr>
        <w:t>万元。从评价结果看，资金使用效益较好，</w:t>
      </w:r>
      <w:r>
        <w:rPr>
          <w:rFonts w:hint="eastAsia" w:ascii="宋体" w:hAnsi="宋体" w:eastAsia="宋体" w:cs="宋体"/>
          <w:i w:val="0"/>
          <w:iCs w:val="0"/>
          <w:caps w:val="0"/>
          <w:color w:val="auto"/>
          <w:spacing w:val="0"/>
          <w:sz w:val="28"/>
          <w:szCs w:val="28"/>
          <w:shd w:val="clear" w:fill="FFFFFF"/>
        </w:rPr>
        <w:t>达到了预期绩效目标。</w:t>
      </w:r>
    </w:p>
    <w:p>
      <w:pPr>
        <w:pStyle w:val="13"/>
        <w:keepNext w:val="0"/>
        <w:keepLines w:val="0"/>
        <w:pageBreakBefore w:val="0"/>
        <w:widowControl/>
        <w:kinsoku/>
        <w:wordWrap/>
        <w:overflowPunct/>
        <w:topLinePunct w:val="0"/>
        <w:bidi w:val="0"/>
        <w:spacing w:line="240" w:lineRule="auto"/>
        <w:ind w:firstLine="560" w:firstLineChars="200"/>
        <w:textAlignment w:val="auto"/>
        <w:rPr>
          <w:rFonts w:hint="eastAsia" w:cs="黑体" w:asciiTheme="minorEastAsia" w:hAnsiTheme="minorEastAsia" w:eastAsiaTheme="minorEastAsia"/>
          <w:color w:val="auto"/>
          <w:sz w:val="28"/>
          <w:szCs w:val="28"/>
        </w:rPr>
      </w:pPr>
      <w:r>
        <w:rPr>
          <w:rFonts w:hint="eastAsia" w:cs="黑体" w:asciiTheme="minorEastAsia" w:hAnsiTheme="minorEastAsia" w:eastAsiaTheme="minorEastAsia"/>
          <w:color w:val="auto"/>
          <w:sz w:val="28"/>
          <w:szCs w:val="28"/>
        </w:rPr>
        <w:t>本部门预算绩效管理开展情况、绩效目标和绩效评价报告</w:t>
      </w:r>
      <w:r>
        <w:rPr>
          <w:rFonts w:hint="eastAsia" w:cs="黑体" w:asciiTheme="minorEastAsia" w:hAnsiTheme="minorEastAsia" w:eastAsiaTheme="minorEastAsia"/>
          <w:color w:val="auto"/>
          <w:sz w:val="28"/>
          <w:szCs w:val="28"/>
          <w:lang w:eastAsia="zh-CN"/>
        </w:rPr>
        <w:t>等详见附件。</w:t>
      </w:r>
    </w:p>
    <w:p>
      <w:pPr>
        <w:pStyle w:val="13"/>
        <w:ind w:firstLine="707" w:firstLineChars="221"/>
        <w:rPr>
          <w:rFonts w:asciiTheme="minorEastAsia" w:hAnsiTheme="minorEastAsia" w:eastAsiaTheme="minorEastAsia"/>
          <w:color w:val="auto"/>
          <w:sz w:val="32"/>
          <w:szCs w:val="32"/>
        </w:rPr>
      </w:pPr>
    </w:p>
    <w:p>
      <w:pPr>
        <w:pStyle w:val="13"/>
        <w:ind w:firstLine="707" w:firstLineChars="221"/>
        <w:rPr>
          <w:rFonts w:asciiTheme="minorEastAsia" w:hAnsiTheme="minorEastAsia" w:eastAsiaTheme="minorEastAsia"/>
          <w:color w:val="auto"/>
          <w:sz w:val="32"/>
          <w:szCs w:val="32"/>
        </w:rPr>
      </w:pPr>
    </w:p>
    <w:p>
      <w:pPr>
        <w:pStyle w:val="13"/>
        <w:ind w:firstLine="707" w:firstLineChars="221"/>
        <w:rPr>
          <w:rFonts w:asciiTheme="minorEastAsia" w:hAnsiTheme="minorEastAsia" w:eastAsiaTheme="minorEastAsia"/>
          <w:color w:val="auto"/>
          <w:sz w:val="32"/>
          <w:szCs w:val="32"/>
        </w:rPr>
      </w:pPr>
    </w:p>
    <w:p>
      <w:pPr>
        <w:pStyle w:val="13"/>
        <w:ind w:firstLine="707" w:firstLineChars="221"/>
        <w:rPr>
          <w:rFonts w:asciiTheme="minorEastAsia" w:hAnsiTheme="minorEastAsia" w:eastAsiaTheme="minorEastAsia"/>
          <w:color w:val="auto"/>
          <w:sz w:val="32"/>
          <w:szCs w:val="32"/>
        </w:rPr>
      </w:pPr>
    </w:p>
    <w:p>
      <w:pPr>
        <w:pStyle w:val="13"/>
        <w:ind w:firstLine="707" w:firstLineChars="221"/>
        <w:rPr>
          <w:rFonts w:asciiTheme="minorEastAsia" w:hAnsiTheme="minorEastAsia" w:eastAsiaTheme="minorEastAsia"/>
          <w:color w:val="auto"/>
          <w:sz w:val="32"/>
          <w:szCs w:val="32"/>
        </w:rPr>
      </w:pPr>
    </w:p>
    <w:p>
      <w:pPr>
        <w:pStyle w:val="13"/>
        <w:ind w:firstLine="707" w:firstLineChars="221"/>
        <w:rPr>
          <w:rFonts w:asciiTheme="minorEastAsia" w:hAnsiTheme="minorEastAsia" w:eastAsiaTheme="minorEastAsia"/>
          <w:color w:val="auto"/>
          <w:sz w:val="32"/>
          <w:szCs w:val="32"/>
        </w:rPr>
      </w:pPr>
    </w:p>
    <w:p>
      <w:pPr>
        <w:pStyle w:val="13"/>
        <w:ind w:firstLine="707" w:firstLineChars="221"/>
        <w:rPr>
          <w:rFonts w:asciiTheme="minorEastAsia" w:hAnsiTheme="minorEastAsia" w:eastAsiaTheme="minorEastAsia"/>
          <w:color w:val="auto"/>
          <w:sz w:val="32"/>
          <w:szCs w:val="32"/>
        </w:rPr>
      </w:pPr>
    </w:p>
    <w:p>
      <w:pPr>
        <w:pStyle w:val="13"/>
        <w:ind w:firstLine="707" w:firstLineChars="221"/>
        <w:rPr>
          <w:rFonts w:asciiTheme="minorEastAsia" w:hAnsiTheme="minorEastAsia" w:eastAsiaTheme="minorEastAsia"/>
          <w:color w:val="auto"/>
          <w:sz w:val="32"/>
          <w:szCs w:val="32"/>
        </w:rPr>
      </w:pPr>
    </w:p>
    <w:p>
      <w:pPr>
        <w:pStyle w:val="13"/>
        <w:ind w:firstLine="707" w:firstLineChars="221"/>
        <w:rPr>
          <w:rFonts w:asciiTheme="minorEastAsia" w:hAnsiTheme="minorEastAsia" w:eastAsiaTheme="minorEastAsia"/>
          <w:color w:val="auto"/>
          <w:sz w:val="32"/>
          <w:szCs w:val="32"/>
        </w:rPr>
      </w:pPr>
    </w:p>
    <w:p>
      <w:pPr>
        <w:pStyle w:val="13"/>
        <w:ind w:firstLine="0" w:firstLineChars="0"/>
        <w:jc w:val="center"/>
        <w:rPr>
          <w:color w:val="auto"/>
          <w:sz w:val="72"/>
          <w:szCs w:val="72"/>
        </w:rPr>
      </w:pPr>
      <w:r>
        <w:rPr>
          <w:rFonts w:hint="eastAsia"/>
          <w:color w:val="auto"/>
          <w:sz w:val="72"/>
          <w:szCs w:val="72"/>
        </w:rPr>
        <w:t>第四部分</w:t>
      </w:r>
    </w:p>
    <w:p>
      <w:pPr>
        <w:jc w:val="center"/>
        <w:rPr>
          <w:rFonts w:ascii="黑体" w:eastAsia="黑体" w:cs="黑体"/>
          <w:color w:val="auto"/>
          <w:kern w:val="0"/>
          <w:sz w:val="70"/>
          <w:szCs w:val="70"/>
        </w:rPr>
      </w:pPr>
    </w:p>
    <w:p>
      <w:pPr>
        <w:jc w:val="center"/>
        <w:rPr>
          <w:rFonts w:ascii="黑体" w:eastAsia="黑体" w:cs="黑体"/>
          <w:color w:val="auto"/>
          <w:kern w:val="0"/>
          <w:sz w:val="70"/>
          <w:szCs w:val="70"/>
        </w:rPr>
      </w:pPr>
      <w:r>
        <w:rPr>
          <w:rFonts w:hint="eastAsia" w:ascii="黑体" w:eastAsia="黑体" w:cs="黑体"/>
          <w:color w:val="auto"/>
          <w:kern w:val="0"/>
          <w:sz w:val="70"/>
          <w:szCs w:val="70"/>
        </w:rPr>
        <w:t>名词解释</w:t>
      </w:r>
    </w:p>
    <w:p>
      <w:pPr>
        <w:widowControl/>
        <w:jc w:val="left"/>
        <w:rPr>
          <w:rFonts w:ascii="黑体" w:eastAsia="黑体" w:cs="黑体"/>
          <w:color w:val="auto"/>
          <w:kern w:val="0"/>
          <w:sz w:val="70"/>
          <w:szCs w:val="70"/>
        </w:rPr>
      </w:pPr>
      <w:r>
        <w:rPr>
          <w:rFonts w:ascii="黑体" w:eastAsia="黑体" w:cs="黑体"/>
          <w:color w:val="auto"/>
          <w:kern w:val="0"/>
          <w:sz w:val="70"/>
          <w:szCs w:val="70"/>
        </w:rPr>
        <w:br w:type="page"/>
      </w:r>
    </w:p>
    <w:p>
      <w:pPr>
        <w:pStyle w:val="14"/>
        <w:numPr>
          <w:ilvl w:val="0"/>
          <w:numId w:val="4"/>
        </w:numPr>
        <w:ind w:left="0" w:firstLine="851" w:firstLineChars="0"/>
        <w:jc w:val="left"/>
        <w:rPr>
          <w:rFonts w:cs="黑体" w:asciiTheme="minorEastAsia" w:hAnsiTheme="minorEastAsia"/>
          <w:color w:val="auto"/>
          <w:kern w:val="0"/>
          <w:sz w:val="32"/>
          <w:szCs w:val="32"/>
        </w:rPr>
      </w:pPr>
      <w:r>
        <w:rPr>
          <w:rFonts w:hint="eastAsia" w:cs="黑体" w:asciiTheme="minorEastAsia" w:hAnsiTheme="minorEastAsia"/>
          <w:color w:val="auto"/>
          <w:kern w:val="0"/>
          <w:sz w:val="32"/>
          <w:szCs w:val="32"/>
        </w:rPr>
        <w:t>基本支出：指为保障机构正常运转、完成日常工作任务而发生的各项支出，包括人员支出和公用支出。</w:t>
      </w:r>
    </w:p>
    <w:p>
      <w:pPr>
        <w:pStyle w:val="14"/>
        <w:numPr>
          <w:ilvl w:val="0"/>
          <w:numId w:val="4"/>
        </w:numPr>
        <w:ind w:left="0" w:firstLine="851" w:firstLineChars="0"/>
        <w:jc w:val="left"/>
        <w:rPr>
          <w:rFonts w:cs="黑体" w:asciiTheme="minorEastAsia" w:hAnsiTheme="minorEastAsia"/>
          <w:color w:val="auto"/>
          <w:kern w:val="0"/>
          <w:sz w:val="32"/>
          <w:szCs w:val="32"/>
        </w:rPr>
      </w:pPr>
      <w:r>
        <w:rPr>
          <w:rFonts w:hint="eastAsia" w:cs="黑体" w:asciiTheme="minorEastAsia" w:hAnsiTheme="minorEastAsia"/>
          <w:color w:val="auto"/>
          <w:kern w:val="0"/>
          <w:sz w:val="32"/>
          <w:szCs w:val="32"/>
        </w:rPr>
        <w:t>项目支出：指在基本支出以外为完成相关行政任务和事业发展目标所发生的各项支出。</w:t>
      </w:r>
    </w:p>
    <w:p>
      <w:pPr>
        <w:pStyle w:val="14"/>
        <w:numPr>
          <w:ilvl w:val="0"/>
          <w:numId w:val="4"/>
        </w:numPr>
        <w:ind w:left="0" w:firstLine="851" w:firstLineChars="0"/>
        <w:jc w:val="left"/>
        <w:rPr>
          <w:rFonts w:cs="黑体" w:asciiTheme="minorEastAsia" w:hAnsiTheme="minorEastAsia"/>
          <w:color w:val="auto"/>
          <w:kern w:val="0"/>
          <w:sz w:val="32"/>
          <w:szCs w:val="32"/>
        </w:rPr>
      </w:pPr>
      <w:r>
        <w:rPr>
          <w:rFonts w:hint="eastAsia" w:cs="黑体" w:asciiTheme="minorEastAsia" w:hAnsiTheme="minorEastAsia"/>
          <w:color w:val="auto"/>
          <w:kern w:val="0"/>
          <w:sz w:val="32"/>
          <w:szCs w:val="32"/>
        </w:rPr>
        <w:t>“三公”经费：指通过财政拨款资金安排的因公出国（境）费、公务用车购置及运行费和公务接待费支出。</w:t>
      </w:r>
    </w:p>
    <w:p>
      <w:pPr>
        <w:pStyle w:val="14"/>
        <w:numPr>
          <w:ilvl w:val="0"/>
          <w:numId w:val="4"/>
        </w:numPr>
        <w:ind w:left="0" w:firstLine="851" w:firstLineChars="0"/>
        <w:jc w:val="left"/>
        <w:rPr>
          <w:rFonts w:cs="黑体" w:asciiTheme="minorEastAsia" w:hAnsiTheme="minorEastAsia"/>
          <w:color w:val="auto"/>
          <w:kern w:val="0"/>
          <w:sz w:val="32"/>
          <w:szCs w:val="32"/>
        </w:rPr>
      </w:pPr>
      <w:r>
        <w:rPr>
          <w:rFonts w:hint="eastAsia" w:cs="黑体" w:asciiTheme="minorEastAsia" w:hAnsiTheme="minorEastAsia"/>
          <w:color w:val="auto"/>
          <w:kern w:val="0"/>
          <w:sz w:val="32"/>
          <w:szCs w:val="32"/>
        </w:rPr>
        <w:t>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color w:val="auto"/>
          <w:sz w:val="72"/>
          <w:szCs w:val="72"/>
        </w:rPr>
      </w:pPr>
    </w:p>
    <w:p>
      <w:pPr>
        <w:pStyle w:val="13"/>
        <w:jc w:val="center"/>
        <w:rPr>
          <w:rFonts w:hint="eastAsia"/>
          <w:color w:val="auto"/>
          <w:sz w:val="72"/>
          <w:szCs w:val="72"/>
        </w:rPr>
      </w:pPr>
    </w:p>
    <w:p>
      <w:pPr>
        <w:pStyle w:val="13"/>
        <w:jc w:val="center"/>
        <w:rPr>
          <w:rFonts w:hint="eastAsia"/>
          <w:color w:val="auto"/>
          <w:sz w:val="72"/>
          <w:szCs w:val="72"/>
        </w:rPr>
      </w:pPr>
    </w:p>
    <w:p>
      <w:pPr>
        <w:pStyle w:val="13"/>
        <w:jc w:val="center"/>
        <w:rPr>
          <w:rFonts w:hint="eastAsia"/>
          <w:color w:val="auto"/>
          <w:sz w:val="72"/>
          <w:szCs w:val="72"/>
        </w:rPr>
      </w:pPr>
    </w:p>
    <w:p>
      <w:pPr>
        <w:pStyle w:val="13"/>
        <w:jc w:val="center"/>
        <w:rPr>
          <w:rFonts w:hint="eastAsia"/>
          <w:color w:val="auto"/>
          <w:sz w:val="72"/>
          <w:szCs w:val="72"/>
        </w:rPr>
      </w:pPr>
    </w:p>
    <w:p>
      <w:pPr>
        <w:pStyle w:val="13"/>
        <w:jc w:val="center"/>
        <w:rPr>
          <w:rFonts w:hint="eastAsia"/>
          <w:color w:val="auto"/>
          <w:sz w:val="72"/>
          <w:szCs w:val="72"/>
        </w:rPr>
      </w:pPr>
    </w:p>
    <w:p>
      <w:pPr>
        <w:pStyle w:val="13"/>
        <w:jc w:val="center"/>
        <w:rPr>
          <w:rFonts w:hint="eastAsia"/>
          <w:color w:val="auto"/>
          <w:sz w:val="72"/>
          <w:szCs w:val="72"/>
        </w:rPr>
      </w:pPr>
    </w:p>
    <w:p>
      <w:pPr>
        <w:pStyle w:val="13"/>
        <w:jc w:val="center"/>
        <w:rPr>
          <w:rFonts w:hint="eastAsia"/>
          <w:color w:val="auto"/>
          <w:sz w:val="72"/>
          <w:szCs w:val="72"/>
        </w:rPr>
      </w:pPr>
    </w:p>
    <w:p>
      <w:pPr>
        <w:pStyle w:val="13"/>
        <w:jc w:val="center"/>
        <w:rPr>
          <w:color w:val="auto"/>
          <w:sz w:val="72"/>
          <w:szCs w:val="72"/>
        </w:rPr>
      </w:pPr>
      <w:r>
        <w:rPr>
          <w:rFonts w:hint="eastAsia"/>
          <w:color w:val="auto"/>
          <w:sz w:val="72"/>
          <w:szCs w:val="72"/>
        </w:rPr>
        <w:t>第五部分</w:t>
      </w:r>
    </w:p>
    <w:p>
      <w:pPr>
        <w:jc w:val="center"/>
        <w:rPr>
          <w:rFonts w:ascii="黑体" w:eastAsia="黑体" w:cs="黑体"/>
          <w:color w:val="auto"/>
          <w:kern w:val="0"/>
          <w:sz w:val="70"/>
          <w:szCs w:val="70"/>
        </w:rPr>
      </w:pPr>
    </w:p>
    <w:p>
      <w:pPr>
        <w:jc w:val="center"/>
        <w:rPr>
          <w:rFonts w:ascii="黑体" w:eastAsia="黑体" w:cs="黑体"/>
          <w:color w:val="auto"/>
          <w:kern w:val="0"/>
          <w:sz w:val="70"/>
          <w:szCs w:val="70"/>
        </w:rPr>
      </w:pPr>
      <w:r>
        <w:rPr>
          <w:rFonts w:hint="eastAsia" w:ascii="黑体" w:eastAsia="黑体" w:cs="黑体"/>
          <w:color w:val="auto"/>
          <w:kern w:val="0"/>
          <w:sz w:val="70"/>
          <w:szCs w:val="70"/>
        </w:rPr>
        <w:t>附件</w:t>
      </w:r>
    </w:p>
    <w:p>
      <w:pPr>
        <w:widowControl/>
        <w:jc w:val="left"/>
        <w:rPr>
          <w:rFonts w:ascii="黑体" w:eastAsia="黑体" w:cs="黑体"/>
          <w:color w:val="auto"/>
          <w:kern w:val="0"/>
          <w:sz w:val="70"/>
          <w:szCs w:val="70"/>
        </w:rPr>
      </w:pPr>
      <w:r>
        <w:rPr>
          <w:rFonts w:ascii="黑体" w:eastAsia="黑体" w:cs="黑体"/>
          <w:color w:val="auto"/>
          <w:kern w:val="0"/>
          <w:sz w:val="70"/>
          <w:szCs w:val="70"/>
        </w:rPr>
        <w:br w:type="page"/>
      </w:r>
    </w:p>
    <w:p>
      <w:pPr>
        <w:rPr>
          <w:rFonts w:ascii="黑体" w:eastAsia="黑体"/>
          <w:color w:val="auto"/>
          <w:sz w:val="32"/>
          <w:szCs w:val="32"/>
        </w:rPr>
      </w:pPr>
      <w:r>
        <w:rPr>
          <w:rFonts w:hint="eastAsia" w:ascii="黑体" w:eastAsia="黑体"/>
          <w:color w:val="auto"/>
          <w:sz w:val="32"/>
          <w:szCs w:val="32"/>
        </w:rPr>
        <w:t>附件1</w:t>
      </w:r>
    </w:p>
    <w:p>
      <w:pPr>
        <w:rPr>
          <w:rFonts w:hint="eastAsia" w:ascii="黑体" w:eastAsia="黑体"/>
          <w:color w:val="auto"/>
          <w:sz w:val="32"/>
          <w:szCs w:val="32"/>
        </w:rPr>
      </w:pPr>
    </w:p>
    <w:p>
      <w:pPr>
        <w:rPr>
          <w:rFonts w:hint="eastAsia" w:ascii="黑体" w:eastAsia="黑体"/>
          <w:color w:val="auto"/>
          <w:sz w:val="32"/>
          <w:szCs w:val="32"/>
        </w:rPr>
      </w:pPr>
    </w:p>
    <w:p>
      <w:pPr>
        <w:jc w:val="center"/>
        <w:rPr>
          <w:rFonts w:hint="eastAsia" w:ascii="方正小标宋_GBK" w:eastAsia="方正小标宋_GBK"/>
          <w:color w:val="auto"/>
          <w:sz w:val="48"/>
          <w:szCs w:val="48"/>
        </w:rPr>
      </w:pPr>
      <w:r>
        <w:rPr>
          <w:rFonts w:hint="eastAsia" w:ascii="方正小标宋_GBK" w:eastAsia="方正小标宋_GBK"/>
          <w:color w:val="auto"/>
          <w:sz w:val="48"/>
          <w:szCs w:val="48"/>
          <w:lang w:val="en-US" w:eastAsia="zh-CN"/>
        </w:rPr>
        <w:t>2021</w:t>
      </w:r>
      <w:r>
        <w:rPr>
          <w:rFonts w:hint="eastAsia" w:ascii="方正小标宋_GBK" w:eastAsia="方正小标宋_GBK"/>
          <w:color w:val="auto"/>
          <w:sz w:val="48"/>
          <w:szCs w:val="48"/>
        </w:rPr>
        <w:t>年度部门整体支出绩效自评报告</w:t>
      </w:r>
    </w:p>
    <w:p>
      <w:pPr>
        <w:jc w:val="center"/>
        <w:rPr>
          <w:rFonts w:hint="eastAsia" w:ascii="楷体_GB2312" w:eastAsia="楷体_GB2312"/>
          <w:b/>
          <w:color w:val="auto"/>
          <w:sz w:val="32"/>
          <w:szCs w:val="32"/>
        </w:rPr>
      </w:pPr>
    </w:p>
    <w:p>
      <w:pPr>
        <w:jc w:val="center"/>
        <w:rPr>
          <w:rFonts w:hint="eastAsia" w:ascii="黑体" w:eastAsia="黑体"/>
          <w:color w:val="auto"/>
          <w:sz w:val="32"/>
          <w:szCs w:val="32"/>
        </w:rPr>
      </w:pPr>
    </w:p>
    <w:p>
      <w:pPr>
        <w:jc w:val="center"/>
        <w:rPr>
          <w:rFonts w:hint="eastAsia" w:ascii="黑体" w:eastAsia="黑体"/>
          <w:color w:val="auto"/>
          <w:sz w:val="32"/>
          <w:szCs w:val="32"/>
        </w:rPr>
      </w:pPr>
    </w:p>
    <w:p>
      <w:pPr>
        <w:jc w:val="center"/>
        <w:rPr>
          <w:rFonts w:hint="eastAsia" w:ascii="黑体" w:eastAsia="黑体"/>
          <w:color w:val="auto"/>
          <w:sz w:val="32"/>
          <w:szCs w:val="32"/>
        </w:rPr>
      </w:pPr>
    </w:p>
    <w:p>
      <w:pPr>
        <w:jc w:val="center"/>
        <w:rPr>
          <w:rFonts w:hint="eastAsia" w:ascii="黑体" w:eastAsia="黑体"/>
          <w:color w:val="auto"/>
          <w:sz w:val="32"/>
          <w:szCs w:val="32"/>
        </w:rPr>
      </w:pPr>
    </w:p>
    <w:p>
      <w:pPr>
        <w:jc w:val="center"/>
        <w:rPr>
          <w:rFonts w:hint="eastAsia" w:ascii="黑体" w:eastAsia="黑体"/>
          <w:color w:val="auto"/>
          <w:sz w:val="32"/>
          <w:szCs w:val="32"/>
        </w:rPr>
      </w:pPr>
    </w:p>
    <w:p>
      <w:pPr>
        <w:jc w:val="center"/>
        <w:rPr>
          <w:rFonts w:hint="eastAsia" w:ascii="黑体" w:eastAsia="黑体"/>
          <w:color w:val="auto"/>
          <w:sz w:val="32"/>
          <w:szCs w:val="32"/>
        </w:rPr>
      </w:pPr>
    </w:p>
    <w:p>
      <w:pPr>
        <w:jc w:val="center"/>
        <w:rPr>
          <w:rFonts w:hint="eastAsia" w:ascii="黑体" w:eastAsia="黑体"/>
          <w:color w:val="auto"/>
          <w:sz w:val="32"/>
          <w:szCs w:val="32"/>
        </w:rPr>
      </w:pPr>
    </w:p>
    <w:p>
      <w:pPr>
        <w:jc w:val="center"/>
        <w:rPr>
          <w:rFonts w:hint="eastAsia" w:ascii="黑体" w:eastAsia="黑体"/>
          <w:color w:val="auto"/>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lang w:eastAsia="zh-CN"/>
        </w:rPr>
      </w:pPr>
      <w:r>
        <w:rPr>
          <w:rFonts w:hint="eastAsia" w:ascii="黑体" w:eastAsia="黑体"/>
          <w:color w:val="auto"/>
          <w:sz w:val="44"/>
          <w:szCs w:val="44"/>
          <w:lang w:eastAsia="zh-CN"/>
        </w:rPr>
        <w:t>湖南省生态环境监测中心</w:t>
      </w:r>
    </w:p>
    <w:p>
      <w:pPr>
        <w:pStyle w:val="2"/>
        <w:rPr>
          <w:rFonts w:hint="eastAsia" w:ascii="仿宋" w:hAnsi="仿宋" w:eastAsia="仿宋" w:cs="仿宋"/>
          <w:color w:val="auto"/>
          <w:kern w:val="2"/>
          <w:sz w:val="32"/>
          <w:szCs w:val="32"/>
        </w:rPr>
      </w:pPr>
    </w:p>
    <w:p>
      <w:pPr>
        <w:pStyle w:val="2"/>
        <w:rPr>
          <w:rFonts w:hint="eastAsia" w:ascii="仿宋" w:hAnsi="仿宋" w:eastAsia="仿宋" w:cs="仿宋"/>
          <w:color w:val="auto"/>
          <w:kern w:val="2"/>
          <w:sz w:val="32"/>
          <w:szCs w:val="32"/>
        </w:rPr>
      </w:pPr>
    </w:p>
    <w:p>
      <w:pPr>
        <w:pStyle w:val="2"/>
        <w:rPr>
          <w:rFonts w:hint="eastAsia" w:ascii="仿宋" w:hAnsi="仿宋" w:eastAsia="仿宋" w:cs="仿宋"/>
          <w:color w:val="auto"/>
          <w:kern w:val="2"/>
          <w:sz w:val="32"/>
          <w:szCs w:val="32"/>
        </w:rPr>
      </w:pPr>
    </w:p>
    <w:p>
      <w:pPr>
        <w:pStyle w:val="2"/>
        <w:rPr>
          <w:rFonts w:hint="eastAsia" w:ascii="仿宋" w:hAnsi="仿宋" w:eastAsia="仿宋" w:cs="仿宋"/>
          <w:color w:val="auto"/>
          <w:kern w:val="2"/>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rPr>
      </w:pPr>
    </w:p>
    <w:p>
      <w:pPr>
        <w:pStyle w:val="2"/>
        <w:rPr>
          <w:rFonts w:hint="eastAsia" w:ascii="仿宋" w:hAnsi="仿宋" w:eastAsia="仿宋" w:cs="仿宋"/>
          <w:color w:val="auto"/>
          <w:kern w:val="2"/>
          <w:sz w:val="32"/>
          <w:szCs w:val="32"/>
        </w:rPr>
      </w:pPr>
    </w:p>
    <w:p>
      <w:pPr>
        <w:pStyle w:val="2"/>
        <w:rPr>
          <w:rFonts w:hint="eastAsia" w:ascii="仿宋" w:hAnsi="仿宋" w:eastAsia="仿宋" w:cs="仿宋"/>
          <w:color w:val="auto"/>
          <w:kern w:val="2"/>
          <w:sz w:val="32"/>
          <w:szCs w:val="32"/>
        </w:rPr>
      </w:pPr>
    </w:p>
    <w:p>
      <w:pPr>
        <w:pStyle w:val="2"/>
        <w:rPr>
          <w:rFonts w:hint="eastAsia" w:ascii="仿宋" w:hAnsi="仿宋" w:eastAsia="仿宋" w:cs="仿宋"/>
          <w:color w:val="auto"/>
          <w:kern w:val="2"/>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2"/>
          <w:sz w:val="32"/>
          <w:szCs w:val="32"/>
        </w:rPr>
      </w:pPr>
    </w:p>
    <w:p>
      <w:pPr>
        <w:pStyle w:val="14"/>
        <w:keepNext w:val="0"/>
        <w:keepLines w:val="0"/>
        <w:pageBreakBefore w:val="0"/>
        <w:widowControl/>
        <w:numPr>
          <w:ilvl w:val="0"/>
          <w:numId w:val="5"/>
        </w:numPr>
        <w:kinsoku/>
        <w:wordWrap/>
        <w:overflowPunct/>
        <w:topLinePunct w:val="0"/>
        <w:autoSpaceDE/>
        <w:autoSpaceDN/>
        <w:bidi w:val="0"/>
        <w:adjustRightInd/>
        <w:snapToGrid/>
        <w:spacing w:line="560" w:lineRule="exact"/>
        <w:ind w:firstLine="640"/>
        <w:textAlignment w:val="auto"/>
        <w:rPr>
          <w:rFonts w:hint="eastAsia" w:ascii="仿宋" w:hAnsi="仿宋" w:eastAsia="仿宋" w:cs="仿宋"/>
          <w:b/>
          <w:bCs/>
          <w:color w:val="auto"/>
          <w:kern w:val="2"/>
          <w:sz w:val="32"/>
          <w:szCs w:val="32"/>
        </w:rPr>
      </w:pPr>
      <w:r>
        <w:rPr>
          <w:rFonts w:hint="eastAsia" w:ascii="仿宋" w:hAnsi="仿宋" w:eastAsia="仿宋" w:cs="仿宋"/>
          <w:b/>
          <w:bCs/>
          <w:color w:val="auto"/>
          <w:kern w:val="2"/>
          <w:sz w:val="32"/>
          <w:szCs w:val="32"/>
        </w:rPr>
        <w:t>部门、单位基本情况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color w:val="auto"/>
          <w:kern w:val="2"/>
          <w:sz w:val="32"/>
          <w:szCs w:val="32"/>
          <w:u w:val="none"/>
        </w:rPr>
      </w:pPr>
      <w:r>
        <w:rPr>
          <w:rFonts w:hint="eastAsia" w:ascii="仿宋" w:hAnsi="仿宋" w:eastAsia="仿宋" w:cs="仿宋"/>
          <w:b/>
          <w:color w:val="auto"/>
          <w:kern w:val="2"/>
          <w:sz w:val="32"/>
          <w:szCs w:val="32"/>
          <w:u w:val="none"/>
        </w:rPr>
        <w:t>（一）职能职责</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2"/>
          <w:sz w:val="32"/>
          <w:szCs w:val="32"/>
          <w:u w:val="none"/>
        </w:rPr>
      </w:pPr>
      <w:r>
        <w:rPr>
          <w:rFonts w:hint="eastAsia" w:ascii="仿宋" w:hAnsi="仿宋" w:eastAsia="仿宋" w:cs="仿宋"/>
          <w:color w:val="auto"/>
          <w:kern w:val="2"/>
          <w:sz w:val="32"/>
          <w:szCs w:val="32"/>
          <w:u w:val="none"/>
        </w:rPr>
        <w:t>湖南省生态环境监测中心</w:t>
      </w:r>
      <w:r>
        <w:rPr>
          <w:rFonts w:hint="eastAsia" w:ascii="仿宋" w:hAnsi="仿宋" w:eastAsia="仿宋" w:cs="仿宋"/>
          <w:color w:val="auto"/>
          <w:kern w:val="2"/>
          <w:sz w:val="32"/>
          <w:szCs w:val="32"/>
          <w:u w:val="none"/>
          <w:lang w:eastAsia="zh-CN"/>
        </w:rPr>
        <w:t>（以下简称“省中心”）</w:t>
      </w:r>
      <w:r>
        <w:rPr>
          <w:rFonts w:hint="eastAsia" w:ascii="仿宋" w:hAnsi="仿宋" w:eastAsia="仿宋" w:cs="仿宋"/>
          <w:color w:val="auto"/>
          <w:kern w:val="2"/>
          <w:sz w:val="32"/>
          <w:szCs w:val="32"/>
          <w:u w:val="none"/>
        </w:rPr>
        <w:t>是湖南省生态环境厅直属全额拨款事业单位，其主要职责是</w:t>
      </w:r>
      <w:r>
        <w:rPr>
          <w:rFonts w:hint="eastAsia" w:ascii="仿宋" w:hAnsi="仿宋" w:eastAsia="仿宋" w:cs="仿宋"/>
          <w:color w:val="auto"/>
          <w:kern w:val="2"/>
          <w:sz w:val="32"/>
          <w:szCs w:val="32"/>
          <w:u w:val="none"/>
          <w:lang w:eastAsia="zh-CN"/>
        </w:rPr>
        <w:t>全面贯彻落实党中央、国务院和省委省政府关于生态环境监测体制机制改革的决策部署，按照强化生态环境监测机构“支撑、引领、服务”的三大职能，充分发挥“网络中心、技术中心、质控中心、数据信息中心、培训中心”的作用，以“实现‘大监测’，确保‘真准全’，支撑‘大保护’”为总体目标，推进构建“大格局”、优化“一张网”、守住“生命线”、用活“大数据”、打造“先锋队”五项重点任务的落实，加快建立科学、独立、权威、高效的生态环境监测体系，大力推进生态环境监测体系与监测能力现代化。</w:t>
      </w:r>
    </w:p>
    <w:p>
      <w:pPr>
        <w:keepNext w:val="0"/>
        <w:keepLines w:val="0"/>
        <w:pageBreakBefore w:val="0"/>
        <w:widowControl/>
        <w:numPr>
          <w:ilvl w:val="0"/>
          <w:numId w:val="6"/>
        </w:numPr>
        <w:kinsoku/>
        <w:wordWrap/>
        <w:overflowPunct/>
        <w:topLinePunct w:val="0"/>
        <w:autoSpaceDE/>
        <w:autoSpaceDN/>
        <w:bidi w:val="0"/>
        <w:adjustRightInd/>
        <w:snapToGrid/>
        <w:spacing w:line="560" w:lineRule="exact"/>
        <w:ind w:firstLine="627" w:firstLineChars="196"/>
        <w:jc w:val="left"/>
        <w:textAlignment w:val="auto"/>
        <w:rPr>
          <w:rFonts w:hint="eastAsia" w:ascii="仿宋" w:hAnsi="仿宋" w:eastAsia="仿宋" w:cs="仿宋"/>
          <w:b/>
          <w:color w:val="auto"/>
          <w:kern w:val="2"/>
          <w:sz w:val="32"/>
          <w:szCs w:val="32"/>
          <w:u w:val="none"/>
        </w:rPr>
      </w:pPr>
      <w:r>
        <w:rPr>
          <w:rFonts w:hint="eastAsia" w:ascii="仿宋" w:hAnsi="仿宋" w:eastAsia="仿宋" w:cs="仿宋"/>
          <w:b/>
          <w:color w:val="auto"/>
          <w:kern w:val="2"/>
          <w:sz w:val="32"/>
          <w:szCs w:val="32"/>
          <w:u w:val="none"/>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 w:hAnsi="仿宋" w:eastAsia="仿宋" w:cs="仿宋"/>
          <w:color w:val="auto"/>
          <w:kern w:val="2"/>
          <w:sz w:val="32"/>
          <w:szCs w:val="32"/>
        </w:rPr>
      </w:pPr>
      <w:r>
        <w:rPr>
          <w:rFonts w:hint="eastAsia" w:ascii="仿宋" w:hAnsi="仿宋" w:eastAsia="仿宋" w:cs="仿宋"/>
          <w:b/>
          <w:color w:val="auto"/>
          <w:kern w:val="2"/>
          <w:sz w:val="32"/>
          <w:szCs w:val="32"/>
          <w:u w:val="none"/>
          <w:lang w:val="en-US" w:eastAsia="zh-CN"/>
        </w:rPr>
        <w:t xml:space="preserve">    </w:t>
      </w:r>
      <w:r>
        <w:rPr>
          <w:rFonts w:hint="eastAsia" w:ascii="仿宋" w:hAnsi="仿宋" w:eastAsia="仿宋" w:cs="仿宋"/>
          <w:color w:val="auto"/>
          <w:kern w:val="2"/>
          <w:sz w:val="32"/>
          <w:szCs w:val="32"/>
          <w:u w:val="none"/>
        </w:rPr>
        <w:t>内设机构设置以构建生态环境监测垂直管理格局，实现“大监测”、确保“真准全”、支撑“大保护”的总体目标，按照监测要素分类以及职能模块化等原则，设内设机构13个</w:t>
      </w:r>
      <w:r>
        <w:rPr>
          <w:rFonts w:hint="eastAsia" w:ascii="仿宋" w:hAnsi="仿宋" w:eastAsia="仿宋" w:cs="仿宋"/>
          <w:color w:val="auto"/>
          <w:kern w:val="2"/>
          <w:sz w:val="32"/>
          <w:szCs w:val="32"/>
          <w:u w:val="none"/>
          <w:lang w:eastAsia="zh-CN"/>
        </w:rPr>
        <w:t>，包括办公室、党建工作部（纪检监察室）、综合研究部、人事部、财务部、资产管理部（信息中心）、分析技术部、水环境监测部、大气环境监测部（大气质量预测预报中心）、土壤环境监测部、质量管理部、污染源与应急监测部。</w:t>
      </w:r>
    </w:p>
    <w:p>
      <w:pPr>
        <w:keepNext w:val="0"/>
        <w:keepLines w:val="0"/>
        <w:pageBreakBefore w:val="0"/>
        <w:widowControl/>
        <w:kinsoku/>
        <w:wordWrap/>
        <w:overflowPunct/>
        <w:topLinePunct w:val="0"/>
        <w:autoSpaceDE/>
        <w:autoSpaceDN/>
        <w:bidi w:val="0"/>
        <w:adjustRightInd/>
        <w:snapToGrid/>
        <w:spacing w:line="560" w:lineRule="exact"/>
        <w:ind w:firstLine="660"/>
        <w:jc w:val="left"/>
        <w:textAlignment w:val="auto"/>
        <w:rPr>
          <w:rFonts w:hint="eastAsia" w:ascii="仿宋" w:hAnsi="仿宋" w:eastAsia="仿宋" w:cs="仿宋"/>
          <w:b/>
          <w:bCs/>
          <w:color w:val="auto"/>
          <w:kern w:val="2"/>
          <w:sz w:val="32"/>
          <w:szCs w:val="32"/>
          <w:lang w:eastAsia="zh-CN"/>
        </w:rPr>
      </w:pPr>
      <w:r>
        <w:rPr>
          <w:rFonts w:hint="eastAsia" w:ascii="仿宋" w:hAnsi="仿宋" w:eastAsia="仿宋" w:cs="仿宋"/>
          <w:b/>
          <w:bCs/>
          <w:color w:val="auto"/>
          <w:kern w:val="2"/>
          <w:sz w:val="32"/>
          <w:szCs w:val="32"/>
        </w:rPr>
        <w:t>二、</w:t>
      </w:r>
      <w:r>
        <w:rPr>
          <w:rFonts w:hint="eastAsia" w:ascii="仿宋" w:hAnsi="仿宋" w:eastAsia="仿宋" w:cs="仿宋"/>
          <w:b/>
          <w:bCs/>
          <w:color w:val="auto"/>
          <w:kern w:val="2"/>
          <w:sz w:val="32"/>
          <w:szCs w:val="32"/>
          <w:lang w:eastAsia="zh-CN"/>
        </w:rPr>
        <w:t>整体支出情况</w:t>
      </w:r>
    </w:p>
    <w:p>
      <w:pPr>
        <w:keepNext w:val="0"/>
        <w:keepLines w:val="0"/>
        <w:pageBreakBefore w:val="0"/>
        <w:widowControl/>
        <w:kinsoku/>
        <w:wordWrap/>
        <w:overflowPunct/>
        <w:topLinePunct w:val="0"/>
        <w:autoSpaceDE/>
        <w:autoSpaceDN/>
        <w:bidi w:val="0"/>
        <w:adjustRightInd/>
        <w:snapToGrid/>
        <w:spacing w:line="560" w:lineRule="exact"/>
        <w:ind w:firstLine="660"/>
        <w:jc w:val="left"/>
        <w:textAlignment w:val="auto"/>
        <w:rPr>
          <w:rFonts w:hint="eastAsia" w:ascii="仿宋" w:hAnsi="仿宋" w:eastAsia="仿宋" w:cs="仿宋"/>
          <w:color w:val="auto"/>
          <w:kern w:val="2"/>
          <w:sz w:val="32"/>
          <w:szCs w:val="32"/>
          <w:lang w:eastAsia="zh-CN"/>
        </w:rPr>
      </w:pPr>
      <w:r>
        <w:rPr>
          <w:rFonts w:hint="eastAsia" w:ascii="仿宋" w:hAnsi="仿宋" w:eastAsia="仿宋" w:cs="仿宋"/>
          <w:color w:val="auto"/>
          <w:kern w:val="2"/>
          <w:sz w:val="32"/>
          <w:szCs w:val="32"/>
        </w:rPr>
        <w:t>本单位202</w:t>
      </w:r>
      <w:r>
        <w:rPr>
          <w:rFonts w:hint="eastAsia" w:ascii="仿宋" w:hAnsi="仿宋" w:eastAsia="仿宋" w:cs="仿宋"/>
          <w:color w:val="auto"/>
          <w:kern w:val="2"/>
          <w:sz w:val="32"/>
          <w:szCs w:val="32"/>
          <w:lang w:val="en-US" w:eastAsia="zh-CN"/>
        </w:rPr>
        <w:t>1</w:t>
      </w:r>
      <w:r>
        <w:rPr>
          <w:rFonts w:hint="eastAsia" w:ascii="仿宋" w:hAnsi="仿宋" w:eastAsia="仿宋" w:cs="仿宋"/>
          <w:color w:val="auto"/>
          <w:kern w:val="2"/>
          <w:sz w:val="32"/>
          <w:szCs w:val="32"/>
        </w:rPr>
        <w:t>年度</w:t>
      </w:r>
      <w:r>
        <w:rPr>
          <w:rFonts w:hint="eastAsia" w:ascii="仿宋" w:hAnsi="仿宋" w:eastAsia="仿宋" w:cs="仿宋"/>
          <w:color w:val="auto"/>
          <w:kern w:val="2"/>
          <w:sz w:val="32"/>
          <w:szCs w:val="32"/>
          <w:lang w:val="en-US" w:eastAsia="zh-CN"/>
        </w:rPr>
        <w:t>财政资金</w:t>
      </w:r>
      <w:r>
        <w:rPr>
          <w:rFonts w:hint="eastAsia" w:ascii="仿宋" w:hAnsi="仿宋" w:eastAsia="仿宋" w:cs="仿宋"/>
          <w:color w:val="auto"/>
          <w:kern w:val="2"/>
          <w:sz w:val="32"/>
          <w:szCs w:val="32"/>
          <w:lang w:eastAsia="zh-CN"/>
        </w:rPr>
        <w:t>预算</w:t>
      </w:r>
      <w:r>
        <w:rPr>
          <w:rFonts w:hint="eastAsia" w:ascii="仿宋" w:hAnsi="仿宋" w:eastAsia="仿宋" w:cs="仿宋"/>
          <w:color w:val="auto"/>
          <w:kern w:val="2"/>
          <w:sz w:val="32"/>
          <w:szCs w:val="32"/>
        </w:rPr>
        <w:t>收入</w:t>
      </w:r>
      <w:r>
        <w:rPr>
          <w:rFonts w:hint="eastAsia" w:ascii="仿宋" w:hAnsi="仿宋" w:eastAsia="仿宋" w:cs="仿宋"/>
          <w:color w:val="auto"/>
          <w:kern w:val="2"/>
          <w:sz w:val="32"/>
          <w:szCs w:val="32"/>
          <w:lang w:eastAsia="zh-CN"/>
        </w:rPr>
        <w:t>数</w:t>
      </w:r>
      <w:r>
        <w:rPr>
          <w:rFonts w:hint="eastAsia" w:ascii="仿宋" w:hAnsi="仿宋" w:eastAsia="仿宋" w:cs="仿宋"/>
          <w:color w:val="auto"/>
          <w:kern w:val="2"/>
          <w:sz w:val="32"/>
          <w:szCs w:val="32"/>
        </w:rPr>
        <w:t>为</w:t>
      </w:r>
      <w:r>
        <w:rPr>
          <w:rFonts w:hint="eastAsia" w:ascii="仿宋" w:hAnsi="仿宋" w:eastAsia="仿宋" w:cs="仿宋"/>
          <w:color w:val="auto"/>
          <w:kern w:val="2"/>
          <w:sz w:val="32"/>
          <w:szCs w:val="32"/>
          <w:u w:val="none"/>
          <w:lang w:val="en-US" w:eastAsia="zh-CN"/>
        </w:rPr>
        <w:t>41540.09</w:t>
      </w:r>
      <w:r>
        <w:rPr>
          <w:rFonts w:hint="eastAsia" w:ascii="仿宋" w:hAnsi="仿宋" w:eastAsia="仿宋" w:cs="仿宋"/>
          <w:color w:val="auto"/>
          <w:kern w:val="2"/>
          <w:sz w:val="32"/>
          <w:szCs w:val="32"/>
        </w:rPr>
        <w:t>万元，包含</w:t>
      </w:r>
      <w:r>
        <w:rPr>
          <w:rFonts w:hint="eastAsia" w:ascii="仿宋" w:hAnsi="仿宋" w:eastAsia="仿宋" w:cs="仿宋"/>
          <w:color w:val="auto"/>
          <w:kern w:val="2"/>
          <w:sz w:val="32"/>
          <w:szCs w:val="32"/>
          <w:lang w:eastAsia="zh-CN"/>
        </w:rPr>
        <w:t>上年</w:t>
      </w:r>
      <w:r>
        <w:rPr>
          <w:rFonts w:hint="eastAsia" w:ascii="仿宋" w:hAnsi="仿宋" w:eastAsia="仿宋" w:cs="仿宋"/>
          <w:color w:val="auto"/>
          <w:kern w:val="2"/>
          <w:sz w:val="32"/>
          <w:szCs w:val="32"/>
        </w:rPr>
        <w:t>结余</w:t>
      </w:r>
      <w:r>
        <w:rPr>
          <w:rFonts w:hint="eastAsia" w:ascii="仿宋" w:hAnsi="仿宋" w:eastAsia="仿宋" w:cs="仿宋"/>
          <w:color w:val="auto"/>
          <w:kern w:val="2"/>
          <w:sz w:val="32"/>
          <w:szCs w:val="32"/>
          <w:u w:val="none"/>
          <w:lang w:eastAsia="zh-CN"/>
        </w:rPr>
        <w:t>3473.8</w:t>
      </w:r>
      <w:r>
        <w:rPr>
          <w:rFonts w:hint="eastAsia" w:ascii="仿宋" w:hAnsi="仿宋" w:eastAsia="仿宋" w:cs="仿宋"/>
          <w:color w:val="auto"/>
          <w:kern w:val="2"/>
          <w:sz w:val="32"/>
          <w:szCs w:val="32"/>
        </w:rPr>
        <w:t>万元</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t>年初部门预算收入</w:t>
      </w:r>
      <w:r>
        <w:rPr>
          <w:rFonts w:hint="eastAsia" w:ascii="仿宋" w:hAnsi="仿宋" w:eastAsia="仿宋" w:cs="仿宋"/>
          <w:color w:val="auto"/>
          <w:kern w:val="2"/>
          <w:sz w:val="32"/>
          <w:szCs w:val="32"/>
          <w:u w:val="none"/>
        </w:rPr>
        <w:t>87</w:t>
      </w:r>
      <w:r>
        <w:rPr>
          <w:rFonts w:hint="eastAsia" w:ascii="仿宋" w:hAnsi="仿宋" w:eastAsia="仿宋" w:cs="仿宋"/>
          <w:color w:val="auto"/>
          <w:kern w:val="2"/>
          <w:sz w:val="32"/>
          <w:szCs w:val="32"/>
          <w:u w:val="none"/>
          <w:lang w:val="en-US" w:eastAsia="zh-CN"/>
        </w:rPr>
        <w:t>7</w:t>
      </w:r>
      <w:r>
        <w:rPr>
          <w:rFonts w:hint="eastAsia" w:ascii="仿宋" w:hAnsi="仿宋" w:eastAsia="仿宋" w:cs="仿宋"/>
          <w:color w:val="auto"/>
          <w:kern w:val="2"/>
          <w:sz w:val="32"/>
          <w:szCs w:val="32"/>
          <w:u w:val="none"/>
        </w:rPr>
        <w:t>2.14</w:t>
      </w:r>
      <w:r>
        <w:rPr>
          <w:rFonts w:hint="eastAsia" w:ascii="仿宋" w:hAnsi="仿宋" w:eastAsia="仿宋" w:cs="仿宋"/>
          <w:color w:val="auto"/>
          <w:kern w:val="2"/>
          <w:sz w:val="32"/>
          <w:szCs w:val="32"/>
        </w:rPr>
        <w:t>万元</w:t>
      </w:r>
      <w:r>
        <w:rPr>
          <w:rFonts w:hint="eastAsia" w:ascii="仿宋" w:hAnsi="仿宋" w:eastAsia="仿宋" w:cs="仿宋"/>
          <w:color w:val="auto"/>
          <w:kern w:val="2"/>
          <w:sz w:val="32"/>
          <w:szCs w:val="32"/>
          <w:u w:val="none"/>
          <w:lang w:eastAsia="zh-CN"/>
        </w:rPr>
        <w:t>（含省级环保专项</w:t>
      </w:r>
      <w:r>
        <w:rPr>
          <w:rFonts w:hint="eastAsia" w:ascii="仿宋" w:hAnsi="仿宋" w:eastAsia="仿宋" w:cs="仿宋"/>
          <w:color w:val="auto"/>
          <w:kern w:val="2"/>
          <w:sz w:val="32"/>
          <w:szCs w:val="32"/>
          <w:u w:val="none"/>
          <w:lang w:val="en-US" w:eastAsia="zh-CN"/>
        </w:rPr>
        <w:t>5020万元，本次不进行绩效评价）</w:t>
      </w:r>
      <w:r>
        <w:rPr>
          <w:rFonts w:hint="eastAsia" w:ascii="仿宋" w:hAnsi="仿宋" w:eastAsia="仿宋" w:cs="仿宋"/>
          <w:color w:val="auto"/>
          <w:kern w:val="2"/>
          <w:sz w:val="32"/>
          <w:szCs w:val="32"/>
          <w:lang w:eastAsia="zh-CN"/>
        </w:rPr>
        <w:t>和年中追加</w:t>
      </w:r>
      <w:r>
        <w:rPr>
          <w:rFonts w:hint="eastAsia" w:ascii="仿宋" w:hAnsi="仿宋" w:eastAsia="仿宋" w:cs="仿宋"/>
          <w:color w:val="auto"/>
          <w:kern w:val="2"/>
          <w:sz w:val="32"/>
          <w:szCs w:val="32"/>
        </w:rPr>
        <w:t>预算数</w:t>
      </w:r>
      <w:r>
        <w:rPr>
          <w:rFonts w:hint="eastAsia" w:ascii="仿宋" w:hAnsi="仿宋" w:eastAsia="仿宋" w:cs="仿宋"/>
          <w:color w:val="auto"/>
          <w:kern w:val="2"/>
          <w:sz w:val="32"/>
          <w:szCs w:val="32"/>
          <w:lang w:val="en-US" w:eastAsia="zh-CN"/>
        </w:rPr>
        <w:t>29294.15</w:t>
      </w:r>
      <w:r>
        <w:rPr>
          <w:rFonts w:hint="eastAsia" w:ascii="仿宋" w:hAnsi="仿宋" w:eastAsia="仿宋" w:cs="仿宋"/>
          <w:color w:val="auto"/>
          <w:kern w:val="2"/>
          <w:sz w:val="32"/>
          <w:szCs w:val="32"/>
        </w:rPr>
        <w:t>万元。</w:t>
      </w:r>
      <w:r>
        <w:rPr>
          <w:rFonts w:hint="eastAsia" w:ascii="仿宋" w:hAnsi="仿宋" w:eastAsia="仿宋" w:cs="仿宋"/>
          <w:color w:val="auto"/>
          <w:kern w:val="2"/>
          <w:sz w:val="32"/>
          <w:szCs w:val="32"/>
          <w:u w:val="none"/>
          <w:lang w:val="en-US" w:eastAsia="zh-CN"/>
        </w:rPr>
        <w:t>根据本次绩效评价的统计口径，只对年初部门预算收入数</w:t>
      </w:r>
      <w:r>
        <w:rPr>
          <w:rFonts w:hint="eastAsia" w:ascii="仿宋" w:hAnsi="仿宋" w:eastAsia="仿宋" w:cs="仿宋"/>
          <w:color w:val="auto"/>
          <w:kern w:val="2"/>
          <w:sz w:val="32"/>
          <w:szCs w:val="32"/>
          <w:lang w:val="en-US" w:eastAsia="zh-CN"/>
        </w:rPr>
        <w:t>进行资金的整体评价，剔除本次不评价的省级环境保护专项资金，年初部门预算收入数经调整后需要评价的金额为3734.34</w:t>
      </w:r>
      <w:r>
        <w:rPr>
          <w:rFonts w:hint="eastAsia" w:ascii="仿宋" w:hAnsi="仿宋" w:eastAsia="仿宋" w:cs="仿宋"/>
          <w:color w:val="auto"/>
          <w:kern w:val="2"/>
          <w:sz w:val="32"/>
          <w:szCs w:val="32"/>
        </w:rPr>
        <w:t>万元</w:t>
      </w:r>
      <w:r>
        <w:rPr>
          <w:rFonts w:hint="eastAsia" w:ascii="仿宋" w:hAnsi="仿宋" w:eastAsia="仿宋" w:cs="仿宋"/>
          <w:color w:val="auto"/>
          <w:kern w:val="2"/>
          <w:sz w:val="32"/>
          <w:szCs w:val="32"/>
          <w:lang w:val="en-US" w:eastAsia="zh-CN"/>
        </w:rPr>
        <w:t>，</w:t>
      </w:r>
      <w:r>
        <w:rPr>
          <w:rFonts w:hint="eastAsia" w:ascii="仿宋" w:hAnsi="仿宋" w:eastAsia="仿宋" w:cs="仿宋"/>
          <w:color w:val="auto"/>
          <w:kern w:val="2"/>
          <w:sz w:val="32"/>
          <w:szCs w:val="32"/>
          <w:lang w:eastAsia="zh-CN"/>
        </w:rPr>
        <w:t>具体情况如下</w:t>
      </w:r>
      <w:r>
        <w:rPr>
          <w:rFonts w:hint="eastAsia" w:ascii="仿宋" w:hAnsi="仿宋" w:eastAsia="仿宋" w:cs="仿宋"/>
          <w:color w:val="auto"/>
          <w:kern w:val="2"/>
          <w:sz w:val="32"/>
          <w:szCs w:val="32"/>
          <w:u w:val="none"/>
        </w:rPr>
        <w:t>：</w:t>
      </w:r>
    </w:p>
    <w:p>
      <w:pPr>
        <w:pStyle w:val="14"/>
        <w:keepNext w:val="0"/>
        <w:keepLines w:val="0"/>
        <w:pageBreakBefore w:val="0"/>
        <w:widowControl/>
        <w:numPr>
          <w:ilvl w:val="0"/>
          <w:numId w:val="7"/>
        </w:numPr>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auto"/>
          <w:kern w:val="2"/>
          <w:sz w:val="32"/>
          <w:szCs w:val="32"/>
        </w:rPr>
      </w:pPr>
      <w:r>
        <w:rPr>
          <w:rFonts w:hint="eastAsia" w:ascii="仿宋" w:hAnsi="仿宋" w:eastAsia="仿宋" w:cs="仿宋"/>
          <w:b/>
          <w:bCs/>
          <w:color w:val="auto"/>
          <w:kern w:val="2"/>
          <w:sz w:val="32"/>
          <w:szCs w:val="32"/>
        </w:rPr>
        <w:t>基本支出情况</w:t>
      </w:r>
    </w:p>
    <w:p>
      <w:pPr>
        <w:keepNext w:val="0"/>
        <w:keepLines w:val="0"/>
        <w:pageBreakBefore w:val="0"/>
        <w:widowControl/>
        <w:kinsoku/>
        <w:wordWrap/>
        <w:overflowPunct/>
        <w:topLinePunct w:val="0"/>
        <w:autoSpaceDE/>
        <w:autoSpaceDN/>
        <w:bidi w:val="0"/>
        <w:adjustRightInd/>
        <w:snapToGrid/>
        <w:spacing w:line="560" w:lineRule="exact"/>
        <w:ind w:firstLine="660"/>
        <w:jc w:val="left"/>
        <w:textAlignment w:val="auto"/>
        <w:rPr>
          <w:rFonts w:hint="eastAsia" w:ascii="仿宋" w:hAnsi="仿宋" w:eastAsia="仿宋" w:cs="仿宋"/>
          <w:color w:val="auto"/>
          <w:kern w:val="2"/>
          <w:sz w:val="32"/>
          <w:szCs w:val="32"/>
        </w:rPr>
      </w:pPr>
      <w:r>
        <w:rPr>
          <w:rFonts w:hint="eastAsia" w:ascii="仿宋" w:hAnsi="仿宋" w:eastAsia="仿宋" w:cs="仿宋"/>
          <w:color w:val="auto"/>
          <w:kern w:val="2"/>
          <w:sz w:val="32"/>
          <w:szCs w:val="32"/>
          <w:lang w:val="en-US" w:eastAsia="zh-CN"/>
        </w:rPr>
        <w:t>基本支出主要是用于保障部门整体运转开支的经费，经费来源均为年初部门预算数，支出范围包括人员经费2558.83万元、</w:t>
      </w:r>
      <w:r>
        <w:rPr>
          <w:rFonts w:hint="eastAsia" w:ascii="仿宋" w:hAnsi="仿宋" w:eastAsia="仿宋" w:cs="仿宋"/>
          <w:b w:val="0"/>
          <w:bCs w:val="0"/>
          <w:color w:val="auto"/>
          <w:kern w:val="2"/>
          <w:sz w:val="32"/>
          <w:szCs w:val="32"/>
          <w:lang w:eastAsia="zh-CN"/>
        </w:rPr>
        <w:t>工会福利等经费</w:t>
      </w:r>
      <w:r>
        <w:rPr>
          <w:rFonts w:hint="eastAsia" w:ascii="仿宋" w:hAnsi="仿宋" w:eastAsia="仿宋" w:cs="仿宋"/>
          <w:b w:val="0"/>
          <w:bCs w:val="0"/>
          <w:color w:val="auto"/>
          <w:kern w:val="2"/>
          <w:sz w:val="32"/>
          <w:szCs w:val="32"/>
          <w:lang w:val="en-US" w:eastAsia="zh-CN"/>
        </w:rPr>
        <w:t>97.5</w:t>
      </w:r>
      <w:r>
        <w:rPr>
          <w:rFonts w:hint="eastAsia" w:ascii="仿宋" w:hAnsi="仿宋" w:eastAsia="仿宋" w:cs="仿宋"/>
          <w:b w:val="0"/>
          <w:bCs w:val="0"/>
          <w:color w:val="auto"/>
          <w:kern w:val="2"/>
          <w:sz w:val="32"/>
          <w:szCs w:val="32"/>
        </w:rPr>
        <w:t>万元</w:t>
      </w:r>
      <w:r>
        <w:rPr>
          <w:rFonts w:hint="eastAsia" w:ascii="仿宋" w:hAnsi="仿宋" w:eastAsia="仿宋" w:cs="仿宋"/>
          <w:color w:val="auto"/>
          <w:kern w:val="2"/>
          <w:sz w:val="32"/>
          <w:szCs w:val="32"/>
          <w:lang w:val="en-US" w:eastAsia="zh-CN"/>
        </w:rPr>
        <w:t>、一般性支出603.71万元、合计3260.04万元，执行率为100%。</w:t>
      </w:r>
    </w:p>
    <w:p>
      <w:pPr>
        <w:pStyle w:val="14"/>
        <w:keepNext w:val="0"/>
        <w:keepLines w:val="0"/>
        <w:pageBreakBefore w:val="0"/>
        <w:widowControl/>
        <w:kinsoku/>
        <w:wordWrap/>
        <w:overflowPunct/>
        <w:topLinePunct w:val="0"/>
        <w:autoSpaceDE/>
        <w:autoSpaceDN/>
        <w:bidi w:val="0"/>
        <w:adjustRightInd/>
        <w:snapToGrid/>
        <w:spacing w:line="560" w:lineRule="exact"/>
        <w:ind w:firstLine="640"/>
        <w:textAlignment w:val="auto"/>
        <w:rPr>
          <w:rFonts w:hint="eastAsia" w:ascii="仿宋" w:hAnsi="仿宋" w:eastAsia="仿宋" w:cs="仿宋"/>
          <w:b/>
          <w:bCs/>
          <w:color w:val="auto"/>
          <w:kern w:val="2"/>
          <w:sz w:val="32"/>
          <w:szCs w:val="32"/>
        </w:rPr>
      </w:pPr>
      <w:r>
        <w:rPr>
          <w:rFonts w:hint="eastAsia" w:ascii="仿宋" w:hAnsi="仿宋" w:eastAsia="仿宋" w:cs="仿宋"/>
          <w:b/>
          <w:bCs/>
          <w:color w:val="auto"/>
          <w:kern w:val="2"/>
          <w:sz w:val="32"/>
          <w:szCs w:val="32"/>
          <w:lang w:val="en-US" w:eastAsia="zh-CN"/>
        </w:rPr>
        <w:t>2、</w:t>
      </w:r>
      <w:r>
        <w:rPr>
          <w:rFonts w:hint="eastAsia" w:ascii="仿宋" w:hAnsi="仿宋" w:eastAsia="仿宋" w:cs="仿宋"/>
          <w:b/>
          <w:bCs/>
          <w:color w:val="auto"/>
          <w:kern w:val="2"/>
          <w:sz w:val="32"/>
          <w:szCs w:val="32"/>
        </w:rPr>
        <w:t>项目支出情况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kern w:val="2"/>
          <w:sz w:val="32"/>
          <w:szCs w:val="32"/>
        </w:rPr>
      </w:pPr>
      <w:r>
        <w:rPr>
          <w:rFonts w:hint="eastAsia" w:ascii="仿宋" w:hAnsi="仿宋" w:eastAsia="仿宋" w:cs="仿宋"/>
          <w:color w:val="auto"/>
          <w:kern w:val="2"/>
          <w:sz w:val="32"/>
          <w:szCs w:val="32"/>
          <w:lang w:val="en-US" w:eastAsia="zh-CN"/>
        </w:rPr>
        <w:t>项目经费的来源为年初部门预算</w:t>
      </w:r>
      <w:r>
        <w:rPr>
          <w:rFonts w:hint="eastAsia" w:ascii="仿宋" w:hAnsi="仿宋" w:eastAsia="仿宋" w:cs="仿宋"/>
          <w:color w:val="auto"/>
          <w:kern w:val="2"/>
          <w:sz w:val="32"/>
          <w:szCs w:val="32"/>
          <w:u w:val="none"/>
          <w:lang w:val="en-US" w:eastAsia="zh-CN"/>
        </w:rPr>
        <w:t>数</w:t>
      </w:r>
      <w:r>
        <w:rPr>
          <w:rFonts w:hint="eastAsia" w:ascii="仿宋" w:hAnsi="仿宋" w:eastAsia="仿宋" w:cs="仿宋"/>
          <w:color w:val="auto"/>
          <w:kern w:val="2"/>
          <w:sz w:val="32"/>
          <w:szCs w:val="32"/>
          <w:lang w:val="en-US" w:eastAsia="zh-CN"/>
        </w:rPr>
        <w:t>，本次需要评价的业务工作专项包括党委活动经费（</w:t>
      </w:r>
      <w:r>
        <w:rPr>
          <w:rFonts w:hint="eastAsia" w:ascii="仿宋" w:hAnsi="仿宋" w:eastAsia="仿宋" w:cs="仿宋"/>
          <w:color w:val="auto"/>
          <w:kern w:val="2"/>
          <w:sz w:val="32"/>
          <w:szCs w:val="32"/>
        </w:rPr>
        <w:t>2</w:t>
      </w:r>
      <w:r>
        <w:rPr>
          <w:rFonts w:hint="eastAsia" w:ascii="仿宋" w:hAnsi="仿宋" w:eastAsia="仿宋" w:cs="仿宋"/>
          <w:color w:val="auto"/>
          <w:kern w:val="2"/>
          <w:sz w:val="32"/>
          <w:szCs w:val="32"/>
          <w:lang w:val="en-US" w:eastAsia="zh-CN"/>
        </w:rPr>
        <w:t>021</w:t>
      </w:r>
      <w:r>
        <w:rPr>
          <w:rFonts w:hint="eastAsia" w:ascii="仿宋" w:hAnsi="仿宋" w:eastAsia="仿宋" w:cs="仿宋"/>
          <w:color w:val="auto"/>
          <w:kern w:val="2"/>
          <w:sz w:val="32"/>
          <w:szCs w:val="32"/>
        </w:rPr>
        <w:t>年度下达资金</w:t>
      </w:r>
      <w:r>
        <w:rPr>
          <w:rFonts w:hint="eastAsia" w:ascii="仿宋" w:hAnsi="仿宋" w:eastAsia="仿宋" w:cs="仿宋"/>
          <w:color w:val="auto"/>
          <w:kern w:val="2"/>
          <w:sz w:val="32"/>
          <w:szCs w:val="32"/>
          <w:lang w:val="en-US" w:eastAsia="zh-CN"/>
        </w:rPr>
        <w:t>52.5</w:t>
      </w:r>
      <w:r>
        <w:rPr>
          <w:rFonts w:hint="eastAsia" w:ascii="仿宋" w:hAnsi="仿宋" w:eastAsia="仿宋" w:cs="仿宋"/>
          <w:color w:val="auto"/>
          <w:kern w:val="2"/>
          <w:sz w:val="32"/>
          <w:szCs w:val="32"/>
        </w:rPr>
        <w:t>万元，实际支出</w:t>
      </w:r>
      <w:r>
        <w:rPr>
          <w:rFonts w:hint="eastAsia" w:ascii="仿宋" w:hAnsi="仿宋" w:eastAsia="仿宋" w:cs="仿宋"/>
          <w:color w:val="auto"/>
          <w:kern w:val="2"/>
          <w:sz w:val="32"/>
          <w:szCs w:val="32"/>
          <w:lang w:val="en-US" w:eastAsia="zh-CN"/>
        </w:rPr>
        <w:t>52.5</w:t>
      </w:r>
      <w:r>
        <w:rPr>
          <w:rFonts w:hint="eastAsia" w:ascii="仿宋" w:hAnsi="仿宋" w:eastAsia="仿宋" w:cs="仿宋"/>
          <w:color w:val="auto"/>
          <w:kern w:val="2"/>
          <w:sz w:val="32"/>
          <w:szCs w:val="32"/>
        </w:rPr>
        <w:t>万元，执行率</w:t>
      </w:r>
      <w:r>
        <w:rPr>
          <w:rFonts w:hint="eastAsia" w:ascii="仿宋" w:hAnsi="仿宋" w:eastAsia="仿宋" w:cs="仿宋"/>
          <w:color w:val="auto"/>
          <w:kern w:val="2"/>
          <w:sz w:val="32"/>
          <w:szCs w:val="32"/>
          <w:lang w:val="en-US" w:eastAsia="zh-CN"/>
        </w:rPr>
        <w:t>为</w:t>
      </w:r>
      <w:r>
        <w:rPr>
          <w:rFonts w:hint="eastAsia" w:ascii="仿宋" w:hAnsi="仿宋" w:eastAsia="仿宋" w:cs="仿宋"/>
          <w:color w:val="auto"/>
          <w:kern w:val="2"/>
          <w:sz w:val="32"/>
          <w:szCs w:val="32"/>
        </w:rPr>
        <w:t>100%</w:t>
      </w:r>
      <w:r>
        <w:rPr>
          <w:rFonts w:hint="eastAsia" w:ascii="仿宋" w:hAnsi="仿宋" w:eastAsia="仿宋" w:cs="仿宋"/>
          <w:color w:val="auto"/>
          <w:kern w:val="2"/>
          <w:sz w:val="32"/>
          <w:szCs w:val="32"/>
          <w:lang w:val="en-US" w:eastAsia="zh-CN"/>
        </w:rPr>
        <w:t>）、环境质量监测（</w:t>
      </w:r>
      <w:r>
        <w:rPr>
          <w:rFonts w:hint="eastAsia" w:ascii="仿宋" w:hAnsi="仿宋" w:eastAsia="仿宋" w:cs="仿宋"/>
          <w:color w:val="auto"/>
          <w:kern w:val="2"/>
          <w:sz w:val="32"/>
          <w:szCs w:val="32"/>
        </w:rPr>
        <w:t>2</w:t>
      </w:r>
      <w:r>
        <w:rPr>
          <w:rFonts w:hint="eastAsia" w:ascii="仿宋" w:hAnsi="仿宋" w:eastAsia="仿宋" w:cs="仿宋"/>
          <w:color w:val="auto"/>
          <w:kern w:val="2"/>
          <w:sz w:val="32"/>
          <w:szCs w:val="32"/>
          <w:lang w:val="en-US" w:eastAsia="zh-CN"/>
        </w:rPr>
        <w:t>021</w:t>
      </w:r>
      <w:r>
        <w:rPr>
          <w:rFonts w:hint="eastAsia" w:ascii="仿宋" w:hAnsi="仿宋" w:eastAsia="仿宋" w:cs="仿宋"/>
          <w:color w:val="auto"/>
          <w:kern w:val="2"/>
          <w:sz w:val="32"/>
          <w:szCs w:val="32"/>
        </w:rPr>
        <w:t>年度下达资金</w:t>
      </w:r>
      <w:r>
        <w:rPr>
          <w:rFonts w:hint="eastAsia" w:ascii="仿宋" w:hAnsi="仿宋" w:eastAsia="仿宋" w:cs="仿宋"/>
          <w:color w:val="auto"/>
          <w:kern w:val="2"/>
          <w:sz w:val="32"/>
          <w:szCs w:val="32"/>
          <w:lang w:val="en-US" w:eastAsia="zh-CN"/>
        </w:rPr>
        <w:t>175</w:t>
      </w:r>
      <w:r>
        <w:rPr>
          <w:rFonts w:hint="eastAsia" w:ascii="仿宋" w:hAnsi="仿宋" w:eastAsia="仿宋" w:cs="仿宋"/>
          <w:color w:val="auto"/>
          <w:kern w:val="2"/>
          <w:sz w:val="32"/>
          <w:szCs w:val="32"/>
        </w:rPr>
        <w:t>万元，实际支出</w:t>
      </w:r>
      <w:r>
        <w:rPr>
          <w:rFonts w:hint="eastAsia" w:ascii="仿宋" w:hAnsi="仿宋" w:eastAsia="仿宋" w:cs="仿宋"/>
          <w:color w:val="auto"/>
          <w:kern w:val="2"/>
          <w:sz w:val="32"/>
          <w:szCs w:val="32"/>
          <w:lang w:val="en-US" w:eastAsia="zh-CN"/>
        </w:rPr>
        <w:t>175</w:t>
      </w:r>
      <w:r>
        <w:rPr>
          <w:rFonts w:hint="eastAsia" w:ascii="仿宋" w:hAnsi="仿宋" w:eastAsia="仿宋" w:cs="仿宋"/>
          <w:color w:val="auto"/>
          <w:kern w:val="2"/>
          <w:sz w:val="32"/>
          <w:szCs w:val="32"/>
        </w:rPr>
        <w:t>万元，执行率</w:t>
      </w:r>
      <w:r>
        <w:rPr>
          <w:rFonts w:hint="eastAsia" w:ascii="仿宋" w:hAnsi="仿宋" w:eastAsia="仿宋" w:cs="仿宋"/>
          <w:color w:val="auto"/>
          <w:kern w:val="2"/>
          <w:sz w:val="32"/>
          <w:szCs w:val="32"/>
          <w:lang w:val="en-US" w:eastAsia="zh-CN"/>
        </w:rPr>
        <w:t>为</w:t>
      </w:r>
      <w:r>
        <w:rPr>
          <w:rFonts w:hint="eastAsia" w:ascii="仿宋" w:hAnsi="仿宋" w:eastAsia="仿宋" w:cs="仿宋"/>
          <w:color w:val="auto"/>
          <w:kern w:val="2"/>
          <w:sz w:val="32"/>
          <w:szCs w:val="32"/>
        </w:rPr>
        <w:t>100%</w:t>
      </w:r>
      <w:r>
        <w:rPr>
          <w:rFonts w:hint="eastAsia" w:ascii="仿宋" w:hAnsi="仿宋" w:eastAsia="仿宋" w:cs="仿宋"/>
          <w:color w:val="auto"/>
          <w:kern w:val="2"/>
          <w:sz w:val="32"/>
          <w:szCs w:val="32"/>
          <w:lang w:val="en-US" w:eastAsia="zh-CN"/>
        </w:rPr>
        <w:t>）、日元贷款（</w:t>
      </w:r>
      <w:r>
        <w:rPr>
          <w:rFonts w:hint="eastAsia" w:ascii="仿宋" w:hAnsi="仿宋" w:eastAsia="仿宋" w:cs="仿宋"/>
          <w:color w:val="auto"/>
          <w:kern w:val="2"/>
          <w:sz w:val="32"/>
          <w:szCs w:val="32"/>
        </w:rPr>
        <w:t>20</w:t>
      </w:r>
      <w:r>
        <w:rPr>
          <w:rFonts w:hint="eastAsia" w:ascii="仿宋" w:hAnsi="仿宋" w:eastAsia="仿宋" w:cs="仿宋"/>
          <w:color w:val="auto"/>
          <w:kern w:val="2"/>
          <w:sz w:val="32"/>
          <w:szCs w:val="32"/>
          <w:lang w:val="en-US" w:eastAsia="zh-CN"/>
        </w:rPr>
        <w:t>21</w:t>
      </w:r>
      <w:r>
        <w:rPr>
          <w:rFonts w:hint="eastAsia" w:ascii="仿宋" w:hAnsi="仿宋" w:eastAsia="仿宋" w:cs="仿宋"/>
          <w:color w:val="auto"/>
          <w:kern w:val="2"/>
          <w:sz w:val="32"/>
          <w:szCs w:val="32"/>
        </w:rPr>
        <w:t>年度下达资金</w:t>
      </w:r>
      <w:r>
        <w:rPr>
          <w:rFonts w:hint="eastAsia" w:ascii="仿宋" w:hAnsi="仿宋" w:eastAsia="仿宋" w:cs="仿宋"/>
          <w:color w:val="auto"/>
          <w:kern w:val="2"/>
          <w:sz w:val="32"/>
          <w:szCs w:val="32"/>
          <w:lang w:val="en-US" w:eastAsia="zh-CN"/>
        </w:rPr>
        <w:t>28</w:t>
      </w:r>
      <w:r>
        <w:rPr>
          <w:rFonts w:hint="eastAsia" w:ascii="仿宋" w:hAnsi="仿宋" w:eastAsia="仿宋" w:cs="仿宋"/>
          <w:color w:val="auto"/>
          <w:kern w:val="2"/>
          <w:sz w:val="32"/>
          <w:szCs w:val="32"/>
        </w:rPr>
        <w:t>万元，实际支出</w:t>
      </w:r>
      <w:r>
        <w:rPr>
          <w:rFonts w:hint="eastAsia" w:ascii="仿宋" w:hAnsi="仿宋" w:eastAsia="仿宋" w:cs="仿宋"/>
          <w:color w:val="auto"/>
          <w:kern w:val="2"/>
          <w:sz w:val="32"/>
          <w:szCs w:val="32"/>
          <w:lang w:val="en-US" w:eastAsia="zh-CN"/>
        </w:rPr>
        <w:t>28</w:t>
      </w:r>
      <w:r>
        <w:rPr>
          <w:rFonts w:hint="eastAsia" w:ascii="仿宋" w:hAnsi="仿宋" w:eastAsia="仿宋" w:cs="仿宋"/>
          <w:color w:val="auto"/>
          <w:kern w:val="2"/>
          <w:sz w:val="32"/>
          <w:szCs w:val="32"/>
        </w:rPr>
        <w:t>万元，执行率</w:t>
      </w:r>
      <w:r>
        <w:rPr>
          <w:rFonts w:hint="eastAsia" w:ascii="仿宋" w:hAnsi="仿宋" w:eastAsia="仿宋" w:cs="仿宋"/>
          <w:color w:val="auto"/>
          <w:kern w:val="2"/>
          <w:sz w:val="32"/>
          <w:szCs w:val="32"/>
          <w:lang w:val="en-US" w:eastAsia="zh-CN"/>
        </w:rPr>
        <w:t>为100</w:t>
      </w:r>
      <w:r>
        <w:rPr>
          <w:rFonts w:hint="eastAsia" w:ascii="仿宋" w:hAnsi="仿宋" w:eastAsia="仿宋" w:cs="仿宋"/>
          <w:color w:val="auto"/>
          <w:kern w:val="2"/>
          <w:sz w:val="32"/>
          <w:szCs w:val="32"/>
        </w:rPr>
        <w:t>%</w:t>
      </w:r>
      <w:r>
        <w:rPr>
          <w:rFonts w:hint="eastAsia" w:ascii="仿宋" w:hAnsi="仿宋" w:eastAsia="仿宋" w:cs="仿宋"/>
          <w:color w:val="auto"/>
          <w:kern w:val="2"/>
          <w:sz w:val="32"/>
          <w:szCs w:val="32"/>
          <w:lang w:val="en-US" w:eastAsia="zh-CN"/>
        </w:rPr>
        <w:t>）、省监测中心仪器维护运行与更新（</w:t>
      </w:r>
      <w:r>
        <w:rPr>
          <w:rFonts w:hint="eastAsia" w:ascii="仿宋" w:hAnsi="仿宋" w:eastAsia="仿宋" w:cs="仿宋"/>
          <w:color w:val="auto"/>
          <w:kern w:val="2"/>
          <w:sz w:val="32"/>
          <w:szCs w:val="32"/>
        </w:rPr>
        <w:t>20</w:t>
      </w:r>
      <w:r>
        <w:rPr>
          <w:rFonts w:hint="eastAsia" w:ascii="仿宋" w:hAnsi="仿宋" w:eastAsia="仿宋" w:cs="仿宋"/>
          <w:color w:val="auto"/>
          <w:kern w:val="2"/>
          <w:sz w:val="32"/>
          <w:szCs w:val="32"/>
          <w:lang w:val="en-US" w:eastAsia="zh-CN"/>
        </w:rPr>
        <w:t>21</w:t>
      </w:r>
      <w:r>
        <w:rPr>
          <w:rFonts w:hint="eastAsia" w:ascii="仿宋" w:hAnsi="仿宋" w:eastAsia="仿宋" w:cs="仿宋"/>
          <w:color w:val="auto"/>
          <w:kern w:val="2"/>
          <w:sz w:val="32"/>
          <w:szCs w:val="32"/>
        </w:rPr>
        <w:t>年度下达资金</w:t>
      </w:r>
      <w:r>
        <w:rPr>
          <w:rFonts w:hint="eastAsia" w:ascii="仿宋" w:hAnsi="仿宋" w:eastAsia="仿宋" w:cs="仿宋"/>
          <w:color w:val="auto"/>
          <w:kern w:val="2"/>
          <w:sz w:val="32"/>
          <w:szCs w:val="32"/>
          <w:lang w:val="en-US" w:eastAsia="zh-CN"/>
        </w:rPr>
        <w:t>140</w:t>
      </w:r>
      <w:r>
        <w:rPr>
          <w:rFonts w:hint="eastAsia" w:ascii="仿宋" w:hAnsi="仿宋" w:eastAsia="仿宋" w:cs="仿宋"/>
          <w:color w:val="auto"/>
          <w:kern w:val="2"/>
          <w:sz w:val="32"/>
          <w:szCs w:val="32"/>
        </w:rPr>
        <w:t>万元，实际支出</w:t>
      </w:r>
      <w:r>
        <w:rPr>
          <w:rFonts w:hint="eastAsia" w:ascii="仿宋" w:hAnsi="仿宋" w:eastAsia="仿宋" w:cs="仿宋"/>
          <w:color w:val="auto"/>
          <w:kern w:val="2"/>
          <w:sz w:val="32"/>
          <w:szCs w:val="32"/>
          <w:lang w:val="en-US" w:eastAsia="zh-CN"/>
        </w:rPr>
        <w:t>137.97</w:t>
      </w:r>
      <w:r>
        <w:rPr>
          <w:rFonts w:hint="eastAsia" w:ascii="仿宋" w:hAnsi="仿宋" w:eastAsia="仿宋" w:cs="仿宋"/>
          <w:color w:val="auto"/>
          <w:kern w:val="2"/>
          <w:sz w:val="32"/>
          <w:szCs w:val="32"/>
        </w:rPr>
        <w:t>万元，执行率</w:t>
      </w:r>
      <w:r>
        <w:rPr>
          <w:rFonts w:hint="eastAsia" w:ascii="仿宋" w:hAnsi="仿宋" w:eastAsia="仿宋" w:cs="仿宋"/>
          <w:color w:val="auto"/>
          <w:kern w:val="2"/>
          <w:sz w:val="32"/>
          <w:szCs w:val="32"/>
          <w:lang w:val="en-US" w:eastAsia="zh-CN"/>
        </w:rPr>
        <w:t>为98</w:t>
      </w:r>
      <w:r>
        <w:rPr>
          <w:rFonts w:hint="eastAsia" w:ascii="仿宋" w:hAnsi="仿宋" w:eastAsia="仿宋" w:cs="仿宋"/>
          <w:color w:val="auto"/>
          <w:kern w:val="2"/>
          <w:sz w:val="32"/>
          <w:szCs w:val="32"/>
        </w:rPr>
        <w:t>%</w:t>
      </w:r>
      <w:r>
        <w:rPr>
          <w:rFonts w:hint="eastAsia" w:ascii="仿宋" w:hAnsi="仿宋" w:eastAsia="仿宋" w:cs="仿宋"/>
          <w:color w:val="auto"/>
          <w:kern w:val="2"/>
          <w:sz w:val="32"/>
          <w:szCs w:val="32"/>
          <w:lang w:val="en-US" w:eastAsia="zh-CN"/>
        </w:rPr>
        <w:t>）和省监测中心行政系统建设（</w:t>
      </w:r>
      <w:r>
        <w:rPr>
          <w:rFonts w:hint="eastAsia" w:ascii="仿宋" w:hAnsi="仿宋" w:eastAsia="仿宋" w:cs="仿宋"/>
          <w:color w:val="auto"/>
          <w:kern w:val="2"/>
          <w:sz w:val="32"/>
          <w:szCs w:val="32"/>
        </w:rPr>
        <w:t>20</w:t>
      </w:r>
      <w:r>
        <w:rPr>
          <w:rFonts w:hint="eastAsia" w:ascii="仿宋" w:hAnsi="仿宋" w:eastAsia="仿宋" w:cs="仿宋"/>
          <w:color w:val="auto"/>
          <w:kern w:val="2"/>
          <w:sz w:val="32"/>
          <w:szCs w:val="32"/>
          <w:lang w:val="en-US" w:eastAsia="zh-CN"/>
        </w:rPr>
        <w:t>21</w:t>
      </w:r>
      <w:r>
        <w:rPr>
          <w:rFonts w:hint="eastAsia" w:ascii="仿宋" w:hAnsi="仿宋" w:eastAsia="仿宋" w:cs="仿宋"/>
          <w:color w:val="auto"/>
          <w:kern w:val="2"/>
          <w:sz w:val="32"/>
          <w:szCs w:val="32"/>
        </w:rPr>
        <w:t>年度下达资金</w:t>
      </w:r>
      <w:r>
        <w:rPr>
          <w:rFonts w:hint="eastAsia" w:ascii="仿宋" w:hAnsi="仿宋" w:eastAsia="仿宋" w:cs="仿宋"/>
          <w:color w:val="auto"/>
          <w:kern w:val="2"/>
          <w:sz w:val="32"/>
          <w:szCs w:val="32"/>
          <w:lang w:val="en-US" w:eastAsia="zh-CN"/>
        </w:rPr>
        <w:t>78.8</w:t>
      </w:r>
      <w:r>
        <w:rPr>
          <w:rFonts w:hint="eastAsia" w:ascii="仿宋" w:hAnsi="仿宋" w:eastAsia="仿宋" w:cs="仿宋"/>
          <w:color w:val="auto"/>
          <w:kern w:val="2"/>
          <w:sz w:val="32"/>
          <w:szCs w:val="32"/>
        </w:rPr>
        <w:t>万元，实际支出</w:t>
      </w:r>
      <w:r>
        <w:rPr>
          <w:rFonts w:hint="eastAsia" w:ascii="仿宋" w:hAnsi="仿宋" w:eastAsia="仿宋" w:cs="仿宋"/>
          <w:color w:val="auto"/>
          <w:kern w:val="2"/>
          <w:sz w:val="32"/>
          <w:szCs w:val="32"/>
          <w:lang w:val="en-US" w:eastAsia="zh-CN"/>
        </w:rPr>
        <w:t>78.8</w:t>
      </w:r>
      <w:r>
        <w:rPr>
          <w:rFonts w:hint="eastAsia" w:ascii="仿宋" w:hAnsi="仿宋" w:eastAsia="仿宋" w:cs="仿宋"/>
          <w:color w:val="auto"/>
          <w:kern w:val="2"/>
          <w:sz w:val="32"/>
          <w:szCs w:val="32"/>
        </w:rPr>
        <w:t>万元，执行率</w:t>
      </w:r>
      <w:r>
        <w:rPr>
          <w:rFonts w:hint="eastAsia" w:ascii="仿宋" w:hAnsi="仿宋" w:eastAsia="仿宋" w:cs="仿宋"/>
          <w:color w:val="auto"/>
          <w:kern w:val="2"/>
          <w:sz w:val="32"/>
          <w:szCs w:val="32"/>
          <w:lang w:val="en-US" w:eastAsia="zh-CN"/>
        </w:rPr>
        <w:t>为100</w:t>
      </w:r>
      <w:r>
        <w:rPr>
          <w:rFonts w:hint="eastAsia" w:ascii="仿宋" w:hAnsi="仿宋" w:eastAsia="仿宋" w:cs="仿宋"/>
          <w:color w:val="auto"/>
          <w:kern w:val="2"/>
          <w:sz w:val="32"/>
          <w:szCs w:val="32"/>
        </w:rPr>
        <w:t>%</w:t>
      </w:r>
      <w:r>
        <w:rPr>
          <w:rFonts w:hint="eastAsia" w:ascii="仿宋" w:hAnsi="仿宋" w:eastAsia="仿宋" w:cs="仿宋"/>
          <w:color w:val="auto"/>
          <w:kern w:val="2"/>
          <w:sz w:val="32"/>
          <w:szCs w:val="32"/>
          <w:lang w:val="en-US" w:eastAsia="zh-CN"/>
        </w:rPr>
        <w:t>）等项目。</w:t>
      </w:r>
    </w:p>
    <w:p>
      <w:pPr>
        <w:keepNext w:val="0"/>
        <w:keepLines w:val="0"/>
        <w:pageBreakBefore w:val="0"/>
        <w:widowControl/>
        <w:numPr>
          <w:ilvl w:val="0"/>
          <w:numId w:val="8"/>
        </w:numPr>
        <w:kinsoku/>
        <w:wordWrap/>
        <w:overflowPunct/>
        <w:topLinePunct w:val="0"/>
        <w:autoSpaceDE/>
        <w:autoSpaceDN/>
        <w:bidi w:val="0"/>
        <w:adjustRightInd/>
        <w:snapToGrid/>
        <w:spacing w:line="560" w:lineRule="exact"/>
        <w:ind w:firstLine="645"/>
        <w:jc w:val="left"/>
        <w:textAlignment w:val="auto"/>
        <w:rPr>
          <w:rFonts w:hint="eastAsia" w:ascii="仿宋" w:hAnsi="仿宋" w:eastAsia="仿宋" w:cs="仿宋"/>
          <w:b/>
          <w:bCs/>
          <w:color w:val="auto"/>
          <w:kern w:val="2"/>
          <w:sz w:val="32"/>
          <w:szCs w:val="32"/>
        </w:rPr>
      </w:pPr>
      <w:r>
        <w:rPr>
          <w:rFonts w:hint="eastAsia" w:ascii="仿宋" w:hAnsi="仿宋" w:eastAsia="仿宋" w:cs="仿宋"/>
          <w:b/>
          <w:bCs/>
          <w:color w:val="auto"/>
          <w:kern w:val="2"/>
          <w:sz w:val="32"/>
          <w:szCs w:val="32"/>
        </w:rPr>
        <w:t>部门整体支出绩效情况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t>总体来说，202</w:t>
      </w:r>
      <w:r>
        <w:rPr>
          <w:rFonts w:hint="eastAsia" w:ascii="仿宋" w:hAnsi="仿宋" w:eastAsia="仿宋" w:cs="仿宋"/>
          <w:color w:val="auto"/>
          <w:kern w:val="2"/>
          <w:sz w:val="32"/>
          <w:szCs w:val="32"/>
          <w:lang w:val="en-US" w:eastAsia="zh-CN"/>
        </w:rPr>
        <w:t>1</w:t>
      </w:r>
      <w:r>
        <w:rPr>
          <w:rFonts w:hint="eastAsia" w:ascii="仿宋" w:hAnsi="仿宋" w:eastAsia="仿宋" w:cs="仿宋"/>
          <w:color w:val="auto"/>
          <w:kern w:val="2"/>
          <w:sz w:val="32"/>
          <w:szCs w:val="32"/>
        </w:rPr>
        <w:t>年部门整体支出绩效目标完成情况较好，具体情况如下：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val="0"/>
          <w:color w:val="auto"/>
          <w:kern w:val="2"/>
          <w:sz w:val="32"/>
          <w:szCs w:val="32"/>
        </w:rPr>
      </w:pPr>
      <w:r>
        <w:rPr>
          <w:rFonts w:hint="eastAsia" w:ascii="仿宋" w:hAnsi="仿宋" w:eastAsia="仿宋" w:cs="仿宋"/>
          <w:b/>
          <w:color w:val="auto"/>
          <w:kern w:val="2"/>
          <w:sz w:val="32"/>
          <w:szCs w:val="32"/>
        </w:rPr>
        <w:t>（一）</w:t>
      </w:r>
      <w:r>
        <w:rPr>
          <w:rFonts w:hint="eastAsia" w:ascii="仿宋" w:hAnsi="仿宋" w:eastAsia="仿宋" w:cs="仿宋"/>
          <w:b/>
          <w:bCs w:val="0"/>
          <w:color w:val="auto"/>
          <w:kern w:val="2"/>
          <w:sz w:val="32"/>
          <w:szCs w:val="32"/>
        </w:rPr>
        <w:t>预算配置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t>本单位共有编制数135个，202</w:t>
      </w:r>
      <w:r>
        <w:rPr>
          <w:rFonts w:hint="eastAsia" w:ascii="仿宋" w:hAnsi="仿宋" w:eastAsia="仿宋" w:cs="仿宋"/>
          <w:color w:val="auto"/>
          <w:kern w:val="2"/>
          <w:sz w:val="32"/>
          <w:szCs w:val="32"/>
          <w:lang w:val="en-US" w:eastAsia="zh-CN"/>
        </w:rPr>
        <w:t>1</w:t>
      </w:r>
      <w:r>
        <w:rPr>
          <w:rFonts w:hint="eastAsia" w:ascii="仿宋" w:hAnsi="仿宋" w:eastAsia="仿宋" w:cs="仿宋"/>
          <w:color w:val="auto"/>
          <w:kern w:val="2"/>
          <w:sz w:val="32"/>
          <w:szCs w:val="32"/>
        </w:rPr>
        <w:t>年实际在职人数为</w:t>
      </w:r>
      <w:r>
        <w:rPr>
          <w:rFonts w:hint="eastAsia" w:ascii="仿宋" w:hAnsi="仿宋" w:eastAsia="仿宋" w:cs="仿宋"/>
          <w:color w:val="auto"/>
          <w:kern w:val="2"/>
          <w:sz w:val="32"/>
          <w:szCs w:val="32"/>
          <w:lang w:val="en-US" w:eastAsia="zh-CN"/>
        </w:rPr>
        <w:t>118</w:t>
      </w:r>
      <w:r>
        <w:rPr>
          <w:rFonts w:hint="eastAsia" w:ascii="仿宋" w:hAnsi="仿宋" w:eastAsia="仿宋" w:cs="仿宋"/>
          <w:color w:val="auto"/>
          <w:kern w:val="2"/>
          <w:sz w:val="32"/>
          <w:szCs w:val="32"/>
        </w:rPr>
        <w:t>人，在编制控制范围内，在职人员控制率为</w:t>
      </w:r>
      <w:r>
        <w:rPr>
          <w:rFonts w:hint="eastAsia" w:ascii="仿宋" w:hAnsi="仿宋" w:eastAsia="仿宋" w:cs="仿宋"/>
          <w:color w:val="auto"/>
          <w:kern w:val="2"/>
          <w:sz w:val="32"/>
          <w:szCs w:val="32"/>
          <w:lang w:val="en-US" w:eastAsia="zh-CN"/>
        </w:rPr>
        <w:t>87</w:t>
      </w:r>
      <w:r>
        <w:rPr>
          <w:rFonts w:hint="eastAsia" w:ascii="仿宋" w:hAnsi="仿宋" w:eastAsia="仿宋" w:cs="仿宋"/>
          <w:color w:val="auto"/>
          <w:kern w:val="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val="0"/>
          <w:color w:val="auto"/>
          <w:kern w:val="2"/>
          <w:sz w:val="32"/>
          <w:szCs w:val="32"/>
        </w:rPr>
      </w:pPr>
      <w:r>
        <w:rPr>
          <w:rFonts w:hint="eastAsia" w:ascii="仿宋" w:hAnsi="仿宋" w:eastAsia="仿宋" w:cs="仿宋"/>
          <w:b/>
          <w:color w:val="auto"/>
          <w:kern w:val="2"/>
          <w:sz w:val="32"/>
          <w:szCs w:val="32"/>
        </w:rPr>
        <w:t>（二）</w:t>
      </w:r>
      <w:r>
        <w:rPr>
          <w:rFonts w:hint="eastAsia" w:ascii="仿宋" w:hAnsi="仿宋" w:eastAsia="仿宋" w:cs="仿宋"/>
          <w:b/>
          <w:bCs w:val="0"/>
          <w:color w:val="auto"/>
          <w:kern w:val="2"/>
          <w:sz w:val="32"/>
          <w:szCs w:val="32"/>
        </w:rPr>
        <w:t>预算执行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eastAsia="zh-CN"/>
        </w:rPr>
        <w:t>本单位</w:t>
      </w:r>
      <w:r>
        <w:rPr>
          <w:rFonts w:hint="eastAsia" w:ascii="仿宋" w:hAnsi="仿宋" w:eastAsia="仿宋" w:cs="仿宋"/>
          <w:color w:val="auto"/>
          <w:kern w:val="2"/>
          <w:sz w:val="32"/>
          <w:szCs w:val="32"/>
        </w:rPr>
        <w:t>202</w:t>
      </w:r>
      <w:r>
        <w:rPr>
          <w:rFonts w:hint="eastAsia" w:ascii="仿宋" w:hAnsi="仿宋" w:eastAsia="仿宋" w:cs="仿宋"/>
          <w:color w:val="auto"/>
          <w:kern w:val="2"/>
          <w:sz w:val="32"/>
          <w:szCs w:val="32"/>
          <w:lang w:val="en-US" w:eastAsia="zh-CN"/>
        </w:rPr>
        <w:t>1</w:t>
      </w:r>
      <w:r>
        <w:rPr>
          <w:rFonts w:hint="eastAsia" w:ascii="仿宋" w:hAnsi="仿宋" w:eastAsia="仿宋" w:cs="仿宋"/>
          <w:color w:val="auto"/>
          <w:kern w:val="2"/>
          <w:sz w:val="32"/>
          <w:szCs w:val="32"/>
        </w:rPr>
        <w:t>年度年初部门预算收入</w:t>
      </w:r>
      <w:r>
        <w:rPr>
          <w:rFonts w:hint="eastAsia" w:ascii="仿宋" w:hAnsi="仿宋" w:eastAsia="仿宋" w:cs="仿宋"/>
          <w:color w:val="auto"/>
          <w:kern w:val="2"/>
          <w:sz w:val="32"/>
          <w:szCs w:val="32"/>
          <w:lang w:eastAsia="zh-CN"/>
        </w:rPr>
        <w:t>数为</w:t>
      </w:r>
      <w:r>
        <w:rPr>
          <w:rFonts w:hint="eastAsia" w:ascii="仿宋" w:hAnsi="仿宋" w:eastAsia="仿宋" w:cs="仿宋"/>
          <w:color w:val="auto"/>
          <w:kern w:val="2"/>
          <w:sz w:val="32"/>
          <w:szCs w:val="32"/>
          <w:lang w:val="en-US" w:eastAsia="zh-CN"/>
        </w:rPr>
        <w:t>8772.14万元，其中，省监测中心行政系统建设（98.8万元）调整20万元用于本单位环境质量监测项目；工资性支出（599.64万元）调出已调离的职工工资17.8万元至永州生态环境监测中心；省级监测能力建设资金5000万元调出后下达至省及驻市州中心等能力建设执行单位；国家环境保护重金属污染监测重点实验室开放基金（20万元）项目属省级环保专项，不纳入本次评价范围；综上所述，年初部门预算</w:t>
      </w:r>
      <w:r>
        <w:rPr>
          <w:rFonts w:hint="eastAsia" w:ascii="仿宋" w:hAnsi="仿宋" w:eastAsia="仿宋" w:cs="仿宋"/>
          <w:color w:val="auto"/>
          <w:kern w:val="2"/>
          <w:sz w:val="32"/>
          <w:szCs w:val="32"/>
          <w:lang w:eastAsia="zh-CN"/>
        </w:rPr>
        <w:t>需评价的金额为</w:t>
      </w:r>
      <w:r>
        <w:rPr>
          <w:rFonts w:hint="eastAsia" w:ascii="仿宋" w:hAnsi="仿宋" w:eastAsia="仿宋" w:cs="仿宋"/>
          <w:color w:val="auto"/>
          <w:kern w:val="2"/>
          <w:sz w:val="32"/>
          <w:szCs w:val="32"/>
          <w:lang w:val="en-US" w:eastAsia="zh-CN"/>
        </w:rPr>
        <w:t>3734.34</w:t>
      </w:r>
      <w:r>
        <w:rPr>
          <w:rFonts w:hint="eastAsia" w:ascii="仿宋" w:hAnsi="仿宋" w:eastAsia="仿宋" w:cs="仿宋"/>
          <w:color w:val="auto"/>
          <w:kern w:val="2"/>
          <w:sz w:val="32"/>
          <w:szCs w:val="32"/>
        </w:rPr>
        <w:t>万元，实际支出数为</w:t>
      </w:r>
      <w:r>
        <w:rPr>
          <w:rFonts w:hint="eastAsia" w:ascii="仿宋" w:hAnsi="仿宋" w:eastAsia="仿宋" w:cs="仿宋"/>
          <w:color w:val="auto"/>
          <w:kern w:val="2"/>
          <w:sz w:val="32"/>
          <w:szCs w:val="32"/>
          <w:lang w:val="en-US" w:eastAsia="zh-CN"/>
        </w:rPr>
        <w:t>3732.31</w:t>
      </w:r>
      <w:r>
        <w:rPr>
          <w:rFonts w:hint="eastAsia" w:ascii="仿宋" w:hAnsi="仿宋" w:eastAsia="仿宋" w:cs="仿宋"/>
          <w:color w:val="auto"/>
          <w:kern w:val="2"/>
          <w:sz w:val="32"/>
          <w:szCs w:val="32"/>
        </w:rPr>
        <w:t>万元，预算执行率为</w:t>
      </w:r>
      <w:r>
        <w:rPr>
          <w:rFonts w:hint="eastAsia" w:ascii="仿宋" w:hAnsi="仿宋" w:eastAsia="仿宋" w:cs="仿宋"/>
          <w:color w:val="auto"/>
          <w:kern w:val="2"/>
          <w:sz w:val="32"/>
          <w:szCs w:val="32"/>
          <w:lang w:val="en-US" w:eastAsia="zh-CN"/>
        </w:rPr>
        <w:t>99.9</w:t>
      </w:r>
      <w:r>
        <w:rPr>
          <w:rFonts w:hint="eastAsia" w:ascii="仿宋" w:hAnsi="仿宋" w:eastAsia="仿宋" w:cs="仿宋"/>
          <w:color w:val="auto"/>
          <w:kern w:val="2"/>
          <w:sz w:val="32"/>
          <w:szCs w:val="32"/>
        </w:rPr>
        <w:t>%。</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rPr>
      </w:pPr>
      <w:r>
        <w:rPr>
          <w:rFonts w:hint="eastAsia" w:ascii="仿宋" w:hAnsi="仿宋" w:eastAsia="仿宋" w:cs="仿宋"/>
          <w:b/>
          <w:color w:val="auto"/>
          <w:kern w:val="2"/>
          <w:sz w:val="32"/>
          <w:szCs w:val="32"/>
        </w:rPr>
        <w:t>公用经费执行率：</w:t>
      </w:r>
      <w:r>
        <w:rPr>
          <w:rFonts w:hint="eastAsia" w:ascii="仿宋" w:hAnsi="仿宋" w:eastAsia="仿宋" w:cs="仿宋"/>
          <w:color w:val="auto"/>
          <w:kern w:val="2"/>
          <w:sz w:val="32"/>
          <w:szCs w:val="32"/>
        </w:rPr>
        <w:t>202</w:t>
      </w:r>
      <w:r>
        <w:rPr>
          <w:rFonts w:hint="eastAsia" w:ascii="仿宋" w:hAnsi="仿宋" w:eastAsia="仿宋" w:cs="仿宋"/>
          <w:color w:val="auto"/>
          <w:kern w:val="2"/>
          <w:sz w:val="32"/>
          <w:szCs w:val="32"/>
          <w:lang w:val="en-US" w:eastAsia="zh-CN"/>
        </w:rPr>
        <w:t>1</w:t>
      </w:r>
      <w:r>
        <w:rPr>
          <w:rFonts w:hint="eastAsia" w:ascii="仿宋" w:hAnsi="仿宋" w:eastAsia="仿宋" w:cs="仿宋"/>
          <w:color w:val="auto"/>
          <w:kern w:val="2"/>
          <w:sz w:val="32"/>
          <w:szCs w:val="32"/>
        </w:rPr>
        <w:t>年本单位公用经费预算数为701.21万元，实际支出数为701.21万元，执行率为100%，未造成资金沉淀；与20</w:t>
      </w:r>
      <w:r>
        <w:rPr>
          <w:rFonts w:hint="eastAsia" w:ascii="仿宋" w:hAnsi="仿宋" w:eastAsia="仿宋" w:cs="仿宋"/>
          <w:color w:val="auto"/>
          <w:kern w:val="2"/>
          <w:sz w:val="32"/>
          <w:szCs w:val="32"/>
          <w:lang w:val="en-US" w:eastAsia="zh-CN"/>
        </w:rPr>
        <w:t>21</w:t>
      </w:r>
      <w:r>
        <w:rPr>
          <w:rFonts w:hint="eastAsia" w:ascii="仿宋" w:hAnsi="仿宋" w:eastAsia="仿宋" w:cs="仿宋"/>
          <w:color w:val="auto"/>
          <w:kern w:val="2"/>
          <w:sz w:val="32"/>
          <w:szCs w:val="32"/>
        </w:rPr>
        <w:t>年相比，实际支出数</w:t>
      </w:r>
      <w:r>
        <w:rPr>
          <w:rFonts w:hint="eastAsia" w:ascii="仿宋" w:hAnsi="仿宋" w:eastAsia="仿宋" w:cs="仿宋"/>
          <w:color w:val="auto"/>
          <w:kern w:val="2"/>
          <w:sz w:val="32"/>
          <w:szCs w:val="32"/>
          <w:lang w:val="en-US" w:eastAsia="zh-CN"/>
        </w:rPr>
        <w:t>增加286</w:t>
      </w:r>
      <w:r>
        <w:rPr>
          <w:rFonts w:hint="eastAsia" w:ascii="仿宋" w:hAnsi="仿宋" w:eastAsia="仿宋" w:cs="仿宋"/>
          <w:color w:val="auto"/>
          <w:kern w:val="2"/>
          <w:sz w:val="32"/>
          <w:szCs w:val="32"/>
        </w:rPr>
        <w:t>.11万元，同比</w:t>
      </w:r>
      <w:r>
        <w:rPr>
          <w:rFonts w:hint="eastAsia" w:ascii="仿宋" w:hAnsi="仿宋" w:eastAsia="仿宋" w:cs="仿宋"/>
          <w:color w:val="auto"/>
          <w:kern w:val="2"/>
          <w:sz w:val="32"/>
          <w:szCs w:val="32"/>
          <w:lang w:val="en-US" w:eastAsia="zh-CN"/>
        </w:rPr>
        <w:t>增加</w:t>
      </w:r>
      <w:r>
        <w:rPr>
          <w:rFonts w:hint="eastAsia" w:ascii="仿宋" w:hAnsi="仿宋" w:eastAsia="仿宋" w:cs="仿宋"/>
          <w:color w:val="auto"/>
          <w:kern w:val="2"/>
          <w:sz w:val="32"/>
          <w:szCs w:val="32"/>
        </w:rPr>
        <w:t>6</w:t>
      </w:r>
      <w:r>
        <w:rPr>
          <w:rFonts w:hint="eastAsia" w:ascii="仿宋" w:hAnsi="仿宋" w:eastAsia="仿宋" w:cs="仿宋"/>
          <w:color w:val="auto"/>
          <w:kern w:val="2"/>
          <w:sz w:val="32"/>
          <w:szCs w:val="32"/>
          <w:lang w:val="en-US" w:eastAsia="zh-CN"/>
        </w:rPr>
        <w:t>8</w:t>
      </w:r>
      <w:r>
        <w:rPr>
          <w:rFonts w:hint="eastAsia" w:ascii="仿宋" w:hAnsi="仿宋" w:eastAsia="仿宋" w:cs="仿宋"/>
          <w:color w:val="auto"/>
          <w:kern w:val="2"/>
          <w:sz w:val="32"/>
          <w:szCs w:val="32"/>
        </w:rPr>
        <w:t>.</w:t>
      </w:r>
      <w:r>
        <w:rPr>
          <w:rFonts w:hint="eastAsia" w:ascii="仿宋" w:hAnsi="仿宋" w:eastAsia="仿宋" w:cs="仿宋"/>
          <w:color w:val="auto"/>
          <w:kern w:val="2"/>
          <w:sz w:val="32"/>
          <w:szCs w:val="32"/>
          <w:lang w:val="en-US" w:eastAsia="zh-CN"/>
        </w:rPr>
        <w:t>9</w:t>
      </w:r>
      <w:r>
        <w:rPr>
          <w:rFonts w:hint="eastAsia" w:ascii="仿宋" w:hAnsi="仿宋" w:eastAsia="仿宋" w:cs="仿宋"/>
          <w:color w:val="auto"/>
          <w:kern w:val="2"/>
          <w:sz w:val="32"/>
          <w:szCs w:val="32"/>
        </w:rPr>
        <w:t>3%。</w:t>
      </w:r>
      <w:r>
        <w:rPr>
          <w:rFonts w:hint="eastAsia" w:ascii="仿宋" w:hAnsi="仿宋" w:eastAsia="仿宋" w:cs="仿宋"/>
          <w:color w:val="auto"/>
          <w:kern w:val="2"/>
          <w:sz w:val="32"/>
          <w:szCs w:val="32"/>
          <w:lang w:val="en-US" w:eastAsia="zh-CN"/>
        </w:rPr>
        <w:t>主要是增加了水、电及食堂改造维修费用等。</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rPr>
      </w:pPr>
      <w:r>
        <w:rPr>
          <w:rFonts w:hint="eastAsia" w:ascii="仿宋" w:hAnsi="仿宋" w:eastAsia="仿宋" w:cs="仿宋"/>
          <w:b/>
          <w:color w:val="auto"/>
          <w:kern w:val="2"/>
          <w:sz w:val="32"/>
          <w:szCs w:val="32"/>
        </w:rPr>
        <w:t>“三公经费”执行率：</w:t>
      </w:r>
      <w:r>
        <w:rPr>
          <w:rFonts w:hint="eastAsia" w:ascii="仿宋" w:hAnsi="仿宋" w:eastAsia="仿宋" w:cs="仿宋"/>
          <w:color w:val="auto"/>
          <w:kern w:val="2"/>
          <w:sz w:val="32"/>
          <w:szCs w:val="32"/>
        </w:rPr>
        <w:t>202</w:t>
      </w:r>
      <w:r>
        <w:rPr>
          <w:rFonts w:hint="eastAsia" w:ascii="仿宋" w:hAnsi="仿宋" w:eastAsia="仿宋" w:cs="仿宋"/>
          <w:color w:val="auto"/>
          <w:kern w:val="2"/>
          <w:sz w:val="32"/>
          <w:szCs w:val="32"/>
          <w:lang w:val="en-US" w:eastAsia="zh-CN"/>
        </w:rPr>
        <w:t>1</w:t>
      </w:r>
      <w:r>
        <w:rPr>
          <w:rFonts w:hint="eastAsia" w:ascii="仿宋" w:hAnsi="仿宋" w:eastAsia="仿宋" w:cs="仿宋"/>
          <w:color w:val="auto"/>
          <w:kern w:val="2"/>
          <w:sz w:val="32"/>
          <w:szCs w:val="32"/>
        </w:rPr>
        <w:t>年本单位“三公经费”预算数为</w:t>
      </w:r>
      <w:r>
        <w:rPr>
          <w:rFonts w:hint="eastAsia" w:ascii="仿宋" w:hAnsi="仿宋" w:eastAsia="仿宋" w:cs="仿宋"/>
          <w:color w:val="auto"/>
          <w:kern w:val="2"/>
          <w:sz w:val="32"/>
          <w:szCs w:val="32"/>
          <w:lang w:val="en-US" w:eastAsia="zh-CN"/>
        </w:rPr>
        <w:t>54</w:t>
      </w:r>
      <w:r>
        <w:rPr>
          <w:rFonts w:hint="eastAsia" w:ascii="仿宋" w:hAnsi="仿宋" w:eastAsia="仿宋" w:cs="仿宋"/>
          <w:color w:val="auto"/>
          <w:kern w:val="2"/>
          <w:sz w:val="32"/>
          <w:szCs w:val="32"/>
        </w:rPr>
        <w:t>万元，实际支出数为</w:t>
      </w:r>
      <w:r>
        <w:rPr>
          <w:rFonts w:hint="eastAsia" w:ascii="仿宋" w:hAnsi="仿宋" w:eastAsia="仿宋" w:cs="仿宋"/>
          <w:color w:val="auto"/>
          <w:kern w:val="2"/>
          <w:sz w:val="32"/>
          <w:szCs w:val="32"/>
          <w:lang w:val="en-US" w:eastAsia="zh-CN"/>
        </w:rPr>
        <w:t>54</w:t>
      </w:r>
      <w:r>
        <w:rPr>
          <w:rFonts w:hint="eastAsia" w:ascii="仿宋" w:hAnsi="仿宋" w:eastAsia="仿宋" w:cs="仿宋"/>
          <w:color w:val="auto"/>
          <w:kern w:val="2"/>
          <w:sz w:val="32"/>
          <w:szCs w:val="32"/>
        </w:rPr>
        <w:t>万元，执行率为100%，未造成资金沉淀；与20</w:t>
      </w:r>
      <w:r>
        <w:rPr>
          <w:rFonts w:hint="eastAsia" w:ascii="仿宋" w:hAnsi="仿宋" w:eastAsia="仿宋" w:cs="仿宋"/>
          <w:color w:val="auto"/>
          <w:kern w:val="2"/>
          <w:sz w:val="32"/>
          <w:szCs w:val="32"/>
          <w:lang w:val="en-US" w:eastAsia="zh-CN"/>
        </w:rPr>
        <w:t>20</w:t>
      </w:r>
      <w:r>
        <w:rPr>
          <w:rFonts w:hint="eastAsia" w:ascii="仿宋" w:hAnsi="仿宋" w:eastAsia="仿宋" w:cs="仿宋"/>
          <w:color w:val="auto"/>
          <w:kern w:val="2"/>
          <w:sz w:val="32"/>
          <w:szCs w:val="32"/>
        </w:rPr>
        <w:t>年相比，实际支出数</w:t>
      </w:r>
      <w:r>
        <w:rPr>
          <w:rFonts w:hint="eastAsia" w:ascii="仿宋" w:hAnsi="仿宋" w:eastAsia="仿宋" w:cs="仿宋"/>
          <w:color w:val="auto"/>
          <w:kern w:val="2"/>
          <w:sz w:val="32"/>
          <w:szCs w:val="32"/>
          <w:lang w:val="en-US" w:eastAsia="zh-CN"/>
        </w:rPr>
        <w:t>减少7</w:t>
      </w:r>
      <w:r>
        <w:rPr>
          <w:rFonts w:hint="eastAsia" w:ascii="仿宋" w:hAnsi="仿宋" w:eastAsia="仿宋" w:cs="仿宋"/>
          <w:color w:val="auto"/>
          <w:kern w:val="2"/>
          <w:sz w:val="32"/>
          <w:szCs w:val="32"/>
        </w:rPr>
        <w:t>万元。</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rPr>
      </w:pPr>
      <w:r>
        <w:rPr>
          <w:rFonts w:hint="eastAsia" w:ascii="仿宋" w:hAnsi="仿宋" w:eastAsia="仿宋" w:cs="仿宋"/>
          <w:b/>
          <w:color w:val="auto"/>
          <w:kern w:val="2"/>
          <w:sz w:val="32"/>
          <w:szCs w:val="32"/>
        </w:rPr>
        <w:t>政府采购执行率：</w:t>
      </w:r>
      <w:r>
        <w:rPr>
          <w:rFonts w:hint="eastAsia" w:ascii="仿宋" w:hAnsi="仿宋" w:eastAsia="仿宋" w:cs="仿宋"/>
          <w:color w:val="auto"/>
          <w:kern w:val="2"/>
          <w:sz w:val="32"/>
          <w:szCs w:val="32"/>
        </w:rPr>
        <w:t>本单位202</w:t>
      </w:r>
      <w:r>
        <w:rPr>
          <w:rFonts w:hint="eastAsia" w:ascii="仿宋" w:hAnsi="仿宋" w:eastAsia="仿宋" w:cs="仿宋"/>
          <w:color w:val="auto"/>
          <w:kern w:val="2"/>
          <w:sz w:val="32"/>
          <w:szCs w:val="32"/>
          <w:lang w:val="en-US" w:eastAsia="zh-CN"/>
        </w:rPr>
        <w:t>1</w:t>
      </w:r>
      <w:r>
        <w:rPr>
          <w:rFonts w:hint="eastAsia" w:ascii="仿宋" w:hAnsi="仿宋" w:eastAsia="仿宋" w:cs="仿宋"/>
          <w:color w:val="auto"/>
          <w:kern w:val="2"/>
          <w:sz w:val="32"/>
          <w:szCs w:val="32"/>
        </w:rPr>
        <w:t>年政府采购资金年初</w:t>
      </w:r>
      <w:r>
        <w:rPr>
          <w:rFonts w:hint="eastAsia" w:ascii="仿宋" w:hAnsi="仿宋" w:eastAsia="仿宋" w:cs="仿宋"/>
          <w:color w:val="auto"/>
          <w:kern w:val="2"/>
          <w:sz w:val="32"/>
          <w:szCs w:val="32"/>
          <w:lang w:val="en-US" w:eastAsia="zh-CN"/>
        </w:rPr>
        <w:t>部门</w:t>
      </w:r>
      <w:r>
        <w:rPr>
          <w:rFonts w:hint="eastAsia" w:ascii="仿宋" w:hAnsi="仿宋" w:eastAsia="仿宋" w:cs="仿宋"/>
          <w:color w:val="auto"/>
          <w:kern w:val="2"/>
          <w:sz w:val="32"/>
          <w:szCs w:val="32"/>
        </w:rPr>
        <w:t>预算数为1</w:t>
      </w:r>
      <w:r>
        <w:rPr>
          <w:rFonts w:hint="eastAsia" w:ascii="仿宋" w:hAnsi="仿宋" w:eastAsia="仿宋" w:cs="仿宋"/>
          <w:color w:val="auto"/>
          <w:kern w:val="2"/>
          <w:sz w:val="32"/>
          <w:szCs w:val="32"/>
          <w:lang w:val="en-US" w:eastAsia="zh-CN"/>
        </w:rPr>
        <w:t>4</w:t>
      </w:r>
      <w:r>
        <w:rPr>
          <w:rFonts w:hint="eastAsia" w:ascii="仿宋" w:hAnsi="仿宋" w:eastAsia="仿宋" w:cs="仿宋"/>
          <w:color w:val="auto"/>
          <w:kern w:val="2"/>
          <w:sz w:val="32"/>
          <w:szCs w:val="32"/>
        </w:rPr>
        <w:t>0万元，实际支出数为</w:t>
      </w:r>
      <w:r>
        <w:rPr>
          <w:rFonts w:hint="eastAsia" w:ascii="仿宋" w:hAnsi="仿宋" w:eastAsia="仿宋" w:cs="仿宋"/>
          <w:color w:val="auto"/>
          <w:kern w:val="2"/>
          <w:sz w:val="32"/>
          <w:szCs w:val="32"/>
          <w:lang w:val="en-US" w:eastAsia="zh-CN"/>
        </w:rPr>
        <w:t>137.97</w:t>
      </w:r>
      <w:r>
        <w:rPr>
          <w:rFonts w:hint="eastAsia" w:ascii="仿宋" w:hAnsi="仿宋" w:eastAsia="仿宋" w:cs="仿宋"/>
          <w:color w:val="auto"/>
          <w:kern w:val="2"/>
          <w:sz w:val="32"/>
          <w:szCs w:val="32"/>
        </w:rPr>
        <w:t>万元，执行率为</w:t>
      </w:r>
      <w:r>
        <w:rPr>
          <w:rFonts w:hint="eastAsia" w:ascii="仿宋" w:hAnsi="仿宋" w:eastAsia="仿宋" w:cs="仿宋"/>
          <w:color w:val="auto"/>
          <w:kern w:val="2"/>
          <w:sz w:val="32"/>
          <w:szCs w:val="32"/>
          <w:lang w:val="en-US" w:eastAsia="zh-CN"/>
        </w:rPr>
        <w:t>98</w:t>
      </w:r>
      <w:r>
        <w:rPr>
          <w:rFonts w:hint="eastAsia" w:ascii="仿宋" w:hAnsi="仿宋" w:eastAsia="仿宋" w:cs="仿宋"/>
          <w:color w:val="auto"/>
          <w:kern w:val="2"/>
          <w:sz w:val="32"/>
          <w:szCs w:val="32"/>
        </w:rPr>
        <w:t>%；与20</w:t>
      </w:r>
      <w:r>
        <w:rPr>
          <w:rFonts w:hint="eastAsia" w:ascii="仿宋" w:hAnsi="仿宋" w:eastAsia="仿宋" w:cs="仿宋"/>
          <w:color w:val="auto"/>
          <w:kern w:val="2"/>
          <w:sz w:val="32"/>
          <w:szCs w:val="32"/>
          <w:lang w:val="en-US" w:eastAsia="zh-CN"/>
        </w:rPr>
        <w:t>20</w:t>
      </w:r>
      <w:r>
        <w:rPr>
          <w:rFonts w:hint="eastAsia" w:ascii="仿宋" w:hAnsi="仿宋" w:eastAsia="仿宋" w:cs="仿宋"/>
          <w:color w:val="auto"/>
          <w:kern w:val="2"/>
          <w:sz w:val="32"/>
          <w:szCs w:val="32"/>
        </w:rPr>
        <w:t>年相比，实际支出数</w:t>
      </w:r>
      <w:r>
        <w:rPr>
          <w:rFonts w:hint="eastAsia" w:ascii="仿宋" w:hAnsi="仿宋" w:eastAsia="仿宋" w:cs="仿宋"/>
          <w:color w:val="auto"/>
          <w:kern w:val="2"/>
          <w:sz w:val="32"/>
          <w:szCs w:val="32"/>
          <w:lang w:val="en-US" w:eastAsia="zh-CN"/>
        </w:rPr>
        <w:t>减少32.03万元</w:t>
      </w:r>
      <w:r>
        <w:rPr>
          <w:rFonts w:hint="eastAsia" w:ascii="仿宋" w:hAnsi="仿宋" w:eastAsia="仿宋" w:cs="仿宋"/>
          <w:color w:val="auto"/>
          <w:kern w:val="2"/>
          <w:sz w:val="32"/>
          <w:szCs w:val="32"/>
        </w:rPr>
        <w:t>。</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rPr>
      </w:pPr>
      <w:r>
        <w:rPr>
          <w:rFonts w:hint="eastAsia" w:ascii="仿宋" w:hAnsi="仿宋" w:eastAsia="仿宋" w:cs="仿宋"/>
          <w:b/>
          <w:color w:val="auto"/>
          <w:kern w:val="2"/>
          <w:sz w:val="32"/>
          <w:szCs w:val="32"/>
        </w:rPr>
        <w:t>楼堂馆所控制情况：</w:t>
      </w:r>
      <w:r>
        <w:rPr>
          <w:rFonts w:hint="eastAsia" w:ascii="仿宋" w:hAnsi="仿宋" w:eastAsia="仿宋" w:cs="仿宋"/>
          <w:color w:val="auto"/>
          <w:kern w:val="2"/>
          <w:sz w:val="32"/>
          <w:szCs w:val="32"/>
        </w:rPr>
        <w:t>无新建楼堂馆所情况。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bCs w:val="0"/>
          <w:color w:val="auto"/>
          <w:kern w:val="2"/>
          <w:sz w:val="32"/>
          <w:szCs w:val="32"/>
        </w:rPr>
      </w:pPr>
      <w:r>
        <w:rPr>
          <w:rFonts w:hint="eastAsia" w:ascii="仿宋" w:hAnsi="仿宋" w:eastAsia="仿宋" w:cs="仿宋"/>
          <w:b/>
          <w:color w:val="auto"/>
          <w:kern w:val="2"/>
          <w:sz w:val="32"/>
          <w:szCs w:val="32"/>
        </w:rPr>
        <w:t>（三）</w:t>
      </w:r>
      <w:r>
        <w:rPr>
          <w:rFonts w:hint="eastAsia" w:ascii="仿宋" w:hAnsi="仿宋" w:eastAsia="仿宋" w:cs="仿宋"/>
          <w:b/>
          <w:bCs w:val="0"/>
          <w:color w:val="auto"/>
          <w:kern w:val="2"/>
          <w:sz w:val="32"/>
          <w:szCs w:val="32"/>
        </w:rPr>
        <w:t>绩效目标完成情况</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lang w:eastAsia="zh-CN"/>
        </w:rPr>
      </w:pPr>
      <w:r>
        <w:rPr>
          <w:rFonts w:hint="eastAsia" w:ascii="仿宋" w:hAnsi="仿宋" w:eastAsia="仿宋" w:cs="仿宋"/>
          <w:color w:val="auto"/>
          <w:kern w:val="2"/>
          <w:sz w:val="32"/>
          <w:szCs w:val="32"/>
        </w:rPr>
        <w:t>根据年初设立的绩效目标情况，</w:t>
      </w:r>
      <w:r>
        <w:rPr>
          <w:rFonts w:hint="eastAsia" w:ascii="仿宋" w:hAnsi="仿宋" w:eastAsia="仿宋" w:cs="仿宋"/>
          <w:color w:val="auto"/>
          <w:kern w:val="2"/>
          <w:sz w:val="32"/>
          <w:szCs w:val="32"/>
          <w:lang w:eastAsia="zh-CN"/>
        </w:rPr>
        <w:t>对各项支出的绩效目标完成情况进行了自查，下面从基本支出和项目支出两个方面进行阐述：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b/>
          <w:bCs/>
          <w:color w:val="auto"/>
          <w:kern w:val="2"/>
          <w:sz w:val="32"/>
          <w:szCs w:val="32"/>
        </w:rPr>
      </w:pPr>
      <w:r>
        <w:rPr>
          <w:rFonts w:hint="eastAsia" w:ascii="仿宋" w:hAnsi="仿宋" w:eastAsia="仿宋" w:cs="仿宋"/>
          <w:b/>
          <w:bCs/>
          <w:color w:val="auto"/>
          <w:kern w:val="2"/>
          <w:sz w:val="32"/>
          <w:szCs w:val="32"/>
        </w:rPr>
        <w:t>1、基本支出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rPr>
      </w:pPr>
      <w:r>
        <w:rPr>
          <w:rFonts w:hint="eastAsia" w:ascii="仿宋" w:hAnsi="仿宋" w:eastAsia="仿宋" w:cs="仿宋"/>
          <w:b/>
          <w:color w:val="auto"/>
          <w:kern w:val="2"/>
          <w:sz w:val="32"/>
          <w:szCs w:val="32"/>
        </w:rPr>
        <w:t>人员经费:</w:t>
      </w:r>
      <w:r>
        <w:rPr>
          <w:rFonts w:hint="eastAsia" w:ascii="仿宋" w:hAnsi="仿宋" w:eastAsia="仿宋" w:cs="仿宋"/>
          <w:color w:val="auto"/>
          <w:kern w:val="2"/>
          <w:sz w:val="32"/>
          <w:szCs w:val="32"/>
          <w:lang w:val="en-US" w:eastAsia="zh-CN"/>
        </w:rPr>
        <w:t>省</w:t>
      </w:r>
      <w:r>
        <w:rPr>
          <w:rFonts w:hint="eastAsia" w:ascii="仿宋" w:hAnsi="仿宋" w:eastAsia="仿宋" w:cs="仿宋"/>
          <w:color w:val="auto"/>
          <w:kern w:val="2"/>
          <w:sz w:val="32"/>
          <w:szCs w:val="32"/>
        </w:rPr>
        <w:t>中心是全额</w:t>
      </w:r>
      <w:r>
        <w:rPr>
          <w:rFonts w:hint="eastAsia" w:ascii="仿宋" w:hAnsi="仿宋" w:eastAsia="仿宋" w:cs="仿宋"/>
          <w:color w:val="auto"/>
          <w:kern w:val="2"/>
          <w:sz w:val="32"/>
          <w:szCs w:val="32"/>
          <w:lang w:val="en-US" w:eastAsia="zh-CN"/>
        </w:rPr>
        <w:t>拨款</w:t>
      </w:r>
      <w:r>
        <w:rPr>
          <w:rFonts w:hint="eastAsia" w:ascii="仿宋" w:hAnsi="仿宋" w:eastAsia="仿宋" w:cs="仿宋"/>
          <w:color w:val="auto"/>
          <w:kern w:val="2"/>
          <w:sz w:val="32"/>
          <w:szCs w:val="32"/>
        </w:rPr>
        <w:t>事业单位，目前经省编办核准的机构编制共有135名，截止20</w:t>
      </w:r>
      <w:r>
        <w:rPr>
          <w:rFonts w:hint="eastAsia" w:ascii="仿宋" w:hAnsi="仿宋" w:eastAsia="仿宋" w:cs="仿宋"/>
          <w:color w:val="auto"/>
          <w:kern w:val="2"/>
          <w:sz w:val="32"/>
          <w:szCs w:val="32"/>
          <w:lang w:val="en-US" w:eastAsia="zh-CN"/>
        </w:rPr>
        <w:t>21</w:t>
      </w:r>
      <w:r>
        <w:rPr>
          <w:rFonts w:hint="eastAsia" w:ascii="仿宋" w:hAnsi="仿宋" w:eastAsia="仿宋" w:cs="仿宋"/>
          <w:color w:val="auto"/>
          <w:kern w:val="2"/>
          <w:sz w:val="32"/>
          <w:szCs w:val="32"/>
        </w:rPr>
        <w:t>年12月31日，我中心在职人员</w:t>
      </w:r>
      <w:r>
        <w:rPr>
          <w:rFonts w:hint="eastAsia" w:ascii="仿宋" w:hAnsi="仿宋" w:eastAsia="仿宋" w:cs="仿宋"/>
          <w:color w:val="auto"/>
          <w:kern w:val="2"/>
          <w:sz w:val="32"/>
          <w:szCs w:val="32"/>
          <w:lang w:val="en-US" w:eastAsia="zh-CN"/>
        </w:rPr>
        <w:t>118</w:t>
      </w:r>
      <w:r>
        <w:rPr>
          <w:rFonts w:hint="eastAsia" w:ascii="仿宋" w:hAnsi="仿宋" w:eastAsia="仿宋" w:cs="仿宋"/>
          <w:color w:val="auto"/>
          <w:kern w:val="2"/>
          <w:sz w:val="32"/>
          <w:szCs w:val="32"/>
        </w:rPr>
        <w:t>人，使用编制</w:t>
      </w:r>
      <w:r>
        <w:rPr>
          <w:rFonts w:hint="eastAsia" w:ascii="仿宋" w:hAnsi="仿宋" w:eastAsia="仿宋" w:cs="仿宋"/>
          <w:color w:val="auto"/>
          <w:kern w:val="2"/>
          <w:sz w:val="32"/>
          <w:szCs w:val="32"/>
          <w:lang w:val="en-US" w:eastAsia="zh-CN"/>
        </w:rPr>
        <w:t>118</w:t>
      </w:r>
      <w:r>
        <w:rPr>
          <w:rFonts w:hint="eastAsia" w:ascii="仿宋" w:hAnsi="仿宋" w:eastAsia="仿宋" w:cs="仿宋"/>
          <w:color w:val="auto"/>
          <w:kern w:val="2"/>
          <w:sz w:val="32"/>
          <w:szCs w:val="32"/>
        </w:rPr>
        <w:t>个。机构编制的使用，如人员异动后（含人员退休、调入、调出、辞职等）的入编、出编，都严格按照省编办文件要求办理。工资管理严格按照国家和省里有关工资文件执行。真正做到依规依矩，确保了人员机构编制及工资管理政策性，合理合规，保障了广大干部职工的权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rPr>
      </w:pPr>
      <w:r>
        <w:rPr>
          <w:rFonts w:hint="eastAsia" w:ascii="仿宋" w:hAnsi="仿宋" w:eastAsia="仿宋" w:cs="仿宋"/>
          <w:b/>
          <w:color w:val="auto"/>
          <w:kern w:val="2"/>
          <w:sz w:val="32"/>
          <w:szCs w:val="32"/>
        </w:rPr>
        <w:t>工会福利等经费：</w:t>
      </w:r>
      <w:r>
        <w:rPr>
          <w:rFonts w:hint="eastAsia" w:ascii="仿宋" w:hAnsi="仿宋" w:eastAsia="仿宋" w:cs="仿宋"/>
          <w:color w:val="auto"/>
          <w:kern w:val="2"/>
          <w:sz w:val="32"/>
          <w:szCs w:val="32"/>
          <w:lang w:val="en-US" w:eastAsia="zh-CN"/>
        </w:rPr>
        <w:t>省中心工会的日常工作执行规范化管理,按照</w:t>
      </w:r>
      <w:r>
        <w:rPr>
          <w:rFonts w:hint="eastAsia" w:ascii="仿宋" w:hAnsi="仿宋" w:eastAsia="仿宋" w:cs="仿宋"/>
          <w:color w:val="auto"/>
          <w:kern w:val="2"/>
          <w:sz w:val="32"/>
          <w:szCs w:val="32"/>
        </w:rPr>
        <w:t>湖南省工财发【2018】3号文</w:t>
      </w:r>
      <w:r>
        <w:rPr>
          <w:rFonts w:hint="eastAsia" w:ascii="仿宋" w:hAnsi="仿宋" w:eastAsia="仿宋" w:cs="仿宋"/>
          <w:color w:val="auto"/>
          <w:kern w:val="2"/>
          <w:sz w:val="32"/>
          <w:szCs w:val="32"/>
          <w:lang w:val="en-US" w:eastAsia="zh-CN"/>
        </w:rPr>
        <w:t>和《湖南省基层工会经费收支管理实施细则》的相关规定开展工作，对工会经费进行严格审查，合理安排使用，坚持厉行节约的原则，使有限的经费在工会活动中发挥更好的作用。2021年主要形成支出包括</w:t>
      </w:r>
      <w:r>
        <w:rPr>
          <w:rFonts w:hint="eastAsia" w:ascii="仿宋" w:hAnsi="仿宋" w:eastAsia="仿宋" w:cs="仿宋"/>
          <w:color w:val="auto"/>
          <w:kern w:val="2"/>
          <w:sz w:val="32"/>
          <w:szCs w:val="32"/>
        </w:rPr>
        <w:t>补充医疗保险</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t>体检费，</w:t>
      </w:r>
      <w:r>
        <w:rPr>
          <w:rFonts w:hint="eastAsia" w:ascii="仿宋" w:hAnsi="仿宋" w:eastAsia="仿宋" w:cs="仿宋"/>
          <w:color w:val="auto"/>
          <w:kern w:val="2"/>
          <w:sz w:val="32"/>
          <w:szCs w:val="32"/>
          <w:lang w:val="en-US" w:eastAsia="zh-CN"/>
        </w:rPr>
        <w:t>在职、退休职工的节日慰问和生日慰问等</w:t>
      </w:r>
      <w:r>
        <w:rPr>
          <w:rFonts w:hint="eastAsia" w:ascii="仿宋" w:hAnsi="仿宋" w:eastAsia="仿宋" w:cs="仿宋"/>
          <w:color w:val="auto"/>
          <w:kern w:val="2"/>
          <w:sz w:val="32"/>
          <w:szCs w:val="32"/>
        </w:rPr>
        <w:t>，</w:t>
      </w:r>
      <w:r>
        <w:rPr>
          <w:rFonts w:hint="eastAsia" w:ascii="仿宋" w:hAnsi="仿宋" w:eastAsia="仿宋" w:cs="仿宋"/>
          <w:color w:val="auto"/>
          <w:kern w:val="2"/>
          <w:sz w:val="32"/>
          <w:szCs w:val="32"/>
          <w:lang w:val="en-US" w:eastAsia="zh-CN"/>
        </w:rPr>
        <w:t>以及按照工资比例提取付款至省直工会的经费等。始终坚持认真履行好工会的各项工作职能，以围绕为广大职工服务为宗旨，按计划使用经费，在各项工作中取得了一定的成绩。</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kern w:val="2"/>
          <w:sz w:val="32"/>
          <w:szCs w:val="32"/>
          <w:lang w:val="en-US" w:eastAsia="zh-CN"/>
        </w:rPr>
      </w:pPr>
      <w:r>
        <w:rPr>
          <w:rFonts w:hint="eastAsia" w:ascii="仿宋" w:hAnsi="仿宋" w:eastAsia="仿宋" w:cs="仿宋"/>
          <w:b/>
          <w:color w:val="auto"/>
          <w:kern w:val="2"/>
          <w:sz w:val="32"/>
          <w:szCs w:val="32"/>
        </w:rPr>
        <w:t>一般性支出：</w:t>
      </w:r>
      <w:r>
        <w:rPr>
          <w:rFonts w:hint="eastAsia" w:ascii="仿宋" w:hAnsi="仿宋" w:eastAsia="仿宋" w:cs="仿宋"/>
          <w:color w:val="auto"/>
          <w:kern w:val="2"/>
          <w:sz w:val="32"/>
          <w:szCs w:val="32"/>
        </w:rPr>
        <w:t>202</w:t>
      </w:r>
      <w:r>
        <w:rPr>
          <w:rFonts w:hint="eastAsia" w:ascii="仿宋" w:hAnsi="仿宋" w:eastAsia="仿宋" w:cs="仿宋"/>
          <w:color w:val="auto"/>
          <w:kern w:val="2"/>
          <w:sz w:val="32"/>
          <w:szCs w:val="32"/>
          <w:lang w:val="en-US" w:eastAsia="zh-CN"/>
        </w:rPr>
        <w:t>1</w:t>
      </w:r>
      <w:r>
        <w:rPr>
          <w:rFonts w:hint="eastAsia" w:ascii="仿宋" w:hAnsi="仿宋" w:eastAsia="仿宋" w:cs="仿宋"/>
          <w:color w:val="auto"/>
          <w:kern w:val="2"/>
          <w:sz w:val="32"/>
          <w:szCs w:val="32"/>
        </w:rPr>
        <w:t>年公用经费预算</w:t>
      </w:r>
      <w:r>
        <w:rPr>
          <w:rFonts w:hint="eastAsia" w:ascii="仿宋" w:hAnsi="仿宋" w:eastAsia="仿宋" w:cs="仿宋"/>
          <w:color w:val="auto"/>
          <w:kern w:val="2"/>
          <w:sz w:val="32"/>
          <w:szCs w:val="32"/>
          <w:lang w:eastAsia="zh-CN"/>
        </w:rPr>
        <w:t>支出</w:t>
      </w:r>
      <w:r>
        <w:rPr>
          <w:rFonts w:hint="eastAsia" w:ascii="仿宋" w:hAnsi="仿宋" w:eastAsia="仿宋" w:cs="仿宋"/>
          <w:b w:val="0"/>
          <w:bCs w:val="0"/>
          <w:color w:val="auto"/>
          <w:kern w:val="2"/>
          <w:sz w:val="32"/>
          <w:szCs w:val="32"/>
          <w:lang w:val="en-US" w:eastAsia="zh-CN"/>
        </w:rPr>
        <w:t>主要包括办公费、印刷费、其他交通费、公务用车、公务接待费、维修费、水、电、物业和燃气费等，</w:t>
      </w:r>
      <w:r>
        <w:rPr>
          <w:rFonts w:hint="eastAsia" w:ascii="仿宋" w:hAnsi="仿宋" w:eastAsia="仿宋" w:cs="仿宋"/>
          <w:b w:val="0"/>
          <w:bCs w:val="0"/>
          <w:color w:val="auto"/>
          <w:kern w:val="2"/>
          <w:sz w:val="32"/>
          <w:szCs w:val="32"/>
        </w:rPr>
        <w:t>执行率为100%</w:t>
      </w:r>
      <w:r>
        <w:rPr>
          <w:rFonts w:hint="eastAsia" w:ascii="仿宋" w:hAnsi="仿宋" w:eastAsia="仿宋" w:cs="仿宋"/>
          <w:b w:val="0"/>
          <w:bCs w:val="0"/>
          <w:color w:val="auto"/>
          <w:kern w:val="2"/>
          <w:sz w:val="32"/>
          <w:szCs w:val="32"/>
          <w:lang w:eastAsia="zh-CN"/>
        </w:rPr>
        <w:t>。</w:t>
      </w:r>
      <w:r>
        <w:rPr>
          <w:rFonts w:hint="eastAsia" w:ascii="仿宋" w:hAnsi="仿宋" w:eastAsia="仿宋" w:cs="仿宋"/>
          <w:b w:val="0"/>
          <w:bCs w:val="0"/>
          <w:color w:val="auto"/>
          <w:kern w:val="2"/>
          <w:sz w:val="32"/>
          <w:szCs w:val="32"/>
        </w:rPr>
        <w:t>主要采取以下措施进行控制：</w:t>
      </w:r>
      <w:r>
        <w:rPr>
          <w:rFonts w:hint="eastAsia" w:ascii="仿宋" w:hAnsi="仿宋" w:eastAsia="仿宋" w:cs="仿宋"/>
          <w:b w:val="0"/>
          <w:bCs w:val="0"/>
          <w:color w:val="auto"/>
          <w:kern w:val="2"/>
          <w:sz w:val="32"/>
          <w:szCs w:val="32"/>
          <w:lang w:val="en-US" w:eastAsia="zh-CN"/>
        </w:rPr>
        <w:t>（1）落实办公节约。严格落实办公用品采购使用管理制度，做到先申请，后采购，不盲目采购和使用高档的办公设备。办公用品实行领用登记制度，由指定专人管理；（2）严控“三公”经费。严格按照中央、省委关于厉行节约、反对浪费的要求，实行总额控制，加强年初预算编制管理，规范预算执行，着力从源头上强化管控；并加强公务用车配备使用管理，出台公务用车管理制度，严格执行公务用车配备和使用的各项规定，严格执行公务用车配备标准。</w:t>
      </w:r>
    </w:p>
    <w:p>
      <w:pPr>
        <w:pStyle w:val="2"/>
        <w:keepNext w:val="0"/>
        <w:keepLines w:val="0"/>
        <w:pageBreakBefore w:val="0"/>
        <w:kinsoku/>
        <w:wordWrap/>
        <w:overflowPunct/>
        <w:topLinePunct w:val="0"/>
        <w:autoSpaceDE/>
        <w:autoSpaceDN/>
        <w:bidi w:val="0"/>
        <w:adjustRightInd/>
        <w:snapToGrid/>
        <w:spacing w:after="0" w:line="560" w:lineRule="exact"/>
        <w:ind w:left="0" w:leftChars="0" w:firstLine="643"/>
        <w:textAlignment w:val="auto"/>
        <w:rPr>
          <w:rFonts w:hint="eastAsia" w:ascii="仿宋" w:hAnsi="仿宋" w:eastAsia="仿宋" w:cs="仿宋"/>
          <w:b/>
          <w:bCs/>
          <w:color w:val="auto"/>
          <w:kern w:val="2"/>
          <w:sz w:val="32"/>
          <w:szCs w:val="32"/>
        </w:rPr>
      </w:pPr>
      <w:r>
        <w:rPr>
          <w:rFonts w:hint="eastAsia" w:ascii="仿宋" w:hAnsi="仿宋" w:eastAsia="仿宋" w:cs="仿宋"/>
          <w:b/>
          <w:bCs/>
          <w:color w:val="auto"/>
          <w:kern w:val="2"/>
          <w:sz w:val="32"/>
          <w:szCs w:val="32"/>
        </w:rPr>
        <w:t>2、项目支出</w:t>
      </w:r>
    </w:p>
    <w:p>
      <w:pPr>
        <w:pStyle w:val="8"/>
        <w:widowControl w:val="0"/>
        <w:shd w:val="clear" w:color="auto" w:fill="FFFFFF"/>
        <w:spacing w:before="0" w:beforeAutospacing="0" w:after="0" w:afterAutospacing="0" w:line="560" w:lineRule="exact"/>
        <w:ind w:firstLine="640" w:firstLineChars="200"/>
        <w:jc w:val="both"/>
        <w:rPr>
          <w:rFonts w:hint="eastAsia" w:ascii="仿宋" w:hAnsi="仿宋" w:eastAsia="仿宋" w:cs="仿宋"/>
          <w:color w:val="auto"/>
          <w:kern w:val="2"/>
          <w:sz w:val="32"/>
          <w:szCs w:val="32"/>
          <w:lang w:eastAsia="zh-CN"/>
        </w:rPr>
      </w:pPr>
      <w:r>
        <w:rPr>
          <w:rFonts w:hint="eastAsia" w:ascii="仿宋" w:hAnsi="仿宋" w:eastAsia="仿宋" w:cs="仿宋"/>
          <w:b/>
          <w:bCs/>
          <w:color w:val="auto"/>
          <w:kern w:val="2"/>
          <w:sz w:val="32"/>
          <w:szCs w:val="32"/>
        </w:rPr>
        <w:t>党委活动经费：</w:t>
      </w:r>
      <w:r>
        <w:rPr>
          <w:rFonts w:hint="eastAsia" w:ascii="仿宋" w:hAnsi="仿宋" w:eastAsia="仿宋" w:cs="仿宋"/>
          <w:b w:val="0"/>
          <w:bCs w:val="0"/>
          <w:color w:val="auto"/>
          <w:kern w:val="2"/>
          <w:sz w:val="32"/>
          <w:szCs w:val="32"/>
          <w:lang w:eastAsia="zh-CN"/>
        </w:rPr>
        <w:t>（</w:t>
      </w:r>
      <w:r>
        <w:rPr>
          <w:rFonts w:hint="eastAsia" w:ascii="仿宋" w:hAnsi="仿宋" w:eastAsia="仿宋" w:cs="仿宋"/>
          <w:b w:val="0"/>
          <w:bCs w:val="0"/>
          <w:color w:val="auto"/>
          <w:kern w:val="2"/>
          <w:sz w:val="32"/>
          <w:szCs w:val="32"/>
          <w:lang w:val="en-US" w:eastAsia="zh-CN"/>
        </w:rPr>
        <w:t>1）</w:t>
      </w:r>
      <w:r>
        <w:rPr>
          <w:rFonts w:hint="eastAsia" w:ascii="仿宋" w:hAnsi="仿宋" w:eastAsia="仿宋" w:cs="仿宋"/>
          <w:color w:val="auto"/>
          <w:kern w:val="2"/>
          <w:sz w:val="32"/>
          <w:szCs w:val="32"/>
          <w:lang w:val="en-US" w:eastAsia="zh-CN"/>
        </w:rPr>
        <w:t>按计划完成了</w:t>
      </w:r>
      <w:r>
        <w:rPr>
          <w:rFonts w:hint="eastAsia" w:ascii="仿宋_GB2312" w:hAnsi="微软雅黑" w:eastAsia="仿宋_GB2312"/>
          <w:color w:val="auto"/>
          <w:sz w:val="32"/>
          <w:szCs w:val="32"/>
        </w:rPr>
        <w:t>数量指标。</w:t>
      </w:r>
      <w:r>
        <w:rPr>
          <w:rFonts w:hint="eastAsia" w:ascii="仿宋_GB2312" w:hAnsi="Times New Roman" w:eastAsia="仿宋_GB2312" w:cs="Times New Roman"/>
          <w:color w:val="auto"/>
          <w:sz w:val="32"/>
          <w:szCs w:val="32"/>
        </w:rPr>
        <w:t>2021年组织党支部书记、党员教育、培训2次，开展支部活动11次，组织生态环境监测系统中青年党校、党务（纪检）干部培训班、意识形态暨宣传教育培训班各1次、读书分享会4次。组建庆建党百周年文艺汇演表演队、拍摄湖南省生态环境监测中心形象宣传片等</w:t>
      </w:r>
      <w:r>
        <w:rPr>
          <w:rFonts w:hint="eastAsia" w:ascii="仿宋_GB2312" w:hAnsi="Times New Roman" w:eastAsia="仿宋_GB2312" w:cs="Times New Roman"/>
          <w:color w:val="auto"/>
          <w:sz w:val="32"/>
          <w:szCs w:val="32"/>
          <w:lang w:eastAsia="zh-CN"/>
        </w:rPr>
        <w:t>。</w:t>
      </w:r>
      <w:r>
        <w:rPr>
          <w:rFonts w:hint="eastAsia" w:ascii="仿宋" w:hAnsi="仿宋" w:eastAsia="仿宋" w:cs="仿宋"/>
          <w:b w:val="0"/>
          <w:bCs w:val="0"/>
          <w:color w:val="auto"/>
          <w:kern w:val="2"/>
          <w:sz w:val="32"/>
          <w:szCs w:val="32"/>
          <w:lang w:eastAsia="zh-CN"/>
        </w:rPr>
        <w:t>（</w:t>
      </w:r>
      <w:r>
        <w:rPr>
          <w:rFonts w:hint="eastAsia" w:ascii="仿宋" w:hAnsi="仿宋" w:eastAsia="仿宋" w:cs="仿宋"/>
          <w:b w:val="0"/>
          <w:bCs w:val="0"/>
          <w:color w:val="auto"/>
          <w:kern w:val="2"/>
          <w:sz w:val="32"/>
          <w:szCs w:val="32"/>
          <w:lang w:val="en-US" w:eastAsia="zh-CN"/>
        </w:rPr>
        <w:t>2）</w:t>
      </w:r>
      <w:r>
        <w:rPr>
          <w:rFonts w:hint="eastAsia" w:ascii="仿宋_GB2312" w:hAnsi="Times New Roman" w:eastAsia="仿宋_GB2312" w:cs="Times New Roman"/>
          <w:color w:val="auto"/>
          <w:sz w:val="32"/>
          <w:szCs w:val="32"/>
          <w:lang w:val="en-US" w:eastAsia="zh-CN"/>
        </w:rPr>
        <w:t>按计划完成了</w:t>
      </w:r>
      <w:r>
        <w:rPr>
          <w:rFonts w:hint="eastAsia" w:ascii="仿宋_GB2312" w:hAnsi="微软雅黑" w:eastAsia="仿宋_GB2312"/>
          <w:color w:val="auto"/>
          <w:sz w:val="32"/>
          <w:szCs w:val="32"/>
        </w:rPr>
        <w:t>质量指标。</w:t>
      </w:r>
      <w:r>
        <w:rPr>
          <w:rFonts w:hint="eastAsia" w:ascii="仿宋_GB2312" w:hAnsi="Times New Roman" w:eastAsia="仿宋_GB2312" w:cs="Times New Roman"/>
          <w:color w:val="auto"/>
          <w:sz w:val="32"/>
          <w:szCs w:val="32"/>
        </w:rPr>
        <w:t>党组织书记、党员教育、培训完成率</w:t>
      </w:r>
      <w:r>
        <w:rPr>
          <w:rFonts w:hint="eastAsia" w:ascii="仿宋_GB2312" w:hAnsi="微软雅黑" w:eastAsia="仿宋_GB2312"/>
          <w:color w:val="auto"/>
          <w:sz w:val="32"/>
          <w:szCs w:val="32"/>
        </w:rPr>
        <w:t>达100%</w:t>
      </w:r>
      <w:r>
        <w:rPr>
          <w:rFonts w:hint="eastAsia" w:ascii="仿宋_GB2312" w:hAnsi="Times New Roman" w:eastAsia="仿宋_GB2312" w:cs="Times New Roman"/>
          <w:color w:val="auto"/>
          <w:sz w:val="32"/>
          <w:szCs w:val="32"/>
        </w:rPr>
        <w:t>，开展支部活动</w:t>
      </w:r>
      <w:r>
        <w:rPr>
          <w:rFonts w:hint="eastAsia" w:ascii="仿宋_GB2312" w:hAnsi="微软雅黑" w:eastAsia="仿宋_GB2312"/>
          <w:color w:val="auto"/>
          <w:sz w:val="32"/>
          <w:szCs w:val="32"/>
        </w:rPr>
        <w:t>完成率达100%</w:t>
      </w:r>
      <w:r>
        <w:rPr>
          <w:rFonts w:hint="eastAsia" w:ascii="仿宋_GB2312" w:hAnsi="Times New Roman" w:eastAsia="仿宋_GB2312" w:cs="Times New Roman"/>
          <w:color w:val="auto"/>
          <w:sz w:val="32"/>
          <w:szCs w:val="32"/>
        </w:rPr>
        <w:t>，党建工作宣传教育完成率</w:t>
      </w:r>
      <w:r>
        <w:rPr>
          <w:rFonts w:hint="eastAsia" w:ascii="仿宋_GB2312" w:hAnsi="微软雅黑" w:eastAsia="仿宋_GB2312"/>
          <w:color w:val="auto"/>
          <w:sz w:val="32"/>
          <w:szCs w:val="32"/>
        </w:rPr>
        <w:t>达100%</w:t>
      </w:r>
      <w:r>
        <w:rPr>
          <w:rFonts w:hint="eastAsia" w:ascii="仿宋_GB2312" w:hAnsi="Times New Roman" w:eastAsia="仿宋_GB2312" w:cs="Times New Roman"/>
          <w:color w:val="auto"/>
          <w:sz w:val="32"/>
          <w:szCs w:val="32"/>
        </w:rPr>
        <w:t>。</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lang w:val="en-US" w:eastAsia="zh-CN"/>
        </w:rPr>
        <w:t>3）按计划完成了时效指标</w:t>
      </w:r>
      <w:r>
        <w:rPr>
          <w:rFonts w:hint="eastAsia" w:ascii="仿宋_GB2312" w:hAnsi="微软雅黑" w:eastAsia="仿宋_GB2312"/>
          <w:color w:val="auto"/>
          <w:sz w:val="32"/>
          <w:szCs w:val="32"/>
        </w:rPr>
        <w:t>。</w:t>
      </w:r>
      <w:r>
        <w:rPr>
          <w:rFonts w:hint="eastAsia" w:ascii="仿宋_GB2312" w:hAnsi="Times New Roman" w:eastAsia="仿宋_GB2312" w:cs="Times New Roman"/>
          <w:color w:val="auto"/>
          <w:sz w:val="32"/>
          <w:szCs w:val="32"/>
        </w:rPr>
        <w:t>于2021年12月31日前完成党支部书记、党员教育、培训，开展党员志愿服务活动，党建工作宣传教育，慰问困难党员、老党员，党员活动场所完善，表彰优秀党员。</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lang w:val="en-US" w:eastAsia="zh-CN"/>
        </w:rPr>
        <w:t>4</w:t>
      </w:r>
      <w:r>
        <w:rPr>
          <w:rFonts w:hint="eastAsia" w:ascii="仿宋_GB2312" w:hAnsi="Times New Roman" w:eastAsia="仿宋_GB2312" w:cs="Times New Roman"/>
          <w:color w:val="auto"/>
          <w:sz w:val="32"/>
          <w:szCs w:val="32"/>
          <w:lang w:eastAsia="zh-CN"/>
        </w:rPr>
        <w:t>）按计划完成了</w:t>
      </w:r>
      <w:r>
        <w:rPr>
          <w:rFonts w:hint="eastAsia" w:ascii="仿宋_GB2312" w:hAnsi="微软雅黑" w:eastAsia="仿宋_GB2312"/>
          <w:color w:val="auto"/>
          <w:sz w:val="32"/>
          <w:szCs w:val="32"/>
        </w:rPr>
        <w:t>可持续影响指标。</w:t>
      </w:r>
      <w:r>
        <w:rPr>
          <w:rFonts w:hint="eastAsia" w:ascii="仿宋_GB2312" w:hAnsi="Times New Roman" w:eastAsia="仿宋_GB2312" w:cs="Times New Roman"/>
          <w:color w:val="auto"/>
          <w:sz w:val="32"/>
          <w:szCs w:val="32"/>
        </w:rPr>
        <w:t>长期提升党员、党支部服务群众综合水平，提升党支部服务党员综合水平。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u w:val="none"/>
          <w:lang w:eastAsia="zh-CN"/>
        </w:rPr>
      </w:pPr>
      <w:r>
        <w:rPr>
          <w:rFonts w:hint="eastAsia" w:ascii="仿宋" w:hAnsi="仿宋" w:eastAsia="仿宋" w:cs="仿宋"/>
          <w:b/>
          <w:bCs/>
          <w:color w:val="auto"/>
          <w:kern w:val="2"/>
          <w:sz w:val="32"/>
          <w:szCs w:val="32"/>
        </w:rPr>
        <w:t>环境质量监测：</w:t>
      </w:r>
      <w:r>
        <w:rPr>
          <w:rFonts w:hint="eastAsia" w:ascii="仿宋" w:hAnsi="仿宋" w:eastAsia="仿宋" w:cs="仿宋"/>
          <w:b w:val="0"/>
          <w:bCs w:val="0"/>
          <w:color w:val="auto"/>
          <w:kern w:val="2"/>
          <w:sz w:val="32"/>
          <w:szCs w:val="32"/>
          <w:lang w:eastAsia="zh-CN"/>
        </w:rPr>
        <w:t>（</w:t>
      </w:r>
      <w:r>
        <w:rPr>
          <w:rFonts w:hint="eastAsia" w:ascii="仿宋" w:hAnsi="仿宋" w:eastAsia="仿宋" w:cs="仿宋"/>
          <w:b w:val="0"/>
          <w:bCs w:val="0"/>
          <w:color w:val="auto"/>
          <w:kern w:val="2"/>
          <w:sz w:val="32"/>
          <w:szCs w:val="32"/>
          <w:lang w:val="en-US" w:eastAsia="zh-CN"/>
        </w:rPr>
        <w:t>1）主要包括</w:t>
      </w:r>
      <w:r>
        <w:rPr>
          <w:rFonts w:hint="eastAsia" w:ascii="仿宋" w:hAnsi="仿宋" w:eastAsia="仿宋" w:cs="仿宋"/>
          <w:color w:val="auto"/>
          <w:kern w:val="2"/>
          <w:sz w:val="32"/>
          <w:szCs w:val="32"/>
          <w:lang w:val="en-US" w:eastAsia="zh-CN"/>
        </w:rPr>
        <w:t>一是</w:t>
      </w:r>
      <w:r>
        <w:rPr>
          <w:rFonts w:hint="eastAsia" w:ascii="仿宋" w:hAnsi="仿宋" w:eastAsia="仿宋" w:cs="仿宋"/>
          <w:color w:val="auto"/>
          <w:kern w:val="2"/>
          <w:sz w:val="32"/>
          <w:szCs w:val="32"/>
        </w:rPr>
        <w:t>按要求完成了年度各项监测任务，提升了大气监测能力及空气质量预报预警能力，提升了实验室分析能力和质量管理能力</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t>二是进一步完善了我省气质量自动监测及酸雨监测的网络，保障空气质量监测网络稳定运行</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t>三是加强空气质量监测数据考核，提升了我省环境空气自动监测的数据质量，保障监测数据真准全</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t>四是进一步收集整理了应对重污染天气的经验，及时为管理部门提供了精准数据及结论便于决策支撑，提升预报准确率为管理部门加强特护期的管控提供了有效依据</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w:t>
      </w:r>
      <w:r>
        <w:rPr>
          <w:rFonts w:hint="eastAsia" w:ascii="仿宋" w:hAnsi="仿宋" w:eastAsia="仿宋" w:cs="仿宋"/>
          <w:color w:val="auto"/>
          <w:kern w:val="2"/>
          <w:sz w:val="32"/>
          <w:szCs w:val="32"/>
          <w:u w:val="none"/>
          <w:lang w:val="en-US" w:eastAsia="zh-CN"/>
        </w:rPr>
        <w:t>2）</w:t>
      </w:r>
      <w:r>
        <w:rPr>
          <w:rFonts w:hint="eastAsia" w:ascii="仿宋" w:hAnsi="仿宋" w:eastAsia="仿宋" w:cs="仿宋"/>
          <w:b w:val="0"/>
          <w:bCs w:val="0"/>
          <w:color w:val="auto"/>
          <w:kern w:val="2"/>
          <w:sz w:val="32"/>
          <w:szCs w:val="32"/>
          <w:lang w:val="en-US" w:eastAsia="zh-CN"/>
        </w:rPr>
        <w:t>主要包括</w:t>
      </w:r>
      <w:r>
        <w:rPr>
          <w:rFonts w:hint="eastAsia" w:ascii="仿宋" w:hAnsi="仿宋" w:eastAsia="仿宋" w:cs="仿宋"/>
          <w:color w:val="auto"/>
          <w:kern w:val="2"/>
          <w:sz w:val="32"/>
          <w:szCs w:val="32"/>
          <w:u w:val="none"/>
        </w:rPr>
        <w:t>一是进一步完善农用地大气沉降重金属监测网络，完成了大气沉降重金属监测自动监测项目招标及合同签订，开展了大气沉降重金属监测质控检查，为土壤重金属来源分析提供了依据；二是编制完成《2016-2020年湖南省生态环境质量报告书》，获得国家评比优秀，并组织完成市级及部分县级“十三五”生态环境质量报告书评比；</w:t>
      </w:r>
      <w:r>
        <w:rPr>
          <w:rFonts w:hint="eastAsia" w:ascii="仿宋" w:hAnsi="仿宋" w:eastAsia="仿宋" w:cs="仿宋"/>
          <w:color w:val="auto"/>
          <w:kern w:val="2"/>
          <w:sz w:val="32"/>
          <w:szCs w:val="32"/>
          <w:u w:val="none"/>
          <w:lang w:eastAsia="zh-CN"/>
        </w:rPr>
        <w:t>三是</w:t>
      </w:r>
      <w:r>
        <w:rPr>
          <w:rFonts w:hint="eastAsia" w:ascii="仿宋" w:hAnsi="仿宋" w:eastAsia="仿宋" w:cs="仿宋"/>
          <w:color w:val="auto"/>
          <w:kern w:val="2"/>
          <w:sz w:val="32"/>
          <w:szCs w:val="32"/>
          <w:u w:val="none"/>
        </w:rPr>
        <w:t>编制完成《2020年湖南省生态环境质量概要》、《2020湖南省生态环境状况公报》、《全省生态环境监测网络图册》，并首次发布公报图解，获得公众认可；四是加强与环境管理部门的有效联动，积极推进省市环境质量联合会商，深入编制环境质量分析报告10期，及时推送给各级政府及环境管理部门，不断强化会商时效性、针对性、对策性，提升环境问题源头性、靶向性治理能力；五是组织制定《湖南省及驻市州生态环境监测中心2021年工作要点》《2021年湖南省生态环境监测方案》等重要文件和重大工作部署，明确全省各级生态环境监测机构监测工作任务，落实了厅党组、中心党委的工作安排，系统谋划、科学统筹了全省生态环境监测工作</w:t>
      </w:r>
      <w:r>
        <w:rPr>
          <w:rFonts w:hint="eastAsia" w:ascii="仿宋" w:hAnsi="仿宋" w:eastAsia="仿宋" w:cs="仿宋"/>
          <w:color w:val="auto"/>
          <w:kern w:val="2"/>
          <w:sz w:val="32"/>
          <w:szCs w:val="32"/>
          <w:u w:val="none"/>
          <w:lang w:val="en-US" w:eastAsia="zh-CN"/>
        </w:rPr>
        <w:t>;（3）</w:t>
      </w:r>
      <w:r>
        <w:rPr>
          <w:rFonts w:hint="eastAsia" w:ascii="仿宋" w:hAnsi="仿宋" w:eastAsia="仿宋" w:cs="仿宋"/>
          <w:color w:val="auto"/>
          <w:kern w:val="2"/>
          <w:sz w:val="32"/>
          <w:szCs w:val="32"/>
        </w:rPr>
        <w:t>按时按质完成采测分离、土壤抽测、水质自动站比对监测、督查送样等分析任务</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t>全年共完成5055个样品分析，出具12218个数据</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u w:val="none"/>
          <w:lang w:val="en-US" w:eastAsia="zh-CN"/>
        </w:rPr>
        <w:t>（4）</w:t>
      </w:r>
      <w:r>
        <w:rPr>
          <w:rFonts w:hint="eastAsia" w:ascii="仿宋" w:hAnsi="仿宋" w:eastAsia="仿宋" w:cs="仿宋"/>
          <w:color w:val="auto"/>
          <w:kern w:val="2"/>
          <w:sz w:val="32"/>
          <w:szCs w:val="32"/>
        </w:rPr>
        <w:t>圆满完成534个省控地表水断面、饮用水、芦苇、内湖、重点断面加密、重金属监测等监测任务，开展数据分析研判，形成报告；对全省水质自动站开展日常运行管理、数据审核、报送等工作；组织全省开展单要素质量控制工作，确保数据真实、准确；有效支撑、引领、服务生态环境保护工作</w:t>
      </w:r>
      <w:r>
        <w:rPr>
          <w:rFonts w:hint="eastAsia" w:ascii="仿宋" w:hAnsi="仿宋" w:eastAsia="仿宋" w:cs="仿宋"/>
          <w:color w:val="auto"/>
          <w:kern w:val="2"/>
          <w:sz w:val="32"/>
          <w:szCs w:val="32"/>
          <w:u w:val="none"/>
          <w:lang w:eastAsia="zh-CN"/>
        </w:rPr>
        <w:t>。</w:t>
      </w:r>
    </w:p>
    <w:p>
      <w:pPr>
        <w:pStyle w:val="2"/>
        <w:keepNext w:val="0"/>
        <w:keepLines w:val="0"/>
        <w:pageBreakBefore w:val="0"/>
        <w:kinsoku/>
        <w:wordWrap/>
        <w:overflowPunct/>
        <w:topLinePunct w:val="0"/>
        <w:autoSpaceDE/>
        <w:autoSpaceDN/>
        <w:bidi w:val="0"/>
        <w:adjustRightInd/>
        <w:snapToGrid/>
        <w:spacing w:after="0" w:line="560" w:lineRule="exact"/>
        <w:ind w:left="0" w:leftChars="0" w:firstLine="643"/>
        <w:textAlignment w:val="auto"/>
        <w:rPr>
          <w:rFonts w:hint="eastAsia" w:ascii="仿宋" w:hAnsi="仿宋" w:eastAsia="仿宋" w:cs="仿宋"/>
          <w:color w:val="auto"/>
          <w:kern w:val="2"/>
          <w:sz w:val="32"/>
          <w:szCs w:val="32"/>
        </w:rPr>
      </w:pPr>
      <w:r>
        <w:rPr>
          <w:rFonts w:hint="eastAsia" w:ascii="仿宋" w:hAnsi="仿宋" w:eastAsia="仿宋" w:cs="仿宋"/>
          <w:b/>
          <w:bCs/>
          <w:color w:val="auto"/>
          <w:kern w:val="2"/>
          <w:sz w:val="32"/>
          <w:szCs w:val="32"/>
        </w:rPr>
        <w:t>日元贷款</w:t>
      </w:r>
      <w:r>
        <w:rPr>
          <w:rFonts w:hint="eastAsia" w:ascii="仿宋" w:hAnsi="仿宋" w:eastAsia="仿宋" w:cs="仿宋"/>
          <w:b/>
          <w:bCs/>
          <w:color w:val="auto"/>
          <w:kern w:val="2"/>
          <w:sz w:val="32"/>
          <w:szCs w:val="32"/>
          <w:lang w:eastAsia="zh-CN"/>
        </w:rPr>
        <w:t>项目</w:t>
      </w:r>
      <w:r>
        <w:rPr>
          <w:rFonts w:hint="eastAsia" w:ascii="仿宋" w:hAnsi="仿宋" w:eastAsia="仿宋" w:cs="仿宋"/>
          <w:b/>
          <w:bCs/>
          <w:color w:val="auto"/>
          <w:kern w:val="2"/>
          <w:sz w:val="32"/>
          <w:szCs w:val="32"/>
        </w:rPr>
        <w:t>：</w:t>
      </w:r>
      <w:r>
        <w:rPr>
          <w:rFonts w:hint="eastAsia" w:ascii="仿宋" w:hAnsi="仿宋" w:eastAsia="仿宋" w:cs="仿宋"/>
          <w:color w:val="auto"/>
          <w:kern w:val="2"/>
          <w:sz w:val="32"/>
          <w:szCs w:val="32"/>
          <w:lang w:eastAsia="zh-CN"/>
        </w:rPr>
        <w:t>根据省厅下达的日元贷款（监测仪器采购项目）还款通知单，</w:t>
      </w:r>
      <w:r>
        <w:rPr>
          <w:rFonts w:hint="eastAsia" w:ascii="仿宋" w:hAnsi="仿宋" w:eastAsia="仿宋" w:cs="仿宋"/>
          <w:color w:val="auto"/>
          <w:kern w:val="2"/>
          <w:sz w:val="32"/>
          <w:szCs w:val="32"/>
          <w:lang w:val="en-US" w:eastAsia="zh-CN"/>
        </w:rPr>
        <w:t>2021年</w:t>
      </w:r>
      <w:r>
        <w:rPr>
          <w:rFonts w:hint="eastAsia" w:ascii="仿宋" w:hAnsi="仿宋" w:eastAsia="仿宋" w:cs="仿宋"/>
          <w:color w:val="auto"/>
          <w:kern w:val="2"/>
          <w:sz w:val="32"/>
          <w:szCs w:val="32"/>
          <w:lang w:eastAsia="zh-CN"/>
        </w:rPr>
        <w:t>支付</w:t>
      </w:r>
      <w:r>
        <w:rPr>
          <w:rFonts w:hint="eastAsia" w:ascii="仿宋" w:hAnsi="仿宋" w:eastAsia="仿宋" w:cs="仿宋"/>
          <w:color w:val="auto"/>
          <w:kern w:val="2"/>
          <w:sz w:val="32"/>
          <w:szCs w:val="32"/>
          <w:lang w:val="en-US" w:eastAsia="zh-CN"/>
        </w:rPr>
        <w:t>应还款金额28万元，</w:t>
      </w:r>
      <w:r>
        <w:rPr>
          <w:rFonts w:hint="eastAsia" w:ascii="仿宋" w:hAnsi="仿宋" w:eastAsia="仿宋" w:cs="仿宋"/>
          <w:color w:val="auto"/>
          <w:kern w:val="2"/>
          <w:sz w:val="32"/>
          <w:szCs w:val="32"/>
        </w:rPr>
        <w:t>未产生滞纳金等情况。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rPr>
      </w:pPr>
      <w:r>
        <w:rPr>
          <w:rFonts w:hint="eastAsia" w:ascii="仿宋" w:hAnsi="仿宋" w:eastAsia="仿宋" w:cs="仿宋"/>
          <w:b/>
          <w:bCs/>
          <w:color w:val="auto"/>
          <w:kern w:val="2"/>
          <w:sz w:val="32"/>
          <w:szCs w:val="32"/>
        </w:rPr>
        <w:t>省监测</w:t>
      </w:r>
      <w:r>
        <w:rPr>
          <w:rFonts w:hint="eastAsia" w:ascii="仿宋" w:hAnsi="仿宋" w:eastAsia="仿宋" w:cs="仿宋"/>
          <w:b/>
          <w:bCs/>
          <w:color w:val="auto"/>
          <w:kern w:val="2"/>
          <w:sz w:val="32"/>
          <w:szCs w:val="32"/>
          <w:lang w:eastAsia="zh-CN"/>
        </w:rPr>
        <w:t>中心</w:t>
      </w:r>
      <w:r>
        <w:rPr>
          <w:rFonts w:hint="eastAsia" w:ascii="仿宋" w:hAnsi="仿宋" w:eastAsia="仿宋" w:cs="仿宋"/>
          <w:b/>
          <w:bCs/>
          <w:color w:val="auto"/>
          <w:kern w:val="2"/>
          <w:sz w:val="32"/>
          <w:szCs w:val="32"/>
        </w:rPr>
        <w:t>仪器维护运行与更新：</w:t>
      </w:r>
      <w:r>
        <w:rPr>
          <w:rFonts w:hint="eastAsia" w:ascii="仿宋" w:hAnsi="仿宋" w:eastAsia="仿宋" w:cs="仿宋"/>
          <w:color w:val="auto"/>
          <w:kern w:val="2"/>
          <w:sz w:val="32"/>
          <w:szCs w:val="32"/>
          <w:lang w:val="en-US" w:eastAsia="zh-CN"/>
        </w:rPr>
        <w:t>省监测中心</w:t>
      </w:r>
      <w:r>
        <w:rPr>
          <w:rFonts w:hint="eastAsia" w:ascii="仿宋" w:hAnsi="仿宋" w:eastAsia="仿宋" w:cs="仿宋"/>
          <w:color w:val="auto"/>
          <w:kern w:val="2"/>
          <w:sz w:val="32"/>
          <w:szCs w:val="32"/>
        </w:rPr>
        <w:t>仪器维护运行与更新项目是为了进一步推进环境监测相关工作的开展，更好地为环境管理提供服务和支持，每年对实验室仪器和现场监测仪器进行维护与更新。20</w:t>
      </w:r>
      <w:r>
        <w:rPr>
          <w:rFonts w:hint="eastAsia" w:ascii="仿宋" w:hAnsi="仿宋" w:eastAsia="仿宋" w:cs="仿宋"/>
          <w:color w:val="auto"/>
          <w:kern w:val="2"/>
          <w:sz w:val="32"/>
          <w:szCs w:val="32"/>
          <w:lang w:val="en-US" w:eastAsia="zh-CN"/>
        </w:rPr>
        <w:t>21</w:t>
      </w:r>
      <w:r>
        <w:rPr>
          <w:rFonts w:hint="eastAsia" w:ascii="仿宋" w:hAnsi="仿宋" w:eastAsia="仿宋" w:cs="仿宋"/>
          <w:color w:val="auto"/>
          <w:kern w:val="2"/>
          <w:sz w:val="32"/>
          <w:szCs w:val="32"/>
        </w:rPr>
        <w:t>年度下达资金</w:t>
      </w:r>
      <w:r>
        <w:rPr>
          <w:rFonts w:hint="eastAsia" w:ascii="仿宋" w:hAnsi="仿宋" w:eastAsia="仿宋" w:cs="仿宋"/>
          <w:color w:val="auto"/>
          <w:kern w:val="2"/>
          <w:sz w:val="32"/>
          <w:szCs w:val="32"/>
          <w:lang w:val="en-US" w:eastAsia="zh-CN"/>
        </w:rPr>
        <w:t>140万</w:t>
      </w:r>
      <w:r>
        <w:rPr>
          <w:rFonts w:hint="eastAsia" w:ascii="仿宋" w:hAnsi="仿宋" w:eastAsia="仿宋" w:cs="仿宋"/>
          <w:color w:val="auto"/>
          <w:kern w:val="2"/>
          <w:sz w:val="32"/>
          <w:szCs w:val="32"/>
        </w:rPr>
        <w:t>元，实际支出</w:t>
      </w:r>
      <w:r>
        <w:rPr>
          <w:rFonts w:hint="eastAsia" w:ascii="仿宋" w:hAnsi="仿宋" w:eastAsia="仿宋" w:cs="仿宋"/>
          <w:color w:val="auto"/>
          <w:kern w:val="2"/>
          <w:sz w:val="32"/>
          <w:szCs w:val="32"/>
          <w:lang w:val="en-US" w:eastAsia="zh-CN"/>
        </w:rPr>
        <w:t>137.97</w:t>
      </w:r>
      <w:r>
        <w:rPr>
          <w:rFonts w:hint="eastAsia" w:ascii="仿宋" w:hAnsi="仿宋" w:eastAsia="仿宋" w:cs="仿宋"/>
          <w:color w:val="auto"/>
          <w:kern w:val="2"/>
          <w:sz w:val="32"/>
          <w:szCs w:val="32"/>
        </w:rPr>
        <w:t>万元</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主要用于采购</w:t>
      </w:r>
      <w:r>
        <w:rPr>
          <w:rFonts w:hint="eastAsia" w:ascii="仿宋" w:hAnsi="仿宋" w:eastAsia="仿宋" w:cs="仿宋"/>
          <w:color w:val="auto"/>
          <w:kern w:val="2"/>
          <w:sz w:val="32"/>
          <w:szCs w:val="32"/>
        </w:rPr>
        <w:t>环境监测仪器设备、电脑设备</w:t>
      </w:r>
      <w:r>
        <w:rPr>
          <w:rFonts w:hint="eastAsia" w:ascii="仿宋" w:hAnsi="仿宋" w:eastAsia="仿宋" w:cs="仿宋"/>
          <w:color w:val="auto"/>
          <w:kern w:val="2"/>
          <w:sz w:val="32"/>
          <w:szCs w:val="32"/>
          <w:lang w:eastAsia="zh-CN"/>
        </w:rPr>
        <w:t>和</w:t>
      </w:r>
      <w:r>
        <w:rPr>
          <w:rFonts w:hint="eastAsia" w:ascii="仿宋" w:hAnsi="仿宋" w:eastAsia="仿宋" w:cs="仿宋"/>
          <w:color w:val="auto"/>
          <w:kern w:val="2"/>
          <w:sz w:val="32"/>
          <w:szCs w:val="32"/>
          <w:lang w:val="en-US" w:eastAsia="zh-CN"/>
        </w:rPr>
        <w:t>法律咨询服务，</w:t>
      </w:r>
      <w:r>
        <w:rPr>
          <w:rFonts w:hint="eastAsia" w:ascii="仿宋" w:hAnsi="仿宋" w:eastAsia="仿宋" w:cs="仿宋"/>
          <w:color w:val="auto"/>
          <w:kern w:val="2"/>
          <w:sz w:val="32"/>
          <w:szCs w:val="32"/>
        </w:rPr>
        <w:t>以及部分仪器</w:t>
      </w:r>
      <w:r>
        <w:rPr>
          <w:rFonts w:hint="eastAsia" w:ascii="仿宋" w:hAnsi="仿宋" w:eastAsia="仿宋" w:cs="仿宋"/>
          <w:color w:val="auto"/>
          <w:kern w:val="2"/>
          <w:sz w:val="32"/>
          <w:szCs w:val="32"/>
          <w:lang w:eastAsia="zh-CN"/>
        </w:rPr>
        <w:t>的</w:t>
      </w:r>
      <w:r>
        <w:rPr>
          <w:rFonts w:hint="eastAsia" w:ascii="仿宋" w:hAnsi="仿宋" w:eastAsia="仿宋" w:cs="仿宋"/>
          <w:color w:val="auto"/>
          <w:kern w:val="2"/>
          <w:sz w:val="32"/>
          <w:szCs w:val="32"/>
        </w:rPr>
        <w:t>维修维护和检定</w:t>
      </w:r>
      <w:r>
        <w:rPr>
          <w:rFonts w:hint="eastAsia" w:ascii="仿宋" w:hAnsi="仿宋" w:eastAsia="仿宋" w:cs="仿宋"/>
          <w:color w:val="auto"/>
          <w:kern w:val="2"/>
          <w:sz w:val="32"/>
          <w:szCs w:val="32"/>
          <w:lang w:val="en-US" w:eastAsia="zh-CN"/>
        </w:rPr>
        <w:t>等</w:t>
      </w:r>
      <w:r>
        <w:rPr>
          <w:rFonts w:hint="eastAsia" w:ascii="仿宋" w:hAnsi="仿宋" w:eastAsia="仿宋" w:cs="仿宋"/>
          <w:color w:val="auto"/>
          <w:kern w:val="2"/>
          <w:sz w:val="32"/>
          <w:szCs w:val="32"/>
        </w:rPr>
        <w:t>。完成了</w:t>
      </w:r>
      <w:r>
        <w:rPr>
          <w:rFonts w:hint="eastAsia" w:ascii="仿宋" w:hAnsi="仿宋" w:eastAsia="仿宋" w:cs="仿宋"/>
          <w:color w:val="auto"/>
          <w:kern w:val="2"/>
          <w:sz w:val="32"/>
          <w:szCs w:val="32"/>
          <w:lang w:val="en-US" w:eastAsia="zh-CN"/>
        </w:rPr>
        <w:t>办公电脑的更新、</w:t>
      </w:r>
      <w:r>
        <w:rPr>
          <w:rFonts w:hint="eastAsia" w:ascii="仿宋" w:hAnsi="仿宋" w:eastAsia="仿宋" w:cs="仿宋"/>
          <w:color w:val="auto"/>
          <w:kern w:val="2"/>
          <w:sz w:val="32"/>
          <w:szCs w:val="32"/>
        </w:rPr>
        <w:t>部分监测</w:t>
      </w:r>
      <w:r>
        <w:rPr>
          <w:rFonts w:hint="eastAsia" w:ascii="仿宋" w:hAnsi="仿宋" w:eastAsia="仿宋" w:cs="仿宋"/>
          <w:color w:val="auto"/>
          <w:kern w:val="2"/>
          <w:sz w:val="32"/>
          <w:szCs w:val="32"/>
          <w:lang w:eastAsia="zh-CN"/>
        </w:rPr>
        <w:t>和</w:t>
      </w:r>
      <w:r>
        <w:rPr>
          <w:rFonts w:hint="eastAsia" w:ascii="仿宋" w:hAnsi="仿宋" w:eastAsia="仿宋" w:cs="仿宋"/>
          <w:color w:val="auto"/>
          <w:kern w:val="2"/>
          <w:sz w:val="32"/>
          <w:szCs w:val="32"/>
        </w:rPr>
        <w:t>分析设备</w:t>
      </w:r>
      <w:r>
        <w:rPr>
          <w:rFonts w:hint="eastAsia" w:ascii="仿宋" w:hAnsi="仿宋" w:eastAsia="仿宋" w:cs="仿宋"/>
          <w:color w:val="auto"/>
          <w:kern w:val="2"/>
          <w:sz w:val="32"/>
          <w:szCs w:val="32"/>
          <w:lang w:val="en-US" w:eastAsia="zh-CN"/>
        </w:rPr>
        <w:t>的</w:t>
      </w:r>
      <w:r>
        <w:rPr>
          <w:rFonts w:hint="eastAsia" w:ascii="仿宋" w:hAnsi="仿宋" w:eastAsia="仿宋" w:cs="仿宋"/>
          <w:color w:val="auto"/>
          <w:kern w:val="2"/>
          <w:sz w:val="32"/>
          <w:szCs w:val="32"/>
        </w:rPr>
        <w:t>维修维护</w:t>
      </w:r>
      <w:r>
        <w:rPr>
          <w:rFonts w:hint="eastAsia" w:ascii="仿宋" w:hAnsi="仿宋" w:eastAsia="仿宋" w:cs="仿宋"/>
          <w:color w:val="auto"/>
          <w:kern w:val="2"/>
          <w:sz w:val="32"/>
          <w:szCs w:val="32"/>
          <w:lang w:val="en-US" w:eastAsia="zh-CN"/>
        </w:rPr>
        <w:t>以及</w:t>
      </w:r>
      <w:r>
        <w:rPr>
          <w:rFonts w:hint="eastAsia" w:ascii="仿宋" w:hAnsi="仿宋" w:eastAsia="仿宋" w:cs="仿宋"/>
          <w:color w:val="auto"/>
          <w:kern w:val="2"/>
          <w:sz w:val="32"/>
          <w:szCs w:val="32"/>
        </w:rPr>
        <w:t>更新换代，</w:t>
      </w:r>
      <w:r>
        <w:rPr>
          <w:rFonts w:hint="eastAsia" w:ascii="仿宋" w:hAnsi="仿宋" w:eastAsia="仿宋" w:cs="仿宋"/>
          <w:color w:val="auto"/>
          <w:kern w:val="2"/>
          <w:sz w:val="32"/>
          <w:szCs w:val="32"/>
          <w:lang w:eastAsia="zh-CN"/>
        </w:rPr>
        <w:t>此外，还完成了</w:t>
      </w:r>
      <w:r>
        <w:rPr>
          <w:rFonts w:hint="eastAsia" w:ascii="仿宋" w:hAnsi="仿宋" w:eastAsia="仿宋" w:cs="仿宋"/>
          <w:color w:val="auto"/>
          <w:kern w:val="2"/>
          <w:sz w:val="32"/>
          <w:szCs w:val="32"/>
        </w:rPr>
        <w:t>各类监测、分析等设备的计量认证</w:t>
      </w:r>
      <w:r>
        <w:rPr>
          <w:rFonts w:hint="eastAsia" w:ascii="仿宋" w:hAnsi="仿宋" w:eastAsia="仿宋" w:cs="仿宋"/>
          <w:color w:val="auto"/>
          <w:kern w:val="2"/>
          <w:sz w:val="32"/>
          <w:szCs w:val="32"/>
          <w:lang w:val="en-US" w:eastAsia="zh-CN"/>
        </w:rPr>
        <w:t>等</w:t>
      </w:r>
      <w:r>
        <w:rPr>
          <w:rFonts w:hint="eastAsia" w:ascii="仿宋" w:hAnsi="仿宋" w:eastAsia="仿宋" w:cs="仿宋"/>
          <w:color w:val="auto"/>
          <w:kern w:val="2"/>
          <w:sz w:val="32"/>
          <w:szCs w:val="32"/>
        </w:rPr>
        <w:t>工作</w:t>
      </w:r>
      <w:r>
        <w:rPr>
          <w:rFonts w:hint="eastAsia" w:ascii="仿宋" w:hAnsi="仿宋" w:eastAsia="仿宋" w:cs="仿宋"/>
          <w:color w:val="auto"/>
          <w:kern w:val="2"/>
          <w:sz w:val="32"/>
          <w:szCs w:val="32"/>
          <w:lang w:val="en-US" w:eastAsia="zh-CN"/>
        </w:rPr>
        <w:t>，为环境监测工作的开展</w:t>
      </w:r>
      <w:r>
        <w:rPr>
          <w:rFonts w:hint="eastAsia" w:ascii="仿宋" w:hAnsi="仿宋" w:eastAsia="仿宋" w:cs="仿宋"/>
          <w:color w:val="auto"/>
          <w:kern w:val="2"/>
          <w:sz w:val="32"/>
          <w:szCs w:val="32"/>
        </w:rPr>
        <w:t>提供科学决策支撑</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环境监测</w:t>
      </w:r>
      <w:r>
        <w:rPr>
          <w:rFonts w:hint="eastAsia" w:ascii="仿宋" w:hAnsi="仿宋" w:eastAsia="仿宋" w:cs="仿宋"/>
          <w:color w:val="auto"/>
          <w:kern w:val="2"/>
          <w:sz w:val="32"/>
          <w:szCs w:val="32"/>
        </w:rPr>
        <w:t>水平</w:t>
      </w:r>
      <w:r>
        <w:rPr>
          <w:rFonts w:hint="eastAsia" w:ascii="仿宋" w:hAnsi="仿宋" w:eastAsia="仿宋" w:cs="仿宋"/>
          <w:color w:val="auto"/>
          <w:kern w:val="2"/>
          <w:sz w:val="32"/>
          <w:szCs w:val="32"/>
          <w:lang w:val="en-US" w:eastAsia="zh-CN"/>
        </w:rPr>
        <w:t>得到</w:t>
      </w:r>
      <w:r>
        <w:rPr>
          <w:rFonts w:hint="eastAsia" w:ascii="仿宋" w:hAnsi="仿宋" w:eastAsia="仿宋" w:cs="仿宋"/>
          <w:color w:val="auto"/>
          <w:kern w:val="2"/>
          <w:sz w:val="32"/>
          <w:szCs w:val="32"/>
        </w:rPr>
        <w:t>进一步提升。</w:t>
      </w:r>
    </w:p>
    <w:p>
      <w:pPr>
        <w:pStyle w:val="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color w:val="auto"/>
          <w:kern w:val="2"/>
          <w:sz w:val="32"/>
          <w:szCs w:val="32"/>
          <w:lang w:val="en-US" w:eastAsia="zh-CN"/>
        </w:rPr>
      </w:pPr>
      <w:r>
        <w:rPr>
          <w:rFonts w:hint="eastAsia" w:ascii="仿宋" w:hAnsi="仿宋" w:eastAsia="仿宋" w:cs="仿宋"/>
          <w:b/>
          <w:bCs/>
          <w:color w:val="auto"/>
          <w:kern w:val="2"/>
          <w:sz w:val="32"/>
          <w:szCs w:val="32"/>
          <w:lang w:eastAsia="zh-CN"/>
        </w:rPr>
        <w:t>省监测中心行政系统建设：</w:t>
      </w:r>
      <w:r>
        <w:rPr>
          <w:rFonts w:hint="eastAsia" w:ascii="仿宋" w:hAnsi="仿宋" w:eastAsia="仿宋" w:cs="仿宋"/>
          <w:b w:val="0"/>
          <w:bCs w:val="0"/>
          <w:color w:val="auto"/>
          <w:kern w:val="2"/>
          <w:sz w:val="32"/>
          <w:szCs w:val="32"/>
          <w:lang w:eastAsia="zh-CN"/>
        </w:rPr>
        <w:t>（</w:t>
      </w:r>
      <w:r>
        <w:rPr>
          <w:rFonts w:hint="eastAsia" w:ascii="仿宋" w:hAnsi="仿宋" w:eastAsia="仿宋" w:cs="仿宋"/>
          <w:b w:val="0"/>
          <w:bCs w:val="0"/>
          <w:color w:val="auto"/>
          <w:kern w:val="2"/>
          <w:sz w:val="32"/>
          <w:szCs w:val="32"/>
          <w:lang w:val="en-US" w:eastAsia="zh-CN"/>
        </w:rPr>
        <w:t>1）完善办公信息平台系统的建设，且</w:t>
      </w:r>
      <w:r>
        <w:rPr>
          <w:rFonts w:hint="eastAsia" w:ascii="仿宋" w:hAnsi="仿宋" w:eastAsia="仿宋" w:cs="仿宋"/>
          <w:color w:val="auto"/>
          <w:kern w:val="2"/>
          <w:sz w:val="32"/>
          <w:szCs w:val="32"/>
          <w:lang w:val="en-US" w:eastAsia="zh-CN"/>
        </w:rPr>
        <w:t>基本功能完善，UKEY及VPN采购授权配备数量145个、平板、移动套餐及电子签章配套系统22套，相关设备配备齐全。通过上线该系统，实现了工作的流程化，简化了多岗位、多部门之间的协作问题，提高工作效率。并通过</w:t>
      </w:r>
      <w:r>
        <w:rPr>
          <w:rFonts w:hint="eastAsia" w:ascii="仿宋" w:hAnsi="仿宋" w:eastAsia="仿宋" w:cs="仿宋"/>
          <w:b w:val="0"/>
          <w:bCs w:val="0"/>
          <w:color w:val="auto"/>
          <w:kern w:val="2"/>
          <w:sz w:val="32"/>
          <w:szCs w:val="32"/>
          <w:lang w:val="en-US" w:eastAsia="zh-CN"/>
        </w:rPr>
        <w:t>开展无纸化办公，减少了纸质资</w:t>
      </w:r>
      <w:r>
        <w:rPr>
          <w:rFonts w:hint="eastAsia" w:ascii="仿宋" w:hAnsi="仿宋" w:eastAsia="仿宋" w:cs="仿宋"/>
          <w:color w:val="auto"/>
          <w:kern w:val="2"/>
          <w:sz w:val="32"/>
          <w:szCs w:val="32"/>
          <w:lang w:val="en-US" w:eastAsia="zh-CN"/>
        </w:rPr>
        <w:t>料印发(复印）和使用传真的频率，贯彻了厉行节约的要求，降低行政运行成本。（2）按照《关于报送新任中管干部数字档案的通知》（组通字〔2010〕61号）和《关于报送新任省管干部数字档案的通知》（湘组〔2011〕32号）要求，对现职干部人事档案进行整理编码、目录录入、档案扫描、图像处理、高清制作、数据审核、数据备份、装订裱糊、档案查缺。进一步提升干部人事档案服务功能，提高工作质量和效率。</w:t>
      </w:r>
    </w:p>
    <w:p>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 w:hAnsi="仿宋" w:eastAsia="仿宋" w:cs="仿宋"/>
          <w:b/>
          <w:bCs/>
          <w:color w:val="auto"/>
          <w:kern w:val="2"/>
          <w:sz w:val="32"/>
          <w:szCs w:val="32"/>
        </w:rPr>
      </w:pPr>
      <w:r>
        <w:rPr>
          <w:rFonts w:hint="eastAsia" w:ascii="仿宋" w:hAnsi="仿宋" w:eastAsia="仿宋" w:cs="仿宋"/>
          <w:b/>
          <w:bCs/>
          <w:color w:val="auto"/>
          <w:kern w:val="2"/>
          <w:sz w:val="32"/>
          <w:szCs w:val="32"/>
        </w:rPr>
        <w:t>五、存在的主要问题及下一步改进措施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color w:val="auto"/>
          <w:kern w:val="2"/>
          <w:sz w:val="32"/>
          <w:szCs w:val="32"/>
          <w:lang w:eastAsia="zh-CN"/>
        </w:rPr>
      </w:pPr>
      <w:r>
        <w:rPr>
          <w:rFonts w:hint="eastAsia" w:ascii="仿宋" w:hAnsi="仿宋" w:eastAsia="仿宋" w:cs="仿宋"/>
          <w:color w:val="auto"/>
          <w:kern w:val="2"/>
          <w:sz w:val="32"/>
          <w:szCs w:val="32"/>
        </w:rPr>
        <w:t>202</w:t>
      </w:r>
      <w:r>
        <w:rPr>
          <w:rFonts w:hint="eastAsia" w:ascii="仿宋" w:hAnsi="仿宋" w:eastAsia="仿宋" w:cs="仿宋"/>
          <w:color w:val="auto"/>
          <w:kern w:val="2"/>
          <w:sz w:val="32"/>
          <w:szCs w:val="32"/>
          <w:lang w:val="en-US" w:eastAsia="zh-CN"/>
        </w:rPr>
        <w:t>1</w:t>
      </w:r>
      <w:r>
        <w:rPr>
          <w:rFonts w:hint="eastAsia" w:ascii="仿宋" w:hAnsi="仿宋" w:eastAsia="仿宋" w:cs="仿宋"/>
          <w:color w:val="auto"/>
          <w:kern w:val="2"/>
          <w:sz w:val="32"/>
          <w:szCs w:val="32"/>
        </w:rPr>
        <w:t>年部门预算资金整体执行情况比较理想，基本完成了各项年初设定的绩效目标，但也存在一些问</w:t>
      </w:r>
      <w:r>
        <w:rPr>
          <w:rFonts w:hint="eastAsia" w:ascii="仿宋" w:hAnsi="仿宋" w:eastAsia="仿宋" w:cs="仿宋"/>
          <w:b w:val="0"/>
          <w:bCs w:val="0"/>
          <w:color w:val="auto"/>
          <w:kern w:val="2"/>
          <w:sz w:val="32"/>
          <w:szCs w:val="32"/>
        </w:rPr>
        <w:t>题</w:t>
      </w:r>
      <w:r>
        <w:rPr>
          <w:rFonts w:hint="eastAsia" w:ascii="仿宋" w:hAnsi="仿宋" w:eastAsia="仿宋" w:cs="仿宋"/>
          <w:b w:val="0"/>
          <w:bCs w:val="0"/>
          <w:color w:val="auto"/>
          <w:kern w:val="2"/>
          <w:sz w:val="32"/>
          <w:szCs w:val="32"/>
          <w:lang w:eastAsia="zh-CN"/>
        </w:rPr>
        <w:t>，比如如</w:t>
      </w:r>
      <w:r>
        <w:rPr>
          <w:rFonts w:hint="eastAsia" w:ascii="仿宋" w:hAnsi="仿宋" w:eastAsia="仿宋" w:cs="仿宋"/>
          <w:b w:val="0"/>
          <w:bCs w:val="0"/>
          <w:color w:val="auto"/>
          <w:kern w:val="2"/>
          <w:sz w:val="32"/>
          <w:szCs w:val="32"/>
        </w:rPr>
        <w:t>绩效自评工作不够深入</w:t>
      </w:r>
      <w:r>
        <w:rPr>
          <w:rFonts w:hint="eastAsia" w:ascii="仿宋" w:hAnsi="仿宋" w:eastAsia="仿宋" w:cs="仿宋"/>
          <w:b w:val="0"/>
          <w:bCs w:val="0"/>
          <w:color w:val="auto"/>
          <w:kern w:val="2"/>
          <w:sz w:val="32"/>
          <w:szCs w:val="32"/>
          <w:lang w:eastAsia="zh-CN"/>
        </w:rPr>
        <w:t>的问题，</w:t>
      </w:r>
      <w:r>
        <w:rPr>
          <w:rFonts w:hint="eastAsia" w:ascii="仿宋" w:hAnsi="仿宋" w:eastAsia="仿宋" w:cs="仿宋"/>
          <w:b w:val="0"/>
          <w:bCs w:val="0"/>
          <w:color w:val="auto"/>
          <w:kern w:val="2"/>
          <w:sz w:val="32"/>
          <w:szCs w:val="32"/>
        </w:rPr>
        <w:t>从各部室提交的自评材料来看，绩效目标设定和评价的工作没有完全贯穿项目实施的全过程</w:t>
      </w:r>
      <w:r>
        <w:rPr>
          <w:rFonts w:hint="eastAsia" w:ascii="仿宋" w:hAnsi="仿宋" w:eastAsia="仿宋" w:cs="仿宋"/>
          <w:color w:val="auto"/>
          <w:kern w:val="2"/>
          <w:sz w:val="32"/>
          <w:szCs w:val="32"/>
        </w:rPr>
        <w:t>，部分提交的自评材料质量不高，</w:t>
      </w:r>
      <w:r>
        <w:rPr>
          <w:rFonts w:hint="eastAsia" w:ascii="仿宋" w:hAnsi="仿宋" w:eastAsia="仿宋" w:cs="仿宋"/>
          <w:b w:val="0"/>
          <w:bCs w:val="0"/>
          <w:color w:val="auto"/>
          <w:kern w:val="2"/>
          <w:sz w:val="32"/>
          <w:szCs w:val="32"/>
          <w:lang w:eastAsia="zh-CN"/>
        </w:rPr>
        <w:t>且</w:t>
      </w:r>
      <w:r>
        <w:rPr>
          <w:rFonts w:hint="eastAsia" w:ascii="仿宋" w:hAnsi="仿宋" w:eastAsia="仿宋" w:cs="仿宋"/>
          <w:b w:val="0"/>
          <w:bCs w:val="0"/>
          <w:color w:val="auto"/>
          <w:kern w:val="2"/>
          <w:sz w:val="32"/>
          <w:szCs w:val="32"/>
          <w:lang w:val="en-US" w:eastAsia="zh-CN"/>
        </w:rPr>
        <w:t>未安排专人进行资金预算绩效管理，</w:t>
      </w:r>
      <w:r>
        <w:rPr>
          <w:rFonts w:hint="eastAsia" w:ascii="仿宋" w:hAnsi="仿宋" w:eastAsia="仿宋" w:cs="仿宋"/>
          <w:b w:val="0"/>
          <w:bCs w:val="0"/>
          <w:color w:val="auto"/>
          <w:kern w:val="2"/>
          <w:sz w:val="32"/>
          <w:szCs w:val="32"/>
          <w:lang w:eastAsia="zh-CN"/>
        </w:rPr>
        <w:t>反映了绩效自评工作还不够深入。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rPr>
      </w:pPr>
      <w:r>
        <w:rPr>
          <w:rFonts w:hint="eastAsia" w:ascii="仿宋" w:hAnsi="仿宋" w:eastAsia="仿宋" w:cs="仿宋"/>
          <w:b w:val="0"/>
          <w:bCs w:val="0"/>
          <w:color w:val="auto"/>
          <w:kern w:val="2"/>
          <w:sz w:val="32"/>
          <w:szCs w:val="32"/>
          <w:lang w:eastAsia="zh-CN"/>
        </w:rPr>
        <w:t>下一步，省中心将继续严格预算管理，完善“预</w:t>
      </w:r>
      <w:r>
        <w:rPr>
          <w:rFonts w:hint="eastAsia" w:ascii="仿宋" w:hAnsi="仿宋" w:eastAsia="仿宋" w:cs="仿宋"/>
          <w:color w:val="auto"/>
          <w:kern w:val="2"/>
          <w:sz w:val="32"/>
          <w:szCs w:val="32"/>
        </w:rPr>
        <w:t>算编制有目标、预算执行有监控、预算完成有评价、评价结果有反馈、反馈结果有应用”的全过程预算绩效管理机制，在申报预算时必须同时填报绩效目标，预算资金到位后，通过及时分解下达资金、开展预算执行分析和调度，推进预算执行进度；年末对绩效目标实现程度和预算执行进度实行“双评价”，将预算执行率纳入对省中心各部室和驻市州中心的年度考核范围。同时，督促驻市州中心加强预算执行，定期检查预算资金使用情况，将预算申报、资金使用、预算调整和绩效评价的管理制度化，完善预算管理的内部控制制度。</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32"/>
          <w:szCs w:val="32"/>
          <w:lang w:eastAsia="zh-CN"/>
        </w:rPr>
      </w:pPr>
    </w:p>
    <w:p>
      <w:pPr>
        <w:ind w:firstLine="640" w:firstLineChars="200"/>
        <w:jc w:val="left"/>
        <w:rPr>
          <w:rFonts w:cs="黑体" w:asciiTheme="minorEastAsia" w:hAnsiTheme="minorEastAsia"/>
          <w:color w:val="auto"/>
          <w:kern w:val="0"/>
          <w:sz w:val="32"/>
          <w:szCs w:val="32"/>
        </w:rPr>
      </w:pP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A7DEF"/>
    <w:multiLevelType w:val="singleLevel"/>
    <w:tmpl w:val="956A7DEF"/>
    <w:lvl w:ilvl="0" w:tentative="0">
      <w:start w:val="4"/>
      <w:numFmt w:val="chineseCounting"/>
      <w:suff w:val="nothing"/>
      <w:lvlText w:val="%1、"/>
      <w:lvlJc w:val="left"/>
      <w:rPr>
        <w:rFonts w:hint="eastAsia"/>
      </w:rPr>
    </w:lvl>
  </w:abstractNum>
  <w:abstractNum w:abstractNumId="1">
    <w:nsid w:val="CE9B74D0"/>
    <w:multiLevelType w:val="singleLevel"/>
    <w:tmpl w:val="CE9B74D0"/>
    <w:lvl w:ilvl="0" w:tentative="0">
      <w:start w:val="1"/>
      <w:numFmt w:val="decimal"/>
      <w:suff w:val="nothing"/>
      <w:lvlText w:val="%1、"/>
      <w:lvlJc w:val="left"/>
    </w:lvl>
  </w:abstractNum>
  <w:abstractNum w:abstractNumId="2">
    <w:nsid w:val="052E8ADC"/>
    <w:multiLevelType w:val="singleLevel"/>
    <w:tmpl w:val="052E8ADC"/>
    <w:lvl w:ilvl="0" w:tentative="0">
      <w:start w:val="1"/>
      <w:numFmt w:val="decimal"/>
      <w:suff w:val="nothing"/>
      <w:lvlText w:val="%1、"/>
      <w:lvlJc w:val="left"/>
    </w:lvl>
  </w:abstractNum>
  <w:abstractNum w:abstractNumId="3">
    <w:nsid w:val="198407DC"/>
    <w:multiLevelType w:val="multilevel"/>
    <w:tmpl w:val="198407DC"/>
    <w:lvl w:ilvl="0" w:tentative="0">
      <w:start w:val="1"/>
      <w:numFmt w:val="chineseCountingThousand"/>
      <w:lvlText w:val="(%1)"/>
      <w:lvlJc w:val="left"/>
      <w:pPr>
        <w:ind w:left="990" w:hanging="420"/>
      </w:p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757B66E"/>
    <w:multiLevelType w:val="singleLevel"/>
    <w:tmpl w:val="3757B66E"/>
    <w:lvl w:ilvl="0" w:tentative="0">
      <w:start w:val="1"/>
      <w:numFmt w:val="chineseCounting"/>
      <w:suff w:val="nothing"/>
      <w:lvlText w:val="%1、"/>
      <w:lvlJc w:val="left"/>
      <w:rPr>
        <w:rFonts w:hint="eastAsia"/>
      </w:rPr>
    </w:lvl>
  </w:abstractNum>
  <w:abstractNum w:abstractNumId="6">
    <w:nsid w:val="501661F4"/>
    <w:multiLevelType w:val="singleLevel"/>
    <w:tmpl w:val="501661F4"/>
    <w:lvl w:ilvl="0" w:tentative="0">
      <w:start w:val="2"/>
      <w:numFmt w:val="chineseCounting"/>
      <w:suff w:val="nothing"/>
      <w:lvlText w:val="（%1）"/>
      <w:lvlJc w:val="left"/>
      <w:rPr>
        <w:rFonts w:hint="eastAsia"/>
      </w:rPr>
    </w:lvl>
  </w:abstractNum>
  <w:abstractNum w:abstractNumId="7">
    <w:nsid w:val="7CD12ED3"/>
    <w:multiLevelType w:val="multilevel"/>
    <w:tmpl w:val="7CD12ED3"/>
    <w:lvl w:ilvl="0" w:tentative="0">
      <w:start w:val="1"/>
      <w:numFmt w:val="chineseCountingThousand"/>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8">
    <w:nsid w:val="7FB62C6C"/>
    <w:multiLevelType w:val="multilevel"/>
    <w:tmpl w:val="7FB62C6C"/>
    <w:lvl w:ilvl="0" w:tentative="0">
      <w:start w:val="1"/>
      <w:numFmt w:val="decimal"/>
      <w:lvlText w:val="%1、"/>
      <w:lvlJc w:val="left"/>
      <w:pPr>
        <w:ind w:left="1520" w:hanging="72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num w:numId="1">
    <w:abstractNumId w:val="4"/>
  </w:num>
  <w:num w:numId="2">
    <w:abstractNumId w:val="3"/>
  </w:num>
  <w:num w:numId="3">
    <w:abstractNumId w:val="8"/>
  </w:num>
  <w:num w:numId="4">
    <w:abstractNumId w:val="7"/>
  </w:num>
  <w:num w:numId="5">
    <w:abstractNumId w:val="5"/>
  </w:num>
  <w:num w:numId="6">
    <w:abstractNumId w:val="6"/>
  </w:num>
  <w:num w:numId="7">
    <w:abstractNumId w:val="2"/>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10CFF"/>
    <w:rsid w:val="00014D19"/>
    <w:rsid w:val="0002229B"/>
    <w:rsid w:val="000272B4"/>
    <w:rsid w:val="000273BD"/>
    <w:rsid w:val="000415B7"/>
    <w:rsid w:val="00041E3F"/>
    <w:rsid w:val="00055DAA"/>
    <w:rsid w:val="00061F7B"/>
    <w:rsid w:val="000658A3"/>
    <w:rsid w:val="00074155"/>
    <w:rsid w:val="000A2B15"/>
    <w:rsid w:val="000A360F"/>
    <w:rsid w:val="000A3F69"/>
    <w:rsid w:val="000C740E"/>
    <w:rsid w:val="000E72D8"/>
    <w:rsid w:val="00103957"/>
    <w:rsid w:val="00152C6D"/>
    <w:rsid w:val="001627A3"/>
    <w:rsid w:val="00162D39"/>
    <w:rsid w:val="001678BD"/>
    <w:rsid w:val="00167BE7"/>
    <w:rsid w:val="00187CB3"/>
    <w:rsid w:val="00195B83"/>
    <w:rsid w:val="00197432"/>
    <w:rsid w:val="001A67DB"/>
    <w:rsid w:val="001C3C29"/>
    <w:rsid w:val="001C42BC"/>
    <w:rsid w:val="001D035F"/>
    <w:rsid w:val="001D118A"/>
    <w:rsid w:val="001D1C5C"/>
    <w:rsid w:val="001D51E5"/>
    <w:rsid w:val="001E080D"/>
    <w:rsid w:val="001E53D0"/>
    <w:rsid w:val="001F0C3B"/>
    <w:rsid w:val="00202C82"/>
    <w:rsid w:val="00214427"/>
    <w:rsid w:val="00226CB7"/>
    <w:rsid w:val="00264552"/>
    <w:rsid w:val="00264EF9"/>
    <w:rsid w:val="00265724"/>
    <w:rsid w:val="0027426B"/>
    <w:rsid w:val="002A13F0"/>
    <w:rsid w:val="002E0A30"/>
    <w:rsid w:val="002E30CF"/>
    <w:rsid w:val="002E544C"/>
    <w:rsid w:val="003130C4"/>
    <w:rsid w:val="00316C4B"/>
    <w:rsid w:val="0032192B"/>
    <w:rsid w:val="00331835"/>
    <w:rsid w:val="003479BD"/>
    <w:rsid w:val="00353ECF"/>
    <w:rsid w:val="003605CD"/>
    <w:rsid w:val="0037197D"/>
    <w:rsid w:val="003768D5"/>
    <w:rsid w:val="003A0EA2"/>
    <w:rsid w:val="003C4027"/>
    <w:rsid w:val="003C47E6"/>
    <w:rsid w:val="003C4FC2"/>
    <w:rsid w:val="003F66C6"/>
    <w:rsid w:val="00416E61"/>
    <w:rsid w:val="0042790C"/>
    <w:rsid w:val="004309AF"/>
    <w:rsid w:val="0043525A"/>
    <w:rsid w:val="004506F9"/>
    <w:rsid w:val="00455EAB"/>
    <w:rsid w:val="004717A2"/>
    <w:rsid w:val="00473C4D"/>
    <w:rsid w:val="00473DF3"/>
    <w:rsid w:val="00487911"/>
    <w:rsid w:val="00491741"/>
    <w:rsid w:val="004D74F0"/>
    <w:rsid w:val="004F0B83"/>
    <w:rsid w:val="00500E5F"/>
    <w:rsid w:val="005122EF"/>
    <w:rsid w:val="0051441A"/>
    <w:rsid w:val="00517C33"/>
    <w:rsid w:val="00523644"/>
    <w:rsid w:val="0054069E"/>
    <w:rsid w:val="00541871"/>
    <w:rsid w:val="00544866"/>
    <w:rsid w:val="0054534F"/>
    <w:rsid w:val="005767CC"/>
    <w:rsid w:val="00590D9F"/>
    <w:rsid w:val="00595D26"/>
    <w:rsid w:val="005A74E6"/>
    <w:rsid w:val="005B404E"/>
    <w:rsid w:val="005D4D55"/>
    <w:rsid w:val="005E2CFB"/>
    <w:rsid w:val="005F3D1C"/>
    <w:rsid w:val="00620DAF"/>
    <w:rsid w:val="0062378F"/>
    <w:rsid w:val="00635C41"/>
    <w:rsid w:val="00641842"/>
    <w:rsid w:val="00651EEC"/>
    <w:rsid w:val="006550F0"/>
    <w:rsid w:val="00681327"/>
    <w:rsid w:val="00686673"/>
    <w:rsid w:val="00691E8C"/>
    <w:rsid w:val="006A22C4"/>
    <w:rsid w:val="006A351B"/>
    <w:rsid w:val="006B0422"/>
    <w:rsid w:val="006C1B53"/>
    <w:rsid w:val="006D6110"/>
    <w:rsid w:val="006D7730"/>
    <w:rsid w:val="006E5284"/>
    <w:rsid w:val="006F3EB5"/>
    <w:rsid w:val="00702E34"/>
    <w:rsid w:val="00704395"/>
    <w:rsid w:val="007061A6"/>
    <w:rsid w:val="00707F26"/>
    <w:rsid w:val="00711EEE"/>
    <w:rsid w:val="00717621"/>
    <w:rsid w:val="00720FF1"/>
    <w:rsid w:val="00724187"/>
    <w:rsid w:val="00727A53"/>
    <w:rsid w:val="00774771"/>
    <w:rsid w:val="00787B42"/>
    <w:rsid w:val="0079591E"/>
    <w:rsid w:val="007A429F"/>
    <w:rsid w:val="007A68BF"/>
    <w:rsid w:val="007C4539"/>
    <w:rsid w:val="007D548F"/>
    <w:rsid w:val="007F3657"/>
    <w:rsid w:val="00812ED5"/>
    <w:rsid w:val="00825242"/>
    <w:rsid w:val="008277D9"/>
    <w:rsid w:val="0082786C"/>
    <w:rsid w:val="0084478C"/>
    <w:rsid w:val="0086638C"/>
    <w:rsid w:val="00870020"/>
    <w:rsid w:val="00877C28"/>
    <w:rsid w:val="00897E2D"/>
    <w:rsid w:val="008A3E8D"/>
    <w:rsid w:val="008A51B1"/>
    <w:rsid w:val="008B5E15"/>
    <w:rsid w:val="008C59DB"/>
    <w:rsid w:val="0091197E"/>
    <w:rsid w:val="00913450"/>
    <w:rsid w:val="009237C4"/>
    <w:rsid w:val="00935272"/>
    <w:rsid w:val="00944C48"/>
    <w:rsid w:val="00950252"/>
    <w:rsid w:val="00967F5D"/>
    <w:rsid w:val="00971A3E"/>
    <w:rsid w:val="00986889"/>
    <w:rsid w:val="009A0F95"/>
    <w:rsid w:val="009B10F5"/>
    <w:rsid w:val="009B3ADF"/>
    <w:rsid w:val="009B44E5"/>
    <w:rsid w:val="009C1430"/>
    <w:rsid w:val="009C3B52"/>
    <w:rsid w:val="009E6817"/>
    <w:rsid w:val="009E6E9A"/>
    <w:rsid w:val="00A01D2B"/>
    <w:rsid w:val="00A42218"/>
    <w:rsid w:val="00A70249"/>
    <w:rsid w:val="00A70B02"/>
    <w:rsid w:val="00A71D9F"/>
    <w:rsid w:val="00A92E9F"/>
    <w:rsid w:val="00A95343"/>
    <w:rsid w:val="00A95E60"/>
    <w:rsid w:val="00B10F34"/>
    <w:rsid w:val="00B2413C"/>
    <w:rsid w:val="00B27F0E"/>
    <w:rsid w:val="00B32CF2"/>
    <w:rsid w:val="00B33BEA"/>
    <w:rsid w:val="00B57C9F"/>
    <w:rsid w:val="00B63572"/>
    <w:rsid w:val="00B6364C"/>
    <w:rsid w:val="00B65915"/>
    <w:rsid w:val="00B8433E"/>
    <w:rsid w:val="00B845B3"/>
    <w:rsid w:val="00B85D8B"/>
    <w:rsid w:val="00BB4A40"/>
    <w:rsid w:val="00BD6C3E"/>
    <w:rsid w:val="00BE2013"/>
    <w:rsid w:val="00BE3674"/>
    <w:rsid w:val="00BF2826"/>
    <w:rsid w:val="00C10681"/>
    <w:rsid w:val="00C3049A"/>
    <w:rsid w:val="00C31B1E"/>
    <w:rsid w:val="00C77645"/>
    <w:rsid w:val="00C90B13"/>
    <w:rsid w:val="00CD6C6A"/>
    <w:rsid w:val="00CE04C3"/>
    <w:rsid w:val="00CE1BFB"/>
    <w:rsid w:val="00CE76A0"/>
    <w:rsid w:val="00CF0943"/>
    <w:rsid w:val="00D148C6"/>
    <w:rsid w:val="00D17A8A"/>
    <w:rsid w:val="00D415BA"/>
    <w:rsid w:val="00D644EE"/>
    <w:rsid w:val="00D90604"/>
    <w:rsid w:val="00D972D0"/>
    <w:rsid w:val="00DA63BD"/>
    <w:rsid w:val="00DD06FF"/>
    <w:rsid w:val="00DD5FE9"/>
    <w:rsid w:val="00DE4916"/>
    <w:rsid w:val="00E00C7A"/>
    <w:rsid w:val="00E0493D"/>
    <w:rsid w:val="00E156C5"/>
    <w:rsid w:val="00E37D6C"/>
    <w:rsid w:val="00E418BD"/>
    <w:rsid w:val="00E443DC"/>
    <w:rsid w:val="00E55B68"/>
    <w:rsid w:val="00E66ECE"/>
    <w:rsid w:val="00E67BE6"/>
    <w:rsid w:val="00E719B9"/>
    <w:rsid w:val="00E8683C"/>
    <w:rsid w:val="00EA2B72"/>
    <w:rsid w:val="00EE1962"/>
    <w:rsid w:val="00F020D0"/>
    <w:rsid w:val="00F052EE"/>
    <w:rsid w:val="00F101E4"/>
    <w:rsid w:val="00F140C5"/>
    <w:rsid w:val="00F67629"/>
    <w:rsid w:val="00F74360"/>
    <w:rsid w:val="00FB462F"/>
    <w:rsid w:val="00FB57C3"/>
    <w:rsid w:val="00FE16FA"/>
    <w:rsid w:val="00FE328A"/>
    <w:rsid w:val="00FE6269"/>
    <w:rsid w:val="00FF5CD6"/>
    <w:rsid w:val="02DC5BED"/>
    <w:rsid w:val="03AE416E"/>
    <w:rsid w:val="04C11604"/>
    <w:rsid w:val="07590A0B"/>
    <w:rsid w:val="087E36CC"/>
    <w:rsid w:val="0D582E69"/>
    <w:rsid w:val="11F268A4"/>
    <w:rsid w:val="19A56DCF"/>
    <w:rsid w:val="1EE2456C"/>
    <w:rsid w:val="261458D6"/>
    <w:rsid w:val="28234155"/>
    <w:rsid w:val="290F208E"/>
    <w:rsid w:val="29C53424"/>
    <w:rsid w:val="2E2D3088"/>
    <w:rsid w:val="32713D43"/>
    <w:rsid w:val="32F31F28"/>
    <w:rsid w:val="3A59585F"/>
    <w:rsid w:val="3AB807D8"/>
    <w:rsid w:val="3CF36AA1"/>
    <w:rsid w:val="3DD30C07"/>
    <w:rsid w:val="41C37A62"/>
    <w:rsid w:val="41C57F0F"/>
    <w:rsid w:val="47ED76E9"/>
    <w:rsid w:val="4AB663B6"/>
    <w:rsid w:val="4C3B6AF7"/>
    <w:rsid w:val="4E153CED"/>
    <w:rsid w:val="4FD23D25"/>
    <w:rsid w:val="4FFA5138"/>
    <w:rsid w:val="519F5DF6"/>
    <w:rsid w:val="56FD690F"/>
    <w:rsid w:val="59C5459D"/>
    <w:rsid w:val="5FB94527"/>
    <w:rsid w:val="6F1863DA"/>
    <w:rsid w:val="7134036A"/>
    <w:rsid w:val="72CF45DB"/>
    <w:rsid w:val="73AC00A5"/>
    <w:rsid w:val="796A4042"/>
    <w:rsid w:val="7BB676EB"/>
    <w:rsid w:val="7D995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7"/>
    <w:qFormat/>
    <w:uiPriority w:val="0"/>
    <w:pPr>
      <w:ind w:firstLine="420" w:firstLineChars="200"/>
    </w:pPr>
    <w:rPr>
      <w:rFonts w:ascii="Times New Roman" w:hAnsi="Times New Roman" w:eastAsia="宋体" w:cs="Times New Roman"/>
      <w:szCs w:val="24"/>
    </w:rPr>
  </w:style>
  <w:style w:type="paragraph" w:styleId="3">
    <w:name w:val="Body Text Indent"/>
    <w:basedOn w:val="1"/>
    <w:link w:val="16"/>
    <w:semiHidden/>
    <w:unhideWhenUsed/>
    <w:qFormat/>
    <w:uiPriority w:val="99"/>
    <w:pPr>
      <w:spacing w:after="120"/>
      <w:ind w:left="420" w:leftChars="200"/>
    </w:pPr>
  </w:style>
  <w:style w:type="paragraph" w:styleId="4">
    <w:name w:val="Body Text"/>
    <w:basedOn w:val="1"/>
    <w:link w:val="18"/>
    <w:semiHidden/>
    <w:unhideWhenUsed/>
    <w:qFormat/>
    <w:uiPriority w:val="99"/>
    <w:pPr>
      <w:spacing w:after="12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99"/>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正文文本缩进 Char"/>
    <w:basedOn w:val="10"/>
    <w:link w:val="3"/>
    <w:semiHidden/>
    <w:qFormat/>
    <w:uiPriority w:val="99"/>
  </w:style>
  <w:style w:type="character" w:customStyle="1" w:styleId="17">
    <w:name w:val="正文首行缩进 2 Char"/>
    <w:basedOn w:val="16"/>
    <w:link w:val="2"/>
    <w:qFormat/>
    <w:uiPriority w:val="0"/>
    <w:rPr>
      <w:rFonts w:ascii="Times New Roman" w:hAnsi="Times New Roman" w:eastAsia="宋体" w:cs="Times New Roman"/>
      <w:szCs w:val="24"/>
    </w:rPr>
  </w:style>
  <w:style w:type="character" w:customStyle="1" w:styleId="18">
    <w:name w:val="正文文本 Char"/>
    <w:basedOn w:val="10"/>
    <w:link w:val="4"/>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E8282-0818-484D-B567-7DCE48B062E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39</Pages>
  <Words>13183</Words>
  <Characters>16433</Characters>
  <Lines>143</Lines>
  <Paragraphs>40</Paragraphs>
  <TotalTime>7</TotalTime>
  <ScaleCrop>false</ScaleCrop>
  <LinksUpToDate>false</LinksUpToDate>
  <CharactersWithSpaces>17670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2021-08-25T07:14:00Z</dcterms:created>
  <dc:creator>李航 null</dc:creator>
  <cp:lastModifiedBy>rani</cp:lastModifiedBy>
  <cp:lastPrinted>2022-09-14T10:14:00Z</cp:lastPrinted>
  <dcterms:modified xsi:type="dcterms:W3CDTF">2023-09-24T11:32:18Z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B7F87293E6D946199AAFC0D79B3B4B18_13</vt:lpwstr>
  </property>
</Properties>
</file>