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color w:val="auto"/>
          <w:sz w:val="56"/>
          <w:szCs w:val="56"/>
        </w:rPr>
      </w:pPr>
    </w:p>
    <w:p>
      <w:pPr>
        <w:pStyle w:val="13"/>
        <w:jc w:val="center"/>
        <w:rPr>
          <w:color w:val="auto"/>
          <w:sz w:val="56"/>
          <w:szCs w:val="56"/>
        </w:rPr>
      </w:pPr>
    </w:p>
    <w:p>
      <w:pPr>
        <w:pStyle w:val="13"/>
        <w:jc w:val="center"/>
        <w:rPr>
          <w:color w:val="auto"/>
          <w:sz w:val="84"/>
          <w:szCs w:val="84"/>
        </w:rPr>
      </w:pPr>
    </w:p>
    <w:p>
      <w:pPr>
        <w:pStyle w:val="13"/>
        <w:jc w:val="center"/>
        <w:rPr>
          <w:color w:val="auto"/>
          <w:sz w:val="84"/>
          <w:szCs w:val="84"/>
        </w:rPr>
      </w:pPr>
    </w:p>
    <w:p>
      <w:pPr>
        <w:pStyle w:val="13"/>
        <w:jc w:val="center"/>
        <w:rPr>
          <w:color w:val="auto"/>
          <w:sz w:val="84"/>
          <w:szCs w:val="84"/>
        </w:rPr>
      </w:pPr>
      <w:r>
        <w:rPr>
          <w:rFonts w:hint="eastAsia"/>
          <w:color w:val="auto"/>
          <w:sz w:val="84"/>
          <w:szCs w:val="84"/>
        </w:rPr>
        <w:t>202</w:t>
      </w:r>
      <w:r>
        <w:rPr>
          <w:color w:val="auto"/>
          <w:sz w:val="84"/>
          <w:szCs w:val="84"/>
        </w:rPr>
        <w:t>1</w:t>
      </w:r>
      <w:r>
        <w:rPr>
          <w:rFonts w:hint="eastAsia"/>
          <w:color w:val="auto"/>
          <w:sz w:val="84"/>
          <w:szCs w:val="84"/>
        </w:rPr>
        <w:t>年度</w:t>
      </w:r>
    </w:p>
    <w:p>
      <w:pPr>
        <w:pStyle w:val="13"/>
        <w:jc w:val="center"/>
        <w:rPr>
          <w:color w:val="auto"/>
          <w:sz w:val="84"/>
          <w:szCs w:val="84"/>
        </w:rPr>
      </w:pPr>
      <w:r>
        <w:rPr>
          <w:rFonts w:hint="eastAsia"/>
          <w:color w:val="auto"/>
          <w:sz w:val="84"/>
          <w:szCs w:val="84"/>
        </w:rPr>
        <w:t>湖南</w:t>
      </w:r>
      <w:r>
        <w:rPr>
          <w:color w:val="auto"/>
          <w:sz w:val="84"/>
          <w:szCs w:val="84"/>
        </w:rPr>
        <w:t>省长沙生态环境监测中心</w:t>
      </w:r>
      <w:r>
        <w:rPr>
          <w:rFonts w:hint="eastAsia"/>
          <w:color w:val="auto"/>
          <w:sz w:val="84"/>
          <w:szCs w:val="84"/>
        </w:rPr>
        <w:t>部门决算</w:t>
      </w:r>
    </w:p>
    <w:p>
      <w:pPr>
        <w:pStyle w:val="13"/>
        <w:jc w:val="center"/>
        <w:rPr>
          <w:color w:val="auto"/>
          <w:sz w:val="56"/>
          <w:szCs w:val="56"/>
        </w:rPr>
      </w:pPr>
    </w:p>
    <w:p>
      <w:pPr>
        <w:pStyle w:val="13"/>
        <w:jc w:val="center"/>
        <w:rPr>
          <w:color w:val="auto"/>
          <w:sz w:val="56"/>
          <w:szCs w:val="56"/>
        </w:rPr>
      </w:pPr>
    </w:p>
    <w:p>
      <w:pPr>
        <w:pStyle w:val="13"/>
        <w:jc w:val="center"/>
        <w:rPr>
          <w:color w:val="auto"/>
          <w:sz w:val="56"/>
          <w:szCs w:val="56"/>
        </w:rPr>
      </w:pPr>
    </w:p>
    <w:p>
      <w:pPr>
        <w:pStyle w:val="13"/>
        <w:jc w:val="center"/>
        <w:rPr>
          <w:color w:val="auto"/>
          <w:sz w:val="56"/>
          <w:szCs w:val="56"/>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spacing w:line="480" w:lineRule="exact"/>
        <w:jc w:val="center"/>
        <w:rPr>
          <w:b/>
          <w:color w:val="auto"/>
          <w:sz w:val="36"/>
          <w:szCs w:val="28"/>
        </w:rPr>
      </w:pPr>
      <w:r>
        <w:rPr>
          <w:rFonts w:hint="eastAsia"/>
          <w:b/>
          <w:color w:val="auto"/>
          <w:sz w:val="36"/>
          <w:szCs w:val="28"/>
        </w:rPr>
        <w:t>目录</w:t>
      </w:r>
    </w:p>
    <w:p>
      <w:pPr>
        <w:pStyle w:val="13"/>
        <w:spacing w:line="480" w:lineRule="exact"/>
        <w:jc w:val="center"/>
        <w:rPr>
          <w:b/>
          <w:color w:val="auto"/>
          <w:sz w:val="36"/>
          <w:szCs w:val="28"/>
        </w:rPr>
      </w:pPr>
    </w:p>
    <w:p>
      <w:pPr>
        <w:pStyle w:val="13"/>
        <w:spacing w:line="480" w:lineRule="exact"/>
        <w:rPr>
          <w:rFonts w:ascii="仿宋_GB2312" w:hAnsi="仿宋_GB2312" w:cs="仿宋_GB2312"/>
          <w:b/>
          <w:color w:val="auto"/>
          <w:sz w:val="28"/>
          <w:szCs w:val="28"/>
        </w:rPr>
      </w:pPr>
      <w:r>
        <w:rPr>
          <w:rFonts w:hint="eastAsia"/>
          <w:b/>
          <w:color w:val="auto"/>
          <w:sz w:val="28"/>
          <w:szCs w:val="28"/>
        </w:rPr>
        <w:t>第一部分 湖南省</w:t>
      </w:r>
      <w:r>
        <w:rPr>
          <w:b/>
          <w:color w:val="auto"/>
          <w:sz w:val="28"/>
          <w:szCs w:val="28"/>
        </w:rPr>
        <w:t>长沙</w:t>
      </w:r>
      <w:r>
        <w:rPr>
          <w:rFonts w:hint="eastAsia"/>
          <w:b/>
          <w:color w:val="auto"/>
          <w:sz w:val="28"/>
          <w:szCs w:val="28"/>
        </w:rPr>
        <w:t>生态</w:t>
      </w:r>
      <w:r>
        <w:rPr>
          <w:b/>
          <w:color w:val="auto"/>
          <w:sz w:val="28"/>
          <w:szCs w:val="28"/>
        </w:rPr>
        <w:t>环境监测中心单</w:t>
      </w:r>
      <w:r>
        <w:rPr>
          <w:rFonts w:hint="eastAsia"/>
          <w:b/>
          <w:color w:val="auto"/>
          <w:sz w:val="28"/>
          <w:szCs w:val="28"/>
        </w:rPr>
        <w:t>位概况</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一、部门职责</w:t>
      </w:r>
    </w:p>
    <w:p>
      <w:pPr>
        <w:pStyle w:val="13"/>
        <w:spacing w:line="480" w:lineRule="exact"/>
        <w:ind w:firstLine="700" w:firstLineChars="250"/>
        <w:rPr>
          <w:rFonts w:hint="eastAsia" w:cs="仿宋_GB2312" w:asciiTheme="minorEastAsia" w:hAnsiTheme="minorEastAsia" w:eastAsiaTheme="minorEastAsia"/>
          <w:color w:val="auto"/>
          <w:sz w:val="28"/>
          <w:szCs w:val="28"/>
          <w:lang w:eastAsia="zh-CN"/>
        </w:rPr>
      </w:pPr>
      <w:r>
        <w:rPr>
          <w:rFonts w:cs="仿宋_GB2312" w:asciiTheme="minorEastAsia" w:hAnsiTheme="minorEastAsia" w:eastAsiaTheme="minorEastAsia"/>
          <w:color w:val="auto"/>
          <w:sz w:val="28"/>
          <w:szCs w:val="28"/>
        </w:rPr>
        <w:t>二、机构设置</w:t>
      </w:r>
      <w:r>
        <w:rPr>
          <w:rFonts w:hint="eastAsia" w:cs="仿宋_GB2312" w:asciiTheme="minorEastAsia" w:hAnsiTheme="minorEastAsia" w:eastAsiaTheme="minorEastAsia"/>
          <w:color w:val="auto"/>
          <w:sz w:val="28"/>
          <w:szCs w:val="28"/>
          <w:lang w:eastAsia="zh-CN"/>
        </w:rPr>
        <w:t>及决算单位构成</w:t>
      </w:r>
    </w:p>
    <w:p>
      <w:pPr>
        <w:pStyle w:val="13"/>
        <w:spacing w:line="480" w:lineRule="exact"/>
        <w:rPr>
          <w:rFonts w:ascii="仿宋_GB2312" w:hAnsi="仿宋_GB2312" w:cs="仿宋_GB2312"/>
          <w:b/>
          <w:color w:val="auto"/>
          <w:sz w:val="28"/>
          <w:szCs w:val="28"/>
        </w:rPr>
      </w:pPr>
      <w:r>
        <w:rPr>
          <w:rFonts w:hint="eastAsia" w:hAnsi="仿宋_GB2312"/>
          <w:b/>
          <w:color w:val="auto"/>
          <w:sz w:val="28"/>
          <w:szCs w:val="28"/>
        </w:rPr>
        <w:t xml:space="preserve">第二部分 </w:t>
      </w:r>
      <w:r>
        <w:rPr>
          <w:rFonts w:hAnsi="仿宋_GB2312"/>
          <w:b/>
          <w:color w:val="auto"/>
          <w:sz w:val="28"/>
          <w:szCs w:val="28"/>
        </w:rPr>
        <w:t>20</w:t>
      </w:r>
      <w:r>
        <w:rPr>
          <w:rFonts w:hint="eastAsia" w:hAnsi="仿宋_GB2312"/>
          <w:b/>
          <w:color w:val="auto"/>
          <w:sz w:val="28"/>
          <w:szCs w:val="28"/>
        </w:rPr>
        <w:t>2</w:t>
      </w:r>
      <w:r>
        <w:rPr>
          <w:rFonts w:hAnsi="仿宋_GB2312"/>
          <w:b/>
          <w:color w:val="auto"/>
          <w:sz w:val="28"/>
          <w:szCs w:val="28"/>
        </w:rPr>
        <w:t>1</w:t>
      </w:r>
      <w:r>
        <w:rPr>
          <w:rFonts w:hint="eastAsia" w:hAnsi="仿宋_GB2312"/>
          <w:b/>
          <w:color w:val="auto"/>
          <w:sz w:val="28"/>
          <w:szCs w:val="28"/>
        </w:rPr>
        <w:t>年度部门决算表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一、收入支出决算总表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二、收入决算表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三、支出决算表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四、财政拨款收入支出决算总表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五、一般公共预算财政拨款支出决算表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六、一般公共预算财政拨款基本支出决算表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七、一般公共预算财政拨款“三公”经费支出决算表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八、政府性基金预算财政拨款收入支出决算表</w:t>
      </w:r>
    </w:p>
    <w:p>
      <w:pPr>
        <w:pStyle w:val="13"/>
        <w:spacing w:line="480" w:lineRule="exact"/>
        <w:ind w:firstLine="700" w:firstLineChars="250"/>
        <w:rPr>
          <w:rFonts w:cs="仿宋_GB2312" w:asciiTheme="minorEastAsia" w:hAnsiTheme="minorEastAsia" w:eastAsiaTheme="minorEastAsia"/>
          <w:color w:val="auto"/>
          <w:sz w:val="28"/>
          <w:szCs w:val="28"/>
        </w:rPr>
      </w:pPr>
      <w:r>
        <w:rPr>
          <w:rFonts w:hint="eastAsia" w:cs="仿宋_GB2312" w:asciiTheme="minorEastAsia" w:hAnsiTheme="minorEastAsia" w:eastAsiaTheme="minorEastAsia"/>
          <w:color w:val="auto"/>
          <w:sz w:val="28"/>
          <w:szCs w:val="28"/>
        </w:rPr>
        <w:t>九、国有资本经营预算财政拨款支出决算表</w:t>
      </w:r>
    </w:p>
    <w:p>
      <w:pPr>
        <w:pStyle w:val="13"/>
        <w:spacing w:line="480" w:lineRule="exact"/>
        <w:rPr>
          <w:rFonts w:ascii="仿宋_GB2312" w:hAnsi="仿宋_GB2312" w:cs="仿宋_GB2312"/>
          <w:b/>
          <w:color w:val="auto"/>
          <w:sz w:val="28"/>
          <w:szCs w:val="28"/>
        </w:rPr>
      </w:pPr>
      <w:r>
        <w:rPr>
          <w:rFonts w:hint="eastAsia" w:hAnsi="仿宋_GB2312"/>
          <w:b/>
          <w:color w:val="auto"/>
          <w:sz w:val="28"/>
          <w:szCs w:val="28"/>
        </w:rPr>
        <w:t xml:space="preserve">第三部分 </w:t>
      </w:r>
      <w:r>
        <w:rPr>
          <w:rFonts w:hAnsi="仿宋_GB2312"/>
          <w:b/>
          <w:color w:val="auto"/>
          <w:sz w:val="28"/>
          <w:szCs w:val="28"/>
        </w:rPr>
        <w:t>20</w:t>
      </w:r>
      <w:r>
        <w:rPr>
          <w:rFonts w:hint="eastAsia" w:hAnsi="仿宋_GB2312"/>
          <w:b/>
          <w:color w:val="auto"/>
          <w:sz w:val="28"/>
          <w:szCs w:val="28"/>
        </w:rPr>
        <w:t>2</w:t>
      </w:r>
      <w:r>
        <w:rPr>
          <w:rFonts w:hAnsi="仿宋_GB2312"/>
          <w:b/>
          <w:color w:val="auto"/>
          <w:sz w:val="28"/>
          <w:szCs w:val="28"/>
        </w:rPr>
        <w:t>1</w:t>
      </w:r>
      <w:r>
        <w:rPr>
          <w:rFonts w:hint="eastAsia" w:hAnsi="仿宋_GB2312"/>
          <w:b/>
          <w:color w:val="auto"/>
          <w:sz w:val="28"/>
          <w:szCs w:val="28"/>
        </w:rPr>
        <w:t>年度部门决算情况说明</w:t>
      </w:r>
    </w:p>
    <w:p>
      <w:pPr>
        <w:pStyle w:val="13"/>
        <w:spacing w:line="48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一、收入支出决算总体情况说明</w:t>
      </w:r>
    </w:p>
    <w:p>
      <w:pPr>
        <w:spacing w:line="48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ascii="仿宋_GB2312" w:hAnsi="仿宋_GB2312" w:cs="仿宋_GB2312"/>
          <w:kern w:val="0"/>
          <w:sz w:val="28"/>
          <w:szCs w:val="28"/>
        </w:rPr>
        <w:t>三、支出决算情况说明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ascii="仿宋_GB2312" w:hAnsi="仿宋_GB2312" w:cs="仿宋_GB2312"/>
          <w:kern w:val="0"/>
          <w:sz w:val="28"/>
          <w:szCs w:val="28"/>
        </w:rPr>
        <w:t>四、财政拨款收入支出决算总体情况说明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ascii="仿宋_GB2312" w:hAnsi="仿宋_GB2312" w:cs="仿宋_GB2312"/>
          <w:kern w:val="0"/>
          <w:sz w:val="28"/>
          <w:szCs w:val="28"/>
        </w:rPr>
        <w:t>五、一般公共预算财政拨款支出决算情况说明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ascii="仿宋_GB2312" w:hAnsi="仿宋_GB2312" w:cs="仿宋_GB2312"/>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ascii="仿宋_GB2312" w:hAnsi="仿宋_GB2312" w:cs="仿宋_GB2312"/>
          <w:kern w:val="0"/>
          <w:sz w:val="28"/>
          <w:szCs w:val="28"/>
        </w:rPr>
        <w:t>七、一般公共预算财政拨款</w:t>
      </w:r>
      <w:r>
        <w:rPr>
          <w:rFonts w:hint="eastAsia" w:ascii="仿宋_GB2312" w:hAnsi="仿宋_GB2312" w:cs="仿宋_GB2312"/>
          <w:kern w:val="0"/>
          <w:sz w:val="28"/>
          <w:szCs w:val="28"/>
        </w:rPr>
        <w:t>“</w:t>
      </w:r>
      <w:r>
        <w:rPr>
          <w:rFonts w:ascii="仿宋_GB2312" w:hAnsi="仿宋_GB2312" w:cs="仿宋_GB2312"/>
          <w:kern w:val="0"/>
          <w:sz w:val="28"/>
          <w:szCs w:val="28"/>
        </w:rPr>
        <w:t>三公</w:t>
      </w:r>
      <w:r>
        <w:rPr>
          <w:rFonts w:hint="eastAsia" w:ascii="仿宋_GB2312" w:hAnsi="仿宋_GB2312" w:cs="仿宋_GB2312"/>
          <w:kern w:val="0"/>
          <w:sz w:val="28"/>
          <w:szCs w:val="28"/>
        </w:rPr>
        <w:t>”</w:t>
      </w:r>
      <w:r>
        <w:rPr>
          <w:rFonts w:ascii="仿宋_GB2312" w:hAnsi="仿宋_GB2312" w:cs="仿宋_GB2312"/>
          <w:kern w:val="0"/>
          <w:sz w:val="28"/>
          <w:szCs w:val="28"/>
        </w:rPr>
        <w:t>经费支出决算情况说明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hint="eastAsia" w:ascii="仿宋_GB2312" w:hAnsi="仿宋_GB2312" w:cs="仿宋_GB2312"/>
          <w:kern w:val="0"/>
          <w:sz w:val="28"/>
          <w:szCs w:val="28"/>
        </w:rPr>
        <w:t>八</w:t>
      </w:r>
      <w:r>
        <w:rPr>
          <w:rFonts w:ascii="仿宋_GB2312" w:hAnsi="仿宋_GB2312" w:cs="仿宋_GB2312"/>
          <w:kern w:val="0"/>
          <w:sz w:val="28"/>
          <w:szCs w:val="28"/>
        </w:rPr>
        <w:t>、</w:t>
      </w:r>
      <w:r>
        <w:rPr>
          <w:rFonts w:hint="eastAsia" w:ascii="仿宋_GB2312" w:hAnsi="仿宋_GB2312" w:cs="仿宋_GB2312"/>
          <w:kern w:val="0"/>
          <w:sz w:val="28"/>
          <w:szCs w:val="28"/>
        </w:rPr>
        <w:t>政府性基金预算收入支出决算情况</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hint="eastAsia" w:ascii="仿宋_GB2312" w:hAnsi="仿宋_GB2312" w:cs="仿宋_GB2312"/>
          <w:kern w:val="0"/>
          <w:sz w:val="28"/>
          <w:szCs w:val="28"/>
        </w:rPr>
        <w:t>九</w:t>
      </w:r>
      <w:r>
        <w:rPr>
          <w:rFonts w:ascii="仿宋_GB2312" w:hAnsi="仿宋_GB2312" w:cs="仿宋_GB2312"/>
          <w:kern w:val="0"/>
          <w:sz w:val="28"/>
          <w:szCs w:val="28"/>
        </w:rPr>
        <w:t>、</w:t>
      </w:r>
      <w:r>
        <w:rPr>
          <w:rFonts w:hint="eastAsia" w:ascii="仿宋_GB2312" w:hAnsi="仿宋_GB2312" w:cs="仿宋_GB2312"/>
          <w:kern w:val="0"/>
          <w:sz w:val="28"/>
          <w:szCs w:val="28"/>
        </w:rPr>
        <w:t>机关运行经费支出说明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hint="eastAsia" w:ascii="仿宋_GB2312" w:hAnsi="仿宋_GB2312" w:cs="仿宋_GB2312"/>
          <w:kern w:val="0"/>
          <w:sz w:val="28"/>
          <w:szCs w:val="28"/>
        </w:rPr>
        <w:t>十、一般性支出情况说明</w:t>
      </w:r>
    </w:p>
    <w:p>
      <w:pPr>
        <w:autoSpaceDE w:val="0"/>
        <w:autoSpaceDN w:val="0"/>
        <w:adjustRightInd w:val="0"/>
        <w:spacing w:line="480" w:lineRule="exact"/>
        <w:ind w:firstLine="700" w:firstLineChars="250"/>
        <w:jc w:val="left"/>
        <w:rPr>
          <w:rFonts w:ascii="仿宋_GB2312" w:hAnsi="仿宋_GB2312" w:cs="仿宋_GB2312"/>
          <w:kern w:val="0"/>
          <w:sz w:val="28"/>
          <w:szCs w:val="28"/>
        </w:rPr>
      </w:pPr>
      <w:r>
        <w:rPr>
          <w:rFonts w:hint="eastAsia" w:ascii="仿宋_GB2312" w:hAnsi="仿宋_GB2312" w:cs="仿宋_GB2312"/>
          <w:kern w:val="0"/>
          <w:sz w:val="28"/>
          <w:szCs w:val="28"/>
        </w:rPr>
        <w:t>十一、政府采购支出说明</w:t>
      </w:r>
    </w:p>
    <w:p>
      <w:pPr>
        <w:pStyle w:val="13"/>
        <w:spacing w:line="480" w:lineRule="exact"/>
        <w:ind w:firstLine="700" w:firstLineChars="250"/>
        <w:rPr>
          <w:rFonts w:ascii="仿宋_GB2312" w:hAnsi="仿宋_GB2312" w:cs="仿宋_GB2312" w:eastAsiaTheme="minorEastAsia"/>
          <w:color w:val="auto"/>
          <w:sz w:val="28"/>
          <w:szCs w:val="28"/>
        </w:rPr>
      </w:pPr>
      <w:r>
        <w:rPr>
          <w:rFonts w:hint="eastAsia" w:ascii="仿宋_GB2312" w:hAnsi="仿宋_GB2312" w:cs="仿宋_GB2312" w:eastAsiaTheme="minorEastAsia"/>
          <w:color w:val="auto"/>
          <w:sz w:val="28"/>
          <w:szCs w:val="28"/>
        </w:rPr>
        <w:t>十二、国有资产占用情况说明</w:t>
      </w:r>
    </w:p>
    <w:p>
      <w:pPr>
        <w:pStyle w:val="13"/>
        <w:spacing w:line="480" w:lineRule="exact"/>
        <w:ind w:firstLine="700" w:firstLineChars="250"/>
        <w:rPr>
          <w:rFonts w:ascii="仿宋_GB2312" w:hAnsi="仿宋_GB2312" w:cs="仿宋_GB2312" w:eastAsiaTheme="minorEastAsia"/>
          <w:color w:val="auto"/>
          <w:sz w:val="28"/>
          <w:szCs w:val="28"/>
        </w:rPr>
      </w:pPr>
      <w:r>
        <w:rPr>
          <w:rFonts w:hint="eastAsia" w:ascii="仿宋_GB2312" w:hAnsi="仿宋_GB2312" w:cs="仿宋_GB2312" w:eastAsiaTheme="minorEastAsia"/>
          <w:color w:val="auto"/>
          <w:sz w:val="28"/>
          <w:szCs w:val="28"/>
        </w:rPr>
        <w:t>十三、</w:t>
      </w:r>
      <w:r>
        <w:rPr>
          <w:rFonts w:hint="eastAsia" w:cs="仿宋_GB2312" w:asciiTheme="minorEastAsia" w:hAnsiTheme="minorEastAsia" w:eastAsiaTheme="minorEastAsia"/>
          <w:color w:val="auto"/>
          <w:sz w:val="28"/>
          <w:szCs w:val="28"/>
        </w:rPr>
        <w:t>202</w:t>
      </w:r>
      <w:r>
        <w:rPr>
          <w:rFonts w:cs="仿宋_GB2312" w:asciiTheme="minorEastAsia" w:hAnsiTheme="minorEastAsia" w:eastAsiaTheme="minorEastAsia"/>
          <w:color w:val="auto"/>
          <w:sz w:val="28"/>
          <w:szCs w:val="28"/>
        </w:rPr>
        <w:t>1</w:t>
      </w:r>
      <w:r>
        <w:rPr>
          <w:rFonts w:hint="eastAsia" w:cs="仿宋_GB2312" w:asciiTheme="minorEastAsia" w:hAnsiTheme="minorEastAsia" w:eastAsiaTheme="minorEastAsia"/>
          <w:color w:val="auto"/>
          <w:sz w:val="28"/>
          <w:szCs w:val="28"/>
        </w:rPr>
        <w:t>年</w:t>
      </w:r>
      <w:r>
        <w:rPr>
          <w:rFonts w:hint="eastAsia" w:ascii="仿宋_GB2312" w:hAnsi="仿宋_GB2312" w:cs="仿宋_GB2312" w:eastAsiaTheme="minorEastAsia"/>
          <w:color w:val="auto"/>
          <w:sz w:val="28"/>
          <w:szCs w:val="28"/>
        </w:rPr>
        <w:t>度预算绩效情况说明</w:t>
      </w:r>
    </w:p>
    <w:p>
      <w:pPr>
        <w:autoSpaceDE w:val="0"/>
        <w:autoSpaceDN w:val="0"/>
        <w:adjustRightInd w:val="0"/>
        <w:spacing w:line="480" w:lineRule="exact"/>
        <w:jc w:val="left"/>
        <w:rPr>
          <w:rFonts w:ascii="黑体" w:hAnsi="黑体" w:eastAsia="黑体" w:cs="黑体"/>
          <w:b/>
          <w:kern w:val="0"/>
          <w:sz w:val="28"/>
          <w:szCs w:val="28"/>
        </w:rPr>
      </w:pPr>
      <w:r>
        <w:rPr>
          <w:rFonts w:ascii="黑体" w:hAnsi="黑体" w:eastAsia="黑体" w:cs="黑体"/>
          <w:b/>
          <w:kern w:val="0"/>
          <w:sz w:val="28"/>
          <w:szCs w:val="28"/>
        </w:rPr>
        <w:t>第四部分</w:t>
      </w:r>
      <w:r>
        <w:rPr>
          <w:rFonts w:hint="eastAsia" w:ascii="黑体" w:hAnsi="黑体" w:eastAsia="黑体" w:cs="黑体"/>
          <w:b/>
          <w:kern w:val="0"/>
          <w:sz w:val="28"/>
          <w:szCs w:val="28"/>
        </w:rPr>
        <w:t xml:space="preserve"> </w:t>
      </w:r>
      <w:r>
        <w:rPr>
          <w:rFonts w:ascii="黑体" w:hAnsi="黑体" w:eastAsia="黑体" w:cs="黑体"/>
          <w:b/>
          <w:kern w:val="0"/>
          <w:sz w:val="28"/>
          <w:szCs w:val="28"/>
        </w:rPr>
        <w:t>名词解释</w:t>
      </w:r>
    </w:p>
    <w:p>
      <w:pPr>
        <w:autoSpaceDE w:val="0"/>
        <w:autoSpaceDN w:val="0"/>
        <w:adjustRightInd w:val="0"/>
        <w:spacing w:line="480" w:lineRule="exact"/>
        <w:jc w:val="left"/>
        <w:rPr>
          <w:rFonts w:ascii="黑体" w:hAnsi="黑体" w:eastAsia="黑体" w:cs="仿宋_GB2312"/>
          <w:b/>
          <w:kern w:val="0"/>
          <w:sz w:val="28"/>
          <w:szCs w:val="28"/>
        </w:rPr>
      </w:pPr>
      <w:r>
        <w:rPr>
          <w:rFonts w:hint="eastAsia" w:ascii="黑体" w:hAnsi="黑体" w:eastAsia="黑体" w:cs="黑体"/>
          <w:b/>
          <w:kern w:val="0"/>
          <w:sz w:val="28"/>
          <w:szCs w:val="28"/>
        </w:rPr>
        <w:t>第五部分 附件</w:t>
      </w:r>
    </w:p>
    <w:p>
      <w:pPr>
        <w:jc w:val="center"/>
        <w:rPr>
          <w:sz w:val="72"/>
          <w:szCs w:val="72"/>
        </w:rPr>
      </w:pPr>
    </w:p>
    <w:p>
      <w:pPr>
        <w:jc w:val="center"/>
        <w:rPr>
          <w:sz w:val="72"/>
          <w:szCs w:val="72"/>
        </w:rPr>
      </w:pPr>
    </w:p>
    <w:p>
      <w:pPr>
        <w:jc w:val="both"/>
        <w:rPr>
          <w:sz w:val="72"/>
          <w:szCs w:val="72"/>
        </w:rPr>
      </w:pPr>
    </w:p>
    <w:p>
      <w:pPr>
        <w:rPr>
          <w:sz w:val="72"/>
          <w:szCs w:val="72"/>
        </w:rPr>
      </w:pPr>
    </w:p>
    <w:p>
      <w:pPr>
        <w:pStyle w:val="13"/>
        <w:jc w:val="center"/>
        <w:rPr>
          <w:sz w:val="84"/>
          <w:szCs w:val="84"/>
        </w:rPr>
      </w:pPr>
      <w:r>
        <w:rPr>
          <w:rFonts w:hint="eastAsia"/>
          <w:sz w:val="84"/>
          <w:szCs w:val="84"/>
        </w:rPr>
        <w:t>第一部分</w:t>
      </w:r>
      <w:r>
        <w:rPr>
          <w:sz w:val="84"/>
          <w:szCs w:val="84"/>
        </w:rPr>
        <w:t xml:space="preserve"> </w:t>
      </w:r>
    </w:p>
    <w:p>
      <w:pPr>
        <w:pStyle w:val="13"/>
        <w:jc w:val="center"/>
        <w:rPr>
          <w:sz w:val="84"/>
          <w:szCs w:val="84"/>
        </w:rPr>
      </w:pPr>
    </w:p>
    <w:p>
      <w:pPr>
        <w:pStyle w:val="13"/>
        <w:jc w:val="center"/>
        <w:rPr>
          <w:sz w:val="84"/>
          <w:szCs w:val="84"/>
        </w:rPr>
      </w:pPr>
      <w:r>
        <w:rPr>
          <w:rFonts w:hint="eastAsia"/>
          <w:sz w:val="84"/>
          <w:szCs w:val="84"/>
        </w:rPr>
        <w:t>湖南省长沙生态环境监测中心单位概况</w:t>
      </w:r>
    </w:p>
    <w:p>
      <w:pPr>
        <w:pStyle w:val="13"/>
        <w:jc w:val="center"/>
        <w:rPr>
          <w:sz w:val="84"/>
          <w:szCs w:val="84"/>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numPr>
          <w:ilvl w:val="0"/>
          <w:numId w:val="1"/>
        </w:numPr>
        <w:spacing w:after="156" w:afterLines="50" w:line="360" w:lineRule="auto"/>
        <w:ind w:left="0" w:firstLine="720" w:firstLineChars="0"/>
        <w:jc w:val="left"/>
        <w:rPr>
          <w:rFonts w:ascii="黑体" w:hAnsi="黑体" w:eastAsia="黑体"/>
          <w:sz w:val="32"/>
          <w:szCs w:val="32"/>
        </w:rPr>
      </w:pPr>
      <w:r>
        <w:rPr>
          <w:rFonts w:ascii="黑体" w:hAnsi="黑体" w:eastAsia="黑体"/>
          <w:sz w:val="32"/>
          <w:szCs w:val="32"/>
        </w:rPr>
        <w:t>部门职责</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（一）按照湖南省年度生态环境监测方案，对本市辖区范围内水、气、土、声、生物等环境要素开展环境质量例行监测，收集汇总、分析整理和存储环境监测数据，评价环境质量状况，掌握环境质量变化趋势。</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二）组织编写本市环境质量概要，环境质量报告书和环境监测简报、月报、季报、快报。定期向同级生态环境主管部门和上级监测部门呈报本市环境质量状况和污染动态的技术报告，为各级人民政府制定生态环境计划、规划和决策提供技术支持。</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（三）组织开展本市污染源调查，建立健全污染源档案；对全市各类污染物排放源进行定期年检和不定期监督监测，掌握污染源排污达标情况和污染物排放总量，为污染源管理和排污收费提供监测数据。</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（四）受各级生态环境行政主管部门和其他监督管理部门委托，参与本市环境污染事件的调查，负责突发性环境污染事故应急监测和污染纠纷仲裁监测。</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（五）负责全市环境统计工作和“城考”相关指标的统计上报。</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（六）制订本市生态环境监测发展规划和计划，并负责具体实施。</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（七）组织协调本市环境监测网开展环境监测，督促指导三级站标准化建设和计量认证工作，负责全市生态环境监测系统的技术交流、人员培训和业务考核。</w:t>
      </w:r>
    </w:p>
    <w:p>
      <w:pPr>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（八）参与制订和修订地方环境标准和技术规定，承担国家测试技术和分析方法的验证工作，开展环境监测科研，促进监测技术的发展。</w:t>
      </w:r>
    </w:p>
    <w:p>
      <w:pPr>
        <w:pStyle w:val="14"/>
        <w:spacing w:after="156" w:afterLines="50" w:line="360" w:lineRule="auto"/>
        <w:ind w:left="720" w:firstLine="0" w:firstLineChars="0"/>
        <w:jc w:val="left"/>
        <w:rPr>
          <w:rFonts w:ascii="黑体" w:hAnsi="黑体" w:eastAsia="黑体"/>
          <w:sz w:val="32"/>
          <w:szCs w:val="32"/>
        </w:rPr>
      </w:pPr>
      <w:r>
        <w:rPr>
          <w:rFonts w:hint="eastAsia" w:ascii="黑体" w:hAnsi="黑体" w:eastAsia="黑体"/>
          <w:sz w:val="32"/>
          <w:szCs w:val="32"/>
        </w:rPr>
        <w:t>二、机构设置及决算单位构成</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（一）内设机构设置。</w:t>
      </w:r>
    </w:p>
    <w:p>
      <w:pPr>
        <w:spacing w:line="360" w:lineRule="auto"/>
        <w:ind w:firstLine="640" w:firstLineChars="200"/>
        <w:rPr>
          <w:rFonts w:ascii="仿宋_GB2312" w:hAnsi="仿宋" w:eastAsia="仿宋_GB2312" w:cs="仿宋"/>
          <w:bCs/>
          <w:sz w:val="32"/>
          <w:szCs w:val="32"/>
        </w:rPr>
      </w:pPr>
      <w:r>
        <w:rPr>
          <w:rFonts w:hint="eastAsia" w:ascii="仿宋" w:hAnsi="仿宋" w:eastAsia="仿宋"/>
          <w:sz w:val="32"/>
          <w:szCs w:val="32"/>
        </w:rPr>
        <w:t>我</w:t>
      </w:r>
      <w:r>
        <w:rPr>
          <w:rFonts w:ascii="仿宋" w:hAnsi="仿宋" w:eastAsia="仿宋"/>
          <w:sz w:val="32"/>
          <w:szCs w:val="32"/>
        </w:rPr>
        <w:t>单位</w:t>
      </w:r>
      <w:r>
        <w:rPr>
          <w:rFonts w:hint="eastAsia" w:ascii="仿宋" w:hAnsi="仿宋" w:eastAsia="仿宋"/>
          <w:sz w:val="32"/>
          <w:szCs w:val="32"/>
        </w:rPr>
        <w:t>现有内设机构8个，包括办公室(财务科)、人事教育科（党委办）、</w:t>
      </w:r>
      <w:r>
        <w:rPr>
          <w:rFonts w:hint="eastAsia" w:ascii="仿宋_GB2312" w:hAnsi="仿宋" w:eastAsia="仿宋_GB2312" w:cs="仿宋"/>
          <w:bCs/>
          <w:sz w:val="32"/>
          <w:szCs w:val="32"/>
        </w:rPr>
        <w:t>综合技术科、分析技术室、水环境监测科、大气环境监测科、质量管理科、</w:t>
      </w:r>
      <w:r>
        <w:rPr>
          <w:rFonts w:hint="eastAsia" w:ascii="仿宋" w:hAnsi="仿宋" w:eastAsia="仿宋"/>
          <w:sz w:val="32"/>
          <w:szCs w:val="32"/>
        </w:rPr>
        <w:t>污染源监测管理</w:t>
      </w:r>
      <w:r>
        <w:rPr>
          <w:rFonts w:hint="eastAsia" w:ascii="仿宋_GB2312" w:hAnsi="仿宋" w:eastAsia="仿宋_GB2312" w:cs="仿宋"/>
          <w:bCs/>
          <w:sz w:val="32"/>
          <w:szCs w:val="32"/>
        </w:rPr>
        <w:t>（辐射环境监测）科。</w:t>
      </w:r>
    </w:p>
    <w:p>
      <w:pPr>
        <w:snapToGrid w:val="0"/>
        <w:spacing w:line="360" w:lineRule="auto"/>
        <w:ind w:firstLine="200" w:firstLineChars="200"/>
        <w:rPr>
          <w:rFonts w:ascii="仿宋" w:hAnsi="仿宋" w:eastAsia="仿宋"/>
          <w:sz w:val="10"/>
          <w:szCs w:val="10"/>
        </w:rPr>
      </w:pP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（二）决算单位构成。</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我单位无下</w:t>
      </w:r>
      <w:r>
        <w:rPr>
          <w:rFonts w:ascii="仿宋" w:hAnsi="仿宋" w:eastAsia="仿宋"/>
          <w:sz w:val="32"/>
          <w:szCs w:val="32"/>
        </w:rPr>
        <w:t>级</w:t>
      </w:r>
      <w:r>
        <w:rPr>
          <w:rFonts w:hint="eastAsia" w:ascii="仿宋" w:hAnsi="仿宋" w:eastAsia="仿宋"/>
          <w:sz w:val="32"/>
          <w:szCs w:val="32"/>
        </w:rPr>
        <w:t>预算单位,因此,湖南省</w:t>
      </w:r>
      <w:r>
        <w:rPr>
          <w:rFonts w:ascii="仿宋" w:hAnsi="仿宋" w:eastAsia="仿宋"/>
          <w:sz w:val="32"/>
          <w:szCs w:val="32"/>
        </w:rPr>
        <w:t>长沙生态环境监测中心</w:t>
      </w:r>
      <w:r>
        <w:rPr>
          <w:rFonts w:hint="default" w:ascii="仿宋" w:hAnsi="仿宋" w:eastAsia="仿宋"/>
          <w:b w:val="0"/>
          <w:bCs w:val="0"/>
          <w:sz w:val="32"/>
          <w:szCs w:val="32"/>
          <w:u w:val="none"/>
          <w:lang w:eastAsia="zh-CN"/>
        </w:rPr>
        <w:t>即为</w:t>
      </w:r>
      <w:r>
        <w:rPr>
          <w:rFonts w:hint="eastAsia" w:ascii="仿宋" w:hAnsi="仿宋" w:eastAsia="仿宋"/>
          <w:sz w:val="32"/>
          <w:szCs w:val="32"/>
        </w:rPr>
        <w:t>湖南</w:t>
      </w:r>
      <w:r>
        <w:rPr>
          <w:rFonts w:ascii="仿宋" w:hAnsi="仿宋" w:eastAsia="仿宋"/>
          <w:sz w:val="32"/>
          <w:szCs w:val="32"/>
        </w:rPr>
        <w:t>省长沙生态环境监测中心本级。</w:t>
      </w:r>
    </w:p>
    <w:p>
      <w:pPr>
        <w:widowControl/>
        <w:spacing w:line="360" w:lineRule="auto"/>
        <w:ind w:firstLine="200"/>
        <w:rPr>
          <w:rFonts w:asciiTheme="minorEastAsia" w:hAnsiTheme="minorEastAsia"/>
          <w:bCs/>
          <w:kern w:val="0"/>
          <w:sz w:val="32"/>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sz w:val="84"/>
          <w:szCs w:val="84"/>
        </w:rPr>
      </w:pPr>
      <w:r>
        <w:rPr>
          <w:rFonts w:hint="eastAsia"/>
          <w:sz w:val="84"/>
          <w:szCs w:val="84"/>
        </w:rPr>
        <w:t>第二部分</w:t>
      </w:r>
    </w:p>
    <w:p>
      <w:pPr>
        <w:pStyle w:val="13"/>
        <w:jc w:val="center"/>
        <w:rPr>
          <w:sz w:val="84"/>
          <w:szCs w:val="84"/>
        </w:rPr>
      </w:pPr>
    </w:p>
    <w:p>
      <w:pPr>
        <w:pStyle w:val="13"/>
        <w:jc w:val="center"/>
        <w:rPr>
          <w:sz w:val="84"/>
          <w:szCs w:val="84"/>
        </w:rPr>
      </w:pPr>
      <w:r>
        <w:rPr>
          <w:rFonts w:hint="eastAsia"/>
          <w:sz w:val="84"/>
          <w:szCs w:val="84"/>
        </w:rPr>
        <w:t>2</w:t>
      </w:r>
      <w:r>
        <w:rPr>
          <w:sz w:val="84"/>
          <w:szCs w:val="84"/>
        </w:rPr>
        <w:t>021</w:t>
      </w:r>
      <w:r>
        <w:rPr>
          <w:rFonts w:hint="eastAsia"/>
          <w:sz w:val="84"/>
          <w:szCs w:val="84"/>
        </w:rPr>
        <w:t>年度部门决算表</w:t>
      </w:r>
    </w:p>
    <w:p>
      <w:pPr>
        <w:pStyle w:val="13"/>
        <w:jc w:val="center"/>
        <w:rPr>
          <w:sz w:val="84"/>
          <w:szCs w:val="84"/>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headerReference r:id="rId3" w:type="default"/>
          <w:headerReference r:id="rId4" w:type="even"/>
          <w:pgSz w:w="11906" w:h="16838"/>
          <w:pgMar w:top="720" w:right="1134" w:bottom="720" w:left="1134" w:header="851" w:footer="992" w:gutter="0"/>
          <w:cols w:space="425" w:num="1"/>
          <w:docGrid w:type="lines" w:linePitch="312" w:charSpace="0"/>
        </w:sectPr>
      </w:pPr>
    </w:p>
    <w:tbl>
      <w:tblPr>
        <w:tblStyle w:val="9"/>
        <w:tblW w:w="4741" w:type="pct"/>
        <w:tblInd w:w="284" w:type="dxa"/>
        <w:tblLayout w:type="fixed"/>
        <w:tblCellMar>
          <w:top w:w="0" w:type="dxa"/>
          <w:left w:w="108" w:type="dxa"/>
          <w:bottom w:w="0" w:type="dxa"/>
          <w:right w:w="108" w:type="dxa"/>
        </w:tblCellMar>
      </w:tblPr>
      <w:tblGrid>
        <w:gridCol w:w="5341"/>
        <w:gridCol w:w="678"/>
        <w:gridCol w:w="1744"/>
        <w:gridCol w:w="4388"/>
        <w:gridCol w:w="678"/>
        <w:gridCol w:w="1975"/>
      </w:tblGrid>
      <w:tr>
        <w:tblPrEx>
          <w:tblCellMar>
            <w:top w:w="0" w:type="dxa"/>
            <w:left w:w="108" w:type="dxa"/>
            <w:bottom w:w="0" w:type="dxa"/>
            <w:right w:w="108" w:type="dxa"/>
          </w:tblCellMar>
        </w:tblPrEx>
        <w:trPr>
          <w:cantSplit/>
        </w:trPr>
        <w:tc>
          <w:tcPr>
            <w:tcW w:w="5000" w:type="pct"/>
            <w:gridSpan w:val="6"/>
            <w:tcBorders>
              <w:top w:val="nil"/>
              <w:left w:val="nil"/>
              <w:bottom w:val="nil"/>
              <w:right w:val="nil"/>
            </w:tcBorders>
            <w:shd w:val="clear" w:color="auto" w:fill="auto"/>
            <w:noWrap/>
            <w:vAlign w:val="center"/>
          </w:tcPr>
          <w:p>
            <w:pPr>
              <w:widowControl/>
              <w:jc w:val="center"/>
              <w:rPr>
                <w:rFonts w:ascii="黑体" w:hAnsi="黑体" w:eastAsia="黑体" w:cs="Arial"/>
                <w:kern w:val="0"/>
                <w:sz w:val="30"/>
                <w:szCs w:val="30"/>
              </w:rPr>
            </w:pPr>
            <w:r>
              <w:rPr>
                <w:rFonts w:hint="eastAsia" w:ascii="黑体" w:hAnsi="黑体" w:eastAsia="黑体" w:cs="Arial"/>
                <w:kern w:val="0"/>
                <w:sz w:val="30"/>
                <w:szCs w:val="30"/>
              </w:rPr>
              <w:t>收入支出决算总表</w:t>
            </w:r>
          </w:p>
        </w:tc>
      </w:tr>
      <w:tr>
        <w:tblPrEx>
          <w:tblCellMar>
            <w:top w:w="0" w:type="dxa"/>
            <w:left w:w="108" w:type="dxa"/>
            <w:bottom w:w="0" w:type="dxa"/>
            <w:right w:w="108" w:type="dxa"/>
          </w:tblCellMar>
        </w:tblPrEx>
        <w:trPr>
          <w:cantSplit/>
        </w:trPr>
        <w:tc>
          <w:tcPr>
            <w:tcW w:w="1804"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229"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589"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1482"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229" w:type="pct"/>
            <w:tcBorders>
              <w:top w:val="nil"/>
              <w:left w:val="nil"/>
              <w:bottom w:val="nil"/>
              <w:right w:val="nil"/>
            </w:tcBorders>
            <w:shd w:val="clear" w:color="auto" w:fill="auto"/>
            <w:noWrap/>
            <w:vAlign w:val="center"/>
          </w:tcPr>
          <w:p>
            <w:pPr>
              <w:widowControl/>
              <w:jc w:val="left"/>
              <w:rPr>
                <w:rFonts w:ascii="宋体" w:hAnsi="宋体" w:eastAsia="宋体" w:cs="Arial"/>
                <w:kern w:val="0"/>
                <w:sz w:val="18"/>
                <w:szCs w:val="18"/>
              </w:rPr>
            </w:pPr>
          </w:p>
        </w:tc>
        <w:tc>
          <w:tcPr>
            <w:tcW w:w="667" w:type="pct"/>
            <w:tcBorders>
              <w:top w:val="nil"/>
              <w:left w:val="nil"/>
              <w:bottom w:val="nil"/>
              <w:right w:val="nil"/>
            </w:tcBorders>
            <w:shd w:val="clear" w:color="auto" w:fill="auto"/>
            <w:noWrap/>
            <w:vAlign w:val="center"/>
          </w:tcPr>
          <w:p>
            <w:pPr>
              <w:widowControl/>
              <w:jc w:val="right"/>
              <w:rPr>
                <w:rFonts w:ascii="宋体" w:hAnsi="宋体" w:eastAsia="宋体" w:cs="Arial"/>
                <w:kern w:val="0"/>
                <w:sz w:val="22"/>
              </w:rPr>
            </w:pPr>
            <w:r>
              <w:rPr>
                <w:rFonts w:hint="eastAsia" w:ascii="宋体" w:hAnsi="宋体" w:eastAsia="宋体" w:cs="Arial"/>
                <w:kern w:val="0"/>
                <w:sz w:val="22"/>
              </w:rPr>
              <w:t>公开01表</w:t>
            </w:r>
          </w:p>
        </w:tc>
      </w:tr>
      <w:tr>
        <w:tblPrEx>
          <w:tblCellMar>
            <w:top w:w="0" w:type="dxa"/>
            <w:left w:w="108" w:type="dxa"/>
            <w:bottom w:w="0" w:type="dxa"/>
            <w:right w:w="108" w:type="dxa"/>
          </w:tblCellMar>
        </w:tblPrEx>
        <w:trPr>
          <w:cantSplit/>
        </w:trPr>
        <w:tc>
          <w:tcPr>
            <w:tcW w:w="1804" w:type="pct"/>
            <w:tcBorders>
              <w:top w:val="nil"/>
              <w:left w:val="nil"/>
              <w:bottom w:val="single" w:color="auto" w:sz="4" w:space="0"/>
              <w:right w:val="nil"/>
            </w:tcBorders>
            <w:shd w:val="clear" w:color="auto" w:fill="auto"/>
            <w:noWrap/>
            <w:vAlign w:val="center"/>
          </w:tcPr>
          <w:p>
            <w:pPr>
              <w:widowControl/>
              <w:jc w:val="left"/>
              <w:rPr>
                <w:rFonts w:ascii="宋体" w:hAnsi="宋体" w:eastAsia="宋体" w:cs="Arial"/>
                <w:kern w:val="0"/>
                <w:sz w:val="22"/>
              </w:rPr>
            </w:pPr>
            <w:r>
              <w:rPr>
                <w:rFonts w:hint="eastAsia" w:ascii="宋体" w:hAnsi="宋体" w:eastAsia="宋体" w:cs="Arial"/>
                <w:kern w:val="0"/>
                <w:sz w:val="22"/>
              </w:rPr>
              <w:t>部门：湖南省长沙生态环境监测中心</w:t>
            </w:r>
          </w:p>
        </w:tc>
        <w:tc>
          <w:tcPr>
            <w:tcW w:w="229" w:type="pct"/>
            <w:tcBorders>
              <w:top w:val="nil"/>
              <w:left w:val="nil"/>
              <w:bottom w:val="single" w:color="auto" w:sz="4" w:space="0"/>
              <w:right w:val="nil"/>
            </w:tcBorders>
            <w:shd w:val="clear" w:color="auto" w:fill="auto"/>
            <w:noWrap/>
            <w:vAlign w:val="center"/>
          </w:tcPr>
          <w:p>
            <w:pPr>
              <w:widowControl/>
              <w:jc w:val="left"/>
              <w:rPr>
                <w:rFonts w:ascii="宋体" w:hAnsi="宋体" w:eastAsia="宋体" w:cs="Arial"/>
                <w:kern w:val="0"/>
                <w:sz w:val="18"/>
                <w:szCs w:val="18"/>
              </w:rPr>
            </w:pPr>
          </w:p>
        </w:tc>
        <w:tc>
          <w:tcPr>
            <w:tcW w:w="2071" w:type="pct"/>
            <w:gridSpan w:val="2"/>
            <w:tcBorders>
              <w:top w:val="nil"/>
              <w:left w:val="nil"/>
              <w:bottom w:val="single" w:color="auto" w:sz="4" w:space="0"/>
              <w:right w:val="nil"/>
            </w:tcBorders>
            <w:shd w:val="clear" w:color="auto" w:fill="auto"/>
            <w:noWrap/>
            <w:vAlign w:val="center"/>
          </w:tcPr>
          <w:p>
            <w:pPr>
              <w:widowControl/>
              <w:ind w:firstLine="720" w:firstLineChars="300"/>
              <w:jc w:val="left"/>
              <w:rPr>
                <w:rFonts w:ascii="宋体" w:hAnsi="宋体" w:eastAsia="宋体" w:cs="Arial"/>
                <w:kern w:val="0"/>
                <w:sz w:val="24"/>
                <w:szCs w:val="24"/>
              </w:rPr>
            </w:pPr>
            <w:r>
              <w:rPr>
                <w:rFonts w:hint="eastAsia" w:ascii="宋体" w:hAnsi="宋体" w:eastAsia="宋体" w:cs="Arial"/>
                <w:kern w:val="0"/>
                <w:sz w:val="24"/>
                <w:szCs w:val="24"/>
              </w:rPr>
              <w:t>202</w:t>
            </w:r>
            <w:r>
              <w:rPr>
                <w:rFonts w:ascii="宋体" w:hAnsi="宋体" w:eastAsia="宋体" w:cs="Arial"/>
                <w:kern w:val="0"/>
                <w:sz w:val="24"/>
                <w:szCs w:val="24"/>
              </w:rPr>
              <w:t>1</w:t>
            </w:r>
            <w:r>
              <w:rPr>
                <w:rFonts w:hint="eastAsia" w:ascii="宋体" w:hAnsi="宋体" w:eastAsia="宋体" w:cs="Arial"/>
                <w:kern w:val="0"/>
                <w:sz w:val="24"/>
                <w:szCs w:val="24"/>
              </w:rPr>
              <w:t>年度</w:t>
            </w:r>
          </w:p>
        </w:tc>
        <w:tc>
          <w:tcPr>
            <w:tcW w:w="229" w:type="pct"/>
            <w:tcBorders>
              <w:top w:val="nil"/>
              <w:left w:val="nil"/>
              <w:bottom w:val="single" w:color="auto" w:sz="4" w:space="0"/>
              <w:right w:val="nil"/>
            </w:tcBorders>
            <w:shd w:val="clear" w:color="auto" w:fill="auto"/>
            <w:noWrap/>
            <w:vAlign w:val="center"/>
          </w:tcPr>
          <w:p>
            <w:pPr>
              <w:widowControl/>
              <w:jc w:val="left"/>
              <w:rPr>
                <w:rFonts w:ascii="宋体" w:hAnsi="宋体" w:eastAsia="宋体" w:cs="Arial"/>
                <w:kern w:val="0"/>
                <w:sz w:val="18"/>
                <w:szCs w:val="18"/>
              </w:rPr>
            </w:pPr>
          </w:p>
        </w:tc>
        <w:tc>
          <w:tcPr>
            <w:tcW w:w="667" w:type="pct"/>
            <w:tcBorders>
              <w:top w:val="nil"/>
              <w:left w:val="nil"/>
              <w:bottom w:val="single" w:color="auto" w:sz="4" w:space="0"/>
              <w:right w:val="nil"/>
            </w:tcBorders>
            <w:shd w:val="clear" w:color="auto" w:fill="auto"/>
            <w:noWrap/>
            <w:vAlign w:val="center"/>
          </w:tcPr>
          <w:p>
            <w:pPr>
              <w:widowControl/>
              <w:jc w:val="right"/>
              <w:rPr>
                <w:rFonts w:ascii="宋体" w:hAnsi="宋体" w:eastAsia="宋体" w:cs="Arial"/>
                <w:kern w:val="0"/>
                <w:sz w:val="22"/>
              </w:rPr>
            </w:pPr>
            <w:r>
              <w:rPr>
                <w:rFonts w:hint="eastAsia" w:ascii="宋体" w:hAnsi="宋体" w:eastAsia="宋体" w:cs="Arial"/>
                <w:kern w:val="0"/>
                <w:sz w:val="22"/>
              </w:rPr>
              <w:t>金额单位：万元</w:t>
            </w:r>
          </w:p>
        </w:tc>
      </w:tr>
      <w:tr>
        <w:tblPrEx>
          <w:tblCellMar>
            <w:top w:w="0" w:type="dxa"/>
            <w:left w:w="108" w:type="dxa"/>
            <w:bottom w:w="0" w:type="dxa"/>
            <w:right w:w="108" w:type="dxa"/>
          </w:tblCellMar>
        </w:tblPrEx>
        <w:trPr>
          <w:cantSplit/>
        </w:trPr>
        <w:tc>
          <w:tcPr>
            <w:tcW w:w="262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收入</w:t>
            </w:r>
          </w:p>
        </w:tc>
        <w:tc>
          <w:tcPr>
            <w:tcW w:w="2378"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支出</w:t>
            </w:r>
          </w:p>
        </w:tc>
      </w:tr>
      <w:tr>
        <w:tblPrEx>
          <w:tblCellMar>
            <w:top w:w="0" w:type="dxa"/>
            <w:left w:w="108" w:type="dxa"/>
            <w:bottom w:w="0" w:type="dxa"/>
            <w:right w:w="108" w:type="dxa"/>
          </w:tblCellMar>
        </w:tblPrEx>
        <w:trPr>
          <w:cantSplit/>
        </w:trPr>
        <w:tc>
          <w:tcPr>
            <w:tcW w:w="18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58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148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667" w:type="pct"/>
            <w:tcBorders>
              <w:top w:val="nil"/>
              <w:left w:val="single" w:color="auto"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r>
      <w:tr>
        <w:tblPrEx>
          <w:tblCellMar>
            <w:top w:w="0" w:type="dxa"/>
            <w:left w:w="108" w:type="dxa"/>
            <w:bottom w:w="0" w:type="dxa"/>
            <w:right w:w="108" w:type="dxa"/>
          </w:tblCellMar>
        </w:tblPrEx>
        <w:trPr>
          <w:cantSplit/>
        </w:trPr>
        <w:tc>
          <w:tcPr>
            <w:tcW w:w="1804"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229"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589"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482"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229"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1,776.96</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三、国有资本经营预算财政拨款收入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四、上级补助收入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五、事业收入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六、经营收入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七、附属单位上缴收入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八、其他收入</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2173.78</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122.32</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84.90</w:t>
            </w: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3920.07</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176.69</w:t>
            </w: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44.95</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3950.74</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4348.93</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使用非财政拨款结余</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结余分配</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年初结转和结余</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502.65</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年末结转和结余</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104.46</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cantSplit/>
        </w:trPr>
        <w:tc>
          <w:tcPr>
            <w:tcW w:w="1804"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229" w:type="pct"/>
            <w:tcBorders>
              <w:top w:val="single" w:color="000000"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589"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4453.39</w:t>
            </w:r>
          </w:p>
        </w:tc>
        <w:tc>
          <w:tcPr>
            <w:tcW w:w="1482"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229"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66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4453.39</w:t>
            </w:r>
          </w:p>
        </w:tc>
      </w:tr>
      <w:tr>
        <w:tblPrEx>
          <w:tblCellMar>
            <w:top w:w="0" w:type="dxa"/>
            <w:left w:w="108" w:type="dxa"/>
            <w:bottom w:w="0" w:type="dxa"/>
            <w:right w:w="108" w:type="dxa"/>
          </w:tblCellMar>
        </w:tblPrEx>
        <w:trPr>
          <w:cantSplit/>
        </w:trPr>
        <w:tc>
          <w:tcPr>
            <w:tcW w:w="5000" w:type="pct"/>
            <w:gridSpan w:val="6"/>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注：本表反映部门本年度的总收支和年末结转结余情况。本套报表金额单位转换时可能存在尾数误差。</w:t>
            </w:r>
          </w:p>
        </w:tc>
      </w:tr>
    </w:tbl>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r>
        <w:rPr>
          <w:rFonts w:hint="eastAsia" w:ascii="黑体" w:hAnsi="黑体" w:eastAsia="黑体" w:cs="Arial"/>
          <w:kern w:val="0"/>
          <w:sz w:val="30"/>
          <w:szCs w:val="30"/>
        </w:rPr>
        <w:t>收入决算表</w:t>
      </w:r>
    </w:p>
    <w:p>
      <w:pPr>
        <w:widowControl/>
        <w:rPr>
          <w:rFonts w:ascii="宋体" w:hAnsi="宋体" w:eastAsia="宋体" w:cs="Arial"/>
          <w:kern w:val="0"/>
          <w:sz w:val="22"/>
        </w:rPr>
      </w:pPr>
      <w:r>
        <w:rPr>
          <w:rFonts w:hint="eastAsia" w:ascii="黑体" w:hAnsi="黑体" w:eastAsia="黑体" w:cs="Arial"/>
          <w:kern w:val="0"/>
          <w:sz w:val="30"/>
          <w:szCs w:val="30"/>
        </w:rPr>
        <w:t xml:space="preserve">                                                                                        </w:t>
      </w:r>
      <w:r>
        <w:rPr>
          <w:rFonts w:ascii="黑体" w:hAnsi="黑体" w:eastAsia="黑体" w:cs="Arial"/>
          <w:kern w:val="0"/>
          <w:sz w:val="30"/>
          <w:szCs w:val="30"/>
        </w:rPr>
        <w:t xml:space="preserve">    </w:t>
      </w:r>
      <w:r>
        <w:rPr>
          <w:rFonts w:hint="eastAsia" w:ascii="宋体" w:hAnsi="宋体" w:eastAsia="宋体" w:cs="Arial"/>
          <w:kern w:val="0"/>
          <w:sz w:val="22"/>
        </w:rPr>
        <w:t>公开02表</w:t>
      </w:r>
    </w:p>
    <w:p>
      <w:pPr>
        <w:widowControl/>
        <w:ind w:firstLine="440" w:firstLineChars="200"/>
        <w:rPr>
          <w:rFonts w:ascii="宋体" w:hAnsi="宋体" w:eastAsia="宋体" w:cs="Arial"/>
          <w:kern w:val="0"/>
          <w:sz w:val="22"/>
        </w:rPr>
      </w:pPr>
      <w:r>
        <w:rPr>
          <w:rFonts w:hint="eastAsia" w:ascii="宋体" w:hAnsi="宋体" w:eastAsia="宋体" w:cs="Arial"/>
          <w:kern w:val="0"/>
          <w:sz w:val="22"/>
        </w:rPr>
        <w:t>部门：湖南省长沙生态环境监测中心                              2021年度</w:t>
      </w:r>
      <w:r>
        <w:rPr>
          <w:rFonts w:hint="eastAsia" w:ascii="宋体" w:hAnsi="宋体" w:eastAsia="宋体" w:cs="Arial"/>
          <w:kern w:val="0"/>
          <w:sz w:val="22"/>
        </w:rPr>
        <w:tab/>
      </w:r>
      <w:r>
        <w:rPr>
          <w:rFonts w:hint="eastAsia" w:ascii="宋体" w:hAnsi="宋体" w:eastAsia="宋体" w:cs="Arial"/>
          <w:kern w:val="0"/>
          <w:sz w:val="22"/>
        </w:rPr>
        <w:tab/>
      </w:r>
      <w:r>
        <w:rPr>
          <w:rFonts w:ascii="宋体" w:hAnsi="宋体" w:eastAsia="宋体" w:cs="Arial"/>
          <w:kern w:val="0"/>
          <w:sz w:val="22"/>
        </w:rPr>
        <w:t xml:space="preserve">                                         </w:t>
      </w:r>
      <w:r>
        <w:rPr>
          <w:rFonts w:hint="eastAsia" w:ascii="宋体" w:hAnsi="宋体" w:eastAsia="宋体" w:cs="Arial"/>
          <w:kern w:val="0"/>
          <w:sz w:val="22"/>
        </w:rPr>
        <w:t>金额单位：万元</w:t>
      </w:r>
      <w:r>
        <w:fldChar w:fldCharType="begin"/>
      </w:r>
      <w:r>
        <w:instrText xml:space="preserve"> </w:instrText>
      </w:r>
      <w:r>
        <w:rPr>
          <w:rFonts w:hint="eastAsia"/>
        </w:rPr>
        <w:instrText xml:space="preserve">LINK </w:instrText>
      </w:r>
      <w:r>
        <w:instrText xml:space="preserve">Excel.Sheet.8</w:instrText>
      </w:r>
      <w:r>
        <w:rPr>
          <w:rFonts w:hint="eastAsia"/>
        </w:rPr>
        <w:instrText xml:space="preserve"> C:\\Users\\Administrator\\Desktop\\湖南省长沙生态环境监测中心.xls "Z03 收入决算批复表!R38C1:R64C11" \a \f 4 \h</w:instrText>
      </w:r>
      <w:r>
        <w:instrText xml:space="preserve">  \* MERGEFORMAT </w:instrText>
      </w:r>
      <w:r>
        <w:fldChar w:fldCharType="separate"/>
      </w:r>
    </w:p>
    <w:tbl>
      <w:tblPr>
        <w:tblStyle w:val="9"/>
        <w:tblW w:w="14840" w:type="dxa"/>
        <w:jc w:val="center"/>
        <w:tblLayout w:type="autofit"/>
        <w:tblCellMar>
          <w:top w:w="0" w:type="dxa"/>
          <w:left w:w="108" w:type="dxa"/>
          <w:bottom w:w="0" w:type="dxa"/>
          <w:right w:w="108" w:type="dxa"/>
        </w:tblCellMar>
      </w:tblPr>
      <w:tblGrid>
        <w:gridCol w:w="943"/>
        <w:gridCol w:w="3305"/>
        <w:gridCol w:w="1514"/>
        <w:gridCol w:w="1514"/>
        <w:gridCol w:w="1514"/>
        <w:gridCol w:w="1514"/>
        <w:gridCol w:w="1514"/>
        <w:gridCol w:w="1514"/>
        <w:gridCol w:w="1508"/>
      </w:tblGrid>
      <w:tr>
        <w:tblPrEx>
          <w:tblCellMar>
            <w:top w:w="0" w:type="dxa"/>
            <w:left w:w="108" w:type="dxa"/>
            <w:bottom w:w="0" w:type="dxa"/>
            <w:right w:w="108" w:type="dxa"/>
          </w:tblCellMar>
        </w:tblPrEx>
        <w:trPr>
          <w:trHeight w:val="161" w:hRule="atLeast"/>
          <w:jc w:val="center"/>
        </w:trPr>
        <w:tc>
          <w:tcPr>
            <w:tcW w:w="4248" w:type="dxa"/>
            <w:gridSpan w:val="2"/>
            <w:tcBorders>
              <w:top w:val="single" w:color="auto"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本年收入合计</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财政拨款收入</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上级补助收入</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事业收入</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经营收入</w:t>
            </w:r>
          </w:p>
        </w:tc>
        <w:tc>
          <w:tcPr>
            <w:tcW w:w="1514"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附属单位上缴收入</w:t>
            </w:r>
          </w:p>
        </w:tc>
        <w:tc>
          <w:tcPr>
            <w:tcW w:w="1508"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其他收入</w:t>
            </w:r>
          </w:p>
        </w:tc>
      </w:tr>
      <w:tr>
        <w:tblPrEx>
          <w:tblCellMar>
            <w:top w:w="0" w:type="dxa"/>
            <w:left w:w="108" w:type="dxa"/>
            <w:bottom w:w="0" w:type="dxa"/>
            <w:right w:w="108" w:type="dxa"/>
          </w:tblCellMar>
        </w:tblPrEx>
        <w:trPr>
          <w:trHeight w:val="312" w:hRule="atLeast"/>
          <w:jc w:val="center"/>
        </w:trPr>
        <w:tc>
          <w:tcPr>
            <w:tcW w:w="94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3305"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08"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943"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3305"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08"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2" w:hRule="atLeast"/>
          <w:jc w:val="center"/>
        </w:trPr>
        <w:tc>
          <w:tcPr>
            <w:tcW w:w="943"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3305"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14"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508"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161" w:hRule="atLeast"/>
          <w:jc w:val="center"/>
        </w:trPr>
        <w:tc>
          <w:tcPr>
            <w:tcW w:w="4248" w:type="dxa"/>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51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508"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r>
      <w:tr>
        <w:tblPrEx>
          <w:tblCellMar>
            <w:top w:w="0" w:type="dxa"/>
            <w:left w:w="108" w:type="dxa"/>
            <w:bottom w:w="0" w:type="dxa"/>
            <w:right w:w="108" w:type="dxa"/>
          </w:tblCellMar>
        </w:tblPrEx>
        <w:trPr>
          <w:trHeight w:val="161" w:hRule="atLeast"/>
          <w:jc w:val="center"/>
        </w:trPr>
        <w:tc>
          <w:tcPr>
            <w:tcW w:w="4248" w:type="dxa"/>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合计</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3950.74</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1,776.96</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2,173.78</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20805</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314"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123.02</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210</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卫生健康支出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21011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行政事业单位医疗</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2101102</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事业单位医疗</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85.09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节能环保支出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3,516.21</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1387.38</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2,128.83</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环境保护管理事务</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1129.89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1129.89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2110101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行政运行</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1129.89</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1,129.89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21102</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环境监测与监察</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650.81</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632.81</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2110299</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其他环境监测与监察支出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650.81</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18.00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632.81</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21103</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污染防治</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90</w:t>
            </w:r>
            <w:r>
              <w:rPr>
                <w:rFonts w:ascii="宋体" w:hAnsi="宋体" w:eastAsia="宋体" w:cs="Arial"/>
                <w:b/>
                <w:bCs/>
                <w:kern w:val="0"/>
                <w:sz w:val="20"/>
                <w:szCs w:val="20"/>
              </w:rPr>
              <w:t>.00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90</w:t>
            </w:r>
            <w:r>
              <w:rPr>
                <w:rFonts w:ascii="宋体" w:hAnsi="宋体" w:eastAsia="宋体" w:cs="Arial"/>
                <w:b/>
                <w:bCs/>
                <w:kern w:val="0"/>
                <w:sz w:val="20"/>
                <w:szCs w:val="20"/>
              </w:rPr>
              <w:t>.00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2110399</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土壤</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90.00</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90.00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21111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污染减排</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1645.51</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149.49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1,496.02</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2111101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生态环境监测与信息</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1645.51</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149.49</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1,496.02</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181.47</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181.47</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181.47</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181.47</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181.47</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181.47</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229</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r>
      <w:tr>
        <w:tblPrEx>
          <w:tblCellMar>
            <w:top w:w="0" w:type="dxa"/>
            <w:left w:w="108" w:type="dxa"/>
            <w:bottom w:w="0" w:type="dxa"/>
            <w:right w:w="108" w:type="dxa"/>
          </w:tblCellMar>
        </w:tblPrEx>
        <w:trPr>
          <w:trHeight w:val="161"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22999</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其他支出</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r>
      <w:tr>
        <w:tblPrEx>
          <w:tblCellMar>
            <w:top w:w="0" w:type="dxa"/>
            <w:left w:w="108" w:type="dxa"/>
            <w:bottom w:w="0" w:type="dxa"/>
            <w:right w:w="108" w:type="dxa"/>
          </w:tblCellMar>
        </w:tblPrEx>
        <w:trPr>
          <w:trHeight w:val="157" w:hRule="atLeast"/>
          <w:jc w:val="center"/>
        </w:trPr>
        <w:tc>
          <w:tcPr>
            <w:tcW w:w="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2299901</w:t>
            </w:r>
          </w:p>
        </w:tc>
        <w:tc>
          <w:tcPr>
            <w:tcW w:w="3305"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1514"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44.95</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0</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1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50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44.95</w:t>
            </w:r>
          </w:p>
        </w:tc>
      </w:tr>
    </w:tbl>
    <w:p>
      <w:pPr>
        <w:widowControl/>
      </w:pPr>
      <w:r>
        <w:rPr>
          <w:rFonts w:ascii="黑体" w:hAnsi="黑体" w:eastAsia="黑体" w:cs="Arial"/>
          <w:kern w:val="0"/>
          <w:sz w:val="30"/>
          <w:szCs w:val="30"/>
        </w:rPr>
        <w:fldChar w:fldCharType="end"/>
      </w:r>
      <w:r>
        <w:rPr>
          <w:rFonts w:ascii="黑体" w:hAnsi="黑体" w:eastAsia="黑体" w:cs="Arial"/>
          <w:kern w:val="0"/>
          <w:sz w:val="30"/>
          <w:szCs w:val="30"/>
        </w:rPr>
        <w:fldChar w:fldCharType="begin"/>
      </w:r>
      <w:r>
        <w:rPr>
          <w:rFonts w:ascii="黑体" w:hAnsi="黑体" w:eastAsia="黑体" w:cs="Arial"/>
          <w:kern w:val="0"/>
          <w:sz w:val="30"/>
          <w:szCs w:val="30"/>
        </w:rPr>
        <w:instrText xml:space="preserve"> LINK Excel.Sheet.8 C:\\Users\\Administrator\\Desktop\\湖南省长沙生态环境监测中心.xls "Z04 支出决算批复表!R4C12:R39C30" \a \f 4 \h  \* MERGEFORMAT </w:instrText>
      </w:r>
      <w:r>
        <w:rPr>
          <w:rFonts w:ascii="黑体" w:hAnsi="黑体" w:eastAsia="黑体" w:cs="Arial"/>
          <w:kern w:val="0"/>
          <w:sz w:val="30"/>
          <w:szCs w:val="30"/>
        </w:rPr>
        <w:fldChar w:fldCharType="separate"/>
      </w:r>
    </w:p>
    <w:tbl>
      <w:tblPr>
        <w:tblStyle w:val="9"/>
        <w:tblW w:w="15020" w:type="dxa"/>
        <w:tblInd w:w="0" w:type="dxa"/>
        <w:tblLayout w:type="autofit"/>
        <w:tblCellMar>
          <w:top w:w="0" w:type="dxa"/>
          <w:left w:w="108" w:type="dxa"/>
          <w:bottom w:w="0" w:type="dxa"/>
          <w:right w:w="108" w:type="dxa"/>
        </w:tblCellMar>
      </w:tblPr>
      <w:tblGrid>
        <w:gridCol w:w="364"/>
        <w:gridCol w:w="289"/>
        <w:gridCol w:w="278"/>
        <w:gridCol w:w="4040"/>
        <w:gridCol w:w="1719"/>
        <w:gridCol w:w="1719"/>
        <w:gridCol w:w="1740"/>
        <w:gridCol w:w="1340"/>
        <w:gridCol w:w="1340"/>
        <w:gridCol w:w="2191"/>
      </w:tblGrid>
      <w:tr>
        <w:tblPrEx>
          <w:tblCellMar>
            <w:top w:w="0" w:type="dxa"/>
            <w:left w:w="108" w:type="dxa"/>
            <w:bottom w:w="0" w:type="dxa"/>
            <w:right w:w="108" w:type="dxa"/>
          </w:tblCellMar>
        </w:tblPrEx>
        <w:trPr>
          <w:trHeight w:val="265" w:hRule="atLeast"/>
        </w:trPr>
        <w:tc>
          <w:tcPr>
            <w:tcW w:w="15020" w:type="dxa"/>
            <w:gridSpan w:val="10"/>
            <w:tcBorders>
              <w:top w:val="nil"/>
              <w:left w:val="nil"/>
              <w:bottom w:val="nil"/>
              <w:right w:val="nil"/>
            </w:tcBorders>
            <w:shd w:val="clear" w:color="000000" w:fill="FFFFFF"/>
            <w:noWrap/>
            <w:vAlign w:val="center"/>
          </w:tcPr>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r>
              <w:rPr>
                <w:rFonts w:hint="eastAsia" w:ascii="黑体" w:hAnsi="黑体" w:eastAsia="黑体" w:cs="Arial"/>
                <w:kern w:val="0"/>
                <w:sz w:val="30"/>
                <w:szCs w:val="30"/>
              </w:rPr>
              <w:t>支出决算表</w:t>
            </w:r>
          </w:p>
        </w:tc>
      </w:tr>
      <w:tr>
        <w:tblPrEx>
          <w:tblCellMar>
            <w:top w:w="0" w:type="dxa"/>
            <w:left w:w="108" w:type="dxa"/>
            <w:bottom w:w="0" w:type="dxa"/>
            <w:right w:w="108" w:type="dxa"/>
          </w:tblCellMar>
        </w:tblPrEx>
        <w:trPr>
          <w:trHeight w:val="265" w:hRule="atLeast"/>
        </w:trPr>
        <w:tc>
          <w:tcPr>
            <w:tcW w:w="36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8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78"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03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71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71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739"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4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40"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190" w:type="dxa"/>
            <w:tcBorders>
              <w:top w:val="nil"/>
              <w:left w:val="nil"/>
              <w:bottom w:val="nil"/>
              <w:right w:val="nil"/>
            </w:tcBorders>
            <w:shd w:val="clear" w:color="000000" w:fill="FFFFFF"/>
            <w:noWrap/>
            <w:vAlign w:val="center"/>
          </w:tcPr>
          <w:p>
            <w:pPr>
              <w:widowControl/>
              <w:jc w:val="right"/>
              <w:rPr>
                <w:rFonts w:ascii="宋体" w:hAnsi="宋体" w:eastAsia="宋体" w:cs="Arial"/>
                <w:kern w:val="0"/>
                <w:sz w:val="22"/>
              </w:rPr>
            </w:pPr>
            <w:r>
              <w:rPr>
                <w:rFonts w:hint="eastAsia" w:ascii="宋体" w:hAnsi="宋体" w:eastAsia="宋体" w:cs="Arial"/>
                <w:kern w:val="0"/>
                <w:sz w:val="22"/>
              </w:rPr>
              <w:t>公开03表</w:t>
            </w:r>
          </w:p>
        </w:tc>
      </w:tr>
      <w:tr>
        <w:tblPrEx>
          <w:tblCellMar>
            <w:top w:w="0" w:type="dxa"/>
            <w:left w:w="108" w:type="dxa"/>
            <w:bottom w:w="0" w:type="dxa"/>
            <w:right w:w="108" w:type="dxa"/>
          </w:tblCellMar>
        </w:tblPrEx>
        <w:trPr>
          <w:trHeight w:val="309" w:hRule="atLeast"/>
        </w:trPr>
        <w:tc>
          <w:tcPr>
            <w:tcW w:w="4971" w:type="dxa"/>
            <w:gridSpan w:val="4"/>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22"/>
              </w:rPr>
            </w:pPr>
            <w:r>
              <w:rPr>
                <w:rFonts w:hint="eastAsia" w:ascii="宋体" w:hAnsi="宋体" w:eastAsia="宋体" w:cs="Arial"/>
                <w:kern w:val="0"/>
                <w:sz w:val="22"/>
              </w:rPr>
              <w:t>部门：湖南省长沙生态环境监测中心</w:t>
            </w:r>
          </w:p>
        </w:tc>
        <w:tc>
          <w:tcPr>
            <w:tcW w:w="5178" w:type="dxa"/>
            <w:gridSpan w:val="3"/>
            <w:tcBorders>
              <w:top w:val="nil"/>
              <w:left w:val="nil"/>
              <w:bottom w:val="single" w:color="808080" w:sz="8" w:space="0"/>
              <w:right w:val="nil"/>
            </w:tcBorders>
            <w:shd w:val="clear" w:color="000000" w:fill="FFFFFF"/>
            <w:noWrap/>
            <w:vAlign w:val="center"/>
          </w:tcPr>
          <w:p>
            <w:pPr>
              <w:widowControl/>
              <w:jc w:val="center"/>
              <w:rPr>
                <w:rFonts w:ascii="宋体" w:hAnsi="宋体" w:eastAsia="宋体" w:cs="Arial"/>
                <w:kern w:val="0"/>
                <w:sz w:val="22"/>
              </w:rPr>
            </w:pPr>
            <w:r>
              <w:rPr>
                <w:rFonts w:hint="eastAsia" w:ascii="宋体" w:hAnsi="宋体" w:eastAsia="宋体" w:cs="Arial"/>
                <w:kern w:val="0"/>
                <w:sz w:val="22"/>
              </w:rPr>
              <w:t>2021年度</w:t>
            </w:r>
          </w:p>
        </w:tc>
        <w:tc>
          <w:tcPr>
            <w:tcW w:w="1340" w:type="dxa"/>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40" w:type="dxa"/>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190" w:type="dxa"/>
            <w:tcBorders>
              <w:top w:val="nil"/>
              <w:left w:val="nil"/>
              <w:bottom w:val="single" w:color="auto" w:sz="8" w:space="0"/>
              <w:right w:val="nil"/>
            </w:tcBorders>
            <w:shd w:val="clear" w:color="000000" w:fill="FFFFFF"/>
            <w:noWrap/>
            <w:vAlign w:val="center"/>
          </w:tcPr>
          <w:p>
            <w:pPr>
              <w:widowControl/>
              <w:jc w:val="right"/>
              <w:rPr>
                <w:rFonts w:ascii="宋体" w:hAnsi="宋体" w:eastAsia="宋体" w:cs="Arial"/>
                <w:kern w:val="0"/>
                <w:sz w:val="22"/>
              </w:rPr>
            </w:pPr>
            <w:r>
              <w:rPr>
                <w:rFonts w:hint="eastAsia" w:ascii="宋体" w:hAnsi="宋体" w:eastAsia="宋体" w:cs="Arial"/>
                <w:kern w:val="0"/>
                <w:sz w:val="22"/>
              </w:rPr>
              <w:t>金额单位：万元</w:t>
            </w:r>
          </w:p>
        </w:tc>
      </w:tr>
      <w:tr>
        <w:tblPrEx>
          <w:tblCellMar>
            <w:top w:w="0" w:type="dxa"/>
            <w:left w:w="108" w:type="dxa"/>
            <w:bottom w:w="0" w:type="dxa"/>
            <w:right w:w="108" w:type="dxa"/>
          </w:tblCellMar>
        </w:tblPrEx>
        <w:trPr>
          <w:trHeight w:val="265" w:hRule="atLeast"/>
        </w:trPr>
        <w:tc>
          <w:tcPr>
            <w:tcW w:w="4971" w:type="dxa"/>
            <w:gridSpan w:val="4"/>
            <w:tcBorders>
              <w:top w:val="single" w:color="80808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1719" w:type="dxa"/>
            <w:vMerge w:val="restart"/>
            <w:tcBorders>
              <w:top w:val="single" w:color="80808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本年支出合计</w:t>
            </w:r>
          </w:p>
        </w:tc>
        <w:tc>
          <w:tcPr>
            <w:tcW w:w="1719" w:type="dxa"/>
            <w:vMerge w:val="restart"/>
            <w:tcBorders>
              <w:top w:val="single" w:color="80808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基本支出</w:t>
            </w:r>
          </w:p>
        </w:tc>
        <w:tc>
          <w:tcPr>
            <w:tcW w:w="1739" w:type="dxa"/>
            <w:vMerge w:val="restart"/>
            <w:tcBorders>
              <w:top w:val="single" w:color="80808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项目支出</w:t>
            </w:r>
          </w:p>
        </w:tc>
        <w:tc>
          <w:tcPr>
            <w:tcW w:w="1340" w:type="dxa"/>
            <w:vMerge w:val="restart"/>
            <w:tcBorders>
              <w:top w:val="single" w:color="80808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上缴上级支出</w:t>
            </w:r>
          </w:p>
        </w:tc>
        <w:tc>
          <w:tcPr>
            <w:tcW w:w="1340" w:type="dxa"/>
            <w:vMerge w:val="restart"/>
            <w:tcBorders>
              <w:top w:val="single" w:color="80808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经营支出</w:t>
            </w:r>
          </w:p>
        </w:tc>
        <w:tc>
          <w:tcPr>
            <w:tcW w:w="2190" w:type="dxa"/>
            <w:vMerge w:val="restart"/>
            <w:tcBorders>
              <w:top w:val="single" w:color="auto"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对附属单位补助支出</w:t>
            </w:r>
          </w:p>
        </w:tc>
      </w:tr>
      <w:tr>
        <w:tblPrEx>
          <w:tblCellMar>
            <w:top w:w="0" w:type="dxa"/>
            <w:left w:w="108" w:type="dxa"/>
            <w:bottom w:w="0" w:type="dxa"/>
            <w:right w:w="108" w:type="dxa"/>
          </w:tblCellMar>
        </w:tblPrEx>
        <w:trPr>
          <w:trHeight w:val="317" w:hRule="atLeast"/>
        </w:trPr>
        <w:tc>
          <w:tcPr>
            <w:tcW w:w="931"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功能分类科目编码</w:t>
            </w:r>
          </w:p>
        </w:tc>
        <w:tc>
          <w:tcPr>
            <w:tcW w:w="4039"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3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2190"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7" w:hRule="atLeast"/>
        </w:trPr>
        <w:tc>
          <w:tcPr>
            <w:tcW w:w="931" w:type="dxa"/>
            <w:gridSpan w:val="3"/>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403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3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2190"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7" w:hRule="atLeast"/>
        </w:trPr>
        <w:tc>
          <w:tcPr>
            <w:tcW w:w="931" w:type="dxa"/>
            <w:gridSpan w:val="3"/>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403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1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739"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40" w:type="dxa"/>
            <w:vMerge w:val="continue"/>
            <w:tcBorders>
              <w:top w:val="single" w:color="808080"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2190" w:type="dxa"/>
            <w:vMerge w:val="continue"/>
            <w:tcBorders>
              <w:top w:val="single" w:color="auto" w:sz="8" w:space="0"/>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265" w:hRule="atLeast"/>
        </w:trPr>
        <w:tc>
          <w:tcPr>
            <w:tcW w:w="4971" w:type="dxa"/>
            <w:gridSpan w:val="4"/>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1719"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719"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739"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219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r>
      <w:tr>
        <w:tblPrEx>
          <w:tblCellMar>
            <w:top w:w="0" w:type="dxa"/>
            <w:left w:w="108" w:type="dxa"/>
            <w:bottom w:w="0" w:type="dxa"/>
            <w:right w:w="108" w:type="dxa"/>
          </w:tblCellMar>
        </w:tblPrEx>
        <w:trPr>
          <w:trHeight w:val="265" w:hRule="atLeast"/>
        </w:trPr>
        <w:tc>
          <w:tcPr>
            <w:tcW w:w="4971" w:type="dxa"/>
            <w:gridSpan w:val="4"/>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rPr>
                <w:rFonts w:ascii="宋体" w:hAnsi="宋体" w:eastAsia="宋体" w:cs="Arial"/>
                <w:kern w:val="0"/>
                <w:sz w:val="20"/>
                <w:szCs w:val="20"/>
              </w:rPr>
            </w:pPr>
            <w:r>
              <w:rPr>
                <w:rFonts w:hint="eastAsia" w:ascii="宋体" w:hAnsi="宋体" w:eastAsia="宋体" w:cs="Arial"/>
                <w:kern w:val="0"/>
                <w:sz w:val="20"/>
                <w:szCs w:val="20"/>
              </w:rPr>
              <w:t>合计</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4,348.93</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2,882.00</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1466.92</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社会保障和就业支出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122.32</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122.32</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20811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行政事业单位养老支出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122.32</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122.32</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2080505</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机关事业单位基本养老保险缴费支出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122.32</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122.32</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210</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卫生健康支出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84.90</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84.90</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21011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行政事业单位医疗</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84.90</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84.90</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nil"/>
              <w:left w:val="single" w:color="000000" w:sz="4" w:space="0"/>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2101102</w:t>
            </w:r>
          </w:p>
        </w:tc>
        <w:tc>
          <w:tcPr>
            <w:tcW w:w="4039" w:type="dxa"/>
            <w:tcBorders>
              <w:top w:val="nil"/>
              <w:left w:val="nil"/>
              <w:bottom w:val="single" w:color="000000" w:sz="4" w:space="0"/>
              <w:right w:val="single" w:color="000000" w:sz="4" w:space="0"/>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事业单位医疗</w:t>
            </w:r>
          </w:p>
        </w:tc>
        <w:tc>
          <w:tcPr>
            <w:tcW w:w="1719"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84.9</w:t>
            </w:r>
            <w:r>
              <w:rPr>
                <w:rFonts w:ascii="宋体" w:hAnsi="宋体" w:eastAsia="宋体" w:cs="Arial"/>
                <w:kern w:val="0"/>
                <w:sz w:val="20"/>
                <w:szCs w:val="20"/>
              </w:rPr>
              <w:t>0</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84.9</w:t>
            </w:r>
            <w:r>
              <w:rPr>
                <w:rFonts w:ascii="宋体" w:hAnsi="宋体" w:eastAsia="宋体" w:cs="Arial"/>
                <w:kern w:val="0"/>
                <w:sz w:val="20"/>
                <w:szCs w:val="20"/>
              </w:rPr>
              <w:t>0</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节能环保支出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3,920.07</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2,498.09</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1421.97</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环境保护管理事务</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1122.82</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1122.82</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2110101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行政运行</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1122.82</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1122.82</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21102</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环境监测与监察</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650.81</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650.81</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2110299</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其他环境监测与监察支出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650.81</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650.81</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21103</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污染防治</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389.48</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389.48</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2110307</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土壤</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71.03</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71.03</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2110399</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其他污染防治支出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318.45</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318.45</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21111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污染减排</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1,756.96</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1,375.27</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381.69</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2111101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生态环境监测与信息</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1,756.96</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1,375.27</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住房保障支出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176.69</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176.69</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22102</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住房改革支出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176.69</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176.69</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2210201</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229</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22999</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其他支出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44.95</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b/>
                <w:bCs/>
                <w:kern w:val="0"/>
                <w:sz w:val="20"/>
                <w:szCs w:val="20"/>
              </w:rPr>
            </w:pPr>
            <w:r>
              <w:rPr>
                <w:rFonts w:hint="eastAsia" w:ascii="宋体" w:hAnsi="宋体" w:eastAsia="宋体" w:cs="Arial"/>
                <w:b/>
                <w:bCs/>
                <w:kern w:val="0"/>
                <w:sz w:val="20"/>
                <w:szCs w:val="20"/>
              </w:rPr>
              <w:t>　</w:t>
            </w:r>
          </w:p>
        </w:tc>
      </w:tr>
      <w:tr>
        <w:tblPrEx>
          <w:tblCellMar>
            <w:top w:w="0" w:type="dxa"/>
            <w:left w:w="108" w:type="dxa"/>
            <w:bottom w:w="0" w:type="dxa"/>
            <w:right w:w="108" w:type="dxa"/>
          </w:tblCellMar>
        </w:tblPrEx>
        <w:trPr>
          <w:trHeight w:val="265" w:hRule="atLeast"/>
        </w:trPr>
        <w:tc>
          <w:tcPr>
            <w:tcW w:w="931"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2299999</w:t>
            </w:r>
          </w:p>
        </w:tc>
        <w:tc>
          <w:tcPr>
            <w:tcW w:w="4039" w:type="dxa"/>
            <w:tcBorders>
              <w:top w:val="single" w:color="000000" w:sz="8" w:space="0"/>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44.95</w:t>
            </w:r>
          </w:p>
        </w:tc>
        <w:tc>
          <w:tcPr>
            <w:tcW w:w="171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739"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44.95</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4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2190" w:type="dxa"/>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317" w:hRule="atLeast"/>
        </w:trPr>
        <w:tc>
          <w:tcPr>
            <w:tcW w:w="15020" w:type="dxa"/>
            <w:gridSpan w:val="10"/>
            <w:vMerge w:val="restart"/>
            <w:tcBorders>
              <w:top w:val="single" w:color="000000" w:sz="8" w:space="0"/>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注：本表反映部门本年度各项支出情况。</w:t>
            </w:r>
          </w:p>
        </w:tc>
      </w:tr>
      <w:tr>
        <w:tblPrEx>
          <w:tblCellMar>
            <w:top w:w="0" w:type="dxa"/>
            <w:left w:w="108" w:type="dxa"/>
            <w:bottom w:w="0" w:type="dxa"/>
            <w:right w:w="108" w:type="dxa"/>
          </w:tblCellMar>
        </w:tblPrEx>
        <w:trPr>
          <w:trHeight w:val="317" w:hRule="atLeast"/>
        </w:trPr>
        <w:tc>
          <w:tcPr>
            <w:tcW w:w="15020" w:type="dxa"/>
            <w:gridSpan w:val="10"/>
            <w:vMerge w:val="continue"/>
            <w:tcBorders>
              <w:top w:val="single" w:color="000000" w:sz="8" w:space="0"/>
              <w:left w:val="nil"/>
              <w:bottom w:val="nil"/>
              <w:right w:val="nil"/>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7" w:hRule="atLeast"/>
        </w:trPr>
        <w:tc>
          <w:tcPr>
            <w:tcW w:w="15020" w:type="dxa"/>
            <w:gridSpan w:val="10"/>
            <w:vMerge w:val="continue"/>
            <w:tcBorders>
              <w:top w:val="single" w:color="000000" w:sz="8" w:space="0"/>
              <w:left w:val="nil"/>
              <w:bottom w:val="nil"/>
              <w:right w:val="nil"/>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7" w:hRule="atLeast"/>
        </w:trPr>
        <w:tc>
          <w:tcPr>
            <w:tcW w:w="15020" w:type="dxa"/>
            <w:gridSpan w:val="10"/>
            <w:vMerge w:val="continue"/>
            <w:tcBorders>
              <w:top w:val="single" w:color="000000" w:sz="8" w:space="0"/>
              <w:left w:val="nil"/>
              <w:bottom w:val="nil"/>
              <w:right w:val="nil"/>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317" w:hRule="atLeast"/>
        </w:trPr>
        <w:tc>
          <w:tcPr>
            <w:tcW w:w="15020" w:type="dxa"/>
            <w:gridSpan w:val="10"/>
            <w:vMerge w:val="continue"/>
            <w:tcBorders>
              <w:top w:val="single" w:color="000000" w:sz="8" w:space="0"/>
              <w:left w:val="nil"/>
              <w:bottom w:val="nil"/>
              <w:right w:val="nil"/>
            </w:tcBorders>
            <w:vAlign w:val="center"/>
          </w:tcPr>
          <w:p>
            <w:pPr>
              <w:widowControl/>
              <w:jc w:val="left"/>
              <w:rPr>
                <w:rFonts w:ascii="宋体" w:hAnsi="宋体" w:eastAsia="宋体" w:cs="Arial"/>
                <w:kern w:val="0"/>
                <w:sz w:val="20"/>
                <w:szCs w:val="20"/>
              </w:rPr>
            </w:pPr>
          </w:p>
        </w:tc>
      </w:tr>
    </w:tbl>
    <w:p>
      <w:pPr>
        <w:widowControl/>
        <w:rPr>
          <w:rFonts w:ascii="黑体" w:hAnsi="黑体" w:eastAsia="黑体" w:cs="Arial"/>
          <w:kern w:val="0"/>
          <w:sz w:val="30"/>
          <w:szCs w:val="30"/>
        </w:rPr>
      </w:pPr>
      <w:r>
        <w:rPr>
          <w:rFonts w:ascii="黑体" w:hAnsi="黑体" w:eastAsia="黑体" w:cs="Arial"/>
          <w:kern w:val="0"/>
          <w:sz w:val="30"/>
          <w:szCs w:val="30"/>
        </w:rPr>
        <w:fldChar w:fldCharType="end"/>
      </w: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ascii="黑体" w:hAnsi="黑体" w:eastAsia="黑体" w:cs="Arial"/>
          <w:kern w:val="0"/>
          <w:sz w:val="30"/>
          <w:szCs w:val="30"/>
        </w:rPr>
      </w:pPr>
    </w:p>
    <w:p>
      <w:pPr>
        <w:widowControl/>
        <w:jc w:val="center"/>
        <w:rPr>
          <w:rFonts w:cs="Times New Roman" w:asciiTheme="minorEastAsia" w:hAnsiTheme="minorEastAsia"/>
          <w:color w:val="000000"/>
          <w:kern w:val="0"/>
          <w:sz w:val="32"/>
          <w:szCs w:val="32"/>
        </w:rPr>
      </w:pPr>
    </w:p>
    <w:p>
      <w:pPr>
        <w:widowControl/>
        <w:jc w:val="center"/>
        <w:rPr>
          <w:rFonts w:cs="Times New Roman" w:asciiTheme="minorEastAsia" w:hAnsiTheme="minorEastAsia"/>
          <w:color w:val="000000"/>
          <w:kern w:val="0"/>
          <w:sz w:val="32"/>
          <w:szCs w:val="32"/>
        </w:rPr>
      </w:pPr>
    </w:p>
    <w:p>
      <w:pPr>
        <w:widowControl/>
        <w:jc w:val="center"/>
        <w:rPr>
          <w:rFonts w:cs="Times New Roman" w:asciiTheme="minorEastAsia" w:hAnsiTheme="minorEastAsia"/>
          <w:color w:val="000000"/>
          <w:kern w:val="0"/>
          <w:sz w:val="32"/>
          <w:szCs w:val="32"/>
        </w:rPr>
      </w:pPr>
    </w:p>
    <w:p>
      <w:pPr>
        <w:widowControl/>
        <w:jc w:val="center"/>
        <w:rPr>
          <w:rFonts w:cs="Times New Roman" w:asciiTheme="minorEastAsia" w:hAnsiTheme="minorEastAsia"/>
          <w:color w:val="000000"/>
          <w:kern w:val="0"/>
          <w:sz w:val="32"/>
          <w:szCs w:val="32"/>
        </w:rPr>
      </w:pPr>
    </w:p>
    <w:p>
      <w:r>
        <w:fldChar w:fldCharType="begin"/>
      </w:r>
      <w:r>
        <w:instrText xml:space="preserve"> LINK Excel.Sheet.8</w:instrText>
      </w:r>
      <w:r>
        <w:rPr>
          <w:rFonts w:hint="eastAsia"/>
        </w:rPr>
        <w:instrText xml:space="preserve"> C:\\Users\\Administrator\\Desktop\\湖南省长沙生态环境监测中心.xls "Z01_1 财政拨款收入支出决算批复表!R45C1:R84C9" </w:instrText>
      </w:r>
      <w:r>
        <w:instrText xml:space="preserve">\a \f 4 \h  \* MERGEFORMAT </w:instrText>
      </w:r>
      <w:r>
        <w:fldChar w:fldCharType="separate"/>
      </w:r>
    </w:p>
    <w:tbl>
      <w:tblPr>
        <w:tblStyle w:val="9"/>
        <w:tblW w:w="15054" w:type="dxa"/>
        <w:tblInd w:w="0" w:type="dxa"/>
        <w:tblLayout w:type="autofit"/>
        <w:tblCellMar>
          <w:top w:w="0" w:type="dxa"/>
          <w:left w:w="108" w:type="dxa"/>
          <w:bottom w:w="0" w:type="dxa"/>
          <w:right w:w="108" w:type="dxa"/>
        </w:tblCellMar>
      </w:tblPr>
      <w:tblGrid>
        <w:gridCol w:w="3415"/>
        <w:gridCol w:w="469"/>
        <w:gridCol w:w="1451"/>
        <w:gridCol w:w="3867"/>
        <w:gridCol w:w="467"/>
        <w:gridCol w:w="938"/>
        <w:gridCol w:w="1393"/>
        <w:gridCol w:w="1106"/>
        <w:gridCol w:w="1948"/>
      </w:tblGrid>
      <w:tr>
        <w:tblPrEx>
          <w:tblCellMar>
            <w:top w:w="0" w:type="dxa"/>
            <w:left w:w="108" w:type="dxa"/>
            <w:bottom w:w="0" w:type="dxa"/>
            <w:right w:w="108" w:type="dxa"/>
          </w:tblCellMar>
        </w:tblPrEx>
        <w:trPr>
          <w:trHeight w:val="381" w:hRule="atLeast"/>
        </w:trPr>
        <w:tc>
          <w:tcPr>
            <w:tcW w:w="15054" w:type="dxa"/>
            <w:gridSpan w:val="9"/>
            <w:tcBorders>
              <w:top w:val="nil"/>
              <w:left w:val="nil"/>
              <w:bottom w:val="nil"/>
              <w:right w:val="nil"/>
            </w:tcBorders>
            <w:shd w:val="clear" w:color="000000" w:fill="FFFFFF"/>
            <w:noWrap/>
            <w:vAlign w:val="center"/>
          </w:tcPr>
          <w:p>
            <w:pPr>
              <w:widowControl/>
              <w:jc w:val="center"/>
              <w:rPr>
                <w:rFonts w:ascii="黑体" w:hAnsi="黑体" w:eastAsia="黑体" w:cs="Arial"/>
                <w:kern w:val="0"/>
                <w:sz w:val="30"/>
                <w:szCs w:val="30"/>
              </w:rPr>
            </w:pPr>
            <w:r>
              <w:rPr>
                <w:rFonts w:hint="eastAsia" w:ascii="黑体" w:hAnsi="黑体" w:eastAsia="黑体" w:cs="Arial"/>
                <w:kern w:val="0"/>
                <w:sz w:val="30"/>
                <w:szCs w:val="30"/>
              </w:rPr>
              <w:t>财政拨款收入支出决算总表</w:t>
            </w:r>
          </w:p>
        </w:tc>
      </w:tr>
      <w:tr>
        <w:tblPrEx>
          <w:tblCellMar>
            <w:top w:w="0" w:type="dxa"/>
            <w:left w:w="108" w:type="dxa"/>
            <w:bottom w:w="0" w:type="dxa"/>
            <w:right w:w="108" w:type="dxa"/>
          </w:tblCellMar>
        </w:tblPrEx>
        <w:trPr>
          <w:trHeight w:val="277" w:hRule="atLeast"/>
        </w:trPr>
        <w:tc>
          <w:tcPr>
            <w:tcW w:w="3415"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68"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51"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86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46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93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393"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04"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48" w:type="dxa"/>
            <w:tcBorders>
              <w:top w:val="nil"/>
              <w:left w:val="nil"/>
              <w:bottom w:val="nil"/>
              <w:right w:val="nil"/>
            </w:tcBorders>
            <w:shd w:val="clear" w:color="000000" w:fill="FFFFFF"/>
            <w:noWrap/>
            <w:vAlign w:val="center"/>
          </w:tcPr>
          <w:p>
            <w:pPr>
              <w:widowControl/>
              <w:jc w:val="right"/>
              <w:rPr>
                <w:rFonts w:ascii="宋体" w:hAnsi="宋体" w:eastAsia="宋体" w:cs="Arial"/>
                <w:kern w:val="0"/>
                <w:sz w:val="22"/>
              </w:rPr>
            </w:pPr>
            <w:r>
              <w:rPr>
                <w:rFonts w:hint="eastAsia" w:ascii="宋体" w:hAnsi="宋体" w:eastAsia="宋体" w:cs="Arial"/>
                <w:kern w:val="0"/>
                <w:sz w:val="22"/>
              </w:rPr>
              <w:t>公开04表</w:t>
            </w:r>
          </w:p>
        </w:tc>
      </w:tr>
      <w:tr>
        <w:tblPrEx>
          <w:tblCellMar>
            <w:top w:w="0" w:type="dxa"/>
            <w:left w:w="108" w:type="dxa"/>
            <w:bottom w:w="0" w:type="dxa"/>
            <w:right w:w="108" w:type="dxa"/>
          </w:tblCellMar>
        </w:tblPrEx>
        <w:trPr>
          <w:trHeight w:val="292" w:hRule="atLeast"/>
        </w:trPr>
        <w:tc>
          <w:tcPr>
            <w:tcW w:w="3884" w:type="dxa"/>
            <w:gridSpan w:val="2"/>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22"/>
              </w:rPr>
            </w:pPr>
            <w:r>
              <w:rPr>
                <w:rFonts w:hint="eastAsia" w:ascii="宋体" w:hAnsi="宋体" w:eastAsia="宋体" w:cs="Arial"/>
                <w:kern w:val="0"/>
                <w:sz w:val="22"/>
              </w:rPr>
              <w:t>部门：湖南省长沙生态环境监测中心</w:t>
            </w:r>
          </w:p>
        </w:tc>
        <w:tc>
          <w:tcPr>
            <w:tcW w:w="1451" w:type="dxa"/>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5272" w:type="dxa"/>
            <w:gridSpan w:val="3"/>
            <w:tcBorders>
              <w:top w:val="nil"/>
              <w:left w:val="nil"/>
              <w:bottom w:val="single" w:color="808080" w:sz="8" w:space="0"/>
              <w:right w:val="nil"/>
            </w:tcBorders>
            <w:shd w:val="clear" w:color="000000" w:fill="FFFFFF"/>
            <w:noWrap/>
            <w:vAlign w:val="center"/>
          </w:tcPr>
          <w:p>
            <w:pPr>
              <w:widowControl/>
              <w:jc w:val="center"/>
              <w:rPr>
                <w:rFonts w:ascii="宋体" w:hAnsi="宋体" w:eastAsia="宋体" w:cs="Arial"/>
                <w:kern w:val="0"/>
                <w:sz w:val="22"/>
              </w:rPr>
            </w:pPr>
            <w:r>
              <w:rPr>
                <w:rFonts w:hint="eastAsia" w:ascii="宋体" w:hAnsi="宋体" w:eastAsia="宋体" w:cs="Arial"/>
                <w:kern w:val="0"/>
                <w:sz w:val="22"/>
              </w:rPr>
              <w:t>2021年度</w:t>
            </w:r>
          </w:p>
        </w:tc>
        <w:tc>
          <w:tcPr>
            <w:tcW w:w="1393" w:type="dxa"/>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104" w:type="dxa"/>
            <w:tcBorders>
              <w:top w:val="nil"/>
              <w:left w:val="nil"/>
              <w:bottom w:val="single" w:color="808080" w:sz="8"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948" w:type="dxa"/>
            <w:tcBorders>
              <w:top w:val="nil"/>
              <w:left w:val="nil"/>
              <w:bottom w:val="single" w:color="auto" w:sz="8" w:space="0"/>
              <w:right w:val="nil"/>
            </w:tcBorders>
            <w:shd w:val="clear" w:color="000000" w:fill="FFFFFF"/>
            <w:noWrap/>
            <w:vAlign w:val="center"/>
          </w:tcPr>
          <w:p>
            <w:pPr>
              <w:widowControl/>
              <w:jc w:val="right"/>
              <w:rPr>
                <w:rFonts w:ascii="宋体" w:hAnsi="宋体" w:eastAsia="宋体" w:cs="Arial"/>
                <w:kern w:val="0"/>
                <w:sz w:val="22"/>
              </w:rPr>
            </w:pPr>
            <w:r>
              <w:rPr>
                <w:rFonts w:hint="eastAsia" w:ascii="宋体" w:hAnsi="宋体" w:eastAsia="宋体" w:cs="Arial"/>
                <w:kern w:val="0"/>
                <w:sz w:val="22"/>
              </w:rPr>
              <w:t>金额单位：万元</w:t>
            </w:r>
          </w:p>
        </w:tc>
      </w:tr>
      <w:tr>
        <w:tblPrEx>
          <w:tblCellMar>
            <w:top w:w="0" w:type="dxa"/>
            <w:left w:w="108" w:type="dxa"/>
            <w:bottom w:w="0" w:type="dxa"/>
            <w:right w:w="108" w:type="dxa"/>
          </w:tblCellMar>
        </w:tblPrEx>
        <w:trPr>
          <w:trHeight w:val="292" w:hRule="atLeast"/>
        </w:trPr>
        <w:tc>
          <w:tcPr>
            <w:tcW w:w="5335" w:type="dxa"/>
            <w:gridSpan w:val="3"/>
            <w:tcBorders>
              <w:top w:val="single" w:color="80808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收     入</w:t>
            </w:r>
          </w:p>
        </w:tc>
        <w:tc>
          <w:tcPr>
            <w:tcW w:w="9718" w:type="dxa"/>
            <w:gridSpan w:val="6"/>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支     出</w:t>
            </w:r>
          </w:p>
        </w:tc>
      </w:tr>
      <w:tr>
        <w:tblPrEx>
          <w:tblCellMar>
            <w:top w:w="0" w:type="dxa"/>
            <w:left w:w="108" w:type="dxa"/>
            <w:bottom w:w="0" w:type="dxa"/>
            <w:right w:w="108" w:type="dxa"/>
          </w:tblCellMar>
        </w:tblPrEx>
        <w:trPr>
          <w:trHeight w:val="312" w:hRule="atLeast"/>
        </w:trPr>
        <w:tc>
          <w:tcPr>
            <w:tcW w:w="3415"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46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1451"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金额</w:t>
            </w:r>
          </w:p>
        </w:tc>
        <w:tc>
          <w:tcPr>
            <w:tcW w:w="386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项目</w:t>
            </w:r>
          </w:p>
        </w:tc>
        <w:tc>
          <w:tcPr>
            <w:tcW w:w="46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行次</w:t>
            </w:r>
          </w:p>
        </w:tc>
        <w:tc>
          <w:tcPr>
            <w:tcW w:w="93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合计</w:t>
            </w:r>
          </w:p>
        </w:tc>
        <w:tc>
          <w:tcPr>
            <w:tcW w:w="1393"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一般公共预算财政拨款</w:t>
            </w: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政府性基金预算财政拨款</w:t>
            </w:r>
          </w:p>
        </w:tc>
        <w:tc>
          <w:tcPr>
            <w:tcW w:w="194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国有资本经营预算财政拨款</w:t>
            </w:r>
          </w:p>
        </w:tc>
      </w:tr>
      <w:tr>
        <w:tblPrEx>
          <w:tblCellMar>
            <w:top w:w="0" w:type="dxa"/>
            <w:left w:w="108" w:type="dxa"/>
            <w:bottom w:w="0" w:type="dxa"/>
            <w:right w:w="108" w:type="dxa"/>
          </w:tblCellMar>
        </w:tblPrEx>
        <w:trPr>
          <w:trHeight w:val="312" w:hRule="atLeast"/>
        </w:trPr>
        <w:tc>
          <w:tcPr>
            <w:tcW w:w="3415"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468"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45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3867"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467"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937"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393"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104"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c>
          <w:tcPr>
            <w:tcW w:w="1948"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栏次</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　</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一、一般公共预算财政拨款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1,776.96</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一、一般公共服务支出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33</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二、政府性基金预算财政拨款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二、外交支出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34</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三、国有资本经营财政拨款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三、国防支出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35</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四、公共安全支出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36</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五、教育支出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六、科学技术支出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38</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7</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七、文化旅游体育与传媒支出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39</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8</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八、社会保障和就业支出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40</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122.32</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122.32</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9</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九、卫生健康支出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41</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84.9</w:t>
            </w:r>
            <w:r>
              <w:rPr>
                <w:rFonts w:ascii="宋体" w:hAnsi="宋体" w:eastAsia="宋体" w:cs="Arial"/>
                <w:kern w:val="0"/>
                <w:sz w:val="20"/>
                <w:szCs w:val="20"/>
              </w:rPr>
              <w:t>0</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84.9</w:t>
            </w:r>
            <w:r>
              <w:rPr>
                <w:rFonts w:ascii="宋体" w:hAnsi="宋体" w:eastAsia="宋体" w:cs="Arial"/>
                <w:kern w:val="0"/>
                <w:sz w:val="20"/>
                <w:szCs w:val="20"/>
              </w:rPr>
              <w:t>0</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10</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十、节能环保支出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42</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1791.24</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1791.24</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11</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十一、城乡社区支出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43</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12</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十二、农林水支出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44</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13</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十三、交通运输支出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45</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十四、资源勘探工业信息等支出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46</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15</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十五、商业服务业等支出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47</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16</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十六、金融支出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48</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十七、援助其他地区支出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49</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十八、自然资源海洋气象等支出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50</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19</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十九、住房保障支出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51</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20</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二十、粮油物资储备支出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52</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21</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二十一、国有资本经营预算支出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53</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22</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二十二、灾害防治及应急管理支出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54</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23</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二十三、其他支出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55</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24</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二十四、债务还本支出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56</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25</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二十五、债务付息支出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57</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26</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二十六、抗疫特别国债安排的支出</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58</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本年收入合计</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27</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1,776.96</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b/>
                <w:bCs/>
                <w:kern w:val="0"/>
                <w:sz w:val="20"/>
                <w:szCs w:val="20"/>
              </w:rPr>
            </w:pPr>
            <w:r>
              <w:rPr>
                <w:rFonts w:hint="eastAsia" w:ascii="宋体" w:hAnsi="宋体" w:eastAsia="宋体" w:cs="Arial"/>
                <w:b/>
                <w:bCs/>
                <w:kern w:val="0"/>
                <w:sz w:val="20"/>
                <w:szCs w:val="20"/>
              </w:rPr>
              <w:t>本年支出合计</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59</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2175.15</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2175.15</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年初财政拨款结转和结余</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28</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502.65</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年末财政拨款结转和结余</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60</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104.46</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104.46</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一般公共预算财政拨款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29</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502.65</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61</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政府性基金预算财政拨款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30</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62</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国有资本经营预算财政拨款</w:t>
            </w:r>
          </w:p>
        </w:tc>
        <w:tc>
          <w:tcPr>
            <w:tcW w:w="468"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31</w:t>
            </w:r>
          </w:p>
        </w:tc>
        <w:tc>
          <w:tcPr>
            <w:tcW w:w="1451"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63</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2" w:hRule="atLeast"/>
        </w:trPr>
        <w:tc>
          <w:tcPr>
            <w:tcW w:w="3415"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468" w:type="dxa"/>
            <w:tcBorders>
              <w:top w:val="nil"/>
              <w:left w:val="nil"/>
              <w:bottom w:val="single" w:color="auto"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32</w:t>
            </w:r>
          </w:p>
        </w:tc>
        <w:tc>
          <w:tcPr>
            <w:tcW w:w="1451" w:type="dxa"/>
            <w:tcBorders>
              <w:top w:val="nil"/>
              <w:left w:val="nil"/>
              <w:bottom w:val="single" w:color="000000" w:sz="4" w:space="0"/>
              <w:right w:val="single" w:color="000000" w:sz="4" w:space="0"/>
            </w:tcBorders>
            <w:shd w:val="clear" w:color="000000" w:fill="FFFFFF"/>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2,279.61</w:t>
            </w:r>
          </w:p>
        </w:tc>
        <w:tc>
          <w:tcPr>
            <w:tcW w:w="3867"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eastAsia="宋体" w:cs="Arial"/>
                <w:b/>
                <w:bCs/>
                <w:kern w:val="0"/>
                <w:sz w:val="20"/>
                <w:szCs w:val="20"/>
              </w:rPr>
            </w:pPr>
            <w:r>
              <w:rPr>
                <w:rFonts w:hint="eastAsia" w:ascii="宋体" w:hAnsi="宋体" w:eastAsia="宋体" w:cs="Arial"/>
                <w:b/>
                <w:bCs/>
                <w:kern w:val="0"/>
                <w:sz w:val="20"/>
                <w:szCs w:val="20"/>
              </w:rPr>
              <w:t>总计</w:t>
            </w:r>
          </w:p>
        </w:tc>
        <w:tc>
          <w:tcPr>
            <w:tcW w:w="46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64</w:t>
            </w:r>
          </w:p>
        </w:tc>
        <w:tc>
          <w:tcPr>
            <w:tcW w:w="937"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2279.61</w:t>
            </w:r>
          </w:p>
        </w:tc>
        <w:tc>
          <w:tcPr>
            <w:tcW w:w="1393"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2279.61</w:t>
            </w:r>
          </w:p>
        </w:tc>
        <w:tc>
          <w:tcPr>
            <w:tcW w:w="1104"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1948" w:type="dxa"/>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77" w:hRule="atLeast"/>
        </w:trPr>
        <w:tc>
          <w:tcPr>
            <w:tcW w:w="13106" w:type="dxa"/>
            <w:gridSpan w:val="8"/>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注：本表反映部门本年度一般公共预算财政拨款、政府性基金预算财政拨款和国有资本经营预算财政拨款的总收支和年末结转结余情况。</w:t>
            </w:r>
          </w:p>
        </w:tc>
        <w:tc>
          <w:tcPr>
            <w:tcW w:w="1948" w:type="dxa"/>
            <w:tcBorders>
              <w:top w:val="nil"/>
              <w:left w:val="nil"/>
              <w:bottom w:val="nil"/>
              <w:right w:val="nil"/>
            </w:tcBorders>
            <w:shd w:val="clear" w:color="auto" w:fill="auto"/>
            <w:noWrap/>
            <w:vAlign w:val="center"/>
          </w:tcPr>
          <w:p>
            <w:pPr>
              <w:widowControl/>
              <w:jc w:val="left"/>
              <w:rPr>
                <w:rFonts w:ascii="宋体" w:hAnsi="宋体" w:eastAsia="宋体" w:cs="Arial"/>
                <w:kern w:val="0"/>
                <w:sz w:val="20"/>
                <w:szCs w:val="20"/>
              </w:rPr>
            </w:pPr>
          </w:p>
        </w:tc>
      </w:tr>
    </w:tbl>
    <w:p>
      <w:pPr>
        <w:rPr>
          <w:rFonts w:ascii="黑体" w:hAnsi="黑体" w:eastAsia="黑体"/>
          <w:sz w:val="28"/>
          <w:szCs w:val="28"/>
        </w:rPr>
      </w:pPr>
      <w:r>
        <w:rPr>
          <w:rFonts w:ascii="黑体" w:hAnsi="黑体" w:eastAsia="黑体"/>
          <w:sz w:val="28"/>
          <w:szCs w:val="28"/>
        </w:rPr>
        <w:fldChar w:fldCharType="end"/>
      </w:r>
    </w:p>
    <w:p/>
    <w:p/>
    <w:p/>
    <w:p/>
    <w:p/>
    <w:p/>
    <w:p/>
    <w:p/>
    <w:p/>
    <w:p>
      <w:pPr>
        <w:widowControl/>
        <w:jc w:val="center"/>
        <w:rPr>
          <w:rFonts w:ascii="黑体" w:hAnsi="黑体" w:eastAsia="黑体" w:cs="Arial"/>
          <w:kern w:val="0"/>
          <w:sz w:val="30"/>
          <w:szCs w:val="30"/>
        </w:rPr>
      </w:pPr>
    </w:p>
    <w:p>
      <w:pPr>
        <w:widowControl/>
        <w:rPr>
          <w:rFonts w:ascii="黑体" w:hAnsi="黑体" w:eastAsia="黑体" w:cs="Arial"/>
          <w:kern w:val="0"/>
          <w:sz w:val="30"/>
          <w:szCs w:val="30"/>
        </w:rPr>
      </w:pPr>
    </w:p>
    <w:p>
      <w:pPr>
        <w:widowControl/>
        <w:jc w:val="center"/>
        <w:rPr>
          <w:rFonts w:ascii="黑体" w:hAnsi="黑体" w:eastAsia="黑体" w:cs="Arial"/>
          <w:kern w:val="0"/>
          <w:sz w:val="30"/>
          <w:szCs w:val="30"/>
        </w:rPr>
      </w:pPr>
      <w:r>
        <w:rPr>
          <w:rFonts w:ascii="黑体" w:hAnsi="黑体" w:eastAsia="黑体" w:cs="Arial"/>
          <w:kern w:val="0"/>
          <w:sz w:val="30"/>
          <w:szCs w:val="30"/>
        </w:rPr>
        <w:t>一般公共预算财政拨款支出决算表</w:t>
      </w:r>
    </w:p>
    <w:p>
      <w:pPr>
        <w:widowControl/>
        <w:spacing w:before="156" w:beforeLines="50"/>
        <w:jc w:val="left"/>
        <w:rPr>
          <w:rFonts w:cs="Times New Roman" w:asciiTheme="minorEastAsia" w:hAnsiTheme="minorEastAsia"/>
          <w:color w:val="000000"/>
          <w:kern w:val="0"/>
          <w:sz w:val="24"/>
          <w:szCs w:val="24"/>
        </w:rPr>
      </w:pPr>
      <w:r>
        <w:rPr>
          <w:rFonts w:hint="eastAsia" w:cs="Times New Roman" w:asciiTheme="minorEastAsia" w:hAnsiTheme="minorEastAsia"/>
          <w:color w:val="000000"/>
          <w:kern w:val="0"/>
          <w:szCs w:val="21"/>
        </w:rPr>
        <w:t xml:space="preserve">  </w:t>
      </w:r>
      <w:r>
        <w:rPr>
          <w:rFonts w:hint="eastAsia" w:cs="Times New Roman" w:asciiTheme="minorEastAsia" w:hAnsiTheme="minorEastAsia"/>
          <w:color w:val="000000"/>
          <w:kern w:val="0"/>
          <w:sz w:val="24"/>
          <w:szCs w:val="24"/>
        </w:rPr>
        <w:t xml:space="preserve">  </w:t>
      </w:r>
      <w:r>
        <w:rPr>
          <w:rFonts w:cs="Times New Roman" w:asciiTheme="minorEastAsia" w:hAnsiTheme="minorEastAsia"/>
          <w:color w:val="000000"/>
          <w:kern w:val="0"/>
          <w:sz w:val="24"/>
          <w:szCs w:val="24"/>
        </w:rPr>
        <w:t>部门：</w:t>
      </w:r>
      <w:r>
        <w:rPr>
          <w:rFonts w:hint="eastAsia" w:cs="Times New Roman" w:asciiTheme="minorEastAsia" w:hAnsiTheme="minorEastAsia"/>
          <w:color w:val="000000"/>
          <w:kern w:val="0"/>
          <w:sz w:val="24"/>
          <w:szCs w:val="24"/>
        </w:rPr>
        <w:t xml:space="preserve">湖南省长沙生态环境监测中心                                                                              </w:t>
      </w:r>
      <w:r>
        <w:rPr>
          <w:rFonts w:cs="Times New Roman" w:asciiTheme="minorEastAsia" w:hAnsiTheme="minorEastAsia"/>
          <w:color w:val="000000"/>
          <w:kern w:val="0"/>
          <w:sz w:val="24"/>
          <w:szCs w:val="24"/>
        </w:rPr>
        <w:t>公开05表</w:t>
      </w:r>
    </w:p>
    <w:p>
      <w:pPr>
        <w:widowControl/>
        <w:jc w:val="left"/>
        <w:rPr>
          <w:rFonts w:cs="Times New Roman" w:asciiTheme="minorEastAsia" w:hAnsiTheme="minorEastAsia"/>
          <w:color w:val="000000"/>
          <w:kern w:val="0"/>
          <w:sz w:val="24"/>
          <w:szCs w:val="24"/>
        </w:rPr>
      </w:pPr>
      <w:r>
        <w:rPr>
          <w:rFonts w:hint="eastAsia" w:cs="Times New Roman" w:asciiTheme="minorEastAsia" w:hAnsiTheme="minorEastAsia"/>
          <w:color w:val="000000"/>
          <w:kern w:val="0"/>
          <w:sz w:val="24"/>
          <w:szCs w:val="24"/>
        </w:rPr>
        <w:t xml:space="preserve">                                                                                                                  </w:t>
      </w:r>
      <w:r>
        <w:rPr>
          <w:rFonts w:cs="Times New Roman" w:asciiTheme="minorEastAsia" w:hAnsiTheme="minorEastAsia"/>
          <w:color w:val="000000"/>
          <w:kern w:val="0"/>
          <w:sz w:val="24"/>
          <w:szCs w:val="24"/>
        </w:rPr>
        <w:t>单位</w:t>
      </w:r>
      <w:r>
        <w:rPr>
          <w:rFonts w:hint="eastAsia" w:cs="Times New Roman" w:asciiTheme="minorEastAsia" w:hAnsiTheme="minorEastAsia"/>
          <w:color w:val="000000"/>
          <w:kern w:val="0"/>
          <w:sz w:val="24"/>
          <w:szCs w:val="24"/>
        </w:rPr>
        <w:t>:</w:t>
      </w:r>
      <w:r>
        <w:rPr>
          <w:rFonts w:cs="Times New Roman" w:asciiTheme="minorEastAsia" w:hAnsiTheme="minorEastAsia"/>
          <w:color w:val="000000"/>
          <w:kern w:val="0"/>
          <w:sz w:val="24"/>
          <w:szCs w:val="24"/>
        </w:rPr>
        <w:t>万元</w:t>
      </w:r>
    </w:p>
    <w:tbl>
      <w:tblPr>
        <w:tblStyle w:val="9"/>
        <w:tblW w:w="15036" w:type="dxa"/>
        <w:jc w:val="center"/>
        <w:tblLayout w:type="autofit"/>
        <w:tblCellMar>
          <w:top w:w="0" w:type="dxa"/>
          <w:left w:w="108" w:type="dxa"/>
          <w:bottom w:w="0" w:type="dxa"/>
          <w:right w:w="108" w:type="dxa"/>
        </w:tblCellMar>
      </w:tblPr>
      <w:tblGrid>
        <w:gridCol w:w="786"/>
        <w:gridCol w:w="951"/>
        <w:gridCol w:w="7"/>
        <w:gridCol w:w="2598"/>
        <w:gridCol w:w="841"/>
        <w:gridCol w:w="579"/>
        <w:gridCol w:w="786"/>
        <w:gridCol w:w="1560"/>
        <w:gridCol w:w="603"/>
        <w:gridCol w:w="1287"/>
        <w:gridCol w:w="786"/>
        <w:gridCol w:w="982"/>
        <w:gridCol w:w="1694"/>
        <w:gridCol w:w="1576"/>
      </w:tblGrid>
      <w:tr>
        <w:tblPrEx>
          <w:tblCellMar>
            <w:top w:w="0" w:type="dxa"/>
            <w:left w:w="108" w:type="dxa"/>
            <w:bottom w:w="0" w:type="dxa"/>
            <w:right w:w="108" w:type="dxa"/>
          </w:tblCellMar>
        </w:tblPrEx>
        <w:trPr>
          <w:trHeight w:val="356" w:hRule="atLeast"/>
          <w:jc w:val="center"/>
        </w:trPr>
        <w:tc>
          <w:tcPr>
            <w:tcW w:w="5183" w:type="dxa"/>
            <w:gridSpan w:val="5"/>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项目</w:t>
            </w:r>
          </w:p>
        </w:tc>
        <w:tc>
          <w:tcPr>
            <w:tcW w:w="9853" w:type="dxa"/>
            <w:gridSpan w:val="9"/>
            <w:tcBorders>
              <w:top w:val="single" w:color="auto" w:sz="8" w:space="0"/>
              <w:left w:val="nil"/>
              <w:bottom w:val="single" w:color="auto" w:sz="4" w:space="0"/>
              <w:right w:val="single" w:color="000000" w:sz="8"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本年支出</w:t>
            </w:r>
          </w:p>
        </w:tc>
      </w:tr>
      <w:tr>
        <w:tblPrEx>
          <w:tblCellMar>
            <w:top w:w="0" w:type="dxa"/>
            <w:left w:w="108" w:type="dxa"/>
            <w:bottom w:w="0" w:type="dxa"/>
            <w:right w:w="108" w:type="dxa"/>
          </w:tblCellMar>
        </w:tblPrEx>
        <w:trPr>
          <w:trHeight w:val="435" w:hRule="atLeast"/>
          <w:jc w:val="center"/>
        </w:trPr>
        <w:tc>
          <w:tcPr>
            <w:tcW w:w="1744"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功能分类科目编码</w:t>
            </w:r>
          </w:p>
        </w:tc>
        <w:tc>
          <w:tcPr>
            <w:tcW w:w="3439"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科目名称</w:t>
            </w:r>
          </w:p>
        </w:tc>
        <w:tc>
          <w:tcPr>
            <w:tcW w:w="2925"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小计</w:t>
            </w:r>
          </w:p>
        </w:tc>
        <w:tc>
          <w:tcPr>
            <w:tcW w:w="3658" w:type="dxa"/>
            <w:gridSpan w:val="4"/>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基本支出</w:t>
            </w:r>
          </w:p>
        </w:tc>
        <w:tc>
          <w:tcPr>
            <w:tcW w:w="3270" w:type="dxa"/>
            <w:gridSpan w:val="2"/>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cs="Times New Roman" w:asciiTheme="minorEastAsia" w:hAnsiTheme="minorEastAsia"/>
                <w:b/>
                <w:kern w:val="0"/>
                <w:sz w:val="24"/>
                <w:szCs w:val="24"/>
              </w:rPr>
            </w:pPr>
            <w:r>
              <w:rPr>
                <w:rFonts w:cs="Times New Roman" w:asciiTheme="minorEastAsia" w:hAnsiTheme="minorEastAsia"/>
                <w:b/>
                <w:kern w:val="0"/>
                <w:sz w:val="24"/>
                <w:szCs w:val="24"/>
              </w:rPr>
              <w:t>项目支出</w:t>
            </w:r>
          </w:p>
        </w:tc>
      </w:tr>
      <w:tr>
        <w:tblPrEx>
          <w:tblCellMar>
            <w:top w:w="0" w:type="dxa"/>
            <w:left w:w="108" w:type="dxa"/>
            <w:bottom w:w="0" w:type="dxa"/>
            <w:right w:w="108" w:type="dxa"/>
          </w:tblCellMar>
        </w:tblPrEx>
        <w:trPr>
          <w:trHeight w:val="317" w:hRule="atLeast"/>
          <w:jc w:val="center"/>
        </w:trPr>
        <w:tc>
          <w:tcPr>
            <w:tcW w:w="1744"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4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cs="Times New Roman" w:asciiTheme="minorEastAsia" w:hAnsiTheme="minorEastAsia"/>
                <w:kern w:val="0"/>
                <w:sz w:val="24"/>
                <w:szCs w:val="24"/>
              </w:rPr>
            </w:pPr>
          </w:p>
        </w:tc>
        <w:tc>
          <w:tcPr>
            <w:tcW w:w="29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658"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270"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cs="Times New Roman" w:asciiTheme="minorEastAsia" w:hAnsiTheme="minorEastAsia"/>
                <w:kern w:val="0"/>
                <w:sz w:val="24"/>
                <w:szCs w:val="24"/>
              </w:rPr>
            </w:pPr>
          </w:p>
        </w:tc>
      </w:tr>
      <w:tr>
        <w:trPr>
          <w:trHeight w:val="312" w:hRule="atLeast"/>
          <w:jc w:val="center"/>
        </w:trPr>
        <w:tc>
          <w:tcPr>
            <w:tcW w:w="1744"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4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cs="Times New Roman" w:asciiTheme="minorEastAsia" w:hAnsiTheme="minorEastAsia"/>
                <w:kern w:val="0"/>
                <w:sz w:val="24"/>
                <w:szCs w:val="24"/>
              </w:rPr>
            </w:pPr>
          </w:p>
        </w:tc>
        <w:tc>
          <w:tcPr>
            <w:tcW w:w="2925"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658"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4"/>
                <w:szCs w:val="24"/>
              </w:rPr>
            </w:pPr>
          </w:p>
        </w:tc>
        <w:tc>
          <w:tcPr>
            <w:tcW w:w="3270"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cs="Times New Roman" w:asciiTheme="minorEastAsia" w:hAnsiTheme="minorEastAsia"/>
                <w:kern w:val="0"/>
                <w:sz w:val="24"/>
                <w:szCs w:val="24"/>
              </w:rPr>
            </w:pPr>
          </w:p>
        </w:tc>
      </w:tr>
      <w:tr>
        <w:trPr>
          <w:trHeight w:val="198" w:hRule="atLeast"/>
          <w:jc w:val="center"/>
        </w:trPr>
        <w:tc>
          <w:tcPr>
            <w:tcW w:w="5183" w:type="dxa"/>
            <w:gridSpan w:val="5"/>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4"/>
                <w:szCs w:val="24"/>
              </w:rPr>
            </w:pPr>
            <w:r>
              <w:rPr>
                <w:rFonts w:cs="Times New Roman" w:asciiTheme="minorEastAsia" w:hAnsiTheme="minorEastAsia"/>
                <w:kern w:val="0"/>
                <w:sz w:val="24"/>
                <w:szCs w:val="24"/>
              </w:rPr>
              <w:t>栏次</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4"/>
                <w:szCs w:val="24"/>
              </w:rPr>
            </w:pPr>
            <w:r>
              <w:rPr>
                <w:rFonts w:cs="Times New Roman" w:asciiTheme="minorEastAsia" w:hAnsiTheme="minorEastAsia"/>
                <w:kern w:val="0"/>
                <w:sz w:val="24"/>
                <w:szCs w:val="24"/>
              </w:rPr>
              <w:t>1</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4"/>
                <w:szCs w:val="24"/>
              </w:rPr>
            </w:pPr>
            <w:r>
              <w:rPr>
                <w:rFonts w:cs="Times New Roman" w:asciiTheme="minorEastAsia" w:hAnsiTheme="minorEastAsia"/>
                <w:kern w:val="0"/>
                <w:sz w:val="24"/>
                <w:szCs w:val="24"/>
              </w:rPr>
              <w:t>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center"/>
              <w:rPr>
                <w:rFonts w:cs="Times New Roman" w:asciiTheme="minorEastAsia" w:hAnsiTheme="minorEastAsia"/>
                <w:kern w:val="0"/>
                <w:sz w:val="24"/>
                <w:szCs w:val="24"/>
              </w:rPr>
            </w:pPr>
            <w:r>
              <w:rPr>
                <w:rFonts w:cs="Times New Roman" w:asciiTheme="minorEastAsia" w:hAnsiTheme="minorEastAsia"/>
                <w:kern w:val="0"/>
                <w:sz w:val="24"/>
                <w:szCs w:val="24"/>
              </w:rPr>
              <w:t>3</w:t>
            </w:r>
          </w:p>
        </w:tc>
      </w:tr>
      <w:tr>
        <w:tblPrEx>
          <w:tblCellMar>
            <w:top w:w="0" w:type="dxa"/>
            <w:left w:w="108" w:type="dxa"/>
            <w:bottom w:w="0" w:type="dxa"/>
            <w:right w:w="108" w:type="dxa"/>
          </w:tblCellMar>
        </w:tblPrEx>
        <w:trPr>
          <w:trHeight w:val="288" w:hRule="atLeast"/>
          <w:jc w:val="center"/>
        </w:trPr>
        <w:tc>
          <w:tcPr>
            <w:tcW w:w="5183" w:type="dxa"/>
            <w:gridSpan w:val="5"/>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4"/>
                <w:szCs w:val="24"/>
              </w:rPr>
            </w:pPr>
            <w:r>
              <w:rPr>
                <w:rFonts w:cs="Times New Roman" w:asciiTheme="minorEastAsia" w:hAnsiTheme="minorEastAsia"/>
                <w:kern w:val="0"/>
                <w:sz w:val="24"/>
                <w:szCs w:val="24"/>
              </w:rPr>
              <w:t>合计</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2,175.15</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1,506.73</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668.42</w:t>
            </w:r>
          </w:p>
        </w:tc>
      </w:tr>
      <w:tr>
        <w:tblPrEx>
          <w:tblCellMar>
            <w:top w:w="0" w:type="dxa"/>
            <w:left w:w="108" w:type="dxa"/>
            <w:bottom w:w="0" w:type="dxa"/>
            <w:right w:w="108" w:type="dxa"/>
          </w:tblCellMar>
        </w:tblPrEx>
        <w:trPr>
          <w:trHeight w:val="243" w:hRule="atLeast"/>
          <w:jc w:val="center"/>
        </w:trPr>
        <w:tc>
          <w:tcPr>
            <w:tcW w:w="173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rPr>
                <w:rFonts w:cs="Times New Roman" w:asciiTheme="minorEastAsia" w:hAnsiTheme="minorEastAsia"/>
                <w:b/>
                <w:kern w:val="0"/>
                <w:sz w:val="24"/>
                <w:szCs w:val="24"/>
              </w:rPr>
            </w:pPr>
            <w:r>
              <w:rPr>
                <w:rFonts w:hint="eastAsia" w:ascii="宋体" w:hAnsi="宋体" w:eastAsia="宋体" w:cs="Arial"/>
                <w:bCs/>
                <w:kern w:val="0"/>
                <w:sz w:val="20"/>
                <w:szCs w:val="20"/>
              </w:rPr>
              <w:t>208</w:t>
            </w:r>
          </w:p>
        </w:tc>
        <w:tc>
          <w:tcPr>
            <w:tcW w:w="34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社会保障和就业支出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122.32</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122.32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p>
        </w:tc>
      </w:tr>
      <w:tr>
        <w:tblPrEx>
          <w:tblCellMar>
            <w:top w:w="0" w:type="dxa"/>
            <w:left w:w="108" w:type="dxa"/>
            <w:bottom w:w="0" w:type="dxa"/>
            <w:right w:w="108" w:type="dxa"/>
          </w:tblCellMar>
        </w:tblPrEx>
        <w:trPr>
          <w:trHeight w:val="197"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20811</w:t>
            </w:r>
          </w:p>
        </w:tc>
        <w:tc>
          <w:tcPr>
            <w:tcW w:w="343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行政</w:t>
            </w:r>
            <w:r>
              <w:rPr>
                <w:rFonts w:ascii="宋体" w:hAnsi="宋体" w:eastAsia="宋体" w:cs="Arial"/>
                <w:kern w:val="0"/>
                <w:sz w:val="20"/>
                <w:szCs w:val="20"/>
              </w:rPr>
              <w:t>事业单位养老支出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122.32</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122.32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p>
        </w:tc>
      </w:tr>
      <w:tr>
        <w:tblPrEx>
          <w:tblCellMar>
            <w:top w:w="0" w:type="dxa"/>
            <w:left w:w="108" w:type="dxa"/>
            <w:bottom w:w="0" w:type="dxa"/>
            <w:right w:w="108" w:type="dxa"/>
          </w:tblCellMar>
        </w:tblPrEx>
        <w:trPr>
          <w:trHeight w:val="197"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20805</w:t>
            </w:r>
          </w:p>
        </w:tc>
        <w:tc>
          <w:tcPr>
            <w:tcW w:w="343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机关事业</w:t>
            </w:r>
            <w:r>
              <w:rPr>
                <w:rFonts w:ascii="宋体" w:hAnsi="宋体" w:eastAsia="宋体" w:cs="Arial"/>
                <w:kern w:val="0"/>
                <w:sz w:val="20"/>
                <w:szCs w:val="20"/>
              </w:rPr>
              <w:t>单位基本养老保险缴费支出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122.32</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122.32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p>
        </w:tc>
      </w:tr>
      <w:tr>
        <w:tblPrEx>
          <w:tblCellMar>
            <w:top w:w="0" w:type="dxa"/>
            <w:left w:w="108" w:type="dxa"/>
            <w:bottom w:w="0" w:type="dxa"/>
            <w:right w:w="108" w:type="dxa"/>
          </w:tblCellMar>
        </w:tblPrEx>
        <w:trPr>
          <w:trHeight w:val="197"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Theme="minorEastAsia" w:hAnsiTheme="minorEastAsia"/>
                <w:sz w:val="24"/>
                <w:szCs w:val="24"/>
              </w:rPr>
            </w:pPr>
            <w:r>
              <w:rPr>
                <w:rFonts w:hint="eastAsia" w:ascii="宋体" w:hAnsi="宋体" w:eastAsia="宋体" w:cs="Arial"/>
                <w:bCs/>
                <w:kern w:val="0"/>
                <w:sz w:val="20"/>
                <w:szCs w:val="20"/>
              </w:rPr>
              <w:t>210</w:t>
            </w:r>
          </w:p>
        </w:tc>
        <w:tc>
          <w:tcPr>
            <w:tcW w:w="343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卫生健康支出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84.09</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84.09</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p>
        </w:tc>
      </w:tr>
      <w:tr>
        <w:tblPrEx>
          <w:tblCellMar>
            <w:top w:w="0" w:type="dxa"/>
            <w:left w:w="108" w:type="dxa"/>
            <w:bottom w:w="0" w:type="dxa"/>
            <w:right w:w="108" w:type="dxa"/>
          </w:tblCellMar>
        </w:tblPrEx>
        <w:trPr>
          <w:trHeight w:val="168"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2101102</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事业单位医疗</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84.09</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84.09</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节能环保支出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1,791.24</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1,122.82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ab/>
            </w:r>
            <w:r>
              <w:rPr>
                <w:rFonts w:ascii="宋体" w:hAnsi="宋体" w:eastAsia="宋体" w:cs="Arial"/>
                <w:bCs/>
                <w:kern w:val="0"/>
                <w:sz w:val="20"/>
                <w:szCs w:val="20"/>
              </w:rPr>
              <w:t>668.42</w:t>
            </w:r>
          </w:p>
        </w:tc>
      </w:tr>
      <w:tr>
        <w:tblPrEx>
          <w:tblCellMar>
            <w:top w:w="0" w:type="dxa"/>
            <w:left w:w="108" w:type="dxa"/>
            <w:bottom w:w="0" w:type="dxa"/>
            <w:right w:w="108" w:type="dxa"/>
          </w:tblCellMar>
        </w:tblPrEx>
        <w:trPr>
          <w:trHeight w:val="350"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环境保护管理事务</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1,122.82</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1,122.82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ab/>
            </w:r>
          </w:p>
        </w:tc>
      </w:tr>
      <w:tr>
        <w:tblPrEx>
          <w:tblCellMar>
            <w:top w:w="0" w:type="dxa"/>
            <w:left w:w="108" w:type="dxa"/>
            <w:bottom w:w="0" w:type="dxa"/>
            <w:right w:w="108" w:type="dxa"/>
          </w:tblCellMar>
        </w:tblPrEx>
        <w:trPr>
          <w:trHeight w:val="243"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2110101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行政运行</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bCs/>
                <w:kern w:val="0"/>
                <w:sz w:val="20"/>
                <w:szCs w:val="20"/>
              </w:rPr>
              <w:t>1,122.82</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1,122.82</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ab/>
            </w:r>
          </w:p>
        </w:tc>
      </w:tr>
      <w:tr>
        <w:tblPrEx>
          <w:tblCellMar>
            <w:top w:w="0" w:type="dxa"/>
            <w:left w:w="108" w:type="dxa"/>
            <w:bottom w:w="0" w:type="dxa"/>
            <w:right w:w="108" w:type="dxa"/>
          </w:tblCellMar>
        </w:tblPrEx>
        <w:trPr>
          <w:trHeight w:val="320"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21102</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环境监测与监察</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18</w:t>
            </w:r>
            <w:r>
              <w:rPr>
                <w:rFonts w:ascii="宋体" w:hAnsi="宋体" w:eastAsia="宋体" w:cs="Arial"/>
                <w:kern w:val="0"/>
                <w:sz w:val="20"/>
                <w:szCs w:val="20"/>
              </w:rPr>
              <w:t>.00</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18</w:t>
            </w:r>
            <w:r>
              <w:rPr>
                <w:rFonts w:ascii="宋体" w:hAnsi="宋体" w:eastAsia="宋体" w:cs="Arial"/>
                <w:bCs/>
                <w:kern w:val="0"/>
                <w:sz w:val="20"/>
                <w:szCs w:val="20"/>
              </w:rPr>
              <w:t>.00</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w:t>
            </w:r>
            <w:r>
              <w:rPr>
                <w:rFonts w:ascii="宋体" w:hAnsi="宋体" w:eastAsia="宋体" w:cs="Arial"/>
                <w:bCs/>
                <w:kern w:val="0"/>
                <w:sz w:val="20"/>
                <w:szCs w:val="20"/>
              </w:rPr>
              <w:t>0299</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其他环境监测与监察支出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18</w:t>
            </w:r>
            <w:r>
              <w:rPr>
                <w:rFonts w:ascii="宋体" w:hAnsi="宋体" w:eastAsia="宋体" w:cs="Arial"/>
                <w:bCs/>
                <w:kern w:val="0"/>
                <w:sz w:val="20"/>
                <w:szCs w:val="20"/>
              </w:rPr>
              <w:t>.00</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18</w:t>
            </w:r>
            <w:r>
              <w:rPr>
                <w:rFonts w:ascii="宋体" w:hAnsi="宋体" w:eastAsia="宋体" w:cs="Arial"/>
                <w:bCs/>
                <w:kern w:val="0"/>
                <w:sz w:val="20"/>
                <w:szCs w:val="20"/>
              </w:rPr>
              <w:t>.00</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21103</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污染防治</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389.48</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hint="eastAsia" w:ascii="宋体" w:hAnsi="宋体" w:eastAsia="宋体" w:cs="Arial"/>
                <w:bCs/>
                <w:kern w:val="0"/>
                <w:sz w:val="20"/>
                <w:szCs w:val="20"/>
              </w:rPr>
              <w:t>389.48</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2110307</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土壤</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71.03</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71.03</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2110399</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其他污染防治支出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318.45</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318.45</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ascii="宋体" w:hAnsi="宋体" w:eastAsia="宋体" w:cs="Arial"/>
                <w:bCs/>
                <w:kern w:val="0"/>
                <w:sz w:val="20"/>
                <w:szCs w:val="20"/>
              </w:rPr>
              <w:t>2111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污染减排</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260.94</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bCs/>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bCs/>
                <w:kern w:val="0"/>
                <w:sz w:val="20"/>
                <w:szCs w:val="20"/>
              </w:rPr>
            </w:pPr>
            <w:r>
              <w:rPr>
                <w:rFonts w:ascii="宋体" w:hAnsi="宋体" w:eastAsia="宋体" w:cs="Arial"/>
                <w:bCs/>
                <w:kern w:val="0"/>
                <w:sz w:val="20"/>
                <w:szCs w:val="20"/>
              </w:rPr>
              <w:t>260.94</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ascii="宋体" w:hAnsi="宋体" w:eastAsia="宋体" w:cs="Arial"/>
                <w:bCs/>
                <w:kern w:val="0"/>
                <w:sz w:val="20"/>
                <w:szCs w:val="20"/>
              </w:rPr>
              <w:t>2111101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生态环境监测与信息</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bCs/>
                <w:kern w:val="0"/>
                <w:sz w:val="20"/>
                <w:szCs w:val="20"/>
              </w:rPr>
              <w:t>260.94</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260.94</w:t>
            </w:r>
          </w:p>
        </w:tc>
      </w:tr>
      <w:tr>
        <w:tblPrEx>
          <w:tblCellMar>
            <w:top w:w="0" w:type="dxa"/>
            <w:left w:w="108" w:type="dxa"/>
            <w:bottom w:w="0" w:type="dxa"/>
            <w:right w:w="108" w:type="dxa"/>
          </w:tblCellMar>
        </w:tblPrEx>
        <w:trPr>
          <w:trHeight w:val="396"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221</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住房保障支出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176.69</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176.69</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kern w:val="0"/>
                <w:sz w:val="20"/>
                <w:szCs w:val="20"/>
              </w:rPr>
            </w:pPr>
          </w:p>
        </w:tc>
      </w:tr>
      <w:tr>
        <w:tblPrEx>
          <w:tblCellMar>
            <w:top w:w="0" w:type="dxa"/>
            <w:left w:w="108" w:type="dxa"/>
            <w:bottom w:w="0" w:type="dxa"/>
            <w:right w:w="108" w:type="dxa"/>
          </w:tblCellMar>
        </w:tblPrEx>
        <w:trPr>
          <w:trHeight w:val="194"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hint="eastAsia" w:ascii="宋体" w:hAnsi="宋体" w:eastAsia="宋体" w:cs="Arial"/>
                <w:bCs/>
                <w:kern w:val="0"/>
                <w:sz w:val="20"/>
                <w:szCs w:val="20"/>
              </w:rPr>
              <w:t>22102</w:t>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住</w:t>
            </w:r>
            <w:r>
              <w:rPr>
                <w:rFonts w:ascii="宋体" w:hAnsi="宋体" w:eastAsia="宋体" w:cs="Arial"/>
                <w:kern w:val="0"/>
                <w:sz w:val="20"/>
                <w:szCs w:val="20"/>
              </w:rPr>
              <w:t>房</w:t>
            </w:r>
            <w:r>
              <w:rPr>
                <w:rFonts w:hint="eastAsia" w:ascii="宋体" w:hAnsi="宋体" w:eastAsia="宋体" w:cs="Arial"/>
                <w:kern w:val="0"/>
                <w:sz w:val="20"/>
                <w:szCs w:val="20"/>
              </w:rPr>
              <w:t>改革</w:t>
            </w:r>
            <w:r>
              <w:rPr>
                <w:rFonts w:ascii="宋体" w:hAnsi="宋体" w:eastAsia="宋体" w:cs="Arial"/>
                <w:kern w:val="0"/>
                <w:sz w:val="20"/>
                <w:szCs w:val="20"/>
              </w:rPr>
              <w:t>支出</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176.69</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kern w:val="0"/>
                <w:sz w:val="20"/>
                <w:szCs w:val="20"/>
              </w:rPr>
            </w:pPr>
          </w:p>
        </w:tc>
      </w:tr>
      <w:tr>
        <w:tblPrEx>
          <w:tblCellMar>
            <w:top w:w="0" w:type="dxa"/>
            <w:left w:w="108" w:type="dxa"/>
            <w:bottom w:w="0" w:type="dxa"/>
            <w:right w:w="108" w:type="dxa"/>
          </w:tblCellMar>
        </w:tblPrEx>
        <w:trPr>
          <w:trHeight w:val="229" w:hRule="atLeast"/>
          <w:jc w:val="center"/>
        </w:trPr>
        <w:tc>
          <w:tcPr>
            <w:tcW w:w="1744"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Arial"/>
                <w:bCs/>
                <w:kern w:val="0"/>
                <w:sz w:val="20"/>
                <w:szCs w:val="20"/>
              </w:rPr>
            </w:pPr>
            <w:r>
              <w:rPr>
                <w:rFonts w:ascii="宋体" w:hAnsi="宋体" w:eastAsia="宋体" w:cs="Arial"/>
                <w:bCs/>
                <w:kern w:val="0"/>
                <w:sz w:val="20"/>
                <w:szCs w:val="20"/>
              </w:rPr>
              <w:t>2210201</w:t>
            </w:r>
            <w:r>
              <w:rPr>
                <w:rFonts w:ascii="宋体" w:hAnsi="宋体" w:eastAsia="宋体" w:cs="Arial"/>
                <w:bCs/>
                <w:kern w:val="0"/>
                <w:sz w:val="20"/>
                <w:szCs w:val="20"/>
              </w:rPr>
              <w:tab/>
            </w:r>
          </w:p>
        </w:tc>
        <w:tc>
          <w:tcPr>
            <w:tcW w:w="3439" w:type="dxa"/>
            <w:gridSpan w:val="2"/>
            <w:tcBorders>
              <w:top w:val="nil"/>
              <w:left w:val="nil"/>
              <w:bottom w:val="single" w:color="auto" w:sz="4" w:space="0"/>
              <w:right w:val="single" w:color="auto" w:sz="4" w:space="0"/>
            </w:tcBorders>
            <w:shd w:val="clear" w:color="auto" w:fill="auto"/>
            <w:vAlign w:val="center"/>
          </w:tcPr>
          <w:p>
            <w:pPr>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2925" w:type="dxa"/>
            <w:gridSpan w:val="3"/>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176.69</w:t>
            </w:r>
          </w:p>
        </w:tc>
        <w:tc>
          <w:tcPr>
            <w:tcW w:w="3658" w:type="dxa"/>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176.69</w:t>
            </w:r>
          </w:p>
        </w:tc>
        <w:tc>
          <w:tcPr>
            <w:tcW w:w="3270" w:type="dxa"/>
            <w:gridSpan w:val="2"/>
            <w:tcBorders>
              <w:top w:val="nil"/>
              <w:left w:val="nil"/>
              <w:bottom w:val="single" w:color="auto" w:sz="4" w:space="0"/>
              <w:right w:val="single" w:color="auto" w:sz="8" w:space="0"/>
            </w:tcBorders>
            <w:shd w:val="clear" w:color="auto" w:fill="auto"/>
            <w:vAlign w:val="center"/>
          </w:tcPr>
          <w:p>
            <w:pPr>
              <w:widowControl/>
              <w:jc w:val="right"/>
              <w:rPr>
                <w:rFonts w:ascii="宋体" w:hAnsi="宋体" w:eastAsia="宋体" w:cs="Arial"/>
                <w:kern w:val="0"/>
                <w:sz w:val="20"/>
                <w:szCs w:val="20"/>
              </w:rPr>
            </w:pPr>
          </w:p>
        </w:tc>
      </w:tr>
      <w:tr>
        <w:tblPrEx>
          <w:tblCellMar>
            <w:top w:w="0" w:type="dxa"/>
            <w:left w:w="108" w:type="dxa"/>
            <w:bottom w:w="0" w:type="dxa"/>
            <w:right w:w="108" w:type="dxa"/>
          </w:tblCellMar>
        </w:tblPrEx>
        <w:trPr>
          <w:trHeight w:val="568" w:hRule="atLeast"/>
          <w:jc w:val="center"/>
        </w:trPr>
        <w:tc>
          <w:tcPr>
            <w:tcW w:w="15036" w:type="dxa"/>
            <w:gridSpan w:val="14"/>
            <w:tcBorders>
              <w:top w:val="nil"/>
              <w:left w:val="nil"/>
              <w:bottom w:val="nil"/>
              <w:right w:val="nil"/>
            </w:tcBorders>
            <w:shd w:val="clear" w:color="auto" w:fill="auto"/>
            <w:vAlign w:val="center"/>
          </w:tcPr>
          <w:p>
            <w:pPr>
              <w:widowControl/>
              <w:jc w:val="left"/>
              <w:rPr>
                <w:rFonts w:cs="Times New Roman" w:asciiTheme="minorEastAsia" w:hAnsiTheme="minorEastAsia"/>
                <w:kern w:val="0"/>
                <w:sz w:val="24"/>
                <w:szCs w:val="24"/>
              </w:rPr>
            </w:pPr>
            <w:r>
              <w:rPr>
                <w:rFonts w:ascii="宋体" w:hAnsi="宋体" w:eastAsia="宋体" w:cs="Arial"/>
                <w:kern w:val="0"/>
                <w:sz w:val="20"/>
                <w:szCs w:val="20"/>
              </w:rPr>
              <w:t>注：本表反映部门本年度一般公共预算财政拨款支出情况。</w:t>
            </w:r>
          </w:p>
        </w:tc>
      </w:tr>
      <w:tr>
        <w:tblPrEx>
          <w:tblCellMar>
            <w:top w:w="0" w:type="dxa"/>
            <w:left w:w="108" w:type="dxa"/>
            <w:bottom w:w="0" w:type="dxa"/>
            <w:right w:w="108" w:type="dxa"/>
          </w:tblCellMar>
        </w:tblPrEx>
        <w:trPr>
          <w:trHeight w:val="364" w:hRule="atLeast"/>
          <w:jc w:val="center"/>
        </w:trPr>
        <w:tc>
          <w:tcPr>
            <w:tcW w:w="15036" w:type="dxa"/>
            <w:gridSpan w:val="14"/>
            <w:tcBorders>
              <w:top w:val="nil"/>
              <w:left w:val="nil"/>
              <w:bottom w:val="nil"/>
            </w:tcBorders>
            <w:shd w:val="clear" w:color="000000" w:fill="FFFFFF"/>
            <w:noWrap/>
            <w:vAlign w:val="center"/>
          </w:tcPr>
          <w:p>
            <w:pPr>
              <w:widowControl/>
              <w:jc w:val="center"/>
              <w:rPr>
                <w:rFonts w:ascii="黑体" w:hAnsi="黑体" w:eastAsia="黑体" w:cs="Arial"/>
                <w:kern w:val="0"/>
                <w:sz w:val="30"/>
                <w:szCs w:val="30"/>
              </w:rPr>
            </w:pPr>
            <w:r>
              <w:rPr>
                <w:rFonts w:hint="eastAsia" w:ascii="黑体" w:hAnsi="黑体" w:eastAsia="黑体" w:cs="Arial"/>
                <w:kern w:val="0"/>
                <w:sz w:val="30"/>
                <w:szCs w:val="30"/>
              </w:rPr>
              <w:t>一般公共预算财政拨款基本支出决算表</w:t>
            </w:r>
          </w:p>
        </w:tc>
      </w:tr>
      <w:tr>
        <w:tblPrEx>
          <w:tblCellMar>
            <w:top w:w="0" w:type="dxa"/>
            <w:left w:w="108" w:type="dxa"/>
            <w:bottom w:w="0" w:type="dxa"/>
            <w:right w:w="108" w:type="dxa"/>
          </w:tblCellMar>
        </w:tblPrEx>
        <w:trPr>
          <w:trHeight w:val="291" w:hRule="atLeast"/>
          <w:jc w:val="center"/>
        </w:trPr>
        <w:tc>
          <w:tcPr>
            <w:tcW w:w="78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3556" w:type="dxa"/>
            <w:gridSpan w:val="3"/>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420" w:type="dxa"/>
            <w:gridSpan w:val="2"/>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78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163" w:type="dxa"/>
            <w:gridSpan w:val="2"/>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287"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786" w:type="dxa"/>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676" w:type="dxa"/>
            <w:gridSpan w:val="2"/>
            <w:tcBorders>
              <w:top w:val="nil"/>
              <w:left w:val="nil"/>
              <w:bottom w:val="nil"/>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76" w:type="dxa"/>
            <w:tcBorders>
              <w:top w:val="nil"/>
              <w:left w:val="nil"/>
            </w:tcBorders>
            <w:shd w:val="clear" w:color="000000" w:fill="FFFFFF"/>
            <w:noWrap/>
            <w:vAlign w:val="center"/>
          </w:tcPr>
          <w:p>
            <w:pPr>
              <w:widowControl/>
              <w:jc w:val="right"/>
              <w:rPr>
                <w:rFonts w:ascii="宋体" w:hAnsi="宋体" w:eastAsia="宋体" w:cs="Arial"/>
                <w:kern w:val="0"/>
                <w:sz w:val="18"/>
                <w:szCs w:val="18"/>
              </w:rPr>
            </w:pPr>
            <w:r>
              <w:rPr>
                <w:rFonts w:hint="eastAsia" w:ascii="宋体" w:hAnsi="宋体" w:eastAsia="宋体" w:cs="Arial"/>
                <w:kern w:val="0"/>
                <w:sz w:val="18"/>
                <w:szCs w:val="18"/>
              </w:rPr>
              <w:t>公开06表</w:t>
            </w:r>
          </w:p>
        </w:tc>
      </w:tr>
      <w:tr>
        <w:tblPrEx>
          <w:tblCellMar>
            <w:top w:w="0" w:type="dxa"/>
            <w:left w:w="108" w:type="dxa"/>
            <w:bottom w:w="0" w:type="dxa"/>
            <w:right w:w="108" w:type="dxa"/>
          </w:tblCellMar>
        </w:tblPrEx>
        <w:trPr>
          <w:trHeight w:val="291" w:hRule="atLeast"/>
          <w:jc w:val="center"/>
        </w:trPr>
        <w:tc>
          <w:tcPr>
            <w:tcW w:w="4342" w:type="dxa"/>
            <w:gridSpan w:val="4"/>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部门：湖南省长沙生态环境监测中心</w:t>
            </w:r>
          </w:p>
        </w:tc>
        <w:tc>
          <w:tcPr>
            <w:tcW w:w="1420" w:type="dxa"/>
            <w:gridSpan w:val="2"/>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786"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163" w:type="dxa"/>
            <w:gridSpan w:val="2"/>
            <w:tcBorders>
              <w:top w:val="nil"/>
              <w:left w:val="nil"/>
              <w:bottom w:val="single" w:color="808080" w:sz="4" w:space="0"/>
              <w:right w:val="nil"/>
            </w:tcBorders>
            <w:shd w:val="clear" w:color="000000" w:fill="FFFFFF"/>
            <w:noWrap/>
            <w:vAlign w:val="center"/>
          </w:tcPr>
          <w:p>
            <w:pPr>
              <w:widowControl/>
              <w:jc w:val="center"/>
              <w:rPr>
                <w:rFonts w:ascii="宋体" w:hAnsi="宋体" w:eastAsia="宋体" w:cs="Arial"/>
                <w:kern w:val="0"/>
                <w:sz w:val="22"/>
              </w:rPr>
            </w:pPr>
            <w:r>
              <w:rPr>
                <w:rFonts w:hint="eastAsia" w:ascii="宋体" w:hAnsi="宋体" w:eastAsia="宋体" w:cs="Arial"/>
                <w:kern w:val="0"/>
                <w:sz w:val="22"/>
              </w:rPr>
              <w:t>　202</w:t>
            </w:r>
            <w:r>
              <w:rPr>
                <w:rFonts w:ascii="宋体" w:hAnsi="宋体" w:eastAsia="宋体" w:cs="Arial"/>
                <w:kern w:val="0"/>
                <w:sz w:val="22"/>
              </w:rPr>
              <w:t>1</w:t>
            </w:r>
            <w:r>
              <w:rPr>
                <w:rFonts w:hint="eastAsia" w:ascii="宋体" w:hAnsi="宋体" w:eastAsia="宋体" w:cs="Arial"/>
                <w:kern w:val="0"/>
                <w:sz w:val="22"/>
              </w:rPr>
              <w:t>年</w:t>
            </w:r>
            <w:r>
              <w:rPr>
                <w:rFonts w:ascii="宋体" w:hAnsi="宋体" w:eastAsia="宋体" w:cs="Arial"/>
                <w:kern w:val="0"/>
                <w:sz w:val="22"/>
              </w:rPr>
              <w:t>度</w:t>
            </w:r>
          </w:p>
        </w:tc>
        <w:tc>
          <w:tcPr>
            <w:tcW w:w="1287"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786" w:type="dxa"/>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2676" w:type="dxa"/>
            <w:gridSpan w:val="2"/>
            <w:tcBorders>
              <w:top w:val="nil"/>
              <w:left w:val="nil"/>
              <w:bottom w:val="single" w:color="808080" w:sz="4" w:space="0"/>
              <w:right w:val="nil"/>
            </w:tcBorders>
            <w:shd w:val="clear" w:color="000000" w:fill="FFFFFF"/>
            <w:noWrap/>
            <w:vAlign w:val="center"/>
          </w:tcPr>
          <w:p>
            <w:pPr>
              <w:widowControl/>
              <w:jc w:val="left"/>
              <w:rPr>
                <w:rFonts w:ascii="宋体" w:hAnsi="宋体" w:eastAsia="宋体" w:cs="Arial"/>
                <w:kern w:val="0"/>
                <w:sz w:val="18"/>
                <w:szCs w:val="18"/>
              </w:rPr>
            </w:pPr>
            <w:r>
              <w:rPr>
                <w:rFonts w:hint="eastAsia" w:ascii="宋体" w:hAnsi="宋体" w:eastAsia="宋体" w:cs="Arial"/>
                <w:kern w:val="0"/>
                <w:sz w:val="18"/>
                <w:szCs w:val="18"/>
              </w:rPr>
              <w:t>　</w:t>
            </w:r>
          </w:p>
        </w:tc>
        <w:tc>
          <w:tcPr>
            <w:tcW w:w="1576" w:type="dxa"/>
            <w:tcBorders>
              <w:top w:val="nil"/>
              <w:left w:val="nil"/>
              <w:bottom w:val="single" w:color="auto" w:sz="4" w:space="0"/>
            </w:tcBorders>
            <w:shd w:val="clear" w:color="000000" w:fill="FFFFFF"/>
            <w:noWrap/>
            <w:vAlign w:val="center"/>
          </w:tcPr>
          <w:p>
            <w:pPr>
              <w:widowControl/>
              <w:jc w:val="right"/>
              <w:rPr>
                <w:rFonts w:ascii="宋体" w:hAnsi="宋体" w:eastAsia="宋体" w:cs="Arial"/>
                <w:kern w:val="0"/>
                <w:sz w:val="18"/>
                <w:szCs w:val="18"/>
              </w:rPr>
            </w:pPr>
            <w:r>
              <w:rPr>
                <w:rFonts w:hint="eastAsia" w:ascii="宋体" w:hAnsi="宋体" w:eastAsia="宋体" w:cs="Arial"/>
                <w:kern w:val="0"/>
                <w:sz w:val="18"/>
                <w:szCs w:val="18"/>
              </w:rPr>
              <w:t>金额单位：万元</w:t>
            </w:r>
          </w:p>
        </w:tc>
      </w:tr>
      <w:tr>
        <w:tblPrEx>
          <w:tblCellMar>
            <w:top w:w="0" w:type="dxa"/>
            <w:left w:w="108" w:type="dxa"/>
            <w:bottom w:w="0" w:type="dxa"/>
            <w:right w:w="108" w:type="dxa"/>
          </w:tblCellMar>
        </w:tblPrEx>
        <w:trPr>
          <w:trHeight w:val="291" w:hRule="atLeast"/>
          <w:jc w:val="center"/>
        </w:trPr>
        <w:tc>
          <w:tcPr>
            <w:tcW w:w="5762" w:type="dxa"/>
            <w:gridSpan w:val="6"/>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w:t>
            </w:r>
          </w:p>
        </w:tc>
        <w:tc>
          <w:tcPr>
            <w:tcW w:w="9274" w:type="dxa"/>
            <w:gridSpan w:val="8"/>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w:t>
            </w:r>
          </w:p>
        </w:tc>
      </w:tr>
      <w:tr>
        <w:tblPrEx>
          <w:tblCellMar>
            <w:top w:w="0" w:type="dxa"/>
            <w:left w:w="108" w:type="dxa"/>
            <w:bottom w:w="0" w:type="dxa"/>
            <w:right w:w="108" w:type="dxa"/>
          </w:tblCellMar>
        </w:tblPrEx>
        <w:trPr>
          <w:trHeight w:val="312" w:hRule="atLeast"/>
          <w:jc w:val="center"/>
        </w:trPr>
        <w:tc>
          <w:tcPr>
            <w:tcW w:w="78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3556" w:type="dxa"/>
            <w:gridSpan w:val="3"/>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420"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786"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2163"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287"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c>
          <w:tcPr>
            <w:tcW w:w="786"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科目编码</w:t>
            </w:r>
          </w:p>
        </w:tc>
        <w:tc>
          <w:tcPr>
            <w:tcW w:w="2676"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科目名称</w:t>
            </w:r>
          </w:p>
        </w:tc>
        <w:tc>
          <w:tcPr>
            <w:tcW w:w="1576"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决算数</w:t>
            </w:r>
          </w:p>
        </w:tc>
      </w:tr>
      <w:tr>
        <w:tblPrEx>
          <w:tblCellMar>
            <w:top w:w="0" w:type="dxa"/>
            <w:left w:w="108" w:type="dxa"/>
            <w:bottom w:w="0" w:type="dxa"/>
            <w:right w:w="108" w:type="dxa"/>
          </w:tblCellMar>
        </w:tblPrEx>
        <w:trPr>
          <w:trHeight w:val="312" w:hRule="atLeast"/>
          <w:jc w:val="center"/>
        </w:trPr>
        <w:tc>
          <w:tcPr>
            <w:tcW w:w="78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3556" w:type="dxa"/>
            <w:gridSpan w:val="3"/>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420"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78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163"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287"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78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2676" w:type="dxa"/>
            <w:gridSpan w:val="2"/>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c>
          <w:tcPr>
            <w:tcW w:w="157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Arial"/>
                <w:kern w:val="0"/>
                <w:sz w:val="20"/>
                <w:szCs w:val="20"/>
              </w:rPr>
            </w:pP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工资福利支出</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1,193.11</w:t>
            </w: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商品和服务支出</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07.50</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债务利息及费用支出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30101</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基本工资</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361.90</w:t>
            </w: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30201</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ascii="宋体" w:hAnsi="宋体" w:eastAsia="宋体" w:cs="Arial"/>
                <w:kern w:val="0"/>
                <w:sz w:val="20"/>
                <w:szCs w:val="20"/>
              </w:rPr>
              <w:t>27.85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30701</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国内债务付息</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30102</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津贴补贴</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w:t>
            </w:r>
            <w:r>
              <w:rPr>
                <w:rFonts w:ascii="宋体" w:hAnsi="宋体" w:eastAsia="宋体" w:cs="Arial"/>
                <w:kern w:val="0"/>
                <w:sz w:val="20"/>
                <w:szCs w:val="20"/>
              </w:rPr>
              <w:t>4.93</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30202</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印刷费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w:t>
            </w:r>
            <w:r>
              <w:rPr>
                <w:rFonts w:ascii="宋体" w:hAnsi="宋体" w:eastAsia="宋体" w:cs="Arial"/>
                <w:kern w:val="0"/>
                <w:sz w:val="20"/>
                <w:szCs w:val="20"/>
              </w:rPr>
              <w:t>.29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30702</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国外债务付息</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30103</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奖金</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.00</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30203</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咨询费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资本性支出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w:t>
            </w:r>
            <w:r>
              <w:rPr>
                <w:rFonts w:ascii="宋体" w:hAnsi="宋体" w:eastAsia="宋体" w:cs="Arial"/>
                <w:kern w:val="0"/>
                <w:sz w:val="20"/>
                <w:szCs w:val="20"/>
              </w:rPr>
              <w:t>.87</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30106</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伙食补助费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w:t>
            </w:r>
            <w:r>
              <w:rPr>
                <w:rFonts w:ascii="宋体" w:hAnsi="宋体" w:eastAsia="宋体" w:cs="Arial"/>
                <w:kern w:val="0"/>
                <w:sz w:val="20"/>
                <w:szCs w:val="20"/>
              </w:rPr>
              <w:t>2.97</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30204</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手续费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31001</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房屋建筑物购建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30107</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绩效工资</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w:t>
            </w:r>
            <w:r>
              <w:rPr>
                <w:rFonts w:ascii="宋体" w:hAnsi="宋体" w:eastAsia="宋体" w:cs="Arial"/>
                <w:kern w:val="0"/>
                <w:sz w:val="20"/>
                <w:szCs w:val="20"/>
              </w:rPr>
              <w:t>80.5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30205</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水费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w:t>
            </w:r>
            <w:r>
              <w:rPr>
                <w:rFonts w:ascii="宋体" w:hAnsi="宋体" w:eastAsia="宋体" w:cs="Arial"/>
                <w:kern w:val="0"/>
                <w:sz w:val="20"/>
                <w:szCs w:val="20"/>
              </w:rPr>
              <w:t>.27</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31002</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办公设备购置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w:t>
            </w:r>
            <w:r>
              <w:rPr>
                <w:rFonts w:ascii="宋体" w:hAnsi="宋体" w:eastAsia="宋体" w:cs="Arial"/>
                <w:kern w:val="0"/>
                <w:sz w:val="20"/>
                <w:szCs w:val="20"/>
              </w:rPr>
              <w:t>.76</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30108</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机关事业单位基本养老保险缴费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w:t>
            </w:r>
            <w:r>
              <w:rPr>
                <w:rFonts w:ascii="宋体" w:hAnsi="宋体" w:eastAsia="宋体" w:cs="Arial"/>
                <w:kern w:val="0"/>
                <w:sz w:val="20"/>
                <w:szCs w:val="20"/>
              </w:rPr>
              <w:t>4.89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30206</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电费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9.90</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31003</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专用设备购置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w:t>
            </w:r>
            <w:r>
              <w:rPr>
                <w:rFonts w:ascii="宋体" w:hAnsi="宋体" w:eastAsia="宋体" w:cs="Arial"/>
                <w:kern w:val="0"/>
                <w:sz w:val="20"/>
                <w:szCs w:val="20"/>
              </w:rPr>
              <w:t>.11</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30109</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职业年金缴费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.88</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30207</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邮电费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w:t>
            </w:r>
            <w:r>
              <w:rPr>
                <w:rFonts w:ascii="宋体" w:hAnsi="宋体" w:eastAsia="宋体" w:cs="Arial"/>
                <w:kern w:val="0"/>
                <w:sz w:val="20"/>
                <w:szCs w:val="20"/>
              </w:rPr>
              <w:t>.41</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31005</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基础设施建设</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30110</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职工基本医疗保险缴费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w:t>
            </w:r>
            <w:r>
              <w:rPr>
                <w:rFonts w:ascii="宋体" w:hAnsi="宋体" w:eastAsia="宋体" w:cs="Arial"/>
                <w:kern w:val="0"/>
                <w:sz w:val="20"/>
                <w:szCs w:val="20"/>
              </w:rPr>
              <w:t>3.89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30208</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取暖费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31006</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大型修缮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30111</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公务员医疗补助缴费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2</w:t>
            </w:r>
            <w:r>
              <w:rPr>
                <w:rFonts w:ascii="宋体" w:hAnsi="宋体" w:eastAsia="宋体" w:cs="Arial"/>
                <w:kern w:val="0"/>
                <w:sz w:val="20"/>
                <w:szCs w:val="20"/>
              </w:rPr>
              <w:t>8.32</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30209</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物业管理费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31007</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信息网络及软件购置更新</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30112</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其他社会保障缴费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7.85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30211</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差旅费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1.75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31008</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物资储备</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62"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30113</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住房公积金</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76.69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30212</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因公出国（境）费用</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31009</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土地补偿</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30114</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9</w:t>
            </w:r>
            <w:r>
              <w:rPr>
                <w:rFonts w:ascii="宋体" w:hAnsi="宋体" w:eastAsia="宋体" w:cs="Arial"/>
                <w:kern w:val="0"/>
                <w:sz w:val="20"/>
                <w:szCs w:val="20"/>
              </w:rPr>
              <w:t>.54</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30213</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维修（护）费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2.89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31010</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安置补助</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65"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30199</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其他工资福利支出</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w:t>
            </w:r>
            <w:r>
              <w:rPr>
                <w:rFonts w:ascii="宋体" w:hAnsi="宋体" w:eastAsia="宋体" w:cs="Arial"/>
                <w:kern w:val="0"/>
                <w:sz w:val="20"/>
                <w:szCs w:val="20"/>
              </w:rPr>
              <w:t>4.73</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30214</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租赁费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31011</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地上附着物和青苗补偿</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对个人和家庭的补助</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w:t>
            </w:r>
            <w:r>
              <w:rPr>
                <w:rFonts w:ascii="宋体" w:hAnsi="宋体" w:eastAsia="宋体" w:cs="Arial"/>
                <w:kern w:val="0"/>
                <w:sz w:val="20"/>
                <w:szCs w:val="20"/>
              </w:rPr>
              <w:t>.25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30215</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会议费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.97</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31012</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拆迁补偿</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30301</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离休费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30216</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培训费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5</w:t>
            </w:r>
            <w:r>
              <w:rPr>
                <w:rFonts w:ascii="宋体" w:hAnsi="宋体" w:eastAsia="宋体" w:cs="Arial"/>
                <w:kern w:val="0"/>
                <w:sz w:val="20"/>
                <w:szCs w:val="20"/>
              </w:rPr>
              <w:t>.89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31013</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30302</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退休费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30217</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公务接待费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.45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31019</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其他交通工具购置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30303</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退职（役）费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ind w:right="100"/>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30218</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专用材料费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w:t>
            </w:r>
            <w:r>
              <w:rPr>
                <w:rFonts w:ascii="宋体" w:hAnsi="宋体" w:eastAsia="宋体" w:cs="Arial"/>
                <w:kern w:val="0"/>
                <w:sz w:val="20"/>
                <w:szCs w:val="20"/>
              </w:rPr>
              <w:t>.17</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31021</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文物和陈列品购置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30304</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抚恤金</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30224</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被装购置费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31022</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无形资产购置</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30305</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生活补助</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30225</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专用燃料费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31099</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其他资本性支出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30306</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救济费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30226</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劳务费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2.69</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其他支出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30307</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医疗费补助</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30227</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委托业务费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6</w:t>
            </w:r>
            <w:r>
              <w:rPr>
                <w:rFonts w:ascii="宋体" w:hAnsi="宋体" w:eastAsia="宋体" w:cs="Arial"/>
                <w:kern w:val="0"/>
                <w:sz w:val="20"/>
                <w:szCs w:val="20"/>
              </w:rPr>
              <w:t>.18</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39906</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赠与</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30308</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助学金</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30228</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工会经费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1.53</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39907</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国家赔偿费用支出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30309</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奖励金</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0</w:t>
            </w:r>
            <w:r>
              <w:rPr>
                <w:rFonts w:ascii="宋体" w:hAnsi="宋体" w:eastAsia="宋体" w:cs="Arial"/>
                <w:kern w:val="0"/>
                <w:sz w:val="20"/>
                <w:szCs w:val="20"/>
              </w:rPr>
              <w:t>.25</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30229</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福利费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w:t>
            </w:r>
            <w:r>
              <w:rPr>
                <w:rFonts w:ascii="宋体" w:hAnsi="宋体" w:eastAsia="宋体" w:cs="Arial"/>
                <w:kern w:val="0"/>
                <w:sz w:val="20"/>
                <w:szCs w:val="20"/>
              </w:rPr>
              <w:t>6.50</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39908</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对民间非营利组织和群众性自治组织补贴</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30310</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个人农业生产补贴</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30231</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公务用车运行维护费</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7.</w:t>
            </w:r>
            <w:r>
              <w:rPr>
                <w:rFonts w:hint="eastAsia" w:ascii="宋体" w:hAnsi="宋体" w:eastAsia="宋体" w:cs="Arial"/>
                <w:kern w:val="0"/>
                <w:sz w:val="20"/>
                <w:szCs w:val="20"/>
              </w:rPr>
              <w:t>70</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39999</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其他支出</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30311</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代缴社会保险费</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30239</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其他交通费用</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9.41</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30399</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其他对个人和家庭的补助</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30240</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税金及附加费用</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115" w:hRule="atLeast"/>
          <w:jc w:val="center"/>
        </w:trPr>
        <w:tc>
          <w:tcPr>
            <w:tcW w:w="78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3556" w:type="dxa"/>
            <w:gridSpan w:val="3"/>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30299</w:t>
            </w:r>
          </w:p>
        </w:tc>
        <w:tc>
          <w:tcPr>
            <w:tcW w:w="2163"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xml:space="preserve">  其他商品和服务支出</w:t>
            </w:r>
          </w:p>
        </w:tc>
        <w:tc>
          <w:tcPr>
            <w:tcW w:w="128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4</w:t>
            </w:r>
            <w:r>
              <w:rPr>
                <w:rFonts w:ascii="宋体" w:hAnsi="宋体" w:eastAsia="宋体" w:cs="Arial"/>
                <w:kern w:val="0"/>
                <w:sz w:val="20"/>
                <w:szCs w:val="20"/>
              </w:rPr>
              <w:t>4.6</w:t>
            </w:r>
            <w:r>
              <w:rPr>
                <w:rFonts w:hint="eastAsia" w:ascii="宋体" w:hAnsi="宋体" w:eastAsia="宋体" w:cs="Arial"/>
                <w:kern w:val="0"/>
                <w:sz w:val="20"/>
                <w:szCs w:val="20"/>
              </w:rPr>
              <w:t>4</w:t>
            </w:r>
          </w:p>
        </w:tc>
        <w:tc>
          <w:tcPr>
            <w:tcW w:w="786"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2676"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　</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　</w:t>
            </w:r>
          </w:p>
        </w:tc>
      </w:tr>
      <w:tr>
        <w:tblPrEx>
          <w:tblCellMar>
            <w:top w:w="0" w:type="dxa"/>
            <w:left w:w="108" w:type="dxa"/>
            <w:bottom w:w="0" w:type="dxa"/>
            <w:right w:w="108" w:type="dxa"/>
          </w:tblCellMar>
        </w:tblPrEx>
        <w:trPr>
          <w:trHeight w:val="291" w:hRule="atLeast"/>
          <w:jc w:val="center"/>
        </w:trPr>
        <w:tc>
          <w:tcPr>
            <w:tcW w:w="4342" w:type="dxa"/>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人员经费合计</w:t>
            </w:r>
          </w:p>
        </w:tc>
        <w:tc>
          <w:tcPr>
            <w:tcW w:w="142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1</w:t>
            </w:r>
            <w:r>
              <w:rPr>
                <w:rFonts w:ascii="宋体" w:hAnsi="宋体" w:eastAsia="宋体" w:cs="Arial"/>
                <w:kern w:val="0"/>
                <w:sz w:val="20"/>
                <w:szCs w:val="20"/>
              </w:rPr>
              <w:t>193.37</w:t>
            </w:r>
          </w:p>
        </w:tc>
        <w:tc>
          <w:tcPr>
            <w:tcW w:w="7698" w:type="dxa"/>
            <w:gridSpan w:val="7"/>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公用经费合计</w:t>
            </w:r>
          </w:p>
        </w:tc>
        <w:tc>
          <w:tcPr>
            <w:tcW w:w="157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kern w:val="0"/>
                <w:sz w:val="20"/>
                <w:szCs w:val="20"/>
              </w:rPr>
            </w:pPr>
            <w:r>
              <w:rPr>
                <w:rFonts w:hint="eastAsia" w:ascii="宋体" w:hAnsi="宋体" w:eastAsia="宋体" w:cs="Arial"/>
                <w:kern w:val="0"/>
                <w:sz w:val="20"/>
                <w:szCs w:val="20"/>
              </w:rPr>
              <w:t>3</w:t>
            </w:r>
            <w:r>
              <w:rPr>
                <w:rFonts w:ascii="宋体" w:hAnsi="宋体" w:eastAsia="宋体" w:cs="Arial"/>
                <w:kern w:val="0"/>
                <w:sz w:val="20"/>
                <w:szCs w:val="20"/>
              </w:rPr>
              <w:t>13.36</w:t>
            </w:r>
          </w:p>
        </w:tc>
      </w:tr>
      <w:tr>
        <w:tblPrEx>
          <w:tblCellMar>
            <w:top w:w="0" w:type="dxa"/>
            <w:left w:w="108" w:type="dxa"/>
            <w:bottom w:w="0" w:type="dxa"/>
            <w:right w:w="108" w:type="dxa"/>
          </w:tblCellMar>
        </w:tblPrEx>
        <w:trPr>
          <w:trHeight w:val="291" w:hRule="atLeast"/>
          <w:jc w:val="center"/>
        </w:trPr>
        <w:tc>
          <w:tcPr>
            <w:tcW w:w="15036" w:type="dxa"/>
            <w:gridSpan w:val="14"/>
            <w:tcBorders>
              <w:top w:val="nil"/>
              <w:left w:val="nil"/>
              <w:bottom w:val="nil"/>
              <w:right w:val="nil"/>
            </w:tcBorders>
            <w:shd w:val="clear" w:color="000000" w:fill="FFFFFF"/>
            <w:noWrap/>
            <w:vAlign w:val="center"/>
          </w:tcPr>
          <w:p>
            <w:pPr>
              <w:widowControl/>
              <w:jc w:val="left"/>
              <w:rPr>
                <w:rFonts w:ascii="宋体" w:hAnsi="宋体" w:eastAsia="宋体" w:cs="Arial"/>
                <w:kern w:val="0"/>
                <w:sz w:val="20"/>
                <w:szCs w:val="20"/>
              </w:rPr>
            </w:pPr>
            <w:r>
              <w:rPr>
                <w:rFonts w:hint="eastAsia" w:ascii="宋体" w:hAnsi="宋体" w:eastAsia="宋体" w:cs="Arial"/>
                <w:kern w:val="0"/>
                <w:sz w:val="20"/>
                <w:szCs w:val="20"/>
              </w:rPr>
              <w:t>注：本表反映部门本年度一般公共预算财政拨款基本支出明细情况。</w:t>
            </w:r>
          </w:p>
        </w:tc>
      </w:tr>
    </w:tbl>
    <w:p>
      <w:r>
        <w:fldChar w:fldCharType="begin"/>
      </w:r>
      <w:r>
        <w:instrText xml:space="preserve"> </w:instrText>
      </w:r>
      <w:r>
        <w:rPr>
          <w:rFonts w:hint="eastAsia"/>
        </w:rPr>
        <w:instrText xml:space="preserve">LINK </w:instrText>
      </w:r>
      <w:r>
        <w:instrText xml:space="preserve">Excel.Sheet.8</w:instrText>
      </w:r>
      <w:r>
        <w:rPr>
          <w:rFonts w:hint="eastAsia"/>
        </w:rPr>
        <w:instrText xml:space="preserve"> C:\\Users\\Administrator\\Desktop\\湖南省长沙生态环境监测中心.xls "Z07 一般公共预算财政拨款收入支出决算批复表!R1:R65536" \a \f 4 \h</w:instrText>
      </w:r>
      <w:r>
        <w:instrText xml:space="preserve">  \* MERGEFORMAT </w:instrText>
      </w:r>
      <w:r>
        <w:fldChar w:fldCharType="separate"/>
      </w:r>
    </w:p>
    <w:p>
      <w:pPr>
        <w:rPr>
          <w:rFonts w:ascii="黑体" w:hAnsi="黑体" w:eastAsia="黑体"/>
          <w:sz w:val="28"/>
          <w:szCs w:val="28"/>
        </w:rPr>
      </w:pPr>
      <w:r>
        <w:rPr>
          <w:rFonts w:ascii="黑体" w:hAnsi="黑体" w:eastAsia="黑体"/>
          <w:sz w:val="28"/>
          <w:szCs w:val="28"/>
        </w:rPr>
        <w:fldChar w:fldCharType="end"/>
      </w: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rPr>
          <w:rFonts w:ascii="黑体" w:hAnsi="黑体" w:eastAsia="黑体"/>
          <w:sz w:val="28"/>
          <w:szCs w:val="28"/>
        </w:rPr>
      </w:pPr>
    </w:p>
    <w:p>
      <w:pPr>
        <w:widowControl/>
        <w:jc w:val="center"/>
        <w:rPr>
          <w:rFonts w:ascii="黑体" w:hAnsi="黑体" w:eastAsia="黑体" w:cs="Times New Roman"/>
          <w:kern w:val="0"/>
          <w:sz w:val="32"/>
          <w:szCs w:val="32"/>
        </w:rPr>
      </w:pPr>
      <w:r>
        <w:rPr>
          <w:rFonts w:hint="eastAsia" w:ascii="黑体" w:hAnsi="黑体" w:eastAsia="黑体" w:cs="Times New Roman"/>
          <w:kern w:val="0"/>
          <w:sz w:val="32"/>
          <w:szCs w:val="32"/>
        </w:rPr>
        <w:t>一般公共预算财政拨款“三公”经费支出决算表</w:t>
      </w:r>
    </w:p>
    <w:p>
      <w:pPr>
        <w:widowControl/>
        <w:wordWrap w:val="0"/>
        <w:ind w:right="840"/>
        <w:jc w:val="right"/>
        <w:rPr>
          <w:rFonts w:ascii="Times New Roman" w:hAnsi="Times New Roman" w:eastAsia="仿宋_GB2312" w:cs="Times New Roman"/>
          <w:color w:val="000000"/>
          <w:kern w:val="0"/>
          <w:szCs w:val="21"/>
        </w:rPr>
      </w:pPr>
      <w:r>
        <w:rPr>
          <w:rFonts w:hint="eastAsia" w:ascii="Times New Roman" w:hAnsi="Times New Roman" w:cs="Times New Roman"/>
          <w:color w:val="000000"/>
          <w:kern w:val="0"/>
          <w:szCs w:val="21"/>
        </w:rPr>
        <w:t xml:space="preserve"> </w:t>
      </w:r>
      <w:r>
        <w:rPr>
          <w:rFonts w:ascii="宋体" w:hAnsi="宋体" w:eastAsia="宋体" w:cs="Arial"/>
          <w:kern w:val="0"/>
          <w:sz w:val="20"/>
          <w:szCs w:val="20"/>
        </w:rPr>
        <w:t>部门：</w:t>
      </w:r>
      <w:r>
        <w:rPr>
          <w:rFonts w:hint="eastAsia" w:ascii="宋体" w:hAnsi="宋体" w:eastAsia="宋体" w:cs="Arial"/>
          <w:kern w:val="0"/>
          <w:sz w:val="20"/>
          <w:szCs w:val="20"/>
        </w:rPr>
        <w:t xml:space="preserve">湖南省长沙生态环境监测中心  </w:t>
      </w:r>
      <w:r>
        <w:rPr>
          <w:rFonts w:hint="eastAsia" w:cs="Times New Roman" w:asciiTheme="minorEastAsia" w:hAnsiTheme="minorEastAsia"/>
          <w:color w:val="000000"/>
          <w:kern w:val="0"/>
          <w:sz w:val="24"/>
          <w:szCs w:val="24"/>
        </w:rPr>
        <w:t xml:space="preserve">                                                                           </w:t>
      </w:r>
      <w:r>
        <w:rPr>
          <w:rFonts w:ascii="Times New Roman" w:hAnsi="Times New Roman" w:eastAsia="仿宋_GB2312" w:cs="Times New Roman"/>
          <w:color w:val="000000"/>
          <w:kern w:val="0"/>
          <w:szCs w:val="21"/>
        </w:rPr>
        <w:t>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wordWrap w:val="0"/>
        <w:ind w:right="84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cs="Times New Roman" w:asciiTheme="minorEastAsia" w:hAnsiTheme="minorEastAsia"/>
                <w:kern w:val="0"/>
                <w:sz w:val="24"/>
                <w:szCs w:val="24"/>
              </w:rPr>
            </w:pPr>
            <w:r>
              <w:rPr>
                <w:rFonts w:ascii="宋体" w:hAnsi="宋体" w:eastAsia="宋体" w:cs="Arial"/>
                <w:kern w:val="0"/>
                <w:sz w:val="20"/>
                <w:szCs w:val="20"/>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cs="Times New Roman" w:asciiTheme="minorEastAsia" w:hAnsiTheme="minorEastAsia"/>
                <w:kern w:val="0"/>
                <w:sz w:val="24"/>
                <w:szCs w:val="24"/>
              </w:rPr>
            </w:pPr>
            <w:r>
              <w:rPr>
                <w:rFonts w:ascii="宋体" w:hAnsi="宋体" w:eastAsia="宋体" w:cs="Arial"/>
                <w:kern w:val="0"/>
                <w:sz w:val="20"/>
                <w:szCs w:val="20"/>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w:t>
            </w:r>
          </w:p>
          <w:p>
            <w:pPr>
              <w:widowControl/>
              <w:jc w:val="center"/>
              <w:rPr>
                <w:rFonts w:ascii="宋体" w:hAnsi="宋体" w:eastAsia="宋体" w:cs="Arial"/>
                <w:kern w:val="0"/>
                <w:sz w:val="20"/>
                <w:szCs w:val="20"/>
              </w:rPr>
            </w:pPr>
            <w:r>
              <w:rPr>
                <w:rFonts w:ascii="宋体" w:hAnsi="宋体" w:eastAsia="宋体" w:cs="Arial"/>
                <w:kern w:val="0"/>
                <w:sz w:val="20"/>
                <w:szCs w:val="20"/>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w:t>
            </w:r>
          </w:p>
          <w:p>
            <w:pPr>
              <w:widowControl/>
              <w:jc w:val="center"/>
              <w:rPr>
                <w:rFonts w:ascii="宋体" w:hAnsi="宋体" w:eastAsia="宋体" w:cs="Arial"/>
                <w:kern w:val="0"/>
                <w:sz w:val="20"/>
                <w:szCs w:val="20"/>
              </w:rPr>
            </w:pPr>
            <w:r>
              <w:rPr>
                <w:rFonts w:ascii="宋体" w:hAnsi="宋体" w:eastAsia="宋体" w:cs="Arial"/>
                <w:kern w:val="0"/>
                <w:sz w:val="20"/>
                <w:szCs w:val="20"/>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center"/>
              <w:rPr>
                <w:rFonts w:ascii="宋体" w:hAnsi="宋体" w:eastAsia="宋体" w:cs="Arial"/>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Arial"/>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w:t>
            </w:r>
            <w:r>
              <w:rPr>
                <w:rFonts w:ascii="宋体" w:hAnsi="宋体" w:eastAsia="宋体" w:cs="Arial"/>
                <w:kern w:val="0"/>
                <w:sz w:val="20"/>
                <w:szCs w:val="20"/>
              </w:rPr>
              <w:br w:type="textWrapping"/>
            </w:r>
            <w:r>
              <w:rPr>
                <w:rFonts w:ascii="宋体" w:hAnsi="宋体" w:eastAsia="宋体" w:cs="Arial"/>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w:t>
            </w:r>
            <w:r>
              <w:rPr>
                <w:rFonts w:ascii="宋体" w:hAnsi="宋体" w:eastAsia="宋体" w:cs="Arial"/>
                <w:kern w:val="0"/>
                <w:sz w:val="20"/>
                <w:szCs w:val="20"/>
              </w:rPr>
              <w:br w:type="textWrapping"/>
            </w:r>
            <w:r>
              <w:rPr>
                <w:rFonts w:ascii="宋体" w:hAnsi="宋体" w:eastAsia="宋体" w:cs="Arial"/>
                <w:kern w:val="0"/>
                <w:sz w:val="20"/>
                <w:szCs w:val="20"/>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Arial"/>
                <w:kern w:val="0"/>
                <w:sz w:val="20"/>
                <w:szCs w:val="20"/>
              </w:rPr>
            </w:pPr>
          </w:p>
        </w:tc>
        <w:tc>
          <w:tcPr>
            <w:tcW w:w="1220" w:type="dxa"/>
            <w:vMerge w:val="continue"/>
            <w:tcBorders>
              <w:top w:val="nil"/>
              <w:left w:val="nil"/>
              <w:bottom w:val="single" w:color="000000" w:sz="4" w:space="0"/>
              <w:right w:val="single" w:color="auto" w:sz="4" w:space="0"/>
            </w:tcBorders>
            <w:vAlign w:val="center"/>
          </w:tcPr>
          <w:p>
            <w:pPr>
              <w:widowControl/>
              <w:jc w:val="center"/>
              <w:rPr>
                <w:rFonts w:ascii="宋体" w:hAnsi="宋体" w:eastAsia="宋体" w:cs="Arial"/>
                <w:kern w:val="0"/>
                <w:sz w:val="20"/>
                <w:szCs w:val="20"/>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Arial"/>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w:t>
            </w:r>
            <w:r>
              <w:rPr>
                <w:rFonts w:ascii="宋体" w:hAnsi="宋体" w:eastAsia="宋体" w:cs="Arial"/>
                <w:kern w:val="0"/>
                <w:sz w:val="20"/>
                <w:szCs w:val="20"/>
              </w:rPr>
              <w:br w:type="textWrapping"/>
            </w:r>
            <w:r>
              <w:rPr>
                <w:rFonts w:ascii="宋体" w:hAnsi="宋体" w:eastAsia="宋体" w:cs="Arial"/>
                <w:kern w:val="0"/>
                <w:sz w:val="20"/>
                <w:szCs w:val="20"/>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公务用车</w:t>
            </w:r>
            <w:r>
              <w:rPr>
                <w:rFonts w:ascii="宋体" w:hAnsi="宋体" w:eastAsia="宋体" w:cs="Arial"/>
                <w:kern w:val="0"/>
                <w:sz w:val="20"/>
                <w:szCs w:val="20"/>
              </w:rPr>
              <w:br w:type="textWrapping"/>
            </w:r>
            <w:r>
              <w:rPr>
                <w:rFonts w:ascii="宋体" w:hAnsi="宋体" w:eastAsia="宋体" w:cs="Arial"/>
                <w:kern w:val="0"/>
                <w:sz w:val="20"/>
                <w:szCs w:val="20"/>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center"/>
              <w:rPr>
                <w:rFonts w:ascii="宋体" w:hAnsi="宋体" w:eastAsia="宋体" w:cs="Arial"/>
                <w:kern w:val="0"/>
                <w:sz w:val="20"/>
                <w:szCs w:val="20"/>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38</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36</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18</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ascii="宋体" w:hAnsi="宋体" w:eastAsia="宋体" w:cs="Arial"/>
                <w:kern w:val="0"/>
                <w:sz w:val="20"/>
                <w:szCs w:val="20"/>
              </w:rPr>
              <w:t>2</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37.14</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0</w:t>
            </w:r>
          </w:p>
        </w:tc>
        <w:tc>
          <w:tcPr>
            <w:tcW w:w="1220" w:type="dxa"/>
            <w:tcBorders>
              <w:top w:val="nil"/>
              <w:left w:val="nil"/>
              <w:bottom w:val="single" w:color="auto" w:sz="8" w:space="0"/>
              <w:right w:val="single" w:color="auto" w:sz="4" w:space="0"/>
            </w:tcBorders>
            <w:shd w:val="clear" w:color="auto" w:fill="auto"/>
            <w:vAlign w:val="center"/>
          </w:tcPr>
          <w:p>
            <w:pPr>
              <w:widowControl/>
              <w:ind w:firstLine="400" w:firstLineChars="200"/>
              <w:jc w:val="center"/>
              <w:rPr>
                <w:rFonts w:ascii="宋体" w:hAnsi="宋体" w:eastAsia="宋体" w:cs="Arial"/>
                <w:kern w:val="0"/>
                <w:sz w:val="20"/>
                <w:szCs w:val="20"/>
              </w:rPr>
            </w:pPr>
            <w:r>
              <w:rPr>
                <w:rFonts w:hint="eastAsia" w:ascii="宋体" w:hAnsi="宋体" w:eastAsia="宋体" w:cs="Arial"/>
                <w:kern w:val="0"/>
                <w:sz w:val="20"/>
                <w:szCs w:val="20"/>
              </w:rPr>
              <w:t>35.6</w:t>
            </w:r>
            <w:r>
              <w:rPr>
                <w:rFonts w:ascii="宋体" w:hAnsi="宋体" w:eastAsia="宋体" w:cs="Arial"/>
                <w:kern w:val="0"/>
                <w:sz w:val="20"/>
                <w:szCs w:val="20"/>
              </w:rPr>
              <w:t>9</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17.99</w:t>
            </w:r>
          </w:p>
        </w:tc>
        <w:tc>
          <w:tcPr>
            <w:tcW w:w="1220" w:type="dxa"/>
            <w:tcBorders>
              <w:top w:val="nil"/>
              <w:left w:val="nil"/>
              <w:bottom w:val="single" w:color="auto" w:sz="8" w:space="0"/>
              <w:right w:val="nil"/>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17.</w:t>
            </w:r>
            <w:r>
              <w:rPr>
                <w:rFonts w:ascii="宋体" w:hAnsi="宋体" w:eastAsia="宋体" w:cs="Arial"/>
                <w:kern w:val="0"/>
                <w:sz w:val="20"/>
                <w:szCs w:val="20"/>
              </w:rPr>
              <w:t>7</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ascii="宋体" w:hAnsi="宋体" w:eastAsia="宋体" w:cs="Arial"/>
                <w:kern w:val="0"/>
                <w:sz w:val="20"/>
                <w:szCs w:val="20"/>
              </w:rPr>
            </w:pPr>
            <w:r>
              <w:rPr>
                <w:rFonts w:hint="eastAsia" w:ascii="宋体" w:hAnsi="宋体" w:eastAsia="宋体" w:cs="Arial"/>
                <w:kern w:val="0"/>
                <w:sz w:val="20"/>
                <w:szCs w:val="20"/>
              </w:rPr>
              <w:t>1.45</w:t>
            </w:r>
          </w:p>
        </w:tc>
      </w:tr>
    </w:tbl>
    <w:p>
      <w:pPr>
        <w:widowControl/>
        <w:ind w:firstLine="400" w:firstLineChars="200"/>
        <w:jc w:val="left"/>
        <w:rPr>
          <w:rFonts w:ascii="宋体" w:hAnsi="宋体" w:eastAsia="宋体" w:cs="Arial"/>
          <w:kern w:val="0"/>
          <w:sz w:val="20"/>
          <w:szCs w:val="20"/>
        </w:rPr>
        <w:sectPr>
          <w:pgSz w:w="16838" w:h="11906" w:orient="landscape"/>
          <w:pgMar w:top="720" w:right="720" w:bottom="720" w:left="720" w:header="851" w:footer="992" w:gutter="0"/>
          <w:cols w:space="425" w:num="1"/>
          <w:docGrid w:type="lines" w:linePitch="312" w:charSpace="0"/>
        </w:sectPr>
      </w:pPr>
      <w:r>
        <w:rPr>
          <w:rFonts w:hint="eastAsia" w:ascii="宋体" w:hAnsi="宋体" w:eastAsia="宋体" w:cs="Arial"/>
          <w:kern w:val="0"/>
          <w:sz w:val="20"/>
          <w:szCs w:val="20"/>
        </w:rPr>
        <w:t>注：1.本表反映部门本年度“三公”经费支出预决算情况。其中，预算数为“三公”经费全年预算数，反映按规定程序调整后的预算数；决算数是包括当年一般公共预算财政拨款和以前年度结转资金安排的实际支出。</w:t>
      </w:r>
    </w:p>
    <w:p>
      <w:pPr>
        <w:widowControl/>
        <w:jc w:val="center"/>
        <w:rPr>
          <w:rFonts w:ascii="黑体" w:hAnsi="黑体" w:eastAsia="黑体" w:cs="Times New Roman"/>
          <w:kern w:val="0"/>
          <w:sz w:val="32"/>
          <w:szCs w:val="32"/>
        </w:rPr>
      </w:pPr>
      <w:r>
        <w:rPr>
          <w:rFonts w:ascii="黑体" w:hAnsi="黑体" w:eastAsia="黑体" w:cs="Times New Roman"/>
          <w:kern w:val="0"/>
          <w:sz w:val="32"/>
          <w:szCs w:val="32"/>
        </w:rPr>
        <w:t>政府性基金预算财政拨款收入支出决算表</w:t>
      </w:r>
    </w:p>
    <w:p>
      <w:pPr>
        <w:widowControl/>
        <w:wordWrap w:val="0"/>
        <w:ind w:right="84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宋体" w:hAnsi="宋体" w:eastAsia="宋体" w:cs="Arial"/>
          <w:kern w:val="0"/>
          <w:sz w:val="22"/>
        </w:rPr>
        <w:t>湖南省长沙生态环境监测中心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ascii="Times New Roman" w:hAnsi="Times New Roman" w:eastAsia="仿宋_GB2312" w:cs="Times New Roman"/>
          <w:color w:val="000000"/>
          <w:kern w:val="0"/>
          <w:szCs w:val="21"/>
        </w:rPr>
        <w:t xml:space="preserve">                                                    公开08表</w:t>
      </w:r>
    </w:p>
    <w:p>
      <w:pPr>
        <w:widowControl/>
        <w:ind w:right="84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400" w:firstLineChars="200"/>
        <w:jc w:val="left"/>
        <w:rPr>
          <w:rFonts w:cs="宋体" w:asciiTheme="minorEastAsia" w:hAnsiTheme="minorEastAsia"/>
          <w:kern w:val="0"/>
          <w:sz w:val="20"/>
          <w:szCs w:val="20"/>
        </w:rPr>
      </w:pPr>
      <w:r>
        <w:rPr>
          <w:rFonts w:cs="宋体" w:asciiTheme="minorEastAsia" w:hAnsiTheme="minorEastAsia"/>
          <w:kern w:val="0"/>
          <w:sz w:val="20"/>
          <w:szCs w:val="20"/>
        </w:rPr>
        <w:t>注：本表反映部门本年度政府性基金预算财政拨款收入、支出及结转和结余情况</w:t>
      </w:r>
    </w:p>
    <w:p>
      <w:pPr>
        <w:widowControl/>
        <w:ind w:firstLine="400" w:firstLineChars="200"/>
        <w:jc w:val="left"/>
        <w:rPr>
          <w:rFonts w:cs="宋体" w:asciiTheme="minorEastAsia" w:hAnsiTheme="minorEastAsia"/>
          <w:b/>
          <w:bCs/>
          <w:kern w:val="0"/>
          <w:sz w:val="24"/>
          <w:szCs w:val="24"/>
        </w:rPr>
      </w:pPr>
      <w:r>
        <w:rPr>
          <w:rFonts w:hint="eastAsia" w:cs="宋体" w:asciiTheme="minorEastAsia" w:hAnsiTheme="minorEastAsia"/>
          <w:b/>
          <w:bCs/>
          <w:kern w:val="0"/>
          <w:sz w:val="20"/>
          <w:szCs w:val="20"/>
        </w:rPr>
        <w:t>说明：湖南省长沙生态环境监测中心没有政府性基金收入，也没有使用政府性基金安排的支出，故本表无数据</w:t>
      </w:r>
      <w:r>
        <w:rPr>
          <w:rFonts w:hint="eastAsia" w:cs="宋体" w:asciiTheme="minorEastAsia" w:hAnsiTheme="minorEastAsia"/>
          <w:b/>
          <w:bCs/>
          <w:kern w:val="0"/>
          <w:sz w:val="24"/>
          <w:szCs w:val="24"/>
        </w:rPr>
        <w:t>。</w:t>
      </w:r>
    </w:p>
    <w:p>
      <w:pPr>
        <w:widowControl/>
        <w:jc w:val="left"/>
        <w:rPr>
          <w:rFonts w:cs="宋体" w:asciiTheme="minorEastAsia" w:hAnsiTheme="minorEastAsia"/>
          <w:kern w:val="0"/>
          <w:sz w:val="24"/>
          <w:szCs w:val="24"/>
        </w:rPr>
      </w:pPr>
      <w:r>
        <w:rPr>
          <w:rFonts w:cs="宋体" w:asciiTheme="minorEastAsia" w:hAnsiTheme="minorEastAsia"/>
          <w:kern w:val="0"/>
          <w:sz w:val="24"/>
          <w:szCs w:val="24"/>
        </w:rPr>
        <w:br w:type="page"/>
      </w:r>
    </w:p>
    <w:tbl>
      <w:tblPr>
        <w:tblStyle w:val="9"/>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cs="宋体" w:asciiTheme="minorEastAsia" w:hAnsiTheme="minorEastAsia"/>
                <w:kern w:val="0"/>
                <w:sz w:val="32"/>
                <w:szCs w:val="32"/>
              </w:rPr>
            </w:pPr>
            <w:r>
              <w:rPr>
                <w:rFonts w:hint="eastAsia" w:ascii="黑体" w:hAnsi="黑体" w:eastAsia="黑体" w:cs="Times New Roman"/>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vAlign w:val="center"/>
          </w:tcPr>
          <w:p>
            <w:pPr>
              <w:widowControl/>
              <w:ind w:firstLine="400" w:firstLineChars="200"/>
              <w:jc w:val="left"/>
              <w:rPr>
                <w:rFonts w:cs="宋体" w:asciiTheme="minorEastAsia" w:hAnsiTheme="minorEastAsia"/>
                <w:kern w:val="0"/>
                <w:sz w:val="24"/>
                <w:szCs w:val="24"/>
              </w:rPr>
            </w:pPr>
            <w:r>
              <w:rPr>
                <w:rFonts w:hint="eastAsia" w:cs="宋体" w:asciiTheme="minorEastAsia" w:hAnsiTheme="minorEastAsia"/>
                <w:kern w:val="0"/>
                <w:sz w:val="20"/>
                <w:szCs w:val="20"/>
              </w:rPr>
              <w:t>部门：湖南省长沙生态环境监测中心</w:t>
            </w:r>
          </w:p>
        </w:tc>
        <w:tc>
          <w:tcPr>
            <w:tcW w:w="1225" w:type="dxa"/>
            <w:tcBorders>
              <w:top w:val="nil"/>
              <w:left w:val="nil"/>
              <w:bottom w:val="nil"/>
              <w:right w:val="nil"/>
            </w:tcBorders>
            <w:shd w:val="clear" w:color="000000" w:fill="FFFFFF"/>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620" w:type="dxa"/>
            <w:gridSpan w:val="2"/>
            <w:tcBorders>
              <w:top w:val="nil"/>
              <w:left w:val="nil"/>
              <w:bottom w:val="nil"/>
              <w:right w:val="nil"/>
            </w:tcBorders>
            <w:shd w:val="clear" w:color="000000" w:fill="FFFFFF"/>
            <w:vAlign w:val="center"/>
          </w:tcPr>
          <w:p>
            <w:pPr>
              <w:widowControl/>
              <w:jc w:val="left"/>
              <w:rPr>
                <w:rFonts w:hint="default" w:cs="宋体" w:asciiTheme="minorEastAsia" w:hAnsiTheme="minorEastAsia" w:eastAsiaTheme="minorEastAsia"/>
                <w:kern w:val="0"/>
                <w:sz w:val="24"/>
                <w:szCs w:val="24"/>
                <w:lang w:val="en-US" w:eastAsia="zh-CN"/>
              </w:rPr>
            </w:pPr>
            <w:r>
              <w:rPr>
                <w:rFonts w:hint="eastAsia" w:cs="宋体" w:asciiTheme="minorEastAsia" w:hAnsiTheme="minorEastAsia"/>
                <w:kern w:val="0"/>
                <w:sz w:val="24"/>
                <w:szCs w:val="24"/>
              </w:rPr>
              <w:t>　</w:t>
            </w:r>
            <w:r>
              <w:rPr>
                <w:rFonts w:hint="eastAsia" w:cs="宋体" w:asciiTheme="minorEastAsia" w:hAnsiTheme="minorEastAsia"/>
                <w:kern w:val="0"/>
                <w:sz w:val="24"/>
                <w:szCs w:val="24"/>
                <w:lang w:val="en-US" w:eastAsia="zh-CN"/>
              </w:rPr>
              <w:t>2021年度</w:t>
            </w:r>
          </w:p>
        </w:tc>
        <w:tc>
          <w:tcPr>
            <w:tcW w:w="5510" w:type="dxa"/>
            <w:gridSpan w:val="2"/>
            <w:tcBorders>
              <w:top w:val="nil"/>
              <w:left w:val="nil"/>
              <w:bottom w:val="nil"/>
              <w:right w:val="nil"/>
            </w:tcBorders>
            <w:shd w:val="clear" w:color="000000" w:fill="FFFFFF"/>
            <w:noWrap/>
            <w:vAlign w:val="center"/>
          </w:tcPr>
          <w:p>
            <w:pPr>
              <w:widowControl/>
              <w:jc w:val="right"/>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cs="宋体" w:asciiTheme="minorEastAsia" w:hAnsiTheme="minorEastAsia"/>
                <w:color w:val="000000"/>
                <w:kern w:val="0"/>
                <w:sz w:val="24"/>
                <w:szCs w:val="24"/>
              </w:rPr>
            </w:pPr>
          </w:p>
        </w:tc>
        <w:tc>
          <w:tcPr>
            <w:tcW w:w="560" w:type="dxa"/>
            <w:tcBorders>
              <w:top w:val="nil"/>
              <w:left w:val="nil"/>
              <w:bottom w:val="nil"/>
              <w:right w:val="nil"/>
            </w:tcBorders>
            <w:shd w:val="clear" w:color="000000" w:fill="FFFFFF"/>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nil"/>
              <w:right w:val="nil"/>
            </w:tcBorders>
            <w:shd w:val="clear" w:color="000000" w:fill="FFFFFF"/>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1225" w:type="dxa"/>
            <w:tcBorders>
              <w:top w:val="nil"/>
              <w:left w:val="nil"/>
              <w:bottom w:val="single" w:color="auto" w:sz="8" w:space="0"/>
              <w:right w:val="nil"/>
            </w:tcBorders>
            <w:shd w:val="clear" w:color="000000" w:fill="FFFFFF"/>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5510" w:type="dxa"/>
            <w:gridSpan w:val="2"/>
            <w:tcBorders>
              <w:top w:val="nil"/>
              <w:left w:val="nil"/>
              <w:bottom w:val="nil"/>
              <w:right w:val="nil"/>
            </w:tcBorders>
            <w:shd w:val="clear" w:color="000000" w:fill="FFFFFF"/>
            <w:noWrap/>
            <w:vAlign w:val="center"/>
          </w:tcPr>
          <w:p>
            <w:pPr>
              <w:widowControl/>
              <w:jc w:val="right"/>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项 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0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0</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0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cs="宋体" w:asciiTheme="minorEastAsia" w:hAnsiTheme="minorEastAsia"/>
                <w:kern w:val="0"/>
                <w:sz w:val="24"/>
                <w:szCs w:val="24"/>
              </w:rPr>
            </w:pPr>
            <w:r>
              <w:rPr>
                <w:rFonts w:hint="eastAsia" w:cs="宋体" w:asciiTheme="minorEastAsia" w:hAnsiTheme="minorEastAsia"/>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ind w:firstLine="400" w:firstLineChars="200"/>
              <w:jc w:val="left"/>
              <w:rPr>
                <w:rFonts w:cs="宋体" w:asciiTheme="minorEastAsia" w:hAnsiTheme="minorEastAsia"/>
                <w:kern w:val="0"/>
                <w:sz w:val="20"/>
                <w:szCs w:val="20"/>
              </w:rPr>
            </w:pPr>
            <w:r>
              <w:rPr>
                <w:rFonts w:hint="eastAsia" w:cs="宋体" w:asciiTheme="minorEastAsia" w:hAnsiTheme="minorEastAsia"/>
                <w:kern w:val="0"/>
                <w:sz w:val="20"/>
                <w:szCs w:val="20"/>
              </w:rPr>
              <w:t>注：本表反映部门本年度国有资本经营预算财政拨款支出情况。</w:t>
            </w:r>
          </w:p>
          <w:p>
            <w:pPr>
              <w:widowControl/>
              <w:ind w:firstLine="400" w:firstLineChars="200"/>
              <w:jc w:val="left"/>
              <w:rPr>
                <w:rFonts w:cs="宋体" w:asciiTheme="minorEastAsia" w:hAnsiTheme="minorEastAsia"/>
                <w:b/>
                <w:bCs/>
                <w:kern w:val="0"/>
                <w:sz w:val="20"/>
                <w:szCs w:val="20"/>
              </w:rPr>
            </w:pPr>
            <w:r>
              <w:rPr>
                <w:rFonts w:hint="eastAsia" w:cs="宋体" w:asciiTheme="minorEastAsia" w:hAnsiTheme="minorEastAsia"/>
                <w:b/>
                <w:bCs/>
                <w:kern w:val="0"/>
                <w:sz w:val="20"/>
                <w:szCs w:val="20"/>
              </w:rPr>
              <w:t>说明：湖南省长沙生态环境监测中心无国有资本经营预算，故本表无数据。</w:t>
            </w:r>
          </w:p>
          <w:p>
            <w:pPr>
              <w:widowControl/>
              <w:jc w:val="left"/>
              <w:rPr>
                <w:rFonts w:cs="宋体" w:asciiTheme="minorEastAsia" w:hAnsiTheme="minorEastAsia"/>
                <w:kern w:val="0"/>
                <w:sz w:val="24"/>
                <w:szCs w:val="24"/>
              </w:rPr>
            </w:pPr>
          </w:p>
        </w:tc>
      </w:tr>
    </w:tbl>
    <w:p>
      <w:pPr>
        <w:widowControl/>
        <w:jc w:val="left"/>
        <w:rPr>
          <w:rFonts w:ascii="黑体" w:hAnsi="黑体" w:eastAsia="黑体"/>
          <w:szCs w:val="21"/>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sectPr>
          <w:pgSz w:w="16838" w:h="11906" w:orient="landscape"/>
          <w:pgMar w:top="720" w:right="720" w:bottom="720" w:left="720" w:header="851" w:footer="992" w:gutter="0"/>
          <w:cols w:space="425" w:num="1"/>
          <w:docGrid w:type="linesAndChars" w:linePitch="312" w:charSpace="0"/>
        </w:sect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sz w:val="72"/>
          <w:szCs w:val="72"/>
        </w:rPr>
      </w:pPr>
      <w:r>
        <w:rPr>
          <w:rFonts w:hint="eastAsia"/>
          <w:sz w:val="72"/>
          <w:szCs w:val="72"/>
        </w:rPr>
        <w:t>第三部分</w:t>
      </w:r>
    </w:p>
    <w:p>
      <w:pPr>
        <w:pStyle w:val="13"/>
        <w:jc w:val="center"/>
        <w:rPr>
          <w:sz w:val="72"/>
          <w:szCs w:val="72"/>
        </w:rPr>
      </w:pPr>
    </w:p>
    <w:p>
      <w:pPr>
        <w:pStyle w:val="13"/>
        <w:jc w:val="center"/>
        <w:rPr>
          <w:sz w:val="72"/>
          <w:szCs w:val="72"/>
        </w:rPr>
      </w:pPr>
      <w:r>
        <w:rPr>
          <w:sz w:val="72"/>
          <w:szCs w:val="72"/>
        </w:rPr>
        <w:t>20</w:t>
      </w:r>
      <w:r>
        <w:rPr>
          <w:rFonts w:hint="eastAsia"/>
          <w:sz w:val="72"/>
          <w:szCs w:val="72"/>
        </w:rPr>
        <w:t>2</w:t>
      </w:r>
      <w:r>
        <w:rPr>
          <w:sz w:val="72"/>
          <w:szCs w:val="72"/>
        </w:rPr>
        <w:t>1</w:t>
      </w:r>
      <w:r>
        <w:rPr>
          <w:rFonts w:hint="eastAsia"/>
          <w:sz w:val="72"/>
          <w:szCs w:val="72"/>
        </w:rPr>
        <w:t>年度部门决算情况说明</w:t>
      </w:r>
    </w:p>
    <w:p>
      <w:pPr>
        <w:widowControl/>
        <w:jc w:val="left"/>
        <w:rPr>
          <w:rFonts w:cs="黑体" w:asciiTheme="minorEastAsia" w:hAnsiTheme="minorEastAsia"/>
          <w:kern w:val="0"/>
          <w:sz w:val="72"/>
          <w:szCs w:val="72"/>
        </w:rPr>
      </w:pPr>
      <w:r>
        <w:rPr>
          <w:rFonts w:asciiTheme="minorEastAsia" w:hAnsiTheme="minorEastAsia"/>
          <w:sz w:val="72"/>
          <w:szCs w:val="72"/>
        </w:rPr>
        <w:br w:type="page"/>
      </w:r>
    </w:p>
    <w:p>
      <w:pPr>
        <w:pStyle w:val="13"/>
        <w:spacing w:before="156" w:beforeLines="50" w:after="156" w:afterLines="50"/>
        <w:ind w:firstLine="643" w:firstLineChars="200"/>
        <w:rPr>
          <w:rFonts w:hAnsi="黑体"/>
          <w:b/>
          <w:color w:val="auto"/>
          <w:sz w:val="32"/>
          <w:szCs w:val="32"/>
        </w:rPr>
        <w:sectPr>
          <w:pgSz w:w="11906" w:h="16838"/>
          <w:pgMar w:top="720" w:right="720" w:bottom="720" w:left="720" w:header="851" w:footer="992" w:gutter="0"/>
          <w:cols w:space="425" w:num="1"/>
          <w:docGrid w:type="lines" w:linePitch="312" w:charSpace="0"/>
        </w:sectPr>
      </w:pP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一、收入支出决算总体情况说明</w:t>
      </w:r>
    </w:p>
    <w:p>
      <w:pPr>
        <w:ind w:firstLine="640" w:firstLineChars="200"/>
        <w:outlineLvl w:val="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年度收入</w:t>
      </w:r>
      <w:r>
        <w:rPr>
          <w:rFonts w:ascii="仿宋" w:hAnsi="仿宋" w:eastAsia="仿宋"/>
          <w:sz w:val="32"/>
          <w:szCs w:val="32"/>
        </w:rPr>
        <w:t>总计</w:t>
      </w:r>
      <w:r>
        <w:rPr>
          <w:rFonts w:hint="eastAsia" w:ascii="仿宋_GB2312" w:hAnsi="仿宋" w:eastAsia="仿宋_GB2312" w:cs="仿宋"/>
          <w:sz w:val="32"/>
          <w:szCs w:val="32"/>
        </w:rPr>
        <w:t>4453.39</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sz w:val="32"/>
          <w:szCs w:val="32"/>
        </w:rPr>
        <w:t>（含年初结转和结余资金</w:t>
      </w:r>
      <w:r>
        <w:rPr>
          <w:rFonts w:ascii="仿宋" w:hAnsi="仿宋" w:eastAsia="仿宋" w:cstheme="minorBidi"/>
          <w:kern w:val="2"/>
          <w:sz w:val="32"/>
          <w:szCs w:val="32"/>
        </w:rPr>
        <w:t>502.65</w:t>
      </w:r>
      <w:r>
        <w:rPr>
          <w:rFonts w:hint="eastAsia" w:ascii="仿宋" w:hAnsi="仿宋" w:eastAsia="仿宋"/>
          <w:sz w:val="32"/>
          <w:szCs w:val="32"/>
        </w:rPr>
        <w:t>万元），</w:t>
      </w:r>
      <w:r>
        <w:rPr>
          <w:rFonts w:ascii="仿宋" w:hAnsi="仿宋" w:eastAsia="仿宋"/>
          <w:sz w:val="32"/>
          <w:szCs w:val="32"/>
        </w:rPr>
        <w:t>与上年</w:t>
      </w:r>
      <w:r>
        <w:rPr>
          <w:rFonts w:hint="eastAsia" w:ascii="仿宋" w:hAnsi="仿宋" w:eastAsia="仿宋"/>
          <w:sz w:val="32"/>
          <w:szCs w:val="32"/>
        </w:rPr>
        <w:t>4,219.41相比增加</w:t>
      </w:r>
      <w:r>
        <w:rPr>
          <w:rFonts w:ascii="仿宋" w:hAnsi="仿宋" w:eastAsia="仿宋"/>
          <w:sz w:val="32"/>
          <w:szCs w:val="32"/>
        </w:rPr>
        <w:t>2</w:t>
      </w:r>
      <w:r>
        <w:rPr>
          <w:rFonts w:hint="eastAsia" w:ascii="仿宋" w:hAnsi="仿宋" w:eastAsia="仿宋"/>
          <w:sz w:val="32"/>
          <w:szCs w:val="32"/>
        </w:rPr>
        <w:t>33</w:t>
      </w:r>
      <w:r>
        <w:rPr>
          <w:rFonts w:ascii="仿宋" w:hAnsi="仿宋" w:eastAsia="仿宋"/>
          <w:sz w:val="32"/>
          <w:szCs w:val="32"/>
        </w:rPr>
        <w:t>.</w:t>
      </w:r>
      <w:r>
        <w:rPr>
          <w:rFonts w:hint="eastAsia" w:ascii="仿宋" w:hAnsi="仿宋" w:eastAsia="仿宋"/>
          <w:sz w:val="32"/>
          <w:szCs w:val="32"/>
        </w:rPr>
        <w:t>98</w:t>
      </w:r>
      <w:r>
        <w:rPr>
          <w:rFonts w:ascii="仿宋" w:hAnsi="仿宋" w:eastAsia="仿宋"/>
          <w:sz w:val="32"/>
          <w:szCs w:val="32"/>
        </w:rPr>
        <w:t>万元，</w:t>
      </w:r>
      <w:r>
        <w:rPr>
          <w:rFonts w:hint="eastAsia" w:ascii="仿宋" w:hAnsi="仿宋" w:eastAsia="仿宋"/>
          <w:sz w:val="32"/>
          <w:szCs w:val="32"/>
        </w:rPr>
        <w:t>增加5</w:t>
      </w:r>
      <w:r>
        <w:rPr>
          <w:rFonts w:ascii="仿宋" w:hAnsi="仿宋" w:eastAsia="仿宋"/>
          <w:sz w:val="32"/>
          <w:szCs w:val="32"/>
        </w:rPr>
        <w:t>.</w:t>
      </w:r>
      <w:r>
        <w:rPr>
          <w:rFonts w:hint="eastAsia" w:ascii="仿宋" w:hAnsi="仿宋" w:eastAsia="仿宋"/>
          <w:sz w:val="32"/>
          <w:szCs w:val="32"/>
        </w:rPr>
        <w:t>5</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收入增加</w:t>
      </w:r>
      <w:r>
        <w:rPr>
          <w:rFonts w:ascii="仿宋" w:hAnsi="仿宋" w:eastAsia="仿宋"/>
          <w:sz w:val="32"/>
          <w:szCs w:val="32"/>
        </w:rPr>
        <w:t>的</w:t>
      </w:r>
      <w:r>
        <w:rPr>
          <w:rFonts w:hint="eastAsia" w:ascii="仿宋" w:hAnsi="仿宋" w:eastAsia="仿宋"/>
          <w:sz w:val="32"/>
          <w:szCs w:val="32"/>
        </w:rPr>
        <w:t>主要</w:t>
      </w:r>
      <w:r>
        <w:rPr>
          <w:rFonts w:ascii="仿宋" w:hAnsi="仿宋" w:eastAsia="仿宋"/>
          <w:sz w:val="32"/>
          <w:szCs w:val="32"/>
        </w:rPr>
        <w:t>原因是</w:t>
      </w: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1年初结转资金较多</w:t>
      </w:r>
      <w:r>
        <w:rPr>
          <w:rFonts w:ascii="仿宋" w:hAnsi="仿宋" w:eastAsia="仿宋"/>
          <w:sz w:val="32"/>
          <w:szCs w:val="32"/>
        </w:rPr>
        <w:t>。</w:t>
      </w:r>
    </w:p>
    <w:p>
      <w:pPr>
        <w:ind w:firstLine="640" w:firstLineChars="200"/>
        <w:outlineLvl w:val="0"/>
        <w:rPr>
          <w:rFonts w:ascii="仿宋" w:hAnsi="仿宋" w:eastAsia="仿宋"/>
          <w:sz w:val="32"/>
          <w:szCs w:val="32"/>
          <w:highlight w:val="none"/>
        </w:rPr>
      </w:pPr>
      <w:r>
        <w:rPr>
          <w:rFonts w:ascii="仿宋" w:hAnsi="仿宋" w:eastAsia="仿宋"/>
          <w:sz w:val="32"/>
          <w:szCs w:val="32"/>
        </w:rPr>
        <w:t>2021</w:t>
      </w:r>
      <w:r>
        <w:rPr>
          <w:rFonts w:hint="eastAsia" w:ascii="仿宋" w:hAnsi="仿宋" w:eastAsia="仿宋"/>
          <w:sz w:val="32"/>
          <w:szCs w:val="32"/>
        </w:rPr>
        <w:t>年度支</w:t>
      </w:r>
      <w:r>
        <w:rPr>
          <w:rFonts w:ascii="仿宋" w:hAnsi="仿宋" w:eastAsia="仿宋"/>
          <w:sz w:val="32"/>
          <w:szCs w:val="32"/>
        </w:rPr>
        <w:t>出总计</w:t>
      </w:r>
      <w:r>
        <w:rPr>
          <w:rFonts w:hint="eastAsia" w:ascii="仿宋_GB2312" w:hAnsi="仿宋" w:eastAsia="仿宋_GB2312" w:cs="仿宋"/>
          <w:sz w:val="32"/>
          <w:szCs w:val="32"/>
        </w:rPr>
        <w:t>4453.39</w:t>
      </w:r>
      <w:r>
        <w:rPr>
          <w:rFonts w:ascii="仿宋" w:hAnsi="仿宋" w:eastAsia="仿宋"/>
          <w:sz w:val="32"/>
          <w:szCs w:val="32"/>
        </w:rPr>
        <w:t>万元</w:t>
      </w:r>
      <w:r>
        <w:rPr>
          <w:rFonts w:hint="eastAsia" w:ascii="仿宋" w:hAnsi="仿宋" w:eastAsia="仿宋"/>
          <w:sz w:val="32"/>
          <w:szCs w:val="32"/>
        </w:rPr>
        <w:t>（含年末结转和结余资金</w:t>
      </w:r>
      <w:r>
        <w:rPr>
          <w:rFonts w:ascii="仿宋" w:hAnsi="仿宋" w:eastAsia="仿宋" w:cstheme="minorBidi"/>
          <w:kern w:val="2"/>
          <w:sz w:val="32"/>
          <w:szCs w:val="32"/>
        </w:rPr>
        <w:t>104.46</w:t>
      </w:r>
      <w:r>
        <w:rPr>
          <w:rFonts w:hint="eastAsia" w:ascii="仿宋" w:hAnsi="仿宋" w:eastAsia="仿宋"/>
          <w:sz w:val="32"/>
          <w:szCs w:val="32"/>
        </w:rPr>
        <w:t>万元）</w:t>
      </w:r>
      <w:r>
        <w:rPr>
          <w:rFonts w:ascii="仿宋" w:hAnsi="仿宋" w:eastAsia="仿宋"/>
          <w:sz w:val="32"/>
          <w:szCs w:val="32"/>
        </w:rPr>
        <w:t>，与上年相比增加2</w:t>
      </w:r>
      <w:r>
        <w:rPr>
          <w:rFonts w:hint="eastAsia" w:ascii="仿宋" w:hAnsi="仿宋" w:eastAsia="仿宋"/>
          <w:sz w:val="32"/>
          <w:szCs w:val="32"/>
        </w:rPr>
        <w:t>33</w:t>
      </w:r>
      <w:r>
        <w:rPr>
          <w:rFonts w:ascii="仿宋" w:hAnsi="仿宋" w:eastAsia="仿宋"/>
          <w:sz w:val="32"/>
          <w:szCs w:val="32"/>
        </w:rPr>
        <w:t>.</w:t>
      </w:r>
      <w:r>
        <w:rPr>
          <w:rFonts w:hint="eastAsia" w:ascii="仿宋" w:hAnsi="仿宋" w:eastAsia="仿宋"/>
          <w:sz w:val="32"/>
          <w:szCs w:val="32"/>
        </w:rPr>
        <w:t>98</w:t>
      </w:r>
      <w:r>
        <w:rPr>
          <w:rFonts w:ascii="仿宋" w:hAnsi="仿宋" w:eastAsia="仿宋"/>
          <w:sz w:val="32"/>
          <w:szCs w:val="32"/>
        </w:rPr>
        <w:t>万元，增加</w:t>
      </w:r>
      <w:r>
        <w:rPr>
          <w:rFonts w:hint="eastAsia" w:ascii="仿宋" w:hAnsi="仿宋" w:eastAsia="仿宋"/>
          <w:sz w:val="32"/>
          <w:szCs w:val="32"/>
        </w:rPr>
        <w:t>5</w:t>
      </w:r>
      <w:r>
        <w:rPr>
          <w:rFonts w:ascii="仿宋" w:hAnsi="仿宋" w:eastAsia="仿宋"/>
          <w:sz w:val="32"/>
          <w:szCs w:val="32"/>
        </w:rPr>
        <w:t>.</w:t>
      </w:r>
      <w:r>
        <w:rPr>
          <w:rFonts w:hint="eastAsia" w:ascii="仿宋" w:hAnsi="仿宋" w:eastAsia="仿宋"/>
          <w:sz w:val="32"/>
          <w:szCs w:val="32"/>
        </w:rPr>
        <w:t>5</w:t>
      </w:r>
      <w:r>
        <w:rPr>
          <w:rFonts w:hint="eastAsia" w:ascii="仿宋" w:hAnsi="仿宋" w:eastAsia="仿宋"/>
          <w:sz w:val="32"/>
          <w:szCs w:val="32"/>
          <w:lang w:val="en-US" w:eastAsia="zh-CN"/>
        </w:rPr>
        <w:t>5</w:t>
      </w:r>
      <w:r>
        <w:rPr>
          <w:rFonts w:ascii="仿宋" w:hAnsi="仿宋" w:eastAsia="仿宋"/>
          <w:sz w:val="32"/>
          <w:szCs w:val="32"/>
        </w:rPr>
        <w:t>%</w:t>
      </w:r>
      <w:r>
        <w:rPr>
          <w:rFonts w:ascii="仿宋" w:hAnsi="仿宋" w:eastAsia="仿宋"/>
          <w:sz w:val="32"/>
          <w:szCs w:val="32"/>
          <w:highlight w:val="none"/>
        </w:rPr>
        <w:t>，</w:t>
      </w:r>
      <w:r>
        <w:rPr>
          <w:rFonts w:hint="eastAsia" w:ascii="仿宋" w:hAnsi="仿宋" w:eastAsia="仿宋"/>
          <w:sz w:val="32"/>
          <w:szCs w:val="32"/>
          <w:highlight w:val="none"/>
        </w:rPr>
        <w:t>支出</w:t>
      </w:r>
      <w:r>
        <w:rPr>
          <w:rFonts w:ascii="仿宋" w:hAnsi="仿宋" w:eastAsia="仿宋"/>
          <w:sz w:val="32"/>
          <w:szCs w:val="32"/>
          <w:highlight w:val="none"/>
        </w:rPr>
        <w:t>增加的主要原因是：</w:t>
      </w:r>
      <w:r>
        <w:rPr>
          <w:rFonts w:hint="eastAsia" w:ascii="仿宋" w:hAnsi="仿宋" w:eastAsia="仿宋"/>
          <w:sz w:val="32"/>
          <w:szCs w:val="32"/>
          <w:highlight w:val="none"/>
        </w:rPr>
        <w:t xml:space="preserve">2021年长沙市空气质量精细化监管（微站）建设项目支出增加。 </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二、收入决算情况说明</w:t>
      </w:r>
    </w:p>
    <w:p>
      <w:pPr>
        <w:pStyle w:val="13"/>
        <w:ind w:firstLine="640" w:firstLineChars="200"/>
        <w:rPr>
          <w:rFonts w:ascii="仿宋" w:hAnsi="仿宋" w:eastAsia="仿宋" w:cstheme="minorBidi"/>
          <w:color w:val="auto"/>
          <w:kern w:val="2"/>
          <w:sz w:val="32"/>
          <w:szCs w:val="32"/>
        </w:rPr>
      </w:pPr>
      <w:r>
        <w:rPr>
          <w:rFonts w:hint="eastAsia" w:ascii="仿宋_GB2312" w:hAnsi="仿宋" w:eastAsia="仿宋_GB2312" w:cs="仿宋"/>
          <w:color w:val="auto"/>
          <w:sz w:val="32"/>
          <w:szCs w:val="32"/>
        </w:rPr>
        <w:t>2021年收入合计3950.74万元（不含年初结转和结余资金），其中：财政拨款收入1776.96万元，占44.9</w:t>
      </w:r>
      <w:r>
        <w:rPr>
          <w:rFonts w:ascii="仿宋_GB2312" w:hAnsi="仿宋" w:eastAsia="仿宋_GB2312" w:cs="仿宋"/>
          <w:color w:val="auto"/>
          <w:sz w:val="32"/>
          <w:szCs w:val="32"/>
        </w:rPr>
        <w:t>8</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shd w:val="clear" w:color="auto" w:fill="auto"/>
          <w:lang w:bidi="ar"/>
        </w:rPr>
        <w:t>上级补助收入</w:t>
      </w:r>
      <w:r>
        <w:rPr>
          <w:rFonts w:ascii="仿宋_GB2312" w:hAnsi="仿宋" w:eastAsia="仿宋_GB2312" w:cs="仿宋"/>
          <w:color w:val="auto"/>
          <w:sz w:val="32"/>
          <w:szCs w:val="32"/>
          <w:shd w:val="clear" w:color="auto" w:fill="auto"/>
          <w:lang w:bidi="ar"/>
        </w:rPr>
        <w:t>0万元，占0%；事业收入0万元，占0%；经营收入0万元，占0%；附属单位上缴收入0万元，占0%；</w:t>
      </w:r>
      <w:r>
        <w:rPr>
          <w:rFonts w:hint="eastAsia" w:ascii="仿宋_GB2312" w:hAnsi="仿宋" w:eastAsia="仿宋_GB2312" w:cs="仿宋"/>
          <w:color w:val="auto"/>
          <w:sz w:val="32"/>
          <w:szCs w:val="32"/>
        </w:rPr>
        <w:t>其他收入2173.78万元，占55</w:t>
      </w:r>
      <w:r>
        <w:rPr>
          <w:rFonts w:ascii="仿宋_GB2312" w:hAnsi="仿宋" w:eastAsia="仿宋_GB2312" w:cs="仿宋"/>
          <w:color w:val="auto"/>
          <w:sz w:val="32"/>
          <w:szCs w:val="32"/>
        </w:rPr>
        <w:t>.02</w:t>
      </w:r>
      <w:r>
        <w:rPr>
          <w:rFonts w:hint="eastAsia" w:ascii="仿宋_GB2312" w:hAnsi="仿宋" w:eastAsia="仿宋_GB2312" w:cs="仿宋"/>
          <w:color w:val="auto"/>
          <w:sz w:val="32"/>
          <w:szCs w:val="32"/>
        </w:rPr>
        <w:t>%。</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三、支出决算情况说明</w:t>
      </w:r>
    </w:p>
    <w:p>
      <w:pPr>
        <w:pStyle w:val="13"/>
        <w:ind w:firstLine="640" w:firstLineChars="200"/>
        <w:rPr>
          <w:rFonts w:ascii="仿宋" w:hAnsi="仿宋" w:eastAsia="仿宋" w:cstheme="minorBidi"/>
          <w:color w:val="auto"/>
          <w:kern w:val="2"/>
          <w:sz w:val="32"/>
          <w:szCs w:val="32"/>
        </w:rPr>
      </w:pPr>
      <w:r>
        <w:rPr>
          <w:rFonts w:hint="eastAsia" w:ascii="仿宋_GB2312" w:hAnsi="仿宋" w:eastAsia="仿宋_GB2312" w:cs="仿宋"/>
          <w:color w:val="auto"/>
          <w:sz w:val="32"/>
          <w:szCs w:val="32"/>
        </w:rPr>
        <w:t>2021年支出总计4348.93万元（不含年末结转和结余资金）</w:t>
      </w:r>
      <w:r>
        <w:rPr>
          <w:rFonts w:hint="eastAsia" w:ascii="仿宋" w:hAnsi="仿宋" w:eastAsia="仿宋" w:cstheme="minorBidi"/>
          <w:color w:val="auto"/>
          <w:kern w:val="2"/>
          <w:sz w:val="32"/>
          <w:szCs w:val="32"/>
        </w:rPr>
        <w:t>，其中：基本</w:t>
      </w:r>
      <w:r>
        <w:rPr>
          <w:rFonts w:ascii="仿宋" w:hAnsi="仿宋" w:eastAsia="仿宋" w:cstheme="minorBidi"/>
          <w:color w:val="auto"/>
          <w:kern w:val="2"/>
          <w:sz w:val="32"/>
          <w:szCs w:val="32"/>
        </w:rPr>
        <w:t>支出2882</w:t>
      </w:r>
      <w:r>
        <w:rPr>
          <w:rFonts w:hint="eastAsia" w:ascii="仿宋" w:hAnsi="仿宋" w:eastAsia="仿宋" w:cstheme="minorBidi"/>
          <w:color w:val="auto"/>
          <w:kern w:val="2"/>
          <w:sz w:val="32"/>
          <w:szCs w:val="32"/>
        </w:rPr>
        <w:t>万</w:t>
      </w:r>
      <w:r>
        <w:rPr>
          <w:rFonts w:ascii="仿宋" w:hAnsi="仿宋" w:eastAsia="仿宋" w:cstheme="minorBidi"/>
          <w:color w:val="auto"/>
          <w:kern w:val="2"/>
          <w:sz w:val="32"/>
          <w:szCs w:val="32"/>
        </w:rPr>
        <w:t>元，占</w:t>
      </w:r>
      <w:r>
        <w:rPr>
          <w:rFonts w:hint="eastAsia" w:ascii="仿宋" w:hAnsi="仿宋" w:eastAsia="仿宋" w:cstheme="minorBidi"/>
          <w:color w:val="auto"/>
          <w:kern w:val="2"/>
          <w:sz w:val="32"/>
          <w:szCs w:val="32"/>
        </w:rPr>
        <w:t>66</w:t>
      </w:r>
      <w:r>
        <w:rPr>
          <w:rFonts w:ascii="仿宋" w:hAnsi="仿宋" w:eastAsia="仿宋" w:cstheme="minorBidi"/>
          <w:color w:val="auto"/>
          <w:kern w:val="2"/>
          <w:sz w:val="32"/>
          <w:szCs w:val="32"/>
        </w:rPr>
        <w:t>.27%；项目支出</w:t>
      </w:r>
      <w:r>
        <w:rPr>
          <w:rFonts w:hint="eastAsia" w:ascii="仿宋_GB2312" w:hAnsi="仿宋" w:eastAsia="仿宋_GB2312" w:cs="仿宋"/>
          <w:color w:val="auto"/>
          <w:sz w:val="32"/>
          <w:szCs w:val="32"/>
        </w:rPr>
        <w:t>1466.92</w:t>
      </w:r>
      <w:r>
        <w:rPr>
          <w:rFonts w:hint="eastAsia" w:ascii="仿宋" w:hAnsi="仿宋" w:eastAsia="仿宋" w:cstheme="minorBidi"/>
          <w:color w:val="auto"/>
          <w:kern w:val="2"/>
          <w:sz w:val="32"/>
          <w:szCs w:val="32"/>
        </w:rPr>
        <w:t>万元</w:t>
      </w:r>
      <w:r>
        <w:rPr>
          <w:rFonts w:ascii="仿宋" w:hAnsi="仿宋" w:eastAsia="仿宋" w:cstheme="minorBidi"/>
          <w:color w:val="auto"/>
          <w:kern w:val="2"/>
          <w:sz w:val="32"/>
          <w:szCs w:val="32"/>
        </w:rPr>
        <w:t>，占33.73%</w:t>
      </w:r>
      <w:r>
        <w:rPr>
          <w:rFonts w:hint="eastAsia" w:ascii="仿宋" w:hAnsi="仿宋" w:eastAsia="仿宋" w:cstheme="minorBidi"/>
          <w:color w:val="auto"/>
          <w:kern w:val="2"/>
          <w:sz w:val="32"/>
          <w:szCs w:val="32"/>
        </w:rPr>
        <w:t>；</w:t>
      </w:r>
      <w:r>
        <w:rPr>
          <w:rFonts w:hint="eastAsia" w:ascii="仿宋" w:hAnsi="仿宋" w:eastAsia="仿宋" w:cstheme="minorBidi"/>
          <w:color w:val="auto"/>
          <w:kern w:val="2"/>
          <w:sz w:val="32"/>
          <w:szCs w:val="32"/>
          <w:shd w:val="clear" w:color="auto" w:fill="auto"/>
          <w:lang w:bidi="ar"/>
        </w:rPr>
        <w:t>上缴上级支出</w:t>
      </w:r>
      <w:r>
        <w:rPr>
          <w:rFonts w:ascii="仿宋" w:hAnsi="仿宋" w:eastAsia="仿宋" w:cstheme="minorBidi"/>
          <w:color w:val="auto"/>
          <w:kern w:val="2"/>
          <w:sz w:val="32"/>
          <w:szCs w:val="32"/>
          <w:shd w:val="clear" w:color="auto" w:fill="auto"/>
          <w:lang w:bidi="ar"/>
        </w:rPr>
        <w:t>0万元，占0%</w:t>
      </w:r>
      <w:r>
        <w:rPr>
          <w:rFonts w:hint="eastAsia" w:ascii="仿宋" w:hAnsi="仿宋" w:eastAsia="仿宋" w:cstheme="minorBidi"/>
          <w:color w:val="auto"/>
          <w:kern w:val="2"/>
          <w:sz w:val="32"/>
          <w:szCs w:val="32"/>
          <w:shd w:val="clear" w:color="auto" w:fill="auto"/>
          <w:lang w:val="en-US" w:eastAsia="zh-CN" w:bidi="ar"/>
        </w:rPr>
        <w:t>;</w:t>
      </w:r>
      <w:r>
        <w:rPr>
          <w:rFonts w:ascii="仿宋" w:hAnsi="仿宋" w:eastAsia="仿宋" w:cstheme="minorBidi"/>
          <w:color w:val="auto"/>
          <w:kern w:val="2"/>
          <w:sz w:val="32"/>
          <w:szCs w:val="32"/>
          <w:shd w:val="clear" w:color="auto" w:fill="auto"/>
          <w:lang w:bidi="ar"/>
        </w:rPr>
        <w:t>经营支出0万元，占0%；对附属单位补助支出0万元，占0%</w:t>
      </w:r>
      <w:r>
        <w:rPr>
          <w:rFonts w:ascii="仿宋" w:hAnsi="仿宋" w:eastAsia="仿宋" w:cstheme="minorBidi"/>
          <w:color w:val="auto"/>
          <w:kern w:val="2"/>
          <w:sz w:val="32"/>
          <w:szCs w:val="32"/>
        </w:rPr>
        <w:t>。</w:t>
      </w:r>
    </w:p>
    <w:p>
      <w:pPr>
        <w:pStyle w:val="13"/>
        <w:spacing w:before="156" w:beforeLines="50" w:after="156" w:afterLines="50" w:afterAutospacing="0" w:line="240" w:lineRule="auto"/>
        <w:ind w:firstLine="640" w:firstLineChars="200"/>
        <w:rPr>
          <w:rFonts w:ascii="仿宋" w:hAnsi="仿宋" w:eastAsia="仿宋" w:cstheme="minorBidi"/>
          <w:color w:val="auto"/>
          <w:kern w:val="2"/>
          <w:sz w:val="32"/>
          <w:szCs w:val="32"/>
        </w:rPr>
      </w:pPr>
      <w:r>
        <w:rPr>
          <w:rFonts w:hint="eastAsia" w:hAnsi="黑体"/>
          <w:b/>
          <w:color w:val="auto"/>
          <w:sz w:val="32"/>
          <w:szCs w:val="32"/>
        </w:rPr>
        <w:t>四、财政拨款收入支出决算总体情况说明</w:t>
      </w:r>
    </w:p>
    <w:p>
      <w:pPr>
        <w:pStyle w:val="13"/>
        <w:spacing w:before="156" w:beforeLines="50" w:after="156" w:afterLines="50"/>
        <w:ind w:firstLine="640" w:firstLineChars="200"/>
        <w:rPr>
          <w:rFonts w:hint="eastAsia" w:ascii="仿宋_GB2312" w:hAnsi="仿宋" w:eastAsia="仿宋_GB2312" w:cs="仿宋"/>
          <w:sz w:val="32"/>
          <w:szCs w:val="32"/>
          <w:highlight w:val="none"/>
          <w:lang w:eastAsia="zh-CN"/>
        </w:rPr>
      </w:pPr>
      <w:r>
        <w:rPr>
          <w:rFonts w:hint="eastAsia" w:ascii="仿宋" w:hAnsi="仿宋" w:eastAsia="仿宋"/>
          <w:sz w:val="32"/>
          <w:szCs w:val="32"/>
        </w:rPr>
        <w:t>2021年度</w:t>
      </w:r>
      <w:r>
        <w:rPr>
          <w:rFonts w:ascii="仿宋" w:hAnsi="仿宋" w:eastAsia="仿宋"/>
          <w:sz w:val="32"/>
          <w:szCs w:val="32"/>
        </w:rPr>
        <w:t>财政拨款收入</w:t>
      </w:r>
      <w:r>
        <w:rPr>
          <w:rFonts w:hint="eastAsia" w:ascii="仿宋" w:hAnsi="仿宋" w:eastAsia="仿宋"/>
          <w:sz w:val="32"/>
          <w:szCs w:val="32"/>
        </w:rPr>
        <w:t>合计</w:t>
      </w:r>
      <w:r>
        <w:rPr>
          <w:rFonts w:ascii="仿宋" w:hAnsi="仿宋" w:eastAsia="仿宋"/>
          <w:sz w:val="32"/>
          <w:szCs w:val="32"/>
        </w:rPr>
        <w:t>1776.96</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cstheme="minorBidi"/>
          <w:color w:val="auto"/>
          <w:kern w:val="2"/>
          <w:sz w:val="32"/>
          <w:szCs w:val="32"/>
        </w:rPr>
        <w:t>（不含财政拨款年初结转和结余资金）</w:t>
      </w:r>
      <w:r>
        <w:rPr>
          <w:rFonts w:ascii="仿宋" w:hAnsi="仿宋" w:eastAsia="仿宋"/>
          <w:sz w:val="32"/>
          <w:szCs w:val="32"/>
        </w:rPr>
        <w:t>，与上年相比，</w:t>
      </w:r>
      <w:r>
        <w:rPr>
          <w:rFonts w:hint="eastAsia" w:ascii="仿宋" w:hAnsi="仿宋" w:eastAsia="仿宋"/>
          <w:sz w:val="32"/>
          <w:szCs w:val="32"/>
        </w:rPr>
        <w:t>增加</w:t>
      </w:r>
      <w:r>
        <w:rPr>
          <w:rFonts w:hint="eastAsia" w:ascii="仿宋" w:hAnsi="仿宋" w:eastAsia="仿宋"/>
          <w:sz w:val="32"/>
          <w:szCs w:val="32"/>
          <w:highlight w:val="none"/>
        </w:rPr>
        <w:t>1159</w:t>
      </w:r>
      <w:r>
        <w:rPr>
          <w:rFonts w:ascii="仿宋" w:hAnsi="仿宋" w:eastAsia="仿宋"/>
          <w:sz w:val="32"/>
          <w:szCs w:val="32"/>
          <w:highlight w:val="none"/>
        </w:rPr>
        <w:t>.</w:t>
      </w:r>
      <w:r>
        <w:rPr>
          <w:rFonts w:hint="eastAsia" w:ascii="仿宋" w:hAnsi="仿宋" w:eastAsia="仿宋"/>
          <w:sz w:val="32"/>
          <w:szCs w:val="32"/>
          <w:highlight w:val="none"/>
        </w:rPr>
        <w:t>06</w:t>
      </w:r>
      <w:r>
        <w:rPr>
          <w:rFonts w:ascii="仿宋" w:hAnsi="仿宋" w:eastAsia="仿宋"/>
          <w:sz w:val="32"/>
          <w:szCs w:val="32"/>
        </w:rPr>
        <w:t>万元，</w:t>
      </w:r>
      <w:r>
        <w:rPr>
          <w:rFonts w:hint="eastAsia" w:ascii="仿宋" w:hAnsi="仿宋" w:eastAsia="仿宋"/>
          <w:sz w:val="32"/>
          <w:szCs w:val="32"/>
        </w:rPr>
        <w:t>增加187</w:t>
      </w:r>
      <w:r>
        <w:rPr>
          <w:rFonts w:ascii="仿宋" w:hAnsi="仿宋" w:eastAsia="仿宋"/>
          <w:sz w:val="32"/>
          <w:szCs w:val="32"/>
        </w:rPr>
        <w:t>.</w:t>
      </w:r>
      <w:r>
        <w:rPr>
          <w:rFonts w:hint="eastAsia" w:ascii="仿宋" w:hAnsi="仿宋" w:eastAsia="仿宋"/>
          <w:sz w:val="32"/>
          <w:szCs w:val="32"/>
        </w:rPr>
        <w:t>58</w:t>
      </w:r>
      <w:r>
        <w:rPr>
          <w:rFonts w:ascii="仿宋" w:hAnsi="仿宋" w:eastAsia="仿宋"/>
          <w:sz w:val="32"/>
          <w:szCs w:val="32"/>
        </w:rPr>
        <w:t>%</w:t>
      </w:r>
      <w:r>
        <w:rPr>
          <w:rFonts w:hint="eastAsia" w:ascii="仿宋" w:hAnsi="仿宋" w:eastAsia="仿宋"/>
          <w:sz w:val="32"/>
          <w:szCs w:val="32"/>
        </w:rPr>
        <w:t>，</w:t>
      </w:r>
      <w:r>
        <w:rPr>
          <w:rFonts w:ascii="仿宋_GB2312" w:hAnsi="仿宋" w:eastAsia="仿宋_GB2312" w:cs="仿宋"/>
          <w:sz w:val="32"/>
          <w:szCs w:val="32"/>
          <w:highlight w:val="none"/>
        </w:rPr>
        <w:t>增加的主要原因是</w:t>
      </w:r>
      <w:r>
        <w:rPr>
          <w:rFonts w:hint="eastAsia" w:ascii="仿宋_GB2312" w:hAnsi="仿宋" w:eastAsia="仿宋_GB2312" w:cs="仿宋"/>
          <w:sz w:val="32"/>
          <w:szCs w:val="32"/>
          <w:highlight w:val="none"/>
        </w:rPr>
        <w:t>我单位在2020年度进行了垂直管理改革，由市级预算单位变为省级预算单位，但当年已在长沙市申报年度预算，所以年度大部分经费在市级财政列支。根据省财政要求，2020年市级财政经费列入“非同级财政拨款预算收入”，决算报表列入“其他收入”栏，</w:t>
      </w:r>
      <w:r>
        <w:rPr>
          <w:rFonts w:hint="eastAsia" w:ascii="仿宋_GB2312" w:hAnsi="仿宋" w:eastAsia="仿宋_GB2312" w:cs="仿宋"/>
          <w:sz w:val="32"/>
          <w:szCs w:val="32"/>
          <w:highlight w:val="none"/>
          <w:lang w:val="en-US" w:eastAsia="zh-CN"/>
        </w:rPr>
        <w:t>2020年度</w:t>
      </w:r>
      <w:r>
        <w:rPr>
          <w:rFonts w:hint="eastAsia" w:ascii="仿宋_GB2312" w:hAnsi="仿宋" w:eastAsia="仿宋_GB2312" w:cs="仿宋"/>
          <w:sz w:val="32"/>
          <w:szCs w:val="32"/>
          <w:highlight w:val="none"/>
        </w:rPr>
        <w:t>决算报表中的一般公共预算财政拨款收入只包括省级财政直接安排的经费</w:t>
      </w:r>
      <w:r>
        <w:rPr>
          <w:rFonts w:hint="eastAsia" w:ascii="仿宋_GB2312" w:hAnsi="仿宋" w:eastAsia="仿宋_GB2312" w:cs="仿宋"/>
          <w:sz w:val="32"/>
          <w:szCs w:val="32"/>
          <w:highlight w:val="none"/>
          <w:lang w:eastAsia="zh-CN"/>
        </w:rPr>
        <w:t>，故与</w:t>
      </w:r>
      <w:r>
        <w:rPr>
          <w:rFonts w:hint="eastAsia" w:ascii="仿宋_GB2312" w:hAnsi="仿宋" w:eastAsia="仿宋_GB2312" w:cs="仿宋"/>
          <w:sz w:val="32"/>
          <w:szCs w:val="32"/>
          <w:highlight w:val="none"/>
          <w:lang w:val="en-US" w:eastAsia="zh-CN"/>
        </w:rPr>
        <w:t>2021年决算报表中</w:t>
      </w:r>
      <w:r>
        <w:rPr>
          <w:rFonts w:hint="eastAsia" w:ascii="仿宋_GB2312" w:hAnsi="仿宋" w:eastAsia="仿宋_GB2312" w:cs="仿宋"/>
          <w:sz w:val="32"/>
          <w:szCs w:val="32"/>
          <w:highlight w:val="none"/>
        </w:rPr>
        <w:t>的一般公共预算</w:t>
      </w:r>
      <w:r>
        <w:rPr>
          <w:rFonts w:hint="eastAsia" w:ascii="仿宋_GB2312" w:hAnsi="仿宋" w:eastAsia="仿宋_GB2312" w:cs="仿宋"/>
          <w:sz w:val="32"/>
          <w:szCs w:val="32"/>
          <w:highlight w:val="none"/>
          <w:lang w:val="en-US" w:eastAsia="zh-CN"/>
        </w:rPr>
        <w:t>财政拨款收入</w:t>
      </w:r>
      <w:r>
        <w:rPr>
          <w:rFonts w:hint="eastAsia" w:ascii="仿宋_GB2312" w:hAnsi="仿宋" w:eastAsia="仿宋_GB2312" w:cs="仿宋"/>
          <w:sz w:val="32"/>
          <w:szCs w:val="32"/>
          <w:highlight w:val="none"/>
          <w:lang w:eastAsia="zh-CN"/>
        </w:rPr>
        <w:t>存在较大差异。</w:t>
      </w:r>
    </w:p>
    <w:p>
      <w:pPr>
        <w:pStyle w:val="13"/>
        <w:spacing w:before="156" w:beforeLines="50" w:after="156" w:afterLines="50"/>
        <w:ind w:firstLine="640" w:firstLineChars="200"/>
        <w:rPr>
          <w:rFonts w:hint="eastAsia" w:ascii="仿宋_GB2312" w:hAnsi="仿宋" w:eastAsia="仿宋_GB2312" w:cs="仿宋"/>
          <w:sz w:val="32"/>
          <w:szCs w:val="32"/>
          <w:highlight w:val="none"/>
          <w:lang w:eastAsia="zh-CN"/>
        </w:rPr>
      </w:pPr>
      <w:r>
        <w:rPr>
          <w:rFonts w:hint="eastAsia" w:ascii="仿宋" w:hAnsi="仿宋" w:eastAsia="仿宋"/>
          <w:sz w:val="32"/>
          <w:szCs w:val="32"/>
        </w:rPr>
        <w:t>2021年度财政</w:t>
      </w:r>
      <w:r>
        <w:rPr>
          <w:rFonts w:ascii="仿宋" w:hAnsi="仿宋" w:eastAsia="仿宋"/>
          <w:sz w:val="32"/>
          <w:szCs w:val="32"/>
        </w:rPr>
        <w:t>拨款支出2175.15</w:t>
      </w:r>
      <w:r>
        <w:rPr>
          <w:rFonts w:hint="eastAsia" w:ascii="仿宋" w:hAnsi="仿宋" w:eastAsia="仿宋"/>
          <w:sz w:val="32"/>
          <w:szCs w:val="32"/>
        </w:rPr>
        <w:t>万</w:t>
      </w:r>
      <w:r>
        <w:rPr>
          <w:rFonts w:ascii="仿宋" w:hAnsi="仿宋" w:eastAsia="仿宋"/>
          <w:sz w:val="32"/>
          <w:szCs w:val="32"/>
        </w:rPr>
        <w:t>元（不含财政拨款年</w:t>
      </w:r>
      <w:r>
        <w:rPr>
          <w:rFonts w:hint="eastAsia" w:ascii="仿宋" w:hAnsi="仿宋" w:eastAsia="仿宋"/>
          <w:sz w:val="32"/>
          <w:szCs w:val="32"/>
        </w:rPr>
        <w:t>末</w:t>
      </w:r>
      <w:r>
        <w:rPr>
          <w:rFonts w:ascii="仿宋" w:hAnsi="仿宋" w:eastAsia="仿宋"/>
          <w:sz w:val="32"/>
          <w:szCs w:val="32"/>
        </w:rPr>
        <w:t>结转和结余资金），</w:t>
      </w:r>
      <w:r>
        <w:rPr>
          <w:rFonts w:ascii="仿宋" w:hAnsi="仿宋" w:eastAsia="仿宋"/>
          <w:sz w:val="32"/>
          <w:szCs w:val="32"/>
          <w:highlight w:val="none"/>
        </w:rPr>
        <w:t>与上年相比</w:t>
      </w:r>
      <w:r>
        <w:rPr>
          <w:rFonts w:hint="eastAsia" w:ascii="仿宋" w:hAnsi="仿宋" w:eastAsia="仿宋"/>
          <w:sz w:val="32"/>
          <w:szCs w:val="32"/>
          <w:highlight w:val="none"/>
        </w:rPr>
        <w:t>，增加2099.71万</w:t>
      </w:r>
      <w:r>
        <w:rPr>
          <w:rFonts w:ascii="仿宋" w:hAnsi="仿宋" w:eastAsia="仿宋"/>
          <w:sz w:val="32"/>
          <w:szCs w:val="32"/>
          <w:highlight w:val="none"/>
        </w:rPr>
        <w:t>元，</w:t>
      </w:r>
      <w:r>
        <w:rPr>
          <w:rFonts w:hint="eastAsia" w:ascii="仿宋_GB2312" w:hAnsi="仿宋" w:eastAsia="仿宋_GB2312" w:cs="仿宋"/>
          <w:sz w:val="32"/>
          <w:szCs w:val="32"/>
          <w:highlight w:val="none"/>
        </w:rPr>
        <w:t>增加2783</w:t>
      </w:r>
      <w:r>
        <w:rPr>
          <w:rFonts w:ascii="仿宋_GB2312" w:hAnsi="仿宋" w:eastAsia="仿宋_GB2312" w:cs="仿宋"/>
          <w:sz w:val="32"/>
          <w:szCs w:val="32"/>
          <w:highlight w:val="none"/>
        </w:rPr>
        <w:t>.</w:t>
      </w:r>
      <w:r>
        <w:rPr>
          <w:rFonts w:hint="eastAsia" w:ascii="仿宋_GB2312" w:hAnsi="仿宋" w:eastAsia="仿宋_GB2312" w:cs="仿宋"/>
          <w:sz w:val="32"/>
          <w:szCs w:val="32"/>
          <w:highlight w:val="none"/>
        </w:rPr>
        <w:t>28%，</w:t>
      </w:r>
      <w:r>
        <w:rPr>
          <w:rFonts w:ascii="仿宋_GB2312" w:hAnsi="仿宋" w:eastAsia="仿宋_GB2312" w:cs="仿宋"/>
          <w:sz w:val="32"/>
          <w:szCs w:val="32"/>
          <w:highlight w:val="none"/>
        </w:rPr>
        <w:t>增加的主要原因是</w:t>
      </w:r>
      <w:r>
        <w:rPr>
          <w:rFonts w:hint="eastAsia" w:ascii="仿宋_GB2312" w:hAnsi="仿宋" w:eastAsia="仿宋_GB2312" w:cs="仿宋"/>
          <w:sz w:val="32"/>
          <w:szCs w:val="32"/>
          <w:highlight w:val="none"/>
        </w:rPr>
        <w:t>我单位在2020年度进行了垂直管理改革，由市级预算单位变为省级预算单位，但当年已在长沙市申报年度预算，所以年度大部分经费在市级财政列支。根据省财政要求，2020年市级财政经费列入“非同级财政拨款预算收入”，决算报表列入“其他收入”栏</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2020年</w:t>
      </w:r>
      <w:r>
        <w:rPr>
          <w:rFonts w:hint="eastAsia" w:ascii="仿宋_GB2312" w:hAnsi="仿宋" w:eastAsia="仿宋_GB2312" w:cs="仿宋"/>
          <w:sz w:val="32"/>
          <w:szCs w:val="32"/>
          <w:highlight w:val="none"/>
        </w:rPr>
        <w:t>决算报表中的财政拨款</w:t>
      </w:r>
      <w:r>
        <w:rPr>
          <w:rFonts w:hint="eastAsia" w:ascii="仿宋_GB2312" w:hAnsi="仿宋" w:eastAsia="仿宋_GB2312" w:cs="仿宋"/>
          <w:sz w:val="32"/>
          <w:szCs w:val="32"/>
          <w:highlight w:val="none"/>
          <w:lang w:eastAsia="zh-CN"/>
        </w:rPr>
        <w:t>支出</w:t>
      </w:r>
      <w:r>
        <w:rPr>
          <w:rFonts w:hint="eastAsia" w:ascii="仿宋_GB2312" w:hAnsi="仿宋" w:eastAsia="仿宋_GB2312" w:cs="仿宋"/>
          <w:sz w:val="32"/>
          <w:szCs w:val="32"/>
          <w:highlight w:val="none"/>
        </w:rPr>
        <w:t>只包括省级财政直接安排的经费</w:t>
      </w:r>
      <w:r>
        <w:rPr>
          <w:rFonts w:hint="eastAsia" w:ascii="仿宋_GB2312" w:hAnsi="仿宋" w:eastAsia="仿宋_GB2312" w:cs="仿宋"/>
          <w:sz w:val="32"/>
          <w:szCs w:val="32"/>
          <w:highlight w:val="none"/>
          <w:lang w:eastAsia="zh-CN"/>
        </w:rPr>
        <w:t>支出，故与</w:t>
      </w:r>
      <w:r>
        <w:rPr>
          <w:rFonts w:hint="eastAsia" w:ascii="仿宋_GB2312" w:hAnsi="仿宋" w:eastAsia="仿宋_GB2312" w:cs="仿宋"/>
          <w:sz w:val="32"/>
          <w:szCs w:val="32"/>
          <w:highlight w:val="none"/>
          <w:lang w:val="en-US" w:eastAsia="zh-CN"/>
        </w:rPr>
        <w:t>2021年决算报表中的财政拨款支出存在</w:t>
      </w:r>
      <w:r>
        <w:rPr>
          <w:rFonts w:hint="eastAsia" w:ascii="仿宋_GB2312" w:hAnsi="仿宋" w:eastAsia="仿宋_GB2312" w:cs="仿宋"/>
          <w:sz w:val="32"/>
          <w:szCs w:val="32"/>
          <w:highlight w:val="none"/>
          <w:lang w:eastAsia="zh-CN"/>
        </w:rPr>
        <w:t>较大差异。</w:t>
      </w:r>
    </w:p>
    <w:p>
      <w:pPr>
        <w:pStyle w:val="13"/>
        <w:spacing w:after="100" w:afterAutospacing="1" w:line="360" w:lineRule="auto"/>
        <w:ind w:firstLine="640" w:firstLineChars="200"/>
        <w:rPr>
          <w:rFonts w:ascii="仿宋_GB2312" w:hAnsi="仿宋" w:eastAsia="仿宋_GB2312" w:cs="仿宋"/>
          <w:sz w:val="32"/>
          <w:szCs w:val="32"/>
        </w:rPr>
      </w:pPr>
      <w:r>
        <w:rPr>
          <w:rFonts w:hint="eastAsia" w:hAnsi="黑体"/>
          <w:b/>
          <w:sz w:val="32"/>
          <w:szCs w:val="32"/>
        </w:rPr>
        <w:t>五、一般公共预算财政拨款支出决算情况说明</w:t>
      </w:r>
    </w:p>
    <w:p>
      <w:pPr>
        <w:pStyle w:val="13"/>
        <w:spacing w:line="360" w:lineRule="auto"/>
        <w:ind w:firstLine="640" w:firstLineChars="20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（一）财政拨款支出决算总体情况</w:t>
      </w:r>
    </w:p>
    <w:p>
      <w:pPr>
        <w:pStyle w:val="13"/>
        <w:spacing w:before="156" w:beforeLines="50" w:after="156" w:afterLines="50"/>
        <w:ind w:firstLine="640" w:firstLineChars="200"/>
        <w:rPr>
          <w:rFonts w:ascii="仿宋" w:hAnsi="仿宋" w:eastAsia="仿宋"/>
          <w:sz w:val="32"/>
          <w:szCs w:val="32"/>
        </w:rPr>
      </w:pPr>
      <w:r>
        <w:rPr>
          <w:rFonts w:hint="eastAsia" w:ascii="仿宋" w:hAnsi="仿宋" w:eastAsia="仿宋"/>
          <w:sz w:val="32"/>
          <w:szCs w:val="32"/>
        </w:rPr>
        <w:t>2021年度财政</w:t>
      </w:r>
      <w:r>
        <w:rPr>
          <w:rFonts w:ascii="仿宋" w:hAnsi="仿宋" w:eastAsia="仿宋"/>
          <w:sz w:val="32"/>
          <w:szCs w:val="32"/>
        </w:rPr>
        <w:t>拨款支出</w:t>
      </w:r>
      <w:r>
        <w:rPr>
          <w:rFonts w:hint="eastAsia" w:ascii="仿宋_GB2312" w:hAnsi="仿宋" w:eastAsia="仿宋_GB2312" w:cs="仿宋"/>
          <w:sz w:val="32"/>
          <w:szCs w:val="32"/>
        </w:rPr>
        <w:t>2175.15</w:t>
      </w:r>
      <w:r>
        <w:rPr>
          <w:rFonts w:hint="eastAsia" w:ascii="仿宋" w:hAnsi="仿宋" w:eastAsia="仿宋"/>
          <w:sz w:val="32"/>
          <w:szCs w:val="32"/>
        </w:rPr>
        <w:t>万</w:t>
      </w:r>
      <w:r>
        <w:rPr>
          <w:rFonts w:ascii="仿宋" w:hAnsi="仿宋" w:eastAsia="仿宋"/>
          <w:sz w:val="32"/>
          <w:szCs w:val="32"/>
        </w:rPr>
        <w:t>元，与上年相比</w:t>
      </w:r>
      <w:r>
        <w:rPr>
          <w:rFonts w:hint="eastAsia" w:ascii="仿宋" w:hAnsi="仿宋" w:eastAsia="仿宋"/>
          <w:sz w:val="32"/>
          <w:szCs w:val="32"/>
        </w:rPr>
        <w:t>，增加2099.71万</w:t>
      </w:r>
      <w:r>
        <w:rPr>
          <w:rFonts w:ascii="仿宋" w:hAnsi="仿宋" w:eastAsia="仿宋"/>
          <w:sz w:val="32"/>
          <w:szCs w:val="32"/>
        </w:rPr>
        <w:t>元，</w:t>
      </w:r>
      <w:r>
        <w:rPr>
          <w:rFonts w:hint="eastAsia" w:ascii="仿宋_GB2312" w:hAnsi="仿宋" w:eastAsia="仿宋_GB2312" w:cs="仿宋"/>
          <w:sz w:val="32"/>
          <w:szCs w:val="32"/>
        </w:rPr>
        <w:t>增加2783</w:t>
      </w:r>
      <w:r>
        <w:rPr>
          <w:rFonts w:ascii="仿宋_GB2312" w:hAnsi="仿宋" w:eastAsia="仿宋_GB2312" w:cs="仿宋"/>
          <w:sz w:val="32"/>
          <w:szCs w:val="32"/>
        </w:rPr>
        <w:t>.</w:t>
      </w:r>
      <w:r>
        <w:rPr>
          <w:rFonts w:hint="eastAsia" w:ascii="仿宋_GB2312" w:hAnsi="仿宋" w:eastAsia="仿宋_GB2312" w:cs="仿宋"/>
          <w:sz w:val="32"/>
          <w:szCs w:val="32"/>
        </w:rPr>
        <w:t>28%</w:t>
      </w:r>
      <w:r>
        <w:rPr>
          <w:rFonts w:hint="eastAsia" w:ascii="仿宋_GB2312" w:hAnsi="仿宋" w:eastAsia="仿宋_GB2312" w:cs="仿宋"/>
          <w:sz w:val="32"/>
          <w:szCs w:val="32"/>
          <w:lang w:eastAsia="zh-CN"/>
        </w:rPr>
        <w:t>。</w:t>
      </w:r>
      <w:r>
        <w:rPr>
          <w:rFonts w:ascii="仿宋_GB2312" w:hAnsi="仿宋" w:eastAsia="仿宋_GB2312" w:cs="仿宋"/>
          <w:sz w:val="32"/>
          <w:szCs w:val="32"/>
          <w:highlight w:val="none"/>
        </w:rPr>
        <w:t>增加的主要原因是</w:t>
      </w:r>
      <w:r>
        <w:rPr>
          <w:rFonts w:hint="eastAsia" w:ascii="仿宋_GB2312" w:hAnsi="仿宋" w:eastAsia="仿宋_GB2312" w:cs="仿宋"/>
          <w:sz w:val="32"/>
          <w:szCs w:val="32"/>
          <w:highlight w:val="none"/>
        </w:rPr>
        <w:t>我单位在2020年度进行了垂直管理改革，由市级预算单位变为省级预算单位，但当年已在长沙市申报年度预算，所以年度大部分经费在市级财政列支。根据省财政要求，2020年市级财政经费列入“非同级财政拨款预算收入”，决算报表列入“其他收入”栏</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2020年</w:t>
      </w:r>
      <w:r>
        <w:rPr>
          <w:rFonts w:hint="eastAsia" w:ascii="仿宋_GB2312" w:hAnsi="仿宋" w:eastAsia="仿宋_GB2312" w:cs="仿宋"/>
          <w:sz w:val="32"/>
          <w:szCs w:val="32"/>
          <w:highlight w:val="none"/>
        </w:rPr>
        <w:t>决算报表中的财政拨款</w:t>
      </w:r>
      <w:r>
        <w:rPr>
          <w:rFonts w:hint="eastAsia" w:ascii="仿宋_GB2312" w:hAnsi="仿宋" w:eastAsia="仿宋_GB2312" w:cs="仿宋"/>
          <w:sz w:val="32"/>
          <w:szCs w:val="32"/>
          <w:highlight w:val="none"/>
          <w:lang w:eastAsia="zh-CN"/>
        </w:rPr>
        <w:t>支出</w:t>
      </w:r>
      <w:r>
        <w:rPr>
          <w:rFonts w:hint="eastAsia" w:ascii="仿宋_GB2312" w:hAnsi="仿宋" w:eastAsia="仿宋_GB2312" w:cs="仿宋"/>
          <w:sz w:val="32"/>
          <w:szCs w:val="32"/>
          <w:highlight w:val="none"/>
        </w:rPr>
        <w:t>只包括省级财政直接安排的经费</w:t>
      </w:r>
      <w:r>
        <w:rPr>
          <w:rFonts w:hint="eastAsia" w:ascii="仿宋_GB2312" w:hAnsi="仿宋" w:eastAsia="仿宋_GB2312" w:cs="仿宋"/>
          <w:sz w:val="32"/>
          <w:szCs w:val="32"/>
          <w:highlight w:val="none"/>
          <w:lang w:eastAsia="zh-CN"/>
        </w:rPr>
        <w:t>支出，故与</w:t>
      </w:r>
      <w:r>
        <w:rPr>
          <w:rFonts w:hint="eastAsia" w:ascii="仿宋_GB2312" w:hAnsi="仿宋" w:eastAsia="仿宋_GB2312" w:cs="仿宋"/>
          <w:sz w:val="32"/>
          <w:szCs w:val="32"/>
          <w:highlight w:val="none"/>
          <w:lang w:val="en-US" w:eastAsia="zh-CN"/>
        </w:rPr>
        <w:t>2021年决算报表中的财政拨款支出存在</w:t>
      </w:r>
      <w:r>
        <w:rPr>
          <w:rFonts w:hint="eastAsia" w:ascii="仿宋_GB2312" w:hAnsi="仿宋" w:eastAsia="仿宋_GB2312" w:cs="仿宋"/>
          <w:sz w:val="32"/>
          <w:szCs w:val="32"/>
          <w:highlight w:val="none"/>
          <w:lang w:eastAsia="zh-CN"/>
        </w:rPr>
        <w:t>较大差异。</w:t>
      </w:r>
    </w:p>
    <w:p>
      <w:pPr>
        <w:pStyle w:val="13"/>
        <w:ind w:firstLine="480" w:firstLineChars="15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（二）财政拨款支出决算结构情况</w:t>
      </w:r>
    </w:p>
    <w:p>
      <w:pPr>
        <w:pStyle w:val="13"/>
        <w:ind w:firstLine="640" w:firstLineChars="200"/>
        <w:rPr>
          <w:rFonts w:ascii="仿宋" w:hAnsi="仿宋" w:eastAsia="仿宋" w:cstheme="minorBidi"/>
          <w:color w:val="auto"/>
          <w:kern w:val="2"/>
          <w:sz w:val="32"/>
          <w:szCs w:val="32"/>
        </w:rPr>
      </w:pPr>
      <w:r>
        <w:rPr>
          <w:rFonts w:hint="eastAsia" w:ascii="仿宋" w:hAnsi="仿宋" w:eastAsia="仿宋"/>
          <w:sz w:val="32"/>
          <w:szCs w:val="32"/>
        </w:rPr>
        <w:t>2021年度财政</w:t>
      </w:r>
      <w:r>
        <w:rPr>
          <w:rFonts w:ascii="仿宋" w:hAnsi="仿宋" w:eastAsia="仿宋"/>
          <w:sz w:val="32"/>
          <w:szCs w:val="32"/>
        </w:rPr>
        <w:t>拨款支出</w:t>
      </w:r>
      <w:r>
        <w:rPr>
          <w:rFonts w:hint="eastAsia" w:ascii="仿宋_GB2312" w:hAnsi="仿宋" w:eastAsia="仿宋_GB2312" w:cs="仿宋"/>
          <w:sz w:val="32"/>
          <w:szCs w:val="32"/>
        </w:rPr>
        <w:t>2175.15</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cstheme="minorBidi"/>
          <w:color w:val="auto"/>
          <w:kern w:val="2"/>
          <w:sz w:val="32"/>
          <w:szCs w:val="32"/>
        </w:rPr>
        <w:t>，主要用于以</w:t>
      </w:r>
      <w:r>
        <w:rPr>
          <w:rFonts w:ascii="仿宋" w:hAnsi="仿宋" w:eastAsia="仿宋" w:cstheme="minorBidi"/>
          <w:color w:val="auto"/>
          <w:kern w:val="2"/>
          <w:sz w:val="32"/>
          <w:szCs w:val="32"/>
        </w:rPr>
        <w:t>下方面：</w:t>
      </w:r>
      <w:r>
        <w:rPr>
          <w:rFonts w:hint="eastAsia" w:ascii="仿宋" w:hAnsi="仿宋" w:eastAsia="仿宋" w:cstheme="minorBidi"/>
          <w:color w:val="auto"/>
          <w:kern w:val="2"/>
          <w:sz w:val="32"/>
          <w:szCs w:val="32"/>
        </w:rPr>
        <w:t>社会</w:t>
      </w:r>
      <w:r>
        <w:rPr>
          <w:rFonts w:ascii="仿宋" w:hAnsi="仿宋" w:eastAsia="仿宋" w:cstheme="minorBidi"/>
          <w:color w:val="auto"/>
          <w:kern w:val="2"/>
          <w:sz w:val="32"/>
          <w:szCs w:val="32"/>
        </w:rPr>
        <w:t>保障和</w:t>
      </w:r>
      <w:r>
        <w:rPr>
          <w:rFonts w:hint="eastAsia" w:ascii="仿宋" w:hAnsi="仿宋" w:eastAsia="仿宋" w:cstheme="minorBidi"/>
          <w:color w:val="auto"/>
          <w:kern w:val="2"/>
          <w:sz w:val="32"/>
          <w:szCs w:val="32"/>
        </w:rPr>
        <w:t>就</w:t>
      </w:r>
      <w:r>
        <w:rPr>
          <w:rFonts w:ascii="仿宋" w:hAnsi="仿宋" w:eastAsia="仿宋" w:cstheme="minorBidi"/>
          <w:color w:val="auto"/>
          <w:kern w:val="2"/>
          <w:sz w:val="32"/>
          <w:szCs w:val="32"/>
        </w:rPr>
        <w:t>业支出122.32</w:t>
      </w:r>
      <w:r>
        <w:rPr>
          <w:rFonts w:hint="eastAsia" w:ascii="仿宋" w:hAnsi="仿宋" w:eastAsia="仿宋" w:cstheme="minorBidi"/>
          <w:color w:val="auto"/>
          <w:kern w:val="2"/>
          <w:sz w:val="32"/>
          <w:szCs w:val="32"/>
        </w:rPr>
        <w:t>万</w:t>
      </w:r>
      <w:r>
        <w:rPr>
          <w:rFonts w:ascii="仿宋" w:hAnsi="仿宋" w:eastAsia="仿宋" w:cstheme="minorBidi"/>
          <w:color w:val="auto"/>
          <w:kern w:val="2"/>
          <w:sz w:val="32"/>
          <w:szCs w:val="32"/>
        </w:rPr>
        <w:t>元，占</w:t>
      </w:r>
      <w:r>
        <w:rPr>
          <w:rFonts w:hint="eastAsia" w:ascii="仿宋" w:hAnsi="仿宋" w:eastAsia="仿宋" w:cstheme="minorBidi"/>
          <w:color w:val="auto"/>
          <w:kern w:val="2"/>
          <w:sz w:val="32"/>
          <w:szCs w:val="32"/>
        </w:rPr>
        <w:t>5</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62</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；节</w:t>
      </w:r>
      <w:r>
        <w:rPr>
          <w:rFonts w:ascii="仿宋" w:hAnsi="仿宋" w:eastAsia="仿宋" w:cstheme="minorBidi"/>
          <w:color w:val="auto"/>
          <w:kern w:val="2"/>
          <w:sz w:val="32"/>
          <w:szCs w:val="32"/>
        </w:rPr>
        <w:t>能环保支出</w:t>
      </w:r>
      <w:r>
        <w:rPr>
          <w:rFonts w:hint="eastAsia" w:ascii="仿宋" w:hAnsi="仿宋" w:eastAsia="仿宋" w:cstheme="minorBidi"/>
          <w:color w:val="auto"/>
          <w:kern w:val="2"/>
          <w:sz w:val="32"/>
          <w:szCs w:val="32"/>
        </w:rPr>
        <w:t>1791</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24万</w:t>
      </w:r>
      <w:r>
        <w:rPr>
          <w:rFonts w:ascii="仿宋" w:hAnsi="仿宋" w:eastAsia="仿宋" w:cstheme="minorBidi"/>
          <w:color w:val="auto"/>
          <w:kern w:val="2"/>
          <w:sz w:val="32"/>
          <w:szCs w:val="32"/>
        </w:rPr>
        <w:t>元，</w:t>
      </w:r>
      <w:r>
        <w:rPr>
          <w:rFonts w:hint="eastAsia" w:ascii="仿宋" w:hAnsi="仿宋" w:eastAsia="仿宋" w:cstheme="minorBidi"/>
          <w:color w:val="auto"/>
          <w:kern w:val="2"/>
          <w:sz w:val="32"/>
          <w:szCs w:val="32"/>
        </w:rPr>
        <w:t>占82</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35%；卫生</w:t>
      </w:r>
      <w:r>
        <w:rPr>
          <w:rFonts w:ascii="仿宋" w:hAnsi="仿宋" w:eastAsia="仿宋" w:cstheme="minorBidi"/>
          <w:color w:val="auto"/>
          <w:kern w:val="2"/>
          <w:sz w:val="32"/>
          <w:szCs w:val="32"/>
        </w:rPr>
        <w:t>健康支出</w:t>
      </w:r>
      <w:r>
        <w:rPr>
          <w:rFonts w:hint="eastAsia" w:ascii="仿宋" w:hAnsi="仿宋" w:eastAsia="仿宋" w:cstheme="minorBidi"/>
          <w:color w:val="auto"/>
          <w:kern w:val="2"/>
          <w:sz w:val="32"/>
          <w:szCs w:val="32"/>
        </w:rPr>
        <w:t>8</w:t>
      </w:r>
      <w:r>
        <w:rPr>
          <w:rFonts w:ascii="仿宋" w:hAnsi="仿宋" w:eastAsia="仿宋" w:cstheme="minorBidi"/>
          <w:color w:val="auto"/>
          <w:kern w:val="2"/>
          <w:sz w:val="32"/>
          <w:szCs w:val="32"/>
        </w:rPr>
        <w:t>4.90</w:t>
      </w:r>
      <w:r>
        <w:rPr>
          <w:rFonts w:hint="eastAsia" w:ascii="仿宋" w:hAnsi="仿宋" w:eastAsia="仿宋" w:cstheme="minorBidi"/>
          <w:color w:val="auto"/>
          <w:kern w:val="2"/>
          <w:sz w:val="32"/>
          <w:szCs w:val="32"/>
        </w:rPr>
        <w:t>万元</w:t>
      </w:r>
      <w:r>
        <w:rPr>
          <w:rFonts w:ascii="仿宋" w:hAnsi="仿宋" w:eastAsia="仿宋" w:cstheme="minorBidi"/>
          <w:color w:val="auto"/>
          <w:kern w:val="2"/>
          <w:sz w:val="32"/>
          <w:szCs w:val="32"/>
        </w:rPr>
        <w:t>，占</w:t>
      </w:r>
      <w:r>
        <w:rPr>
          <w:rFonts w:hint="eastAsia" w:ascii="仿宋" w:hAnsi="仿宋" w:eastAsia="仿宋" w:cstheme="minorBidi"/>
          <w:color w:val="auto"/>
          <w:kern w:val="2"/>
          <w:sz w:val="32"/>
          <w:szCs w:val="32"/>
        </w:rPr>
        <w:t>3.90</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住房保障</w:t>
      </w:r>
      <w:r>
        <w:rPr>
          <w:rFonts w:ascii="仿宋" w:hAnsi="仿宋" w:eastAsia="仿宋" w:cstheme="minorBidi"/>
          <w:color w:val="auto"/>
          <w:kern w:val="2"/>
          <w:sz w:val="32"/>
          <w:szCs w:val="32"/>
        </w:rPr>
        <w:t>支出176.69</w:t>
      </w:r>
      <w:r>
        <w:rPr>
          <w:rFonts w:hint="eastAsia" w:ascii="仿宋" w:hAnsi="仿宋" w:eastAsia="仿宋" w:cstheme="minorBidi"/>
          <w:color w:val="auto"/>
          <w:kern w:val="2"/>
          <w:sz w:val="32"/>
          <w:szCs w:val="32"/>
        </w:rPr>
        <w:t>万元</w:t>
      </w:r>
      <w:r>
        <w:rPr>
          <w:rFonts w:ascii="仿宋" w:hAnsi="仿宋" w:eastAsia="仿宋" w:cstheme="minorBidi"/>
          <w:color w:val="auto"/>
          <w:kern w:val="2"/>
          <w:sz w:val="32"/>
          <w:szCs w:val="32"/>
        </w:rPr>
        <w:t>，占</w:t>
      </w:r>
      <w:r>
        <w:rPr>
          <w:rFonts w:hint="eastAsia" w:ascii="仿宋" w:hAnsi="仿宋" w:eastAsia="仿宋" w:cstheme="minorBidi"/>
          <w:color w:val="auto"/>
          <w:kern w:val="2"/>
          <w:sz w:val="32"/>
          <w:szCs w:val="32"/>
        </w:rPr>
        <w:t>8</w:t>
      </w:r>
      <w:r>
        <w:rPr>
          <w:rFonts w:ascii="仿宋" w:hAnsi="仿宋" w:eastAsia="仿宋" w:cstheme="minorBidi"/>
          <w:color w:val="auto"/>
          <w:kern w:val="2"/>
          <w:sz w:val="32"/>
          <w:szCs w:val="32"/>
        </w:rPr>
        <w:t>.1</w:t>
      </w:r>
      <w:r>
        <w:rPr>
          <w:rFonts w:hint="eastAsia" w:ascii="仿宋" w:hAnsi="仿宋" w:eastAsia="仿宋" w:cstheme="minorBidi"/>
          <w:color w:val="auto"/>
          <w:kern w:val="2"/>
          <w:sz w:val="32"/>
          <w:szCs w:val="32"/>
        </w:rPr>
        <w:t>2</w:t>
      </w:r>
      <w:r>
        <w:rPr>
          <w:rFonts w:ascii="仿宋" w:hAnsi="仿宋" w:eastAsia="仿宋" w:cstheme="minorBidi"/>
          <w:color w:val="auto"/>
          <w:kern w:val="2"/>
          <w:sz w:val="32"/>
          <w:szCs w:val="32"/>
        </w:rPr>
        <w:t>%。</w:t>
      </w:r>
    </w:p>
    <w:p>
      <w:pPr>
        <w:pStyle w:val="13"/>
        <w:ind w:firstLine="480" w:firstLineChars="15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（三）财政拨款支出决算具体情况</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202</w:t>
      </w:r>
      <w:r>
        <w:rPr>
          <w:rFonts w:ascii="仿宋" w:hAnsi="仿宋" w:eastAsia="仿宋" w:cstheme="minorBidi"/>
          <w:color w:val="auto"/>
          <w:kern w:val="2"/>
          <w:sz w:val="32"/>
          <w:szCs w:val="32"/>
        </w:rPr>
        <w:t>1</w:t>
      </w:r>
      <w:r>
        <w:rPr>
          <w:rFonts w:hint="eastAsia" w:ascii="仿宋" w:hAnsi="仿宋" w:eastAsia="仿宋" w:cstheme="minorBidi"/>
          <w:color w:val="auto"/>
          <w:kern w:val="2"/>
          <w:sz w:val="32"/>
          <w:szCs w:val="32"/>
        </w:rPr>
        <w:t>年度财政拨款支出年初预算数为2180.66万元，决算数为2175.15</w:t>
      </w:r>
      <w:r>
        <w:rPr>
          <w:rFonts w:ascii="仿宋" w:hAnsi="仿宋" w:eastAsia="仿宋" w:cstheme="minorBidi"/>
          <w:color w:val="auto"/>
          <w:kern w:val="2"/>
          <w:sz w:val="32"/>
          <w:szCs w:val="32"/>
        </w:rPr>
        <w:t>万</w:t>
      </w:r>
      <w:r>
        <w:rPr>
          <w:rFonts w:hint="eastAsia" w:ascii="仿宋" w:hAnsi="仿宋" w:eastAsia="仿宋" w:cstheme="minorBidi"/>
          <w:color w:val="auto"/>
          <w:kern w:val="2"/>
          <w:sz w:val="32"/>
          <w:szCs w:val="32"/>
        </w:rPr>
        <w:t>元，完成年初预算的99</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75%，其中：</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1、社会</w:t>
      </w:r>
      <w:r>
        <w:rPr>
          <w:rFonts w:ascii="仿宋" w:hAnsi="仿宋" w:eastAsia="仿宋" w:cstheme="minorBidi"/>
          <w:color w:val="auto"/>
          <w:kern w:val="2"/>
          <w:sz w:val="32"/>
          <w:szCs w:val="32"/>
        </w:rPr>
        <w:t>保障和就业支出</w:t>
      </w:r>
      <w:r>
        <w:rPr>
          <w:rFonts w:hint="eastAsia" w:ascii="仿宋" w:hAnsi="仿宋" w:eastAsia="仿宋" w:cstheme="minorBidi"/>
          <w:color w:val="auto"/>
          <w:kern w:val="2"/>
          <w:sz w:val="32"/>
          <w:szCs w:val="32"/>
        </w:rPr>
        <w:t>（类）</w:t>
      </w:r>
      <w:r>
        <w:rPr>
          <w:rFonts w:ascii="仿宋" w:hAnsi="仿宋" w:eastAsia="仿宋" w:cstheme="minorBidi"/>
          <w:color w:val="auto"/>
          <w:kern w:val="2"/>
          <w:sz w:val="32"/>
          <w:szCs w:val="32"/>
        </w:rPr>
        <w:t>行政事业单位养老支出</w:t>
      </w:r>
      <w:r>
        <w:rPr>
          <w:rFonts w:hint="eastAsia" w:ascii="仿宋" w:hAnsi="仿宋" w:eastAsia="仿宋" w:cstheme="minorBidi"/>
          <w:color w:val="auto"/>
          <w:kern w:val="2"/>
          <w:sz w:val="32"/>
          <w:szCs w:val="32"/>
        </w:rPr>
        <w:t>（款）</w:t>
      </w:r>
      <w:r>
        <w:rPr>
          <w:rFonts w:ascii="仿宋" w:hAnsi="仿宋" w:eastAsia="仿宋" w:cstheme="minorBidi"/>
          <w:color w:val="auto"/>
          <w:kern w:val="2"/>
          <w:sz w:val="32"/>
          <w:szCs w:val="32"/>
        </w:rPr>
        <w:t>行政事业单位基本养老保险缴费支出</w:t>
      </w:r>
      <w:r>
        <w:rPr>
          <w:rFonts w:hint="eastAsia" w:ascii="仿宋" w:hAnsi="仿宋" w:eastAsia="仿宋" w:cstheme="minorBidi"/>
          <w:color w:val="auto"/>
          <w:kern w:val="2"/>
          <w:sz w:val="32"/>
          <w:szCs w:val="32"/>
        </w:rPr>
        <w:t>（项）。</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年初预算为</w:t>
      </w:r>
      <w:r>
        <w:rPr>
          <w:rFonts w:ascii="仿宋" w:hAnsi="仿宋" w:eastAsia="仿宋" w:cstheme="minorBidi"/>
          <w:color w:val="auto"/>
          <w:kern w:val="2"/>
          <w:sz w:val="32"/>
          <w:szCs w:val="32"/>
        </w:rPr>
        <w:t>123.02</w:t>
      </w:r>
      <w:r>
        <w:rPr>
          <w:rFonts w:hint="eastAsia" w:ascii="仿宋" w:hAnsi="仿宋" w:eastAsia="仿宋" w:cstheme="minorBidi"/>
          <w:color w:val="auto"/>
          <w:kern w:val="2"/>
          <w:sz w:val="32"/>
          <w:szCs w:val="32"/>
        </w:rPr>
        <w:t>万元，支出决算为</w:t>
      </w:r>
      <w:r>
        <w:rPr>
          <w:rFonts w:ascii="仿宋" w:hAnsi="仿宋" w:eastAsia="仿宋" w:cstheme="minorBidi"/>
          <w:color w:val="auto"/>
          <w:kern w:val="2"/>
          <w:sz w:val="32"/>
          <w:szCs w:val="32"/>
        </w:rPr>
        <w:t>122.32</w:t>
      </w:r>
      <w:r>
        <w:rPr>
          <w:rFonts w:hint="eastAsia" w:ascii="仿宋" w:hAnsi="仿宋" w:eastAsia="仿宋" w:cstheme="minorBidi"/>
          <w:color w:val="auto"/>
          <w:kern w:val="2"/>
          <w:sz w:val="32"/>
          <w:szCs w:val="32"/>
        </w:rPr>
        <w:t>万元，完成年初预算的</w:t>
      </w:r>
      <w:r>
        <w:rPr>
          <w:rFonts w:ascii="仿宋" w:hAnsi="仿宋" w:eastAsia="仿宋" w:cstheme="minorBidi"/>
          <w:color w:val="auto"/>
          <w:kern w:val="2"/>
          <w:sz w:val="32"/>
          <w:szCs w:val="32"/>
        </w:rPr>
        <w:t>99.43%</w:t>
      </w:r>
      <w:r>
        <w:rPr>
          <w:rFonts w:hint="eastAsia" w:ascii="仿宋" w:hAnsi="仿宋" w:eastAsia="仿宋" w:cstheme="minorBidi"/>
          <w:color w:val="auto"/>
          <w:kern w:val="2"/>
          <w:sz w:val="32"/>
          <w:szCs w:val="32"/>
        </w:rPr>
        <w:t>，决算数小于预算数，主要是严格控制预算</w:t>
      </w:r>
      <w:r>
        <w:rPr>
          <w:rFonts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2</w:t>
      </w:r>
      <w:r>
        <w:rPr>
          <w:rFonts w:ascii="仿宋" w:hAnsi="仿宋" w:eastAsia="仿宋" w:cstheme="minorBidi"/>
          <w:color w:val="auto"/>
          <w:kern w:val="2"/>
          <w:sz w:val="32"/>
          <w:szCs w:val="32"/>
        </w:rPr>
        <w:t>.卫生健康支出（类）行政事业单位医疗（款）事业单位医疗（项）</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年初预算为</w:t>
      </w:r>
      <w:r>
        <w:rPr>
          <w:rFonts w:ascii="仿宋" w:hAnsi="仿宋" w:eastAsia="仿宋" w:cstheme="minorBidi"/>
          <w:color w:val="auto"/>
          <w:kern w:val="2"/>
          <w:sz w:val="32"/>
          <w:szCs w:val="32"/>
        </w:rPr>
        <w:t>85.09</w:t>
      </w:r>
      <w:r>
        <w:rPr>
          <w:rFonts w:hint="eastAsia" w:ascii="仿宋" w:hAnsi="仿宋" w:eastAsia="仿宋" w:cstheme="minorBidi"/>
          <w:color w:val="auto"/>
          <w:kern w:val="2"/>
          <w:sz w:val="32"/>
          <w:szCs w:val="32"/>
        </w:rPr>
        <w:t>万元，支出决算</w:t>
      </w:r>
      <w:r>
        <w:rPr>
          <w:rFonts w:hint="default" w:ascii="仿宋" w:hAnsi="仿宋" w:eastAsia="仿宋" w:cstheme="minorBidi"/>
          <w:color w:val="auto"/>
          <w:kern w:val="2"/>
          <w:sz w:val="32"/>
          <w:szCs w:val="32"/>
          <w:shd w:val="clear"/>
        </w:rPr>
        <w:t>为</w:t>
      </w:r>
      <w:r>
        <w:rPr>
          <w:rFonts w:hint="eastAsia" w:ascii="仿宋" w:hAnsi="仿宋" w:eastAsia="仿宋" w:cstheme="minorBidi"/>
          <w:color w:val="auto"/>
          <w:kern w:val="2"/>
          <w:sz w:val="32"/>
          <w:szCs w:val="32"/>
          <w:shd w:val="clear"/>
          <w:lang w:val="en-US" w:eastAsia="zh-CN"/>
        </w:rPr>
        <w:t>84.90</w:t>
      </w:r>
      <w:r>
        <w:rPr>
          <w:rFonts w:hint="default" w:ascii="仿宋" w:hAnsi="仿宋" w:eastAsia="仿宋" w:cstheme="minorBidi"/>
          <w:color w:val="auto"/>
          <w:kern w:val="2"/>
          <w:sz w:val="32"/>
          <w:szCs w:val="32"/>
          <w:shd w:val="clear"/>
        </w:rPr>
        <w:t>万</w:t>
      </w:r>
      <w:r>
        <w:rPr>
          <w:rFonts w:hint="eastAsia" w:ascii="仿宋" w:hAnsi="仿宋" w:eastAsia="仿宋" w:cstheme="minorBidi"/>
          <w:color w:val="auto"/>
          <w:kern w:val="2"/>
          <w:sz w:val="32"/>
          <w:szCs w:val="32"/>
        </w:rPr>
        <w:t>元，完成年初预算的</w:t>
      </w:r>
      <w:r>
        <w:rPr>
          <w:rFonts w:ascii="仿宋" w:hAnsi="仿宋" w:eastAsia="仿宋" w:cstheme="minorBidi"/>
          <w:color w:val="auto"/>
          <w:kern w:val="2"/>
          <w:sz w:val="32"/>
          <w:szCs w:val="32"/>
        </w:rPr>
        <w:t>99.78%</w:t>
      </w:r>
      <w:r>
        <w:rPr>
          <w:rFonts w:hint="eastAsia" w:ascii="仿宋" w:hAnsi="仿宋" w:eastAsia="仿宋" w:cstheme="minorBidi"/>
          <w:color w:val="auto"/>
          <w:kern w:val="2"/>
          <w:sz w:val="32"/>
          <w:szCs w:val="32"/>
        </w:rPr>
        <w:t>，决算数小于预算数，主要是严格控制预算</w:t>
      </w:r>
      <w:r>
        <w:rPr>
          <w:rFonts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3、</w:t>
      </w:r>
      <w:r>
        <w:rPr>
          <w:rFonts w:hint="eastAsia" w:ascii="仿宋" w:hAnsi="仿宋" w:eastAsia="仿宋" w:cstheme="minorBidi"/>
          <w:color w:val="auto"/>
          <w:kern w:val="2"/>
          <w:sz w:val="32"/>
          <w:szCs w:val="32"/>
        </w:rPr>
        <w:t>节能</w:t>
      </w:r>
      <w:r>
        <w:rPr>
          <w:rFonts w:ascii="仿宋" w:hAnsi="仿宋" w:eastAsia="仿宋" w:cstheme="minorBidi"/>
          <w:color w:val="auto"/>
          <w:kern w:val="2"/>
          <w:sz w:val="32"/>
          <w:szCs w:val="32"/>
        </w:rPr>
        <w:t>环保支出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类）环境保护管理事务（款）行政运行（项）</w:t>
      </w:r>
      <w:r>
        <w:rPr>
          <w:rFonts w:hint="eastAsia"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年初预算为1129.89万元</w:t>
      </w:r>
      <w:r>
        <w:rPr>
          <w:rFonts w:hint="eastAsia" w:ascii="仿宋" w:hAnsi="仿宋" w:eastAsia="仿宋" w:cstheme="minorBidi"/>
          <w:color w:val="auto"/>
          <w:kern w:val="2"/>
          <w:sz w:val="32"/>
          <w:szCs w:val="32"/>
        </w:rPr>
        <w:t>,支出决算为</w:t>
      </w:r>
      <w:r>
        <w:rPr>
          <w:rFonts w:ascii="仿宋" w:hAnsi="仿宋" w:eastAsia="仿宋" w:cstheme="minorBidi"/>
          <w:color w:val="auto"/>
          <w:kern w:val="2"/>
          <w:sz w:val="32"/>
          <w:szCs w:val="32"/>
        </w:rPr>
        <w:t>1122.82万元。完成年初预算的</w:t>
      </w:r>
      <w:r>
        <w:rPr>
          <w:rFonts w:hint="eastAsia" w:ascii="仿宋" w:hAnsi="仿宋" w:eastAsia="仿宋" w:cstheme="minorBidi"/>
          <w:color w:val="auto"/>
          <w:kern w:val="2"/>
          <w:sz w:val="32"/>
          <w:szCs w:val="32"/>
        </w:rPr>
        <w:t>9</w:t>
      </w:r>
      <w:r>
        <w:rPr>
          <w:rFonts w:ascii="仿宋" w:hAnsi="仿宋" w:eastAsia="仿宋" w:cstheme="minorBidi"/>
          <w:color w:val="auto"/>
          <w:kern w:val="2"/>
          <w:sz w:val="32"/>
          <w:szCs w:val="32"/>
        </w:rPr>
        <w:t>9.37%</w:t>
      </w:r>
      <w:r>
        <w:rPr>
          <w:rFonts w:hint="eastAsia" w:ascii="仿宋" w:hAnsi="仿宋" w:eastAsia="仿宋" w:cstheme="minorBidi"/>
          <w:color w:val="auto"/>
          <w:kern w:val="2"/>
          <w:sz w:val="32"/>
          <w:szCs w:val="32"/>
        </w:rPr>
        <w:t>，决算数小于预算数，主要是严格控制预算</w:t>
      </w:r>
      <w:r>
        <w:rPr>
          <w:rFonts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4、节能环保支出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类）</w:t>
      </w:r>
      <w:r>
        <w:rPr>
          <w:rFonts w:hint="eastAsia" w:ascii="仿宋" w:hAnsi="仿宋" w:eastAsia="仿宋" w:cstheme="minorBidi"/>
          <w:color w:val="auto"/>
          <w:kern w:val="2"/>
          <w:sz w:val="32"/>
          <w:szCs w:val="32"/>
        </w:rPr>
        <w:t>环境</w:t>
      </w:r>
      <w:r>
        <w:rPr>
          <w:rFonts w:ascii="仿宋" w:hAnsi="仿宋" w:eastAsia="仿宋" w:cstheme="minorBidi"/>
          <w:color w:val="auto"/>
          <w:kern w:val="2"/>
          <w:sz w:val="32"/>
          <w:szCs w:val="32"/>
        </w:rPr>
        <w:t>监测与</w:t>
      </w:r>
      <w:r>
        <w:rPr>
          <w:rFonts w:hint="eastAsia" w:ascii="仿宋" w:hAnsi="仿宋" w:eastAsia="仿宋" w:cstheme="minorBidi"/>
          <w:color w:val="auto"/>
          <w:kern w:val="2"/>
          <w:sz w:val="32"/>
          <w:szCs w:val="32"/>
        </w:rPr>
        <w:t>监察</w:t>
      </w:r>
      <w:r>
        <w:rPr>
          <w:rFonts w:ascii="仿宋" w:hAnsi="仿宋" w:eastAsia="仿宋" w:cstheme="minorBidi"/>
          <w:color w:val="auto"/>
          <w:kern w:val="2"/>
          <w:sz w:val="32"/>
          <w:szCs w:val="32"/>
        </w:rPr>
        <w:t>（款）</w:t>
      </w:r>
      <w:r>
        <w:rPr>
          <w:rFonts w:hint="eastAsia" w:ascii="仿宋" w:hAnsi="仿宋" w:eastAsia="仿宋" w:cstheme="minorBidi"/>
          <w:color w:val="auto"/>
          <w:kern w:val="2"/>
          <w:sz w:val="32"/>
          <w:szCs w:val="32"/>
        </w:rPr>
        <w:t>其他环境</w:t>
      </w:r>
      <w:r>
        <w:rPr>
          <w:rFonts w:ascii="仿宋" w:hAnsi="仿宋" w:eastAsia="仿宋" w:cstheme="minorBidi"/>
          <w:color w:val="auto"/>
          <w:kern w:val="2"/>
          <w:sz w:val="32"/>
          <w:szCs w:val="32"/>
        </w:rPr>
        <w:t>监测与</w:t>
      </w:r>
      <w:r>
        <w:rPr>
          <w:rFonts w:hint="eastAsia" w:ascii="仿宋" w:hAnsi="仿宋" w:eastAsia="仿宋" w:cstheme="minorBidi"/>
          <w:color w:val="auto"/>
          <w:kern w:val="2"/>
          <w:sz w:val="32"/>
          <w:szCs w:val="32"/>
        </w:rPr>
        <w:t>监察</w:t>
      </w:r>
      <w:r>
        <w:rPr>
          <w:rFonts w:ascii="仿宋" w:hAnsi="仿宋" w:eastAsia="仿宋" w:cstheme="minorBidi"/>
          <w:color w:val="auto"/>
          <w:kern w:val="2"/>
          <w:sz w:val="32"/>
          <w:szCs w:val="32"/>
        </w:rPr>
        <w:t>支出（项）</w:t>
      </w:r>
      <w:r>
        <w:rPr>
          <w:rFonts w:hint="eastAsia"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年初预算为</w:t>
      </w:r>
      <w:r>
        <w:rPr>
          <w:rFonts w:hint="eastAsia" w:ascii="仿宋" w:hAnsi="仿宋" w:eastAsia="仿宋" w:cstheme="minorBidi"/>
          <w:color w:val="auto"/>
          <w:kern w:val="2"/>
          <w:sz w:val="32"/>
          <w:szCs w:val="32"/>
        </w:rPr>
        <w:t>0</w:t>
      </w:r>
      <w:r>
        <w:rPr>
          <w:rFonts w:ascii="仿宋" w:hAnsi="仿宋" w:eastAsia="仿宋" w:cstheme="minorBidi"/>
          <w:color w:val="auto"/>
          <w:kern w:val="2"/>
          <w:sz w:val="32"/>
          <w:szCs w:val="32"/>
        </w:rPr>
        <w:t>万元</w:t>
      </w:r>
      <w:r>
        <w:rPr>
          <w:rFonts w:hint="eastAsia" w:ascii="仿宋" w:hAnsi="仿宋" w:eastAsia="仿宋" w:cstheme="minorBidi"/>
          <w:color w:val="auto"/>
          <w:kern w:val="2"/>
          <w:sz w:val="32"/>
          <w:szCs w:val="32"/>
        </w:rPr>
        <w:t>,支出决算为18</w:t>
      </w:r>
      <w:r>
        <w:rPr>
          <w:rFonts w:ascii="仿宋" w:hAnsi="仿宋" w:eastAsia="仿宋" w:cstheme="minorBidi"/>
          <w:color w:val="auto"/>
          <w:kern w:val="2"/>
          <w:sz w:val="32"/>
          <w:szCs w:val="32"/>
        </w:rPr>
        <w:t>万元，</w:t>
      </w:r>
      <w:r>
        <w:rPr>
          <w:rFonts w:hint="eastAsia" w:ascii="仿宋" w:hAnsi="仿宋" w:eastAsia="仿宋" w:cstheme="minorBidi"/>
          <w:color w:val="auto"/>
          <w:kern w:val="2"/>
          <w:sz w:val="32"/>
          <w:szCs w:val="32"/>
        </w:rPr>
        <w:t>决算数大于预算数，主要</w:t>
      </w:r>
      <w:r>
        <w:rPr>
          <w:rFonts w:ascii="仿宋" w:hAnsi="仿宋" w:eastAsia="仿宋" w:cstheme="minorBidi"/>
          <w:color w:val="auto"/>
          <w:kern w:val="2"/>
          <w:sz w:val="32"/>
          <w:szCs w:val="32"/>
        </w:rPr>
        <w:t>是</w:t>
      </w:r>
      <w:r>
        <w:rPr>
          <w:rFonts w:hint="eastAsia" w:ascii="仿宋" w:hAnsi="仿宋" w:eastAsia="仿宋" w:cstheme="minorBidi"/>
          <w:color w:val="auto"/>
          <w:kern w:val="2"/>
          <w:sz w:val="32"/>
          <w:szCs w:val="32"/>
        </w:rPr>
        <w:t>年中追加预算</w:t>
      </w:r>
      <w:r>
        <w:rPr>
          <w:rFonts w:hint="eastAsia" w:ascii="仿宋" w:hAnsi="仿宋" w:eastAsia="仿宋"/>
          <w:color w:val="auto"/>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5、</w:t>
      </w:r>
      <w:r>
        <w:rPr>
          <w:rFonts w:hint="eastAsia" w:ascii="仿宋" w:hAnsi="仿宋" w:eastAsia="仿宋" w:cstheme="minorBidi"/>
          <w:color w:val="auto"/>
          <w:kern w:val="2"/>
          <w:sz w:val="32"/>
          <w:szCs w:val="32"/>
        </w:rPr>
        <w:t>节能</w:t>
      </w:r>
      <w:r>
        <w:rPr>
          <w:rFonts w:ascii="仿宋" w:hAnsi="仿宋" w:eastAsia="仿宋" w:cstheme="minorBidi"/>
          <w:color w:val="auto"/>
          <w:kern w:val="2"/>
          <w:sz w:val="32"/>
          <w:szCs w:val="32"/>
        </w:rPr>
        <w:t>环保支出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类）</w:t>
      </w:r>
      <w:r>
        <w:rPr>
          <w:rFonts w:hint="eastAsia" w:ascii="仿宋" w:hAnsi="仿宋" w:eastAsia="仿宋" w:cstheme="minorBidi"/>
          <w:color w:val="auto"/>
          <w:kern w:val="2"/>
          <w:sz w:val="32"/>
          <w:szCs w:val="32"/>
        </w:rPr>
        <w:t>污染防治</w:t>
      </w:r>
      <w:r>
        <w:rPr>
          <w:rFonts w:ascii="仿宋" w:hAnsi="仿宋" w:eastAsia="仿宋" w:cstheme="minorBidi"/>
          <w:color w:val="auto"/>
          <w:kern w:val="2"/>
          <w:sz w:val="32"/>
          <w:szCs w:val="32"/>
        </w:rPr>
        <w:t>（款）</w:t>
      </w:r>
      <w:r>
        <w:rPr>
          <w:rFonts w:hint="eastAsia" w:ascii="仿宋" w:hAnsi="仿宋" w:eastAsia="仿宋" w:cstheme="minorBidi"/>
          <w:color w:val="auto"/>
          <w:kern w:val="2"/>
          <w:sz w:val="32"/>
          <w:szCs w:val="32"/>
        </w:rPr>
        <w:t>其他</w:t>
      </w:r>
      <w:r>
        <w:rPr>
          <w:rFonts w:ascii="仿宋" w:hAnsi="仿宋" w:eastAsia="仿宋" w:cstheme="minorBidi"/>
          <w:color w:val="auto"/>
          <w:kern w:val="2"/>
          <w:sz w:val="32"/>
          <w:szCs w:val="32"/>
        </w:rPr>
        <w:t>污染防治支出（项）</w:t>
      </w:r>
      <w:r>
        <w:rPr>
          <w:rFonts w:hint="eastAsia"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年初</w:t>
      </w:r>
      <w:r>
        <w:rPr>
          <w:rFonts w:ascii="仿宋" w:hAnsi="仿宋" w:eastAsia="仿宋" w:cstheme="minorBidi"/>
          <w:color w:val="auto"/>
          <w:kern w:val="2"/>
          <w:sz w:val="32"/>
          <w:szCs w:val="32"/>
        </w:rPr>
        <w:t>预算</w:t>
      </w:r>
      <w:r>
        <w:rPr>
          <w:rFonts w:hint="eastAsia" w:ascii="仿宋" w:hAnsi="仿宋" w:eastAsia="仿宋" w:cstheme="minorBidi"/>
          <w:color w:val="auto"/>
          <w:kern w:val="2"/>
          <w:sz w:val="32"/>
          <w:szCs w:val="32"/>
        </w:rPr>
        <w:t>322.5</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万元</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支</w:t>
      </w:r>
      <w:r>
        <w:rPr>
          <w:rFonts w:ascii="仿宋" w:hAnsi="仿宋" w:eastAsia="仿宋" w:cstheme="minorBidi"/>
          <w:color w:val="auto"/>
          <w:kern w:val="2"/>
          <w:sz w:val="32"/>
          <w:szCs w:val="32"/>
        </w:rPr>
        <w:t>出决算为318.45万元，</w:t>
      </w:r>
      <w:r>
        <w:rPr>
          <w:rFonts w:hint="eastAsia" w:ascii="仿宋" w:hAnsi="仿宋" w:eastAsia="仿宋" w:cstheme="minorBidi"/>
          <w:color w:val="auto"/>
          <w:kern w:val="2"/>
          <w:sz w:val="32"/>
          <w:szCs w:val="32"/>
        </w:rPr>
        <w:t>完成</w:t>
      </w:r>
      <w:r>
        <w:rPr>
          <w:rFonts w:ascii="仿宋" w:hAnsi="仿宋" w:eastAsia="仿宋" w:cstheme="minorBidi"/>
          <w:color w:val="auto"/>
          <w:kern w:val="2"/>
          <w:sz w:val="32"/>
          <w:szCs w:val="32"/>
        </w:rPr>
        <w:t>年初预算的</w:t>
      </w:r>
      <w:r>
        <w:rPr>
          <w:rFonts w:hint="eastAsia" w:ascii="仿宋" w:hAnsi="仿宋" w:eastAsia="仿宋" w:cstheme="minorBidi"/>
          <w:color w:val="auto"/>
          <w:kern w:val="2"/>
          <w:sz w:val="32"/>
          <w:szCs w:val="32"/>
        </w:rPr>
        <w:t>98.74</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，决算数小于预算数，主要是严格控制预算</w:t>
      </w:r>
      <w:r>
        <w:rPr>
          <w:rFonts w:ascii="仿宋" w:hAnsi="仿宋" w:eastAsia="仿宋" w:cstheme="minorBidi"/>
          <w:color w:val="auto"/>
          <w:kern w:val="2"/>
          <w:sz w:val="32"/>
          <w:szCs w:val="32"/>
        </w:rPr>
        <w:t xml:space="preserve">。 </w:t>
      </w:r>
    </w:p>
    <w:p>
      <w:pPr>
        <w:pStyle w:val="13"/>
        <w:spacing w:line="360" w:lineRule="auto"/>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6、节能环保支出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类）</w:t>
      </w:r>
      <w:r>
        <w:rPr>
          <w:rFonts w:hint="eastAsia" w:ascii="仿宋" w:hAnsi="仿宋" w:eastAsia="仿宋" w:cstheme="minorBidi"/>
          <w:color w:val="auto"/>
          <w:kern w:val="2"/>
          <w:sz w:val="32"/>
          <w:szCs w:val="32"/>
        </w:rPr>
        <w:t>污染防治</w:t>
      </w:r>
      <w:r>
        <w:rPr>
          <w:rFonts w:ascii="仿宋" w:hAnsi="仿宋" w:eastAsia="仿宋" w:cstheme="minorBidi"/>
          <w:color w:val="auto"/>
          <w:kern w:val="2"/>
          <w:sz w:val="32"/>
          <w:szCs w:val="32"/>
        </w:rPr>
        <w:t>（款）土壤（项）</w:t>
      </w:r>
      <w:r>
        <w:rPr>
          <w:rFonts w:hint="eastAsia" w:ascii="仿宋" w:hAnsi="仿宋" w:eastAsia="仿宋" w:cstheme="minorBidi"/>
          <w:color w:val="auto"/>
          <w:kern w:val="2"/>
          <w:sz w:val="32"/>
          <w:szCs w:val="32"/>
        </w:rPr>
        <w:t>。</w:t>
      </w:r>
    </w:p>
    <w:p>
      <w:pPr>
        <w:snapToGrid w:val="0"/>
        <w:spacing w:line="360" w:lineRule="auto"/>
        <w:ind w:firstLine="640" w:firstLineChars="200"/>
        <w:rPr>
          <w:rFonts w:ascii="仿宋_GB2312" w:hAnsi="仿宋" w:eastAsia="仿宋_GB2312" w:cs="仿宋"/>
          <w:sz w:val="32"/>
          <w:szCs w:val="32"/>
        </w:rPr>
      </w:pPr>
      <w:r>
        <w:rPr>
          <w:rFonts w:ascii="仿宋" w:hAnsi="仿宋" w:eastAsia="仿宋"/>
          <w:sz w:val="32"/>
          <w:szCs w:val="32"/>
        </w:rPr>
        <w:t>年初预算为</w:t>
      </w:r>
      <w:r>
        <w:rPr>
          <w:rFonts w:hint="eastAsia" w:ascii="仿宋" w:hAnsi="仿宋" w:eastAsia="仿宋"/>
          <w:sz w:val="32"/>
          <w:szCs w:val="32"/>
        </w:rPr>
        <w:t>0</w:t>
      </w:r>
      <w:r>
        <w:rPr>
          <w:rFonts w:ascii="仿宋" w:hAnsi="仿宋" w:eastAsia="仿宋"/>
          <w:sz w:val="32"/>
          <w:szCs w:val="32"/>
        </w:rPr>
        <w:t>万元</w:t>
      </w:r>
      <w:r>
        <w:rPr>
          <w:rFonts w:hint="eastAsia" w:ascii="仿宋" w:hAnsi="仿宋" w:eastAsia="仿宋"/>
          <w:sz w:val="32"/>
          <w:szCs w:val="32"/>
        </w:rPr>
        <w:t>,支</w:t>
      </w:r>
      <w:r>
        <w:rPr>
          <w:rFonts w:ascii="仿宋" w:hAnsi="仿宋" w:eastAsia="仿宋"/>
          <w:sz w:val="32"/>
          <w:szCs w:val="32"/>
        </w:rPr>
        <w:t>出决算为</w:t>
      </w:r>
      <w:r>
        <w:rPr>
          <w:rFonts w:hint="eastAsia" w:ascii="仿宋" w:hAnsi="仿宋" w:eastAsia="仿宋"/>
          <w:sz w:val="32"/>
          <w:szCs w:val="32"/>
        </w:rPr>
        <w:t>7</w:t>
      </w:r>
      <w:r>
        <w:rPr>
          <w:rFonts w:ascii="仿宋" w:hAnsi="仿宋" w:eastAsia="仿宋"/>
          <w:sz w:val="32"/>
          <w:szCs w:val="32"/>
        </w:rPr>
        <w:t>1.03万元，</w:t>
      </w:r>
      <w:r>
        <w:rPr>
          <w:rFonts w:hint="eastAsia" w:ascii="仿宋" w:hAnsi="仿宋" w:eastAsia="仿宋"/>
          <w:sz w:val="32"/>
          <w:szCs w:val="32"/>
        </w:rPr>
        <w:t>决算数大于预算数，主要</w:t>
      </w:r>
      <w:r>
        <w:rPr>
          <w:rFonts w:ascii="仿宋" w:hAnsi="仿宋" w:eastAsia="仿宋"/>
          <w:sz w:val="32"/>
          <w:szCs w:val="32"/>
        </w:rPr>
        <w:t>是</w:t>
      </w:r>
      <w:r>
        <w:rPr>
          <w:rFonts w:hint="eastAsia" w:ascii="仿宋" w:hAnsi="仿宋" w:eastAsia="仿宋"/>
          <w:sz w:val="32"/>
          <w:szCs w:val="32"/>
        </w:rPr>
        <w:t>年中追加预算</w:t>
      </w:r>
      <w:r>
        <w:rPr>
          <w:rFonts w:ascii="仿宋" w:hAnsi="仿宋" w:eastAsia="仿宋"/>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7、</w:t>
      </w:r>
      <w:r>
        <w:rPr>
          <w:rFonts w:hint="eastAsia" w:ascii="仿宋" w:hAnsi="仿宋" w:eastAsia="仿宋" w:cstheme="minorBidi"/>
          <w:color w:val="auto"/>
          <w:kern w:val="2"/>
          <w:sz w:val="32"/>
          <w:szCs w:val="32"/>
        </w:rPr>
        <w:t>节能</w:t>
      </w:r>
      <w:r>
        <w:rPr>
          <w:rFonts w:ascii="仿宋" w:hAnsi="仿宋" w:eastAsia="仿宋" w:cstheme="minorBidi"/>
          <w:color w:val="auto"/>
          <w:kern w:val="2"/>
          <w:sz w:val="32"/>
          <w:szCs w:val="32"/>
        </w:rPr>
        <w:t>环保支出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类）</w:t>
      </w:r>
      <w:r>
        <w:rPr>
          <w:rFonts w:hint="eastAsia" w:ascii="仿宋" w:hAnsi="仿宋" w:eastAsia="仿宋" w:cstheme="minorBidi"/>
          <w:color w:val="auto"/>
          <w:kern w:val="2"/>
          <w:sz w:val="32"/>
          <w:szCs w:val="32"/>
        </w:rPr>
        <w:t>污染减</w:t>
      </w:r>
      <w:r>
        <w:rPr>
          <w:rFonts w:ascii="仿宋" w:hAnsi="仿宋" w:eastAsia="仿宋" w:cstheme="minorBidi"/>
          <w:color w:val="auto"/>
          <w:kern w:val="2"/>
          <w:sz w:val="32"/>
          <w:szCs w:val="32"/>
        </w:rPr>
        <w:t>排（款）</w:t>
      </w:r>
      <w:r>
        <w:rPr>
          <w:rFonts w:hint="eastAsia" w:ascii="仿宋" w:hAnsi="仿宋" w:eastAsia="仿宋" w:cstheme="minorBidi"/>
          <w:color w:val="auto"/>
          <w:kern w:val="2"/>
          <w:sz w:val="32"/>
          <w:szCs w:val="32"/>
        </w:rPr>
        <w:t>生态</w:t>
      </w:r>
      <w:r>
        <w:rPr>
          <w:rFonts w:ascii="仿宋" w:hAnsi="仿宋" w:eastAsia="仿宋" w:cstheme="minorBidi"/>
          <w:color w:val="auto"/>
          <w:kern w:val="2"/>
          <w:sz w:val="32"/>
          <w:szCs w:val="32"/>
        </w:rPr>
        <w:t>环境监测与信息（项）</w:t>
      </w:r>
      <w:r>
        <w:rPr>
          <w:rFonts w:hint="eastAsia" w:ascii="仿宋" w:hAnsi="仿宋" w:eastAsia="仿宋" w:cstheme="minorBidi"/>
          <w:color w:val="auto"/>
          <w:kern w:val="2"/>
          <w:sz w:val="32"/>
          <w:szCs w:val="32"/>
        </w:rPr>
        <w:t>。</w:t>
      </w:r>
    </w:p>
    <w:p>
      <w:pPr>
        <w:pStyle w:val="13"/>
        <w:ind w:firstLine="800" w:firstLineChars="250"/>
        <w:rPr>
          <w:rFonts w:ascii="仿宋" w:hAnsi="仿宋" w:eastAsia="仿宋" w:cstheme="minorBidi"/>
          <w:color w:val="auto"/>
          <w:kern w:val="2"/>
          <w:sz w:val="32"/>
          <w:szCs w:val="32"/>
        </w:rPr>
      </w:pPr>
      <w:r>
        <w:rPr>
          <w:rFonts w:ascii="仿宋" w:hAnsi="仿宋" w:eastAsia="仿宋" w:cstheme="minorBidi"/>
          <w:color w:val="auto"/>
          <w:kern w:val="2"/>
          <w:sz w:val="32"/>
          <w:szCs w:val="32"/>
        </w:rPr>
        <w:t>年初预算为</w:t>
      </w:r>
      <w:r>
        <w:rPr>
          <w:rFonts w:hint="eastAsia" w:ascii="仿宋" w:hAnsi="仿宋" w:eastAsia="仿宋" w:cstheme="minorBidi"/>
          <w:color w:val="auto"/>
          <w:kern w:val="2"/>
          <w:sz w:val="32"/>
          <w:szCs w:val="32"/>
        </w:rPr>
        <w:t>338.69</w:t>
      </w:r>
      <w:r>
        <w:rPr>
          <w:rFonts w:ascii="仿宋" w:hAnsi="仿宋" w:eastAsia="仿宋" w:cstheme="minorBidi"/>
          <w:color w:val="auto"/>
          <w:kern w:val="2"/>
          <w:sz w:val="32"/>
          <w:szCs w:val="32"/>
        </w:rPr>
        <w:t>万元，支出决算为</w:t>
      </w:r>
      <w:r>
        <w:rPr>
          <w:rFonts w:ascii="仿宋" w:hAnsi="仿宋" w:eastAsia="仿宋" w:cstheme="minorBidi"/>
          <w:bCs w:val="0"/>
          <w:color w:val="auto"/>
          <w:kern w:val="2"/>
          <w:sz w:val="32"/>
          <w:szCs w:val="32"/>
        </w:rPr>
        <w:t>260.94</w:t>
      </w:r>
      <w:r>
        <w:rPr>
          <w:rFonts w:ascii="仿宋" w:hAnsi="仿宋" w:eastAsia="仿宋" w:cstheme="minorBidi"/>
          <w:color w:val="auto"/>
          <w:kern w:val="2"/>
          <w:sz w:val="32"/>
          <w:szCs w:val="32"/>
        </w:rPr>
        <w:t>万元</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完成年初预算的</w:t>
      </w:r>
      <w:r>
        <w:rPr>
          <w:rFonts w:hint="eastAsia" w:ascii="仿宋" w:hAnsi="仿宋" w:eastAsia="仿宋" w:cstheme="minorBidi"/>
          <w:color w:val="auto"/>
          <w:kern w:val="2"/>
          <w:sz w:val="32"/>
          <w:szCs w:val="32"/>
        </w:rPr>
        <w:t>77</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04</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决算数小于年初预算数的主要原因是：项目经费未全部支付，结转到下年支付。</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8、住房保障支出（类）住房改革支出（款）住房公积金（项）。</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年初预算为</w:t>
      </w:r>
      <w:r>
        <w:rPr>
          <w:rFonts w:ascii="仿宋" w:hAnsi="仿宋" w:eastAsia="仿宋" w:cstheme="minorBidi"/>
          <w:color w:val="auto"/>
          <w:kern w:val="2"/>
          <w:sz w:val="32"/>
          <w:szCs w:val="32"/>
        </w:rPr>
        <w:t>181.47</w:t>
      </w:r>
      <w:r>
        <w:rPr>
          <w:rFonts w:hint="eastAsia" w:ascii="仿宋" w:hAnsi="仿宋" w:eastAsia="仿宋" w:cstheme="minorBidi"/>
          <w:color w:val="auto"/>
          <w:kern w:val="2"/>
          <w:sz w:val="32"/>
          <w:szCs w:val="32"/>
        </w:rPr>
        <w:t>万元，支出决算为</w:t>
      </w:r>
      <w:r>
        <w:rPr>
          <w:rFonts w:ascii="仿宋" w:hAnsi="仿宋" w:eastAsia="仿宋" w:cstheme="minorBidi"/>
          <w:color w:val="auto"/>
          <w:kern w:val="2"/>
          <w:sz w:val="32"/>
          <w:szCs w:val="32"/>
        </w:rPr>
        <w:t>176.69</w:t>
      </w:r>
      <w:r>
        <w:rPr>
          <w:rFonts w:hint="eastAsia" w:ascii="仿宋" w:hAnsi="仿宋" w:eastAsia="仿宋" w:cstheme="minorBidi"/>
          <w:color w:val="auto"/>
          <w:kern w:val="2"/>
          <w:sz w:val="32"/>
          <w:szCs w:val="32"/>
        </w:rPr>
        <w:t>万元，完成年初预算的</w:t>
      </w:r>
      <w:r>
        <w:rPr>
          <w:rFonts w:ascii="仿宋" w:hAnsi="仿宋" w:eastAsia="仿宋" w:cstheme="minorBidi"/>
          <w:color w:val="auto"/>
          <w:kern w:val="2"/>
          <w:sz w:val="32"/>
          <w:szCs w:val="32"/>
        </w:rPr>
        <w:t>97.37%</w:t>
      </w:r>
      <w:r>
        <w:rPr>
          <w:rFonts w:hint="eastAsia" w:ascii="仿宋" w:hAnsi="仿宋" w:eastAsia="仿宋" w:cstheme="minorBidi"/>
          <w:color w:val="auto"/>
          <w:kern w:val="2"/>
          <w:sz w:val="32"/>
          <w:szCs w:val="32"/>
        </w:rPr>
        <w:t>，决算数小于预算数，主要是严格控制预算</w:t>
      </w:r>
      <w:r>
        <w:rPr>
          <w:rFonts w:ascii="仿宋" w:hAnsi="仿宋" w:eastAsia="仿宋" w:cstheme="minorBidi"/>
          <w:color w:val="auto"/>
          <w:kern w:val="2"/>
          <w:sz w:val="32"/>
          <w:szCs w:val="32"/>
        </w:rPr>
        <w:t>。</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六、一般公共预算财政拨款基本支出决算情况说明</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202</w:t>
      </w:r>
      <w:r>
        <w:rPr>
          <w:rFonts w:ascii="仿宋" w:hAnsi="仿宋" w:eastAsia="仿宋" w:cstheme="minorBidi"/>
          <w:color w:val="auto"/>
          <w:kern w:val="2"/>
          <w:sz w:val="32"/>
          <w:szCs w:val="32"/>
        </w:rPr>
        <w:t>1</w:t>
      </w:r>
      <w:r>
        <w:rPr>
          <w:rFonts w:hint="eastAsia" w:ascii="仿宋" w:hAnsi="仿宋" w:eastAsia="仿宋" w:cstheme="minorBidi"/>
          <w:color w:val="auto"/>
          <w:kern w:val="2"/>
          <w:sz w:val="32"/>
          <w:szCs w:val="32"/>
        </w:rPr>
        <w:t>年一</w:t>
      </w:r>
      <w:r>
        <w:rPr>
          <w:rFonts w:ascii="仿宋" w:hAnsi="仿宋" w:eastAsia="仿宋" w:cstheme="minorBidi"/>
          <w:color w:val="auto"/>
          <w:kern w:val="2"/>
          <w:sz w:val="32"/>
          <w:szCs w:val="32"/>
        </w:rPr>
        <w:t>般公共预算财政拨款</w:t>
      </w:r>
      <w:r>
        <w:rPr>
          <w:rFonts w:hint="eastAsia" w:ascii="仿宋" w:hAnsi="仿宋" w:eastAsia="仿宋" w:cstheme="minorBidi"/>
          <w:color w:val="auto"/>
          <w:kern w:val="2"/>
          <w:sz w:val="32"/>
          <w:szCs w:val="32"/>
        </w:rPr>
        <w:t>基本支</w:t>
      </w:r>
      <w:r>
        <w:rPr>
          <w:rFonts w:ascii="仿宋" w:hAnsi="仿宋" w:eastAsia="仿宋" w:cstheme="minorBidi"/>
          <w:color w:val="auto"/>
          <w:kern w:val="2"/>
          <w:sz w:val="32"/>
          <w:szCs w:val="32"/>
        </w:rPr>
        <w:t>出1506.73万元</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其中：人员经费</w:t>
      </w:r>
      <w:r>
        <w:rPr>
          <w:rFonts w:hint="eastAsia" w:ascii="仿宋" w:hAnsi="仿宋" w:eastAsia="仿宋" w:cstheme="minorBidi"/>
          <w:color w:val="auto"/>
          <w:kern w:val="2"/>
          <w:sz w:val="32"/>
          <w:szCs w:val="32"/>
        </w:rPr>
        <w:t>1193.37万元</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占</w:t>
      </w:r>
      <w:r>
        <w:rPr>
          <w:rFonts w:ascii="仿宋" w:hAnsi="仿宋" w:eastAsia="仿宋" w:cstheme="minorBidi"/>
          <w:color w:val="auto"/>
          <w:kern w:val="2"/>
          <w:sz w:val="32"/>
          <w:szCs w:val="32"/>
        </w:rPr>
        <w:t>基本支出</w:t>
      </w:r>
      <w:r>
        <w:rPr>
          <w:rFonts w:hint="eastAsia" w:ascii="仿宋" w:hAnsi="仿宋" w:eastAsia="仿宋" w:cstheme="minorBidi"/>
          <w:color w:val="auto"/>
          <w:kern w:val="2"/>
          <w:sz w:val="32"/>
          <w:szCs w:val="32"/>
        </w:rPr>
        <w:t>的7</w:t>
      </w:r>
      <w:r>
        <w:rPr>
          <w:rFonts w:ascii="仿宋" w:hAnsi="仿宋" w:eastAsia="仿宋" w:cstheme="minorBidi"/>
          <w:color w:val="auto"/>
          <w:kern w:val="2"/>
          <w:sz w:val="32"/>
          <w:szCs w:val="32"/>
        </w:rPr>
        <w:t>9.</w:t>
      </w:r>
      <w:r>
        <w:rPr>
          <w:rFonts w:hint="eastAsia" w:ascii="仿宋" w:hAnsi="仿宋" w:eastAsia="仿宋" w:cstheme="minorBidi"/>
          <w:color w:val="auto"/>
          <w:kern w:val="2"/>
          <w:sz w:val="32"/>
          <w:szCs w:val="32"/>
        </w:rPr>
        <w:t>22</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主要包括</w:t>
      </w:r>
      <w:r>
        <w:rPr>
          <w:rFonts w:hint="eastAsia" w:ascii="仿宋" w:hAnsi="仿宋" w:eastAsia="仿宋" w:cstheme="minorBidi"/>
          <w:color w:val="auto"/>
          <w:kern w:val="2"/>
          <w:sz w:val="32"/>
          <w:szCs w:val="32"/>
        </w:rPr>
        <w:t>基本</w:t>
      </w:r>
      <w:r>
        <w:rPr>
          <w:rFonts w:ascii="仿宋" w:hAnsi="仿宋" w:eastAsia="仿宋" w:cstheme="minorBidi"/>
          <w:color w:val="auto"/>
          <w:kern w:val="2"/>
          <w:sz w:val="32"/>
          <w:szCs w:val="32"/>
        </w:rPr>
        <w:t>工资、津贴补贴、</w:t>
      </w:r>
      <w:r>
        <w:rPr>
          <w:rFonts w:hint="eastAsia" w:ascii="仿宋" w:hAnsi="仿宋" w:eastAsia="仿宋" w:cstheme="minorBidi"/>
          <w:color w:val="auto"/>
          <w:kern w:val="2"/>
          <w:sz w:val="32"/>
          <w:szCs w:val="32"/>
        </w:rPr>
        <w:t>奖金</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绩</w:t>
      </w:r>
      <w:r>
        <w:rPr>
          <w:rFonts w:ascii="仿宋" w:hAnsi="仿宋" w:eastAsia="仿宋" w:cstheme="minorBidi"/>
          <w:color w:val="auto"/>
          <w:kern w:val="2"/>
          <w:sz w:val="32"/>
          <w:szCs w:val="32"/>
        </w:rPr>
        <w:t>效工资、机关事业单位基本养老保险缴费、职业</w:t>
      </w:r>
      <w:r>
        <w:rPr>
          <w:rFonts w:hint="eastAsia" w:ascii="仿宋" w:hAnsi="仿宋" w:eastAsia="仿宋" w:cstheme="minorBidi"/>
          <w:color w:val="auto"/>
          <w:kern w:val="2"/>
          <w:sz w:val="32"/>
          <w:szCs w:val="32"/>
        </w:rPr>
        <w:t>年</w:t>
      </w:r>
      <w:r>
        <w:rPr>
          <w:rFonts w:ascii="仿宋" w:hAnsi="仿宋" w:eastAsia="仿宋" w:cstheme="minorBidi"/>
          <w:color w:val="auto"/>
          <w:kern w:val="2"/>
          <w:sz w:val="32"/>
          <w:szCs w:val="32"/>
        </w:rPr>
        <w:t>金缴费、职工基本医疗</w:t>
      </w:r>
      <w:r>
        <w:rPr>
          <w:rFonts w:hint="eastAsia" w:ascii="仿宋" w:hAnsi="仿宋" w:eastAsia="仿宋" w:cstheme="minorBidi"/>
          <w:color w:val="auto"/>
          <w:kern w:val="2"/>
          <w:sz w:val="32"/>
          <w:szCs w:val="32"/>
        </w:rPr>
        <w:t>保险</w:t>
      </w:r>
      <w:r>
        <w:rPr>
          <w:rFonts w:ascii="仿宋" w:hAnsi="仿宋" w:eastAsia="仿宋" w:cstheme="minorBidi"/>
          <w:color w:val="auto"/>
          <w:kern w:val="2"/>
          <w:sz w:val="32"/>
          <w:szCs w:val="32"/>
        </w:rPr>
        <w:t>缴费、</w:t>
      </w:r>
      <w:r>
        <w:rPr>
          <w:rFonts w:hint="eastAsia" w:ascii="仿宋" w:hAnsi="仿宋" w:eastAsia="仿宋" w:cstheme="minorBidi"/>
          <w:color w:val="auto"/>
          <w:kern w:val="2"/>
          <w:sz w:val="32"/>
          <w:szCs w:val="32"/>
        </w:rPr>
        <w:t>其他</w:t>
      </w:r>
      <w:r>
        <w:rPr>
          <w:rFonts w:ascii="仿宋" w:hAnsi="仿宋" w:eastAsia="仿宋" w:cstheme="minorBidi"/>
          <w:color w:val="auto"/>
          <w:kern w:val="2"/>
          <w:sz w:val="32"/>
          <w:szCs w:val="32"/>
        </w:rPr>
        <w:t>社</w:t>
      </w:r>
      <w:r>
        <w:rPr>
          <w:rFonts w:hint="eastAsia" w:ascii="仿宋" w:hAnsi="仿宋" w:eastAsia="仿宋" w:cstheme="minorBidi"/>
          <w:color w:val="auto"/>
          <w:kern w:val="2"/>
          <w:sz w:val="32"/>
          <w:szCs w:val="32"/>
        </w:rPr>
        <w:t>会保障</w:t>
      </w:r>
      <w:r>
        <w:rPr>
          <w:rFonts w:ascii="仿宋" w:hAnsi="仿宋" w:eastAsia="仿宋" w:cstheme="minorBidi"/>
          <w:color w:val="auto"/>
          <w:kern w:val="2"/>
          <w:sz w:val="32"/>
          <w:szCs w:val="32"/>
        </w:rPr>
        <w:t>缴费、</w:t>
      </w:r>
      <w:r>
        <w:rPr>
          <w:rFonts w:hint="eastAsia" w:ascii="仿宋" w:hAnsi="仿宋" w:eastAsia="仿宋" w:cstheme="minorBidi"/>
          <w:color w:val="auto"/>
          <w:kern w:val="2"/>
          <w:sz w:val="32"/>
          <w:szCs w:val="32"/>
        </w:rPr>
        <w:t>住</w:t>
      </w:r>
      <w:r>
        <w:rPr>
          <w:rFonts w:ascii="仿宋" w:hAnsi="仿宋" w:eastAsia="仿宋" w:cstheme="minorBidi"/>
          <w:color w:val="auto"/>
          <w:kern w:val="2"/>
          <w:sz w:val="32"/>
          <w:szCs w:val="32"/>
        </w:rPr>
        <w:t>房公积</w:t>
      </w:r>
      <w:r>
        <w:rPr>
          <w:rFonts w:hint="eastAsia" w:ascii="仿宋" w:hAnsi="仿宋" w:eastAsia="仿宋" w:cstheme="minorBidi"/>
          <w:color w:val="auto"/>
          <w:kern w:val="2"/>
          <w:sz w:val="32"/>
          <w:szCs w:val="32"/>
        </w:rPr>
        <w:t>金、</w:t>
      </w:r>
      <w:r>
        <w:rPr>
          <w:rFonts w:ascii="仿宋" w:hAnsi="仿宋" w:eastAsia="仿宋" w:cstheme="minorBidi"/>
          <w:color w:val="auto"/>
          <w:kern w:val="2"/>
          <w:sz w:val="32"/>
          <w:szCs w:val="32"/>
        </w:rPr>
        <w:t>其他工资福利支出、</w:t>
      </w:r>
      <w:r>
        <w:rPr>
          <w:rFonts w:hint="eastAsia" w:ascii="仿宋" w:hAnsi="仿宋" w:eastAsia="仿宋" w:cstheme="minorBidi"/>
          <w:color w:val="auto"/>
          <w:kern w:val="2"/>
          <w:sz w:val="32"/>
          <w:szCs w:val="32"/>
        </w:rPr>
        <w:t>奖励</w:t>
      </w:r>
      <w:r>
        <w:rPr>
          <w:rFonts w:ascii="仿宋" w:hAnsi="仿宋" w:eastAsia="仿宋" w:cstheme="minorBidi"/>
          <w:color w:val="auto"/>
          <w:kern w:val="2"/>
          <w:sz w:val="32"/>
          <w:szCs w:val="32"/>
        </w:rPr>
        <w:t>金及其他对个人和</w:t>
      </w:r>
      <w:r>
        <w:rPr>
          <w:rFonts w:hint="eastAsia" w:ascii="仿宋" w:hAnsi="仿宋" w:eastAsia="仿宋" w:cstheme="minorBidi"/>
          <w:color w:val="auto"/>
          <w:kern w:val="2"/>
          <w:sz w:val="32"/>
          <w:szCs w:val="32"/>
        </w:rPr>
        <w:t>家庭</w:t>
      </w:r>
      <w:r>
        <w:rPr>
          <w:rFonts w:ascii="仿宋" w:hAnsi="仿宋" w:eastAsia="仿宋" w:cstheme="minorBidi"/>
          <w:color w:val="auto"/>
          <w:kern w:val="2"/>
          <w:sz w:val="32"/>
          <w:szCs w:val="32"/>
        </w:rPr>
        <w:t>的补助等。</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公用经费313.36</w:t>
      </w:r>
      <w:r>
        <w:rPr>
          <w:rFonts w:hint="eastAsia" w:ascii="仿宋" w:hAnsi="仿宋" w:eastAsia="仿宋" w:cstheme="minorBidi"/>
          <w:color w:val="auto"/>
          <w:kern w:val="2"/>
          <w:sz w:val="32"/>
          <w:szCs w:val="32"/>
        </w:rPr>
        <w:t>万</w:t>
      </w:r>
      <w:r>
        <w:rPr>
          <w:rFonts w:ascii="仿宋" w:hAnsi="仿宋" w:eastAsia="仿宋" w:cstheme="minorBidi"/>
          <w:color w:val="auto"/>
          <w:kern w:val="2"/>
          <w:sz w:val="32"/>
          <w:szCs w:val="32"/>
        </w:rPr>
        <w:t>元，占基本支出的</w:t>
      </w:r>
      <w:r>
        <w:rPr>
          <w:rFonts w:hint="eastAsia" w:ascii="仿宋" w:hAnsi="仿宋" w:eastAsia="仿宋" w:cstheme="minorBidi"/>
          <w:color w:val="auto"/>
          <w:kern w:val="2"/>
          <w:sz w:val="32"/>
          <w:szCs w:val="32"/>
        </w:rPr>
        <w:t>2</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78</w:t>
      </w:r>
      <w:r>
        <w:rPr>
          <w:rFonts w:ascii="仿宋" w:hAnsi="仿宋" w:eastAsia="仿宋" w:cstheme="minorBidi"/>
          <w:color w:val="auto"/>
          <w:kern w:val="2"/>
          <w:sz w:val="32"/>
          <w:szCs w:val="32"/>
        </w:rPr>
        <w:t>%，主要包括</w:t>
      </w:r>
      <w:r>
        <w:rPr>
          <w:rFonts w:hint="eastAsia" w:ascii="仿宋" w:hAnsi="仿宋" w:eastAsia="仿宋" w:cstheme="minorBidi"/>
          <w:color w:val="auto"/>
          <w:kern w:val="2"/>
          <w:sz w:val="32"/>
          <w:szCs w:val="32"/>
        </w:rPr>
        <w:t>办公</w:t>
      </w:r>
      <w:r>
        <w:rPr>
          <w:rFonts w:ascii="仿宋" w:hAnsi="仿宋" w:eastAsia="仿宋" w:cstheme="minorBidi"/>
          <w:color w:val="auto"/>
          <w:kern w:val="2"/>
          <w:sz w:val="32"/>
          <w:szCs w:val="32"/>
        </w:rPr>
        <w:t>费、</w:t>
      </w:r>
      <w:r>
        <w:rPr>
          <w:rFonts w:hint="eastAsia" w:ascii="仿宋" w:hAnsi="仿宋" w:eastAsia="仿宋" w:cstheme="minorBidi"/>
          <w:color w:val="auto"/>
          <w:kern w:val="2"/>
          <w:sz w:val="32"/>
          <w:szCs w:val="32"/>
        </w:rPr>
        <w:t>水</w:t>
      </w:r>
      <w:r>
        <w:rPr>
          <w:rFonts w:ascii="仿宋" w:hAnsi="仿宋" w:eastAsia="仿宋" w:cstheme="minorBidi"/>
          <w:color w:val="auto"/>
          <w:kern w:val="2"/>
          <w:sz w:val="32"/>
          <w:szCs w:val="32"/>
        </w:rPr>
        <w:t>电费、邮电费、</w:t>
      </w:r>
      <w:r>
        <w:rPr>
          <w:rFonts w:hint="eastAsia" w:ascii="仿宋" w:hAnsi="仿宋" w:eastAsia="仿宋" w:cstheme="minorBidi"/>
          <w:color w:val="auto"/>
          <w:kern w:val="2"/>
          <w:sz w:val="32"/>
          <w:szCs w:val="32"/>
        </w:rPr>
        <w:t>差旅</w:t>
      </w:r>
      <w:r>
        <w:rPr>
          <w:rFonts w:ascii="仿宋" w:hAnsi="仿宋" w:eastAsia="仿宋" w:cstheme="minorBidi"/>
          <w:color w:val="auto"/>
          <w:kern w:val="2"/>
          <w:sz w:val="32"/>
          <w:szCs w:val="32"/>
        </w:rPr>
        <w:t>费、维修（护）费、会议费、培训费、</w:t>
      </w:r>
      <w:r>
        <w:rPr>
          <w:rFonts w:hint="eastAsia" w:ascii="仿宋" w:hAnsi="仿宋" w:eastAsia="仿宋" w:cstheme="minorBidi"/>
          <w:color w:val="auto"/>
          <w:kern w:val="2"/>
          <w:sz w:val="32"/>
          <w:szCs w:val="32"/>
        </w:rPr>
        <w:t>公</w:t>
      </w:r>
      <w:r>
        <w:rPr>
          <w:rFonts w:ascii="仿宋" w:hAnsi="仿宋" w:eastAsia="仿宋" w:cstheme="minorBidi"/>
          <w:color w:val="auto"/>
          <w:kern w:val="2"/>
          <w:sz w:val="32"/>
          <w:szCs w:val="32"/>
        </w:rPr>
        <w:t>务接待费、</w:t>
      </w:r>
      <w:r>
        <w:rPr>
          <w:rFonts w:hint="eastAsia" w:ascii="仿宋" w:hAnsi="仿宋" w:eastAsia="仿宋" w:cstheme="minorBidi"/>
          <w:color w:val="auto"/>
          <w:kern w:val="2"/>
          <w:sz w:val="32"/>
          <w:szCs w:val="32"/>
        </w:rPr>
        <w:t>劳务</w:t>
      </w:r>
      <w:r>
        <w:rPr>
          <w:rFonts w:ascii="仿宋" w:hAnsi="仿宋" w:eastAsia="仿宋" w:cstheme="minorBidi"/>
          <w:color w:val="auto"/>
          <w:kern w:val="2"/>
          <w:sz w:val="32"/>
          <w:szCs w:val="32"/>
        </w:rPr>
        <w:t>费、委托业务费、工会经费、福利</w:t>
      </w:r>
      <w:r>
        <w:rPr>
          <w:rFonts w:hint="eastAsia" w:ascii="仿宋" w:hAnsi="仿宋" w:eastAsia="仿宋" w:cstheme="minorBidi"/>
          <w:color w:val="auto"/>
          <w:kern w:val="2"/>
          <w:sz w:val="32"/>
          <w:szCs w:val="32"/>
        </w:rPr>
        <w:t>费</w:t>
      </w:r>
      <w:r>
        <w:rPr>
          <w:rFonts w:ascii="仿宋" w:hAnsi="仿宋" w:eastAsia="仿宋" w:cstheme="minorBidi"/>
          <w:color w:val="auto"/>
          <w:kern w:val="2"/>
          <w:sz w:val="32"/>
          <w:szCs w:val="32"/>
        </w:rPr>
        <w:t>、公务用车运行维护费、</w:t>
      </w:r>
      <w:r>
        <w:rPr>
          <w:rFonts w:hint="eastAsia" w:ascii="仿宋" w:hAnsi="仿宋" w:eastAsia="仿宋" w:cstheme="minorBidi"/>
          <w:color w:val="auto"/>
          <w:kern w:val="2"/>
          <w:sz w:val="32"/>
          <w:szCs w:val="32"/>
        </w:rPr>
        <w:t>其他</w:t>
      </w:r>
      <w:r>
        <w:rPr>
          <w:rFonts w:ascii="仿宋" w:hAnsi="仿宋" w:eastAsia="仿宋" w:cstheme="minorBidi"/>
          <w:color w:val="auto"/>
          <w:kern w:val="2"/>
          <w:sz w:val="32"/>
          <w:szCs w:val="32"/>
        </w:rPr>
        <w:t>交通费用</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其他商品和服务支出</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办公设备购置等。</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七、一般公共预算财政拨款三公经费支出决算情况说明</w:t>
      </w:r>
      <w:bookmarkStart w:id="5" w:name="_GoBack"/>
      <w:bookmarkEnd w:id="5"/>
    </w:p>
    <w:p>
      <w:pPr>
        <w:pStyle w:val="13"/>
        <w:ind w:firstLine="640" w:firstLineChars="200"/>
        <w:rPr>
          <w:rFonts w:ascii="仿宋" w:hAnsi="仿宋" w:eastAsia="仿宋" w:cs="仿宋"/>
          <w:b/>
          <w:color w:val="auto"/>
          <w:sz w:val="32"/>
          <w:szCs w:val="32"/>
        </w:rPr>
      </w:pPr>
      <w:r>
        <w:rPr>
          <w:rFonts w:hint="eastAsia" w:ascii="仿宋" w:hAnsi="仿宋" w:eastAsia="仿宋" w:cs="仿宋"/>
          <w:b/>
          <w:color w:val="auto"/>
          <w:sz w:val="32"/>
          <w:szCs w:val="32"/>
        </w:rPr>
        <w:t>（一）“三公”经费财政拨款支出决算总体情况说明</w:t>
      </w:r>
    </w:p>
    <w:p>
      <w:pPr>
        <w:pStyle w:val="13"/>
        <w:ind w:firstLine="640" w:firstLineChars="200"/>
        <w:rPr>
          <w:rFonts w:ascii="仿宋" w:hAnsi="仿宋" w:eastAsia="仿宋" w:cs="仿宋"/>
          <w:color w:val="auto"/>
          <w:sz w:val="32"/>
          <w:szCs w:val="32"/>
        </w:rPr>
      </w:pPr>
      <w:r>
        <w:rPr>
          <w:rFonts w:ascii="仿宋" w:hAnsi="仿宋" w:eastAsia="仿宋" w:cs="仿宋"/>
          <w:color w:val="auto"/>
          <w:kern w:val="2"/>
          <w:sz w:val="32"/>
          <w:szCs w:val="32"/>
        </w:rPr>
        <w:t>2021年“三公”经费财政拨款支出预算38万元，</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三公</w:t>
      </w:r>
      <w:r>
        <w:rPr>
          <w:rFonts w:hint="eastAsia" w:ascii="仿宋" w:hAnsi="仿宋" w:eastAsia="仿宋" w:cs="仿宋"/>
          <w:color w:val="auto"/>
          <w:kern w:val="2"/>
          <w:sz w:val="32"/>
          <w:szCs w:val="32"/>
        </w:rPr>
        <w:t>”</w:t>
      </w:r>
      <w:r>
        <w:rPr>
          <w:rFonts w:ascii="仿宋" w:hAnsi="仿宋" w:eastAsia="仿宋" w:cs="仿宋"/>
          <w:color w:val="auto"/>
          <w:kern w:val="2"/>
          <w:sz w:val="32"/>
          <w:szCs w:val="32"/>
        </w:rPr>
        <w:t>经费</w:t>
      </w:r>
      <w:r>
        <w:rPr>
          <w:rFonts w:hint="eastAsia" w:ascii="仿宋" w:hAnsi="仿宋" w:eastAsia="仿宋" w:cs="仿宋"/>
          <w:color w:val="auto"/>
          <w:kern w:val="2"/>
          <w:sz w:val="32"/>
          <w:szCs w:val="32"/>
        </w:rPr>
        <w:t>实际决算数为</w:t>
      </w:r>
      <w:r>
        <w:rPr>
          <w:rFonts w:ascii="仿宋" w:hAnsi="仿宋" w:eastAsia="仿宋" w:cs="仿宋"/>
          <w:color w:val="auto"/>
          <w:kern w:val="2"/>
          <w:sz w:val="32"/>
          <w:szCs w:val="32"/>
        </w:rPr>
        <w:t>37.14万元，</w:t>
      </w:r>
      <w:r>
        <w:rPr>
          <w:rFonts w:ascii="仿宋" w:hAnsi="仿宋" w:eastAsia="仿宋" w:cs="仿宋"/>
          <w:color w:val="auto"/>
          <w:sz w:val="32"/>
          <w:szCs w:val="32"/>
        </w:rPr>
        <w:t>完成预算的</w:t>
      </w:r>
      <w:r>
        <w:rPr>
          <w:rFonts w:hint="eastAsia" w:ascii="仿宋" w:hAnsi="仿宋" w:eastAsia="仿宋" w:cs="仿宋"/>
          <w:color w:val="auto"/>
          <w:sz w:val="32"/>
          <w:szCs w:val="32"/>
        </w:rPr>
        <w:t>97</w:t>
      </w:r>
      <w:r>
        <w:rPr>
          <w:rFonts w:ascii="仿宋" w:hAnsi="仿宋" w:eastAsia="仿宋" w:cs="仿宋"/>
          <w:color w:val="auto"/>
          <w:sz w:val="32"/>
          <w:szCs w:val="32"/>
        </w:rPr>
        <w:t>.</w:t>
      </w:r>
      <w:r>
        <w:rPr>
          <w:rFonts w:hint="eastAsia" w:ascii="仿宋" w:hAnsi="仿宋" w:eastAsia="仿宋" w:cs="仿宋"/>
          <w:color w:val="auto"/>
          <w:sz w:val="32"/>
          <w:szCs w:val="32"/>
        </w:rPr>
        <w:t>74</w:t>
      </w:r>
      <w:r>
        <w:rPr>
          <w:rFonts w:ascii="仿宋" w:hAnsi="仿宋" w:eastAsia="仿宋" w:cs="仿宋"/>
          <w:color w:val="auto"/>
          <w:sz w:val="32"/>
          <w:szCs w:val="32"/>
        </w:rPr>
        <w:t>%。其中：</w:t>
      </w:r>
    </w:p>
    <w:p>
      <w:pP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000000"/>
          <w:kern w:val="0"/>
          <w:sz w:val="32"/>
          <w:szCs w:val="32"/>
          <w:shd w:val="clear" w:color="auto" w:fill="FFFFFF"/>
          <w:lang w:bidi="ar"/>
        </w:rPr>
        <w:t>因公出国（境）费支出预算为</w:t>
      </w:r>
      <w:r>
        <w:rPr>
          <w:rFonts w:ascii="仿宋" w:hAnsi="仿宋" w:eastAsia="仿宋" w:cs="仿宋"/>
          <w:color w:val="000000"/>
          <w:kern w:val="0"/>
          <w:sz w:val="32"/>
          <w:szCs w:val="32"/>
          <w:shd w:val="clear" w:color="auto" w:fill="FFFFFF"/>
          <w:lang w:bidi="ar"/>
        </w:rPr>
        <w:t>0万元，支出决算为0万元，与上年相比减少（增加）0万元，主要原因是因疫情影响，近几年未安排出国出境。</w:t>
      </w:r>
    </w:p>
    <w:p>
      <w:pPr>
        <w:pStyle w:val="13"/>
        <w:ind w:firstLine="640" w:firstLineChars="200"/>
        <w:rPr>
          <w:rFonts w:ascii="仿宋" w:hAnsi="仿宋" w:eastAsia="仿宋" w:cs="仿宋"/>
          <w:color w:val="auto"/>
          <w:kern w:val="2"/>
          <w:sz w:val="32"/>
          <w:szCs w:val="32"/>
        </w:rPr>
      </w:pPr>
      <w:r>
        <w:rPr>
          <w:rFonts w:hint="eastAsia" w:ascii="仿宋" w:hAnsi="仿宋" w:eastAsia="仿宋" w:cs="仿宋"/>
          <w:color w:val="auto"/>
          <w:kern w:val="2"/>
          <w:sz w:val="32"/>
          <w:szCs w:val="32"/>
        </w:rPr>
        <w:t>公务接待费支出预算为</w:t>
      </w:r>
      <w:r>
        <w:rPr>
          <w:rFonts w:ascii="仿宋" w:hAnsi="仿宋" w:eastAsia="仿宋" w:cs="仿宋"/>
          <w:color w:val="auto"/>
          <w:kern w:val="2"/>
          <w:sz w:val="32"/>
          <w:szCs w:val="32"/>
        </w:rPr>
        <w:t>2万元，</w:t>
      </w:r>
      <w:r>
        <w:rPr>
          <w:rFonts w:hint="eastAsia" w:ascii="仿宋" w:hAnsi="仿宋" w:eastAsia="仿宋" w:cs="仿宋"/>
          <w:color w:val="auto"/>
          <w:kern w:val="2"/>
          <w:sz w:val="32"/>
          <w:szCs w:val="32"/>
        </w:rPr>
        <w:t>支出决算为</w:t>
      </w:r>
      <w:r>
        <w:rPr>
          <w:rFonts w:ascii="仿宋" w:hAnsi="仿宋" w:eastAsia="仿宋" w:cs="仿宋"/>
          <w:color w:val="auto"/>
          <w:kern w:val="2"/>
          <w:sz w:val="32"/>
          <w:szCs w:val="32"/>
        </w:rPr>
        <w:t>1.45万元，完成预算的72.5%</w:t>
      </w:r>
      <w:r>
        <w:rPr>
          <w:rFonts w:hint="eastAsia" w:ascii="仿宋" w:hAnsi="仿宋" w:eastAsia="仿宋" w:cs="仿宋"/>
          <w:color w:val="auto"/>
          <w:kern w:val="2"/>
          <w:sz w:val="32"/>
          <w:szCs w:val="32"/>
        </w:rPr>
        <w:t>。决算数小于预算数，主要是我单位厉行节约，压缩不必要的开支。</w:t>
      </w:r>
      <w:r>
        <w:rPr>
          <w:rFonts w:ascii="仿宋" w:hAnsi="仿宋" w:eastAsia="仿宋" w:cs="仿宋"/>
          <w:color w:val="auto"/>
          <w:kern w:val="2"/>
          <w:sz w:val="32"/>
          <w:szCs w:val="32"/>
        </w:rPr>
        <w:t>与上年</w:t>
      </w:r>
      <w:r>
        <w:rPr>
          <w:rFonts w:hint="eastAsia" w:ascii="仿宋" w:hAnsi="仿宋" w:eastAsia="仿宋" w:cs="仿宋"/>
          <w:color w:val="auto"/>
          <w:kern w:val="2"/>
          <w:sz w:val="32"/>
          <w:szCs w:val="32"/>
        </w:rPr>
        <w:t>决算数</w:t>
      </w:r>
      <w:r>
        <w:rPr>
          <w:rFonts w:ascii="仿宋" w:hAnsi="仿宋" w:eastAsia="仿宋" w:cs="仿宋"/>
          <w:color w:val="auto"/>
          <w:kern w:val="2"/>
          <w:sz w:val="32"/>
          <w:szCs w:val="32"/>
        </w:rPr>
        <w:t>相比增</w:t>
      </w:r>
      <w:r>
        <w:rPr>
          <w:rFonts w:ascii="仿宋" w:hAnsi="仿宋" w:eastAsia="仿宋" w:cs="仿宋"/>
          <w:color w:val="auto"/>
          <w:kern w:val="2"/>
          <w:sz w:val="32"/>
          <w:szCs w:val="32"/>
          <w:highlight w:val="none"/>
        </w:rPr>
        <w:t>加1.</w:t>
      </w:r>
      <w:r>
        <w:rPr>
          <w:rFonts w:hint="eastAsia" w:ascii="仿宋" w:hAnsi="仿宋" w:eastAsia="仿宋" w:cs="仿宋"/>
          <w:color w:val="auto"/>
          <w:kern w:val="2"/>
          <w:sz w:val="32"/>
          <w:szCs w:val="32"/>
          <w:highlight w:val="none"/>
          <w:lang w:val="en-US" w:eastAsia="zh-CN"/>
        </w:rPr>
        <w:t>4</w:t>
      </w:r>
      <w:r>
        <w:rPr>
          <w:rFonts w:hint="eastAsia" w:ascii="仿宋" w:hAnsi="仿宋" w:eastAsia="仿宋" w:cs="仿宋"/>
          <w:color w:val="auto"/>
          <w:kern w:val="2"/>
          <w:sz w:val="32"/>
          <w:szCs w:val="32"/>
          <w:highlight w:val="none"/>
        </w:rPr>
        <w:t>5</w:t>
      </w:r>
      <w:r>
        <w:rPr>
          <w:rFonts w:ascii="仿宋" w:hAnsi="仿宋" w:eastAsia="仿宋" w:cs="仿宋"/>
          <w:color w:val="auto"/>
          <w:kern w:val="2"/>
          <w:sz w:val="32"/>
          <w:szCs w:val="32"/>
          <w:highlight w:val="none"/>
        </w:rPr>
        <w:t>万元，</w:t>
      </w:r>
      <w:r>
        <w:rPr>
          <w:rFonts w:hint="eastAsia" w:ascii="仿宋" w:hAnsi="仿宋" w:eastAsia="仿宋" w:cs="仿宋"/>
          <w:color w:val="auto"/>
          <w:kern w:val="2"/>
          <w:sz w:val="32"/>
          <w:szCs w:val="32"/>
        </w:rPr>
        <w:t>增加100%，</w:t>
      </w:r>
      <w:r>
        <w:rPr>
          <w:rFonts w:ascii="仿宋" w:hAnsi="仿宋" w:eastAsia="仿宋" w:cs="仿宋"/>
          <w:color w:val="auto"/>
          <w:kern w:val="2"/>
          <w:sz w:val="32"/>
          <w:szCs w:val="32"/>
        </w:rPr>
        <w:t>主要原因为</w:t>
      </w:r>
      <w:r>
        <w:rPr>
          <w:rFonts w:hint="eastAsia" w:ascii="仿宋" w:hAnsi="仿宋" w:eastAsia="仿宋" w:cs="仿宋"/>
          <w:color w:val="auto"/>
          <w:kern w:val="2"/>
          <w:sz w:val="32"/>
          <w:szCs w:val="32"/>
        </w:rPr>
        <w:t>主要是因为机构改革前的三公经费，在市里统一列支，未在本单位的一般公共预算基本支出开支。</w:t>
      </w:r>
    </w:p>
    <w:p>
      <w:pPr>
        <w:pStyle w:val="13"/>
        <w:ind w:firstLine="640" w:firstLineChars="200"/>
        <w:rPr>
          <w:rFonts w:ascii="仿宋" w:hAnsi="仿宋" w:eastAsia="仿宋" w:cs="仿宋"/>
          <w:color w:val="auto"/>
          <w:kern w:val="2"/>
          <w:sz w:val="32"/>
          <w:szCs w:val="32"/>
        </w:rPr>
      </w:pPr>
      <w:r>
        <w:rPr>
          <w:rFonts w:hint="eastAsia" w:ascii="仿宋" w:hAnsi="仿宋" w:eastAsia="仿宋" w:cs="仿宋"/>
          <w:color w:val="auto"/>
          <w:kern w:val="2"/>
          <w:sz w:val="32"/>
          <w:szCs w:val="32"/>
        </w:rPr>
        <w:t>公务用车购置费支出预算</w:t>
      </w:r>
      <w:r>
        <w:rPr>
          <w:rFonts w:ascii="仿宋" w:hAnsi="仿宋" w:eastAsia="仿宋" w:cs="仿宋"/>
          <w:color w:val="auto"/>
          <w:kern w:val="2"/>
          <w:sz w:val="32"/>
          <w:szCs w:val="32"/>
        </w:rPr>
        <w:t>18万元，支出决算17.99万元，完成预算的99.94%。与上年相比增加17.99万元，</w:t>
      </w:r>
      <w:r>
        <w:rPr>
          <w:rFonts w:hint="eastAsia" w:ascii="仿宋" w:hAnsi="仿宋" w:eastAsia="仿宋" w:cs="仿宋"/>
          <w:color w:val="auto"/>
          <w:kern w:val="2"/>
          <w:sz w:val="32"/>
          <w:szCs w:val="32"/>
        </w:rPr>
        <w:t>增加100%，主要原因为</w:t>
      </w:r>
      <w:r>
        <w:rPr>
          <w:rFonts w:ascii="仿宋" w:hAnsi="仿宋" w:eastAsia="仿宋" w:cs="仿宋"/>
          <w:color w:val="auto"/>
          <w:kern w:val="2"/>
          <w:sz w:val="32"/>
          <w:szCs w:val="32"/>
        </w:rPr>
        <w:t>2021年新增公务用车一台。</w:t>
      </w:r>
    </w:p>
    <w:p>
      <w:pPr>
        <w:pStyle w:val="13"/>
        <w:ind w:firstLine="640" w:firstLineChars="200"/>
        <w:rPr>
          <w:rFonts w:ascii="仿宋" w:hAnsi="仿宋" w:eastAsia="仿宋" w:cs="仿宋"/>
          <w:color w:val="auto"/>
          <w:kern w:val="2"/>
          <w:sz w:val="32"/>
          <w:szCs w:val="32"/>
        </w:rPr>
      </w:pPr>
      <w:r>
        <w:rPr>
          <w:rFonts w:hint="eastAsia" w:ascii="仿宋" w:hAnsi="仿宋" w:eastAsia="仿宋" w:cs="仿宋"/>
          <w:color w:val="auto"/>
          <w:kern w:val="2"/>
          <w:sz w:val="32"/>
          <w:szCs w:val="32"/>
        </w:rPr>
        <w:t>公务用车运行维护费支出预算为</w:t>
      </w:r>
      <w:r>
        <w:rPr>
          <w:rFonts w:ascii="仿宋" w:hAnsi="仿宋" w:eastAsia="仿宋" w:cs="仿宋"/>
          <w:color w:val="auto"/>
          <w:kern w:val="2"/>
          <w:sz w:val="32"/>
          <w:szCs w:val="32"/>
        </w:rPr>
        <w:t>18万元，支出决算为17.7万元，完成预算</w:t>
      </w:r>
      <w:r>
        <w:rPr>
          <w:rFonts w:hint="eastAsia" w:ascii="仿宋" w:hAnsi="仿宋" w:eastAsia="仿宋" w:cs="仿宋"/>
          <w:color w:val="auto"/>
          <w:kern w:val="2"/>
          <w:sz w:val="32"/>
          <w:szCs w:val="32"/>
        </w:rPr>
        <w:t>98</w:t>
      </w:r>
      <w:r>
        <w:rPr>
          <w:rFonts w:ascii="仿宋" w:hAnsi="仿宋" w:eastAsia="仿宋" w:cs="仿宋"/>
          <w:color w:val="auto"/>
          <w:kern w:val="2"/>
          <w:sz w:val="32"/>
          <w:szCs w:val="32"/>
        </w:rPr>
        <w:t>.</w:t>
      </w:r>
      <w:r>
        <w:rPr>
          <w:rFonts w:hint="eastAsia" w:ascii="仿宋" w:hAnsi="仿宋" w:eastAsia="仿宋" w:cs="仿宋"/>
          <w:color w:val="auto"/>
          <w:kern w:val="2"/>
          <w:sz w:val="32"/>
          <w:szCs w:val="32"/>
        </w:rPr>
        <w:t>33</w:t>
      </w:r>
      <w:r>
        <w:rPr>
          <w:rFonts w:ascii="仿宋" w:hAnsi="仿宋" w:eastAsia="仿宋" w:cs="仿宋"/>
          <w:color w:val="auto"/>
          <w:kern w:val="2"/>
          <w:sz w:val="32"/>
          <w:szCs w:val="32"/>
        </w:rPr>
        <w:t>%</w:t>
      </w:r>
      <w:r>
        <w:rPr>
          <w:rFonts w:hint="eastAsia" w:ascii="仿宋" w:hAnsi="仿宋" w:eastAsia="仿宋" w:cs="仿宋"/>
          <w:color w:val="auto"/>
          <w:kern w:val="2"/>
          <w:sz w:val="32"/>
          <w:szCs w:val="32"/>
        </w:rPr>
        <w:t>，决算数小于预算数</w:t>
      </w:r>
      <w:r>
        <w:rPr>
          <w:rFonts w:hint="eastAsia" w:ascii="仿宋" w:hAnsi="仿宋" w:eastAsia="仿宋" w:cs="仿宋"/>
          <w:color w:val="auto"/>
          <w:kern w:val="2"/>
          <w:sz w:val="32"/>
          <w:szCs w:val="32"/>
          <w:highlight w:val="none"/>
        </w:rPr>
        <w:t>，主要是我单位厉行节约，压缩不必要的开支。与上年决算数相比，增加17.7万元，增加100%，主要</w:t>
      </w:r>
      <w:r>
        <w:rPr>
          <w:rFonts w:hint="eastAsia" w:ascii="仿宋" w:hAnsi="仿宋" w:eastAsia="仿宋" w:cs="仿宋"/>
          <w:color w:val="auto"/>
          <w:kern w:val="2"/>
          <w:sz w:val="32"/>
          <w:szCs w:val="32"/>
        </w:rPr>
        <w:t>是因为机构改革前的三公经费，在市里统一列支，未在本单位的一般公共预算基本支出开支</w:t>
      </w:r>
      <w:r>
        <w:rPr>
          <w:rFonts w:ascii="仿宋" w:hAnsi="仿宋" w:eastAsia="仿宋" w:cs="仿宋"/>
          <w:color w:val="auto"/>
          <w:kern w:val="2"/>
          <w:sz w:val="32"/>
          <w:szCs w:val="32"/>
        </w:rPr>
        <w:t>。</w:t>
      </w:r>
    </w:p>
    <w:p>
      <w:pPr>
        <w:pStyle w:val="13"/>
        <w:ind w:firstLine="640" w:firstLineChars="200"/>
        <w:rPr>
          <w:rFonts w:ascii="仿宋" w:hAnsi="仿宋" w:eastAsia="仿宋" w:cs="仿宋"/>
          <w:b/>
          <w:color w:val="auto"/>
          <w:sz w:val="32"/>
          <w:szCs w:val="32"/>
        </w:rPr>
      </w:pPr>
      <w:r>
        <w:rPr>
          <w:rFonts w:hint="eastAsia" w:ascii="仿宋" w:hAnsi="仿宋" w:eastAsia="仿宋" w:cs="仿宋"/>
          <w:b/>
          <w:color w:val="auto"/>
          <w:sz w:val="32"/>
          <w:szCs w:val="32"/>
        </w:rPr>
        <w:t>（二）“三公”经费财政拨款支出决算具体情况说明</w:t>
      </w:r>
    </w:p>
    <w:p>
      <w:pPr>
        <w:pStyle w:val="13"/>
        <w:ind w:firstLine="640" w:firstLineChars="200"/>
        <w:rPr>
          <w:rFonts w:ascii="仿宋" w:hAnsi="仿宋" w:eastAsia="仿宋" w:cs="仿宋"/>
          <w:color w:val="auto"/>
          <w:kern w:val="2"/>
          <w:sz w:val="32"/>
          <w:szCs w:val="32"/>
        </w:rPr>
      </w:pPr>
      <w:r>
        <w:rPr>
          <w:rFonts w:ascii="仿宋" w:hAnsi="仿宋" w:eastAsia="仿宋" w:cs="仿宋"/>
          <w:color w:val="auto"/>
          <w:kern w:val="2"/>
          <w:sz w:val="32"/>
          <w:szCs w:val="32"/>
        </w:rPr>
        <w:t>2021年度</w:t>
      </w:r>
      <w:r>
        <w:rPr>
          <w:rFonts w:hint="eastAsia" w:ascii="仿宋" w:hAnsi="仿宋" w:eastAsia="仿宋" w:cs="仿宋"/>
          <w:color w:val="auto"/>
          <w:kern w:val="2"/>
          <w:sz w:val="32"/>
          <w:szCs w:val="32"/>
        </w:rPr>
        <w:t>“三公”经费财政拨款支出决算中，公务接待费支出决算</w:t>
      </w:r>
      <w:r>
        <w:rPr>
          <w:rFonts w:ascii="仿宋" w:hAnsi="仿宋" w:eastAsia="仿宋" w:cs="仿宋"/>
          <w:color w:val="auto"/>
          <w:kern w:val="2"/>
          <w:sz w:val="32"/>
          <w:szCs w:val="32"/>
        </w:rPr>
        <w:t>1.45</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highlight w:val="none"/>
        </w:rPr>
        <w:t>，占</w:t>
      </w:r>
      <w:r>
        <w:rPr>
          <w:rFonts w:ascii="仿宋" w:hAnsi="仿宋" w:eastAsia="仿宋" w:cs="仿宋"/>
          <w:color w:val="auto"/>
          <w:kern w:val="2"/>
          <w:sz w:val="32"/>
          <w:szCs w:val="32"/>
          <w:highlight w:val="none"/>
        </w:rPr>
        <w:t>3.</w:t>
      </w:r>
      <w:r>
        <w:rPr>
          <w:rFonts w:hint="eastAsia" w:ascii="仿宋" w:hAnsi="仿宋" w:eastAsia="仿宋" w:cs="仿宋"/>
          <w:color w:val="auto"/>
          <w:kern w:val="2"/>
          <w:sz w:val="32"/>
          <w:szCs w:val="32"/>
          <w:highlight w:val="none"/>
        </w:rPr>
        <w:t>9</w:t>
      </w:r>
      <w:r>
        <w:rPr>
          <w:rFonts w:hint="eastAsia" w:ascii="仿宋" w:hAnsi="仿宋" w:eastAsia="仿宋" w:cs="仿宋"/>
          <w:color w:val="auto"/>
          <w:kern w:val="2"/>
          <w:sz w:val="32"/>
          <w:szCs w:val="32"/>
          <w:highlight w:val="none"/>
          <w:lang w:val="en-US" w:eastAsia="zh-CN"/>
        </w:rPr>
        <w:t>0</w:t>
      </w:r>
      <w:r>
        <w:rPr>
          <w:rFonts w:ascii="仿宋" w:hAnsi="仿宋" w:eastAsia="仿宋" w:cs="仿宋"/>
          <w:color w:val="auto"/>
          <w:kern w:val="2"/>
          <w:sz w:val="32"/>
          <w:szCs w:val="32"/>
          <w:highlight w:val="none"/>
        </w:rPr>
        <w:t>%</w:t>
      </w:r>
      <w:r>
        <w:rPr>
          <w:rFonts w:hint="eastAsia" w:ascii="仿宋" w:hAnsi="仿宋" w:eastAsia="仿宋" w:cs="仿宋"/>
          <w:color w:val="auto"/>
          <w:kern w:val="2"/>
          <w:sz w:val="32"/>
          <w:szCs w:val="32"/>
          <w:highlight w:val="none"/>
        </w:rPr>
        <w:t>；因公出国（境）费支出决算</w:t>
      </w:r>
      <w:r>
        <w:rPr>
          <w:rFonts w:ascii="仿宋" w:hAnsi="仿宋" w:eastAsia="仿宋" w:cs="仿宋"/>
          <w:color w:val="auto"/>
          <w:kern w:val="2"/>
          <w:sz w:val="32"/>
          <w:szCs w:val="32"/>
          <w:highlight w:val="none"/>
        </w:rPr>
        <w:t>0万元，占0%</w:t>
      </w:r>
      <w:r>
        <w:rPr>
          <w:rFonts w:hint="eastAsia" w:ascii="仿宋" w:hAnsi="仿宋" w:eastAsia="仿宋" w:cs="仿宋"/>
          <w:color w:val="auto"/>
          <w:kern w:val="2"/>
          <w:sz w:val="32"/>
          <w:szCs w:val="32"/>
          <w:highlight w:val="none"/>
        </w:rPr>
        <w:t>；公务用车购置费及运行维护费支出决算</w:t>
      </w:r>
      <w:r>
        <w:rPr>
          <w:rFonts w:ascii="仿宋" w:hAnsi="仿宋" w:eastAsia="仿宋" w:cs="仿宋"/>
          <w:color w:val="auto"/>
          <w:kern w:val="2"/>
          <w:sz w:val="32"/>
          <w:szCs w:val="32"/>
          <w:highlight w:val="none"/>
        </w:rPr>
        <w:t>3</w:t>
      </w:r>
      <w:r>
        <w:rPr>
          <w:rFonts w:hint="eastAsia" w:ascii="仿宋" w:hAnsi="仿宋" w:eastAsia="仿宋" w:cs="仿宋"/>
          <w:color w:val="auto"/>
          <w:kern w:val="2"/>
          <w:sz w:val="32"/>
          <w:szCs w:val="32"/>
          <w:highlight w:val="none"/>
        </w:rPr>
        <w:t>5</w:t>
      </w:r>
      <w:r>
        <w:rPr>
          <w:rFonts w:ascii="仿宋" w:hAnsi="仿宋" w:eastAsia="仿宋" w:cs="仿宋"/>
          <w:color w:val="auto"/>
          <w:kern w:val="2"/>
          <w:sz w:val="32"/>
          <w:szCs w:val="32"/>
          <w:highlight w:val="none"/>
        </w:rPr>
        <w:t>.</w:t>
      </w:r>
      <w:r>
        <w:rPr>
          <w:rFonts w:hint="eastAsia" w:ascii="仿宋" w:hAnsi="仿宋" w:eastAsia="仿宋" w:cs="仿宋"/>
          <w:color w:val="auto"/>
          <w:kern w:val="2"/>
          <w:sz w:val="32"/>
          <w:szCs w:val="32"/>
          <w:highlight w:val="none"/>
        </w:rPr>
        <w:t>69万元，占</w:t>
      </w:r>
      <w:r>
        <w:rPr>
          <w:rFonts w:ascii="仿宋" w:hAnsi="仿宋" w:eastAsia="仿宋" w:cs="仿宋"/>
          <w:color w:val="auto"/>
          <w:kern w:val="2"/>
          <w:sz w:val="32"/>
          <w:szCs w:val="32"/>
          <w:highlight w:val="none"/>
        </w:rPr>
        <w:t>96.</w:t>
      </w:r>
      <w:r>
        <w:rPr>
          <w:rFonts w:hint="eastAsia" w:ascii="仿宋" w:hAnsi="仿宋" w:eastAsia="仿宋" w:cs="仿宋"/>
          <w:color w:val="auto"/>
          <w:kern w:val="2"/>
          <w:sz w:val="32"/>
          <w:szCs w:val="32"/>
          <w:highlight w:val="none"/>
        </w:rPr>
        <w:t>1</w:t>
      </w:r>
      <w:r>
        <w:rPr>
          <w:rFonts w:hint="eastAsia" w:ascii="仿宋" w:hAnsi="仿宋" w:eastAsia="仿宋" w:cs="仿宋"/>
          <w:color w:val="auto"/>
          <w:kern w:val="2"/>
          <w:sz w:val="32"/>
          <w:szCs w:val="32"/>
          <w:highlight w:val="none"/>
          <w:lang w:val="en-US" w:eastAsia="zh-CN"/>
        </w:rPr>
        <w:t>0</w:t>
      </w:r>
      <w:r>
        <w:rPr>
          <w:rFonts w:ascii="仿宋" w:hAnsi="仿宋" w:eastAsia="仿宋" w:cs="仿宋"/>
          <w:color w:val="auto"/>
          <w:kern w:val="2"/>
          <w:sz w:val="32"/>
          <w:szCs w:val="32"/>
          <w:highlight w:val="none"/>
        </w:rPr>
        <w:t>%。其中</w:t>
      </w:r>
      <w:r>
        <w:rPr>
          <w:rFonts w:ascii="仿宋" w:hAnsi="仿宋" w:eastAsia="仿宋" w:cs="仿宋"/>
          <w:color w:val="auto"/>
          <w:kern w:val="2"/>
          <w:sz w:val="32"/>
          <w:szCs w:val="32"/>
        </w:rPr>
        <w:t>：</w:t>
      </w:r>
    </w:p>
    <w:p>
      <w:pPr>
        <w:pStyle w:val="13"/>
        <w:ind w:firstLine="640" w:firstLineChars="200"/>
        <w:rPr>
          <w:rFonts w:ascii="仿宋" w:hAnsi="仿宋" w:eastAsia="仿宋" w:cs="仿宋"/>
          <w:color w:val="auto"/>
          <w:kern w:val="2"/>
          <w:sz w:val="32"/>
          <w:szCs w:val="32"/>
        </w:rPr>
      </w:pPr>
      <w:r>
        <w:rPr>
          <w:rFonts w:ascii="仿宋" w:hAnsi="仿宋" w:eastAsia="仿宋" w:cs="仿宋"/>
          <w:color w:val="auto"/>
          <w:kern w:val="2"/>
          <w:sz w:val="32"/>
          <w:szCs w:val="32"/>
        </w:rPr>
        <w:t>1、因公出国（境）费支出决算为0万元，</w:t>
      </w:r>
      <w:r>
        <w:rPr>
          <w:rFonts w:hint="eastAsia" w:ascii="仿宋" w:hAnsi="仿宋" w:eastAsia="仿宋" w:cs="仿宋"/>
          <w:color w:val="auto"/>
          <w:kern w:val="2"/>
          <w:sz w:val="32"/>
          <w:szCs w:val="32"/>
        </w:rPr>
        <w:t>全年安排因公出国（境）团组</w:t>
      </w:r>
      <w:r>
        <w:rPr>
          <w:rFonts w:ascii="仿宋" w:hAnsi="仿宋" w:eastAsia="仿宋" w:cs="仿宋"/>
          <w:color w:val="auto"/>
          <w:kern w:val="2"/>
          <w:sz w:val="32"/>
          <w:szCs w:val="32"/>
        </w:rPr>
        <w:t>0</w:t>
      </w:r>
      <w:r>
        <w:rPr>
          <w:rFonts w:hint="eastAsia" w:ascii="仿宋" w:hAnsi="仿宋" w:eastAsia="仿宋" w:cs="仿宋"/>
          <w:color w:val="auto"/>
          <w:kern w:val="2"/>
          <w:sz w:val="32"/>
          <w:szCs w:val="32"/>
        </w:rPr>
        <w:t>个，累计</w:t>
      </w:r>
      <w:r>
        <w:rPr>
          <w:rFonts w:ascii="仿宋" w:hAnsi="仿宋" w:eastAsia="仿宋" w:cs="仿宋"/>
          <w:color w:val="auto"/>
          <w:kern w:val="2"/>
          <w:sz w:val="32"/>
          <w:szCs w:val="32"/>
        </w:rPr>
        <w:t>0</w:t>
      </w:r>
      <w:r>
        <w:rPr>
          <w:rFonts w:hint="eastAsia" w:ascii="仿宋" w:hAnsi="仿宋" w:eastAsia="仿宋" w:cs="仿宋"/>
          <w:color w:val="auto"/>
          <w:kern w:val="2"/>
          <w:sz w:val="32"/>
          <w:szCs w:val="32"/>
        </w:rPr>
        <w:t>人次</w:t>
      </w:r>
      <w:r>
        <w:rPr>
          <w:rFonts w:ascii="仿宋" w:hAnsi="仿宋" w:eastAsia="仿宋" w:cs="仿宋"/>
          <w:color w:val="auto"/>
          <w:kern w:val="2"/>
          <w:sz w:val="32"/>
          <w:szCs w:val="32"/>
        </w:rPr>
        <w:t>。</w:t>
      </w:r>
    </w:p>
    <w:p>
      <w:pPr>
        <w:pStyle w:val="13"/>
        <w:ind w:firstLine="640" w:firstLineChars="200"/>
        <w:rPr>
          <w:rFonts w:ascii="仿宋" w:hAnsi="仿宋" w:eastAsia="仿宋" w:cs="仿宋"/>
          <w:color w:val="auto"/>
          <w:kern w:val="2"/>
          <w:sz w:val="32"/>
          <w:szCs w:val="32"/>
        </w:rPr>
      </w:pPr>
      <w:r>
        <w:rPr>
          <w:rFonts w:ascii="仿宋" w:hAnsi="仿宋" w:eastAsia="仿宋" w:cs="仿宋"/>
          <w:color w:val="auto"/>
          <w:kern w:val="2"/>
          <w:sz w:val="32"/>
          <w:szCs w:val="32"/>
        </w:rPr>
        <w:t>2、公务接待费支出决算为1.45</w:t>
      </w:r>
      <w:r>
        <w:rPr>
          <w:rFonts w:hint="eastAsia" w:ascii="仿宋" w:hAnsi="仿宋" w:eastAsia="仿宋" w:cs="仿宋"/>
          <w:color w:val="auto"/>
          <w:kern w:val="2"/>
          <w:sz w:val="32"/>
          <w:szCs w:val="32"/>
        </w:rPr>
        <w:t>万元，全年共接待来访团组</w:t>
      </w:r>
      <w:r>
        <w:rPr>
          <w:rFonts w:ascii="仿宋" w:hAnsi="仿宋" w:eastAsia="仿宋" w:cs="仿宋"/>
          <w:color w:val="auto"/>
          <w:kern w:val="2"/>
          <w:sz w:val="32"/>
          <w:szCs w:val="32"/>
        </w:rPr>
        <w:t>12批</w:t>
      </w:r>
      <w:r>
        <w:rPr>
          <w:rFonts w:hint="eastAsia" w:ascii="仿宋" w:hAnsi="仿宋" w:eastAsia="仿宋" w:cs="仿宋"/>
          <w:color w:val="auto"/>
          <w:kern w:val="2"/>
          <w:sz w:val="32"/>
          <w:szCs w:val="32"/>
        </w:rPr>
        <w:t>、来宾</w:t>
      </w:r>
      <w:r>
        <w:rPr>
          <w:rFonts w:ascii="仿宋" w:hAnsi="仿宋" w:eastAsia="仿宋" w:cs="仿宋"/>
          <w:color w:val="auto"/>
          <w:kern w:val="2"/>
          <w:sz w:val="32"/>
          <w:szCs w:val="32"/>
        </w:rPr>
        <w:t>124</w:t>
      </w:r>
      <w:r>
        <w:rPr>
          <w:rFonts w:hint="eastAsia" w:ascii="仿宋" w:hAnsi="仿宋" w:eastAsia="仿宋" w:cs="仿宋"/>
          <w:color w:val="auto"/>
          <w:kern w:val="2"/>
          <w:sz w:val="32"/>
          <w:szCs w:val="32"/>
        </w:rPr>
        <w:t>人次，主要</w:t>
      </w:r>
      <w:r>
        <w:rPr>
          <w:rFonts w:ascii="仿宋" w:hAnsi="仿宋" w:eastAsia="仿宋" w:cs="仿宋"/>
          <w:color w:val="auto"/>
          <w:kern w:val="2"/>
          <w:sz w:val="32"/>
          <w:szCs w:val="32"/>
        </w:rPr>
        <w:t>是接待</w:t>
      </w:r>
      <w:r>
        <w:rPr>
          <w:rFonts w:hint="eastAsia" w:ascii="仿宋" w:hAnsi="仿宋" w:eastAsia="仿宋" w:cs="仿宋"/>
          <w:color w:val="auto"/>
          <w:kern w:val="2"/>
          <w:sz w:val="32"/>
          <w:szCs w:val="32"/>
        </w:rPr>
        <w:t>其他兄弟</w:t>
      </w:r>
      <w:r>
        <w:rPr>
          <w:rFonts w:ascii="仿宋" w:hAnsi="仿宋" w:eastAsia="仿宋" w:cs="仿宋"/>
          <w:color w:val="auto"/>
          <w:kern w:val="2"/>
          <w:sz w:val="32"/>
          <w:szCs w:val="32"/>
        </w:rPr>
        <w:t>单位来长公务</w:t>
      </w:r>
      <w:r>
        <w:rPr>
          <w:rFonts w:hint="eastAsia" w:ascii="仿宋" w:hAnsi="仿宋" w:eastAsia="仿宋" w:cs="仿宋"/>
          <w:color w:val="auto"/>
          <w:kern w:val="2"/>
          <w:sz w:val="32"/>
          <w:szCs w:val="32"/>
        </w:rPr>
        <w:t>活动发生的接待支出。</w:t>
      </w:r>
    </w:p>
    <w:p>
      <w:pPr>
        <w:pStyle w:val="13"/>
        <w:ind w:firstLine="640" w:firstLineChars="200"/>
        <w:rPr>
          <w:rFonts w:ascii="仿宋" w:hAnsi="仿宋" w:eastAsia="仿宋" w:cstheme="minorBidi"/>
          <w:color w:val="auto"/>
          <w:kern w:val="2"/>
          <w:sz w:val="32"/>
          <w:szCs w:val="32"/>
        </w:rPr>
      </w:pPr>
      <w:r>
        <w:rPr>
          <w:rFonts w:ascii="仿宋" w:hAnsi="仿宋" w:eastAsia="仿宋" w:cs="仿宋"/>
          <w:color w:val="auto"/>
          <w:kern w:val="2"/>
          <w:sz w:val="32"/>
          <w:szCs w:val="32"/>
        </w:rPr>
        <w:t>3、公务用车购置费及运行维护费支出决算为3</w:t>
      </w:r>
      <w:r>
        <w:rPr>
          <w:rFonts w:hint="eastAsia" w:ascii="仿宋" w:hAnsi="仿宋" w:eastAsia="仿宋" w:cs="仿宋"/>
          <w:color w:val="auto"/>
          <w:kern w:val="2"/>
          <w:sz w:val="32"/>
          <w:szCs w:val="32"/>
        </w:rPr>
        <w:t>5</w:t>
      </w:r>
      <w:r>
        <w:rPr>
          <w:rFonts w:ascii="仿宋" w:hAnsi="仿宋" w:eastAsia="仿宋" w:cs="仿宋"/>
          <w:color w:val="auto"/>
          <w:kern w:val="2"/>
          <w:sz w:val="32"/>
          <w:szCs w:val="32"/>
        </w:rPr>
        <w:t>.</w:t>
      </w:r>
      <w:r>
        <w:rPr>
          <w:rFonts w:hint="eastAsia" w:ascii="仿宋" w:hAnsi="仿宋" w:eastAsia="仿宋" w:cs="仿宋"/>
          <w:color w:val="auto"/>
          <w:kern w:val="2"/>
          <w:sz w:val="32"/>
          <w:szCs w:val="32"/>
        </w:rPr>
        <w:t>69万元，其中：公务用车购置费</w:t>
      </w:r>
      <w:r>
        <w:rPr>
          <w:rFonts w:ascii="仿宋" w:hAnsi="仿宋" w:eastAsia="仿宋" w:cs="仿宋"/>
          <w:color w:val="auto"/>
          <w:sz w:val="32"/>
          <w:szCs w:val="32"/>
        </w:rPr>
        <w:t>17.99</w:t>
      </w:r>
      <w:r>
        <w:rPr>
          <w:rFonts w:hint="eastAsia" w:ascii="仿宋" w:hAnsi="仿宋" w:eastAsia="仿宋" w:cs="仿宋"/>
          <w:color w:val="auto"/>
          <w:kern w:val="2"/>
          <w:sz w:val="32"/>
          <w:szCs w:val="32"/>
        </w:rPr>
        <w:t>万元，我单位新购置公务用车一台；公务用车运行维护费</w:t>
      </w:r>
      <w:r>
        <w:rPr>
          <w:rFonts w:ascii="仿宋" w:hAnsi="仿宋" w:eastAsia="仿宋" w:cs="仿宋"/>
          <w:color w:val="auto"/>
          <w:kern w:val="2"/>
          <w:sz w:val="32"/>
          <w:szCs w:val="32"/>
        </w:rPr>
        <w:t>17.7万元，</w:t>
      </w:r>
      <w:r>
        <w:rPr>
          <w:rFonts w:hint="eastAsia" w:ascii="仿宋" w:hAnsi="仿宋" w:eastAsia="仿宋" w:cs="仿宋"/>
          <w:color w:val="auto"/>
          <w:kern w:val="2"/>
          <w:sz w:val="32"/>
          <w:szCs w:val="32"/>
        </w:rPr>
        <w:t>主要是公务</w:t>
      </w:r>
      <w:r>
        <w:rPr>
          <w:rFonts w:ascii="仿宋" w:hAnsi="仿宋" w:eastAsia="仿宋" w:cs="仿宋"/>
          <w:color w:val="auto"/>
          <w:kern w:val="2"/>
          <w:sz w:val="32"/>
          <w:szCs w:val="32"/>
        </w:rPr>
        <w:t>用车</w:t>
      </w:r>
      <w:r>
        <w:rPr>
          <w:rFonts w:hint="eastAsia" w:ascii="仿宋" w:hAnsi="仿宋" w:eastAsia="仿宋" w:cs="仿宋"/>
          <w:color w:val="auto"/>
          <w:kern w:val="2"/>
          <w:sz w:val="32"/>
          <w:szCs w:val="32"/>
        </w:rPr>
        <w:t>加油、维修、保险等支出。截止</w:t>
      </w:r>
      <w:r>
        <w:rPr>
          <w:rFonts w:ascii="仿宋" w:hAnsi="仿宋" w:eastAsia="仿宋" w:cs="仿宋"/>
          <w:color w:val="auto"/>
          <w:kern w:val="2"/>
          <w:sz w:val="32"/>
          <w:szCs w:val="32"/>
        </w:rPr>
        <w:t>2021年12月31日，我单位开支财政拨款的公务用车账面保有量为5</w:t>
      </w:r>
      <w:r>
        <w:rPr>
          <w:rFonts w:hint="eastAsia" w:ascii="仿宋" w:hAnsi="仿宋" w:eastAsia="仿宋" w:cs="仿宋"/>
          <w:color w:val="auto"/>
          <w:kern w:val="2"/>
          <w:sz w:val="32"/>
          <w:szCs w:val="32"/>
        </w:rPr>
        <w:t>台</w:t>
      </w:r>
      <w:r>
        <w:rPr>
          <w:rFonts w:ascii="仿宋" w:hAnsi="仿宋" w:eastAsia="仿宋" w:cs="仿宋"/>
          <w:color w:val="auto"/>
          <w:kern w:val="2"/>
          <w:sz w:val="32"/>
          <w:szCs w:val="32"/>
        </w:rPr>
        <w:t>，其中1台公车在报废流程</w:t>
      </w:r>
      <w:r>
        <w:rPr>
          <w:rFonts w:hint="eastAsia" w:ascii="仿宋" w:hAnsi="仿宋" w:eastAsia="仿宋" w:cs="仿宋"/>
          <w:color w:val="auto"/>
          <w:kern w:val="2"/>
          <w:sz w:val="32"/>
          <w:szCs w:val="32"/>
        </w:rPr>
        <w:t>中</w:t>
      </w:r>
      <w:r>
        <w:rPr>
          <w:rFonts w:ascii="仿宋" w:hAnsi="仿宋" w:eastAsia="仿宋" w:cs="仿宋"/>
          <w:color w:val="auto"/>
          <w:kern w:val="2"/>
          <w:sz w:val="32"/>
          <w:szCs w:val="32"/>
        </w:rPr>
        <w:t>，</w:t>
      </w:r>
      <w:r>
        <w:rPr>
          <w:rFonts w:hint="eastAsia" w:ascii="仿宋" w:hAnsi="仿宋" w:eastAsia="仿宋" w:cs="仿宋"/>
          <w:color w:val="auto"/>
          <w:kern w:val="2"/>
          <w:sz w:val="32"/>
          <w:szCs w:val="32"/>
        </w:rPr>
        <w:t>实际保有量</w:t>
      </w:r>
      <w:r>
        <w:rPr>
          <w:rFonts w:ascii="仿宋" w:hAnsi="仿宋" w:eastAsia="仿宋" w:cs="仿宋"/>
          <w:color w:val="auto"/>
          <w:kern w:val="2"/>
          <w:sz w:val="32"/>
          <w:szCs w:val="32"/>
        </w:rPr>
        <w:t>4台。</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八、政府性基金预算收入支出决算情况</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本单位无政府性基金收支。</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九、关于机关运行经费支出说明</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本单位</w:t>
      </w:r>
      <w:r>
        <w:rPr>
          <w:rFonts w:ascii="仿宋" w:hAnsi="仿宋" w:eastAsia="仿宋" w:cstheme="minorBidi"/>
          <w:color w:val="auto"/>
          <w:kern w:val="2"/>
          <w:sz w:val="32"/>
          <w:szCs w:val="32"/>
        </w:rPr>
        <w:t>是</w:t>
      </w:r>
      <w:r>
        <w:rPr>
          <w:rFonts w:hint="eastAsia" w:ascii="仿宋" w:hAnsi="仿宋" w:eastAsia="仿宋" w:cstheme="minorBidi"/>
          <w:color w:val="auto"/>
          <w:kern w:val="2"/>
          <w:sz w:val="32"/>
          <w:szCs w:val="32"/>
        </w:rPr>
        <w:t>公</w:t>
      </w:r>
      <w:r>
        <w:rPr>
          <w:rFonts w:ascii="仿宋" w:hAnsi="仿宋" w:eastAsia="仿宋" w:cstheme="minorBidi"/>
          <w:color w:val="auto"/>
          <w:kern w:val="2"/>
          <w:sz w:val="32"/>
          <w:szCs w:val="32"/>
        </w:rPr>
        <w:t>益</w:t>
      </w:r>
      <w:r>
        <w:rPr>
          <w:rFonts w:hint="eastAsia" w:ascii="仿宋" w:hAnsi="仿宋" w:eastAsia="仿宋" w:cstheme="minorBidi"/>
          <w:color w:val="auto"/>
          <w:kern w:val="2"/>
          <w:sz w:val="32"/>
          <w:szCs w:val="32"/>
        </w:rPr>
        <w:t>一</w:t>
      </w:r>
      <w:r>
        <w:rPr>
          <w:rFonts w:ascii="仿宋" w:hAnsi="仿宋" w:eastAsia="仿宋" w:cstheme="minorBidi"/>
          <w:color w:val="auto"/>
          <w:kern w:val="2"/>
          <w:sz w:val="32"/>
          <w:szCs w:val="32"/>
        </w:rPr>
        <w:t>类事业单位</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不涉及机关运行经费。</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十、一般性支出情况</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202</w:t>
      </w:r>
      <w:r>
        <w:rPr>
          <w:rFonts w:ascii="仿宋" w:hAnsi="仿宋" w:eastAsia="仿宋"/>
          <w:color w:val="auto"/>
          <w:sz w:val="32"/>
          <w:szCs w:val="32"/>
        </w:rPr>
        <w:t>1年</w:t>
      </w:r>
      <w:r>
        <w:rPr>
          <w:rFonts w:hint="eastAsia" w:ascii="仿宋" w:hAnsi="仿宋" w:eastAsia="仿宋" w:cstheme="minorBidi"/>
          <w:color w:val="auto"/>
          <w:kern w:val="2"/>
          <w:sz w:val="32"/>
          <w:szCs w:val="32"/>
        </w:rPr>
        <w:t>本单位开支</w:t>
      </w:r>
      <w:r>
        <w:rPr>
          <w:rFonts w:hint="eastAsia" w:ascii="仿宋_GB2312" w:hAnsi="仿宋" w:eastAsia="仿宋_GB2312" w:cs="仿宋"/>
          <w:color w:val="auto"/>
          <w:sz w:val="32"/>
          <w:szCs w:val="32"/>
        </w:rPr>
        <w:t>会议费3.97万元。</w:t>
      </w:r>
      <w:r>
        <w:rPr>
          <w:rFonts w:ascii="仿宋" w:hAnsi="仿宋" w:eastAsia="仿宋" w:cstheme="minorBidi"/>
          <w:color w:val="auto"/>
          <w:kern w:val="2"/>
          <w:sz w:val="32"/>
          <w:szCs w:val="32"/>
        </w:rPr>
        <w:t>用于</w:t>
      </w:r>
      <w:r>
        <w:rPr>
          <w:rFonts w:hint="eastAsia" w:ascii="仿宋" w:hAnsi="仿宋" w:eastAsia="仿宋" w:cstheme="minorBidi"/>
          <w:color w:val="auto"/>
          <w:kern w:val="2"/>
          <w:sz w:val="32"/>
          <w:szCs w:val="32"/>
          <w:highlight w:val="none"/>
        </w:rPr>
        <w:t>召开长沙市2</w:t>
      </w:r>
      <w:r>
        <w:rPr>
          <w:rFonts w:ascii="仿宋" w:hAnsi="仿宋" w:eastAsia="仿宋" w:cstheme="minorBidi"/>
          <w:color w:val="auto"/>
          <w:kern w:val="2"/>
          <w:sz w:val="32"/>
          <w:szCs w:val="32"/>
          <w:highlight w:val="none"/>
        </w:rPr>
        <w:t>021年监测工作推进结对交流实施大会，人数</w:t>
      </w:r>
      <w:r>
        <w:rPr>
          <w:rFonts w:hint="eastAsia" w:ascii="仿宋" w:hAnsi="仿宋" w:eastAsia="仿宋" w:cstheme="minorBidi"/>
          <w:color w:val="auto"/>
          <w:kern w:val="2"/>
          <w:sz w:val="32"/>
          <w:szCs w:val="32"/>
          <w:highlight w:val="none"/>
        </w:rPr>
        <w:t>3</w:t>
      </w:r>
      <w:r>
        <w:rPr>
          <w:rFonts w:ascii="仿宋" w:hAnsi="仿宋" w:eastAsia="仿宋" w:cstheme="minorBidi"/>
          <w:color w:val="auto"/>
          <w:kern w:val="2"/>
          <w:sz w:val="32"/>
          <w:szCs w:val="32"/>
          <w:highlight w:val="none"/>
        </w:rPr>
        <w:t>0人；</w:t>
      </w:r>
      <w:r>
        <w:rPr>
          <w:rFonts w:hint="eastAsia" w:ascii="仿宋" w:hAnsi="仿宋" w:eastAsia="仿宋" w:cstheme="minorBidi"/>
          <w:color w:val="auto"/>
          <w:kern w:val="2"/>
          <w:sz w:val="32"/>
          <w:szCs w:val="32"/>
          <w:highlight w:val="none"/>
        </w:rPr>
        <w:t>2</w:t>
      </w:r>
      <w:r>
        <w:rPr>
          <w:rFonts w:ascii="仿宋" w:hAnsi="仿宋" w:eastAsia="仿宋" w:cstheme="minorBidi"/>
          <w:color w:val="auto"/>
          <w:kern w:val="2"/>
          <w:sz w:val="32"/>
          <w:szCs w:val="32"/>
          <w:highlight w:val="none"/>
        </w:rPr>
        <w:t>021年监测需求座谈会，人数</w:t>
      </w:r>
      <w:r>
        <w:rPr>
          <w:rFonts w:hint="eastAsia" w:ascii="仿宋" w:hAnsi="仿宋" w:eastAsia="仿宋" w:cstheme="minorBidi"/>
          <w:color w:val="auto"/>
          <w:kern w:val="2"/>
          <w:sz w:val="32"/>
          <w:szCs w:val="32"/>
          <w:highlight w:val="none"/>
        </w:rPr>
        <w:t>3</w:t>
      </w:r>
      <w:r>
        <w:rPr>
          <w:rFonts w:ascii="仿宋" w:hAnsi="仿宋" w:eastAsia="仿宋" w:cstheme="minorBidi"/>
          <w:color w:val="auto"/>
          <w:kern w:val="2"/>
          <w:sz w:val="32"/>
          <w:szCs w:val="32"/>
          <w:highlight w:val="none"/>
        </w:rPr>
        <w:t>0人；地级市结对交流半年度工作总结会，人数</w:t>
      </w:r>
      <w:r>
        <w:rPr>
          <w:rFonts w:hint="eastAsia" w:ascii="仿宋" w:hAnsi="仿宋" w:eastAsia="仿宋" w:cstheme="minorBidi"/>
          <w:color w:val="auto"/>
          <w:kern w:val="2"/>
          <w:sz w:val="32"/>
          <w:szCs w:val="32"/>
          <w:highlight w:val="none"/>
        </w:rPr>
        <w:t>4</w:t>
      </w:r>
      <w:r>
        <w:rPr>
          <w:rFonts w:ascii="仿宋" w:hAnsi="仿宋" w:eastAsia="仿宋" w:cstheme="minorBidi"/>
          <w:color w:val="auto"/>
          <w:kern w:val="2"/>
          <w:sz w:val="32"/>
          <w:szCs w:val="32"/>
          <w:highlight w:val="none"/>
        </w:rPr>
        <w:t>1人。</w:t>
      </w:r>
    </w:p>
    <w:p>
      <w:pPr>
        <w:pStyle w:val="13"/>
        <w:ind w:firstLine="640" w:firstLineChars="200"/>
        <w:rPr>
          <w:rFonts w:hint="eastAsia" w:ascii="仿宋" w:hAnsi="仿宋" w:eastAsia="仿宋" w:cstheme="minorBidi"/>
          <w:color w:val="auto"/>
          <w:kern w:val="2"/>
          <w:sz w:val="32"/>
          <w:szCs w:val="32"/>
          <w:highlight w:val="none"/>
          <w:lang w:eastAsia="zh-CN"/>
        </w:rPr>
      </w:pPr>
      <w:r>
        <w:rPr>
          <w:rFonts w:hint="eastAsia" w:ascii="仿宋" w:hAnsi="仿宋" w:eastAsia="仿宋" w:cstheme="minorBidi"/>
          <w:color w:val="auto"/>
          <w:kern w:val="2"/>
          <w:sz w:val="32"/>
          <w:szCs w:val="32"/>
        </w:rPr>
        <w:t>开支培训费5</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89</w:t>
      </w:r>
      <w:r>
        <w:rPr>
          <w:rFonts w:ascii="仿宋" w:hAnsi="仿宋" w:eastAsia="仿宋" w:cstheme="minorBidi"/>
          <w:color w:val="auto"/>
          <w:kern w:val="2"/>
          <w:sz w:val="32"/>
          <w:szCs w:val="32"/>
        </w:rPr>
        <w:t>万元</w:t>
      </w:r>
      <w:r>
        <w:rPr>
          <w:rFonts w:ascii="仿宋" w:hAnsi="仿宋" w:eastAsia="仿宋"/>
          <w:color w:val="auto"/>
          <w:sz w:val="32"/>
          <w:szCs w:val="32"/>
        </w:rPr>
        <w:t>，</w:t>
      </w:r>
      <w:r>
        <w:rPr>
          <w:rFonts w:hint="eastAsia" w:ascii="仿宋" w:hAnsi="仿宋" w:eastAsia="仿宋" w:cstheme="minorBidi"/>
          <w:color w:val="auto"/>
          <w:kern w:val="2"/>
          <w:sz w:val="32"/>
          <w:szCs w:val="32"/>
        </w:rPr>
        <w:t>主</w:t>
      </w:r>
      <w:r>
        <w:rPr>
          <w:rFonts w:ascii="仿宋" w:hAnsi="仿宋" w:eastAsia="仿宋" w:cstheme="minorBidi"/>
          <w:color w:val="auto"/>
          <w:kern w:val="2"/>
          <w:sz w:val="32"/>
          <w:szCs w:val="32"/>
          <w:highlight w:val="none"/>
        </w:rPr>
        <w:t>要</w:t>
      </w:r>
      <w:r>
        <w:rPr>
          <w:rFonts w:hint="eastAsia" w:ascii="仿宋" w:hAnsi="仿宋" w:eastAsia="仿宋" w:cstheme="minorBidi"/>
          <w:color w:val="auto"/>
          <w:kern w:val="2"/>
          <w:sz w:val="32"/>
          <w:szCs w:val="32"/>
          <w:highlight w:val="none"/>
        </w:rPr>
        <w:t>用于专</w:t>
      </w:r>
      <w:r>
        <w:rPr>
          <w:rFonts w:ascii="仿宋" w:hAnsi="仿宋" w:eastAsia="仿宋" w:cstheme="minorBidi"/>
          <w:color w:val="auto"/>
          <w:kern w:val="2"/>
          <w:sz w:val="32"/>
          <w:szCs w:val="32"/>
          <w:highlight w:val="none"/>
        </w:rPr>
        <w:t>技人员</w:t>
      </w:r>
      <w:r>
        <w:rPr>
          <w:rFonts w:hint="eastAsia" w:ascii="仿宋" w:hAnsi="仿宋" w:eastAsia="仿宋" w:cstheme="minorBidi"/>
          <w:color w:val="auto"/>
          <w:kern w:val="2"/>
          <w:sz w:val="32"/>
          <w:szCs w:val="32"/>
          <w:highlight w:val="none"/>
        </w:rPr>
        <w:t>年度继续</w:t>
      </w:r>
      <w:r>
        <w:rPr>
          <w:rFonts w:ascii="仿宋" w:hAnsi="仿宋" w:eastAsia="仿宋" w:cstheme="minorBidi"/>
          <w:color w:val="auto"/>
          <w:kern w:val="2"/>
          <w:sz w:val="32"/>
          <w:szCs w:val="32"/>
          <w:highlight w:val="none"/>
        </w:rPr>
        <w:t>教育培训</w:t>
      </w:r>
      <w:r>
        <w:rPr>
          <w:rFonts w:hint="eastAsia" w:ascii="仿宋" w:hAnsi="仿宋" w:eastAsia="仿宋" w:cstheme="minorBidi"/>
          <w:color w:val="auto"/>
          <w:kern w:val="2"/>
          <w:sz w:val="32"/>
          <w:szCs w:val="32"/>
          <w:highlight w:val="none"/>
        </w:rPr>
        <w:t>，</w:t>
      </w:r>
      <w:r>
        <w:rPr>
          <w:rFonts w:ascii="仿宋" w:hAnsi="仿宋" w:eastAsia="仿宋" w:cstheme="minorBidi"/>
          <w:color w:val="auto"/>
          <w:kern w:val="2"/>
          <w:sz w:val="32"/>
          <w:szCs w:val="32"/>
          <w:highlight w:val="none"/>
        </w:rPr>
        <w:t>人数</w:t>
      </w:r>
      <w:r>
        <w:rPr>
          <w:rFonts w:hint="eastAsia" w:ascii="仿宋" w:hAnsi="仿宋" w:eastAsia="仿宋" w:cstheme="minorBidi"/>
          <w:color w:val="auto"/>
          <w:kern w:val="2"/>
          <w:sz w:val="32"/>
          <w:szCs w:val="32"/>
          <w:highlight w:val="none"/>
        </w:rPr>
        <w:t>76人（部分</w:t>
      </w:r>
      <w:r>
        <w:rPr>
          <w:rFonts w:ascii="仿宋" w:hAnsi="仿宋" w:eastAsia="仿宋" w:cstheme="minorBidi"/>
          <w:color w:val="auto"/>
          <w:kern w:val="2"/>
          <w:sz w:val="32"/>
          <w:szCs w:val="32"/>
          <w:highlight w:val="none"/>
        </w:rPr>
        <w:t>含以前年度</w:t>
      </w:r>
      <w:r>
        <w:rPr>
          <w:rFonts w:hint="eastAsia" w:ascii="仿宋" w:hAnsi="仿宋" w:eastAsia="仿宋" w:cstheme="minorBidi"/>
          <w:color w:val="auto"/>
          <w:kern w:val="2"/>
          <w:sz w:val="32"/>
          <w:szCs w:val="32"/>
          <w:highlight w:val="none"/>
        </w:rPr>
        <w:t>）</w:t>
      </w:r>
      <w:r>
        <w:rPr>
          <w:rFonts w:ascii="仿宋" w:hAnsi="仿宋" w:eastAsia="仿宋" w:cstheme="minorBidi"/>
          <w:color w:val="auto"/>
          <w:kern w:val="2"/>
          <w:sz w:val="32"/>
          <w:szCs w:val="32"/>
          <w:highlight w:val="none"/>
        </w:rPr>
        <w:t>；新进人员培训</w:t>
      </w:r>
      <w:r>
        <w:rPr>
          <w:rFonts w:hint="eastAsia" w:ascii="仿宋" w:hAnsi="仿宋" w:eastAsia="仿宋" w:cstheme="minorBidi"/>
          <w:color w:val="auto"/>
          <w:kern w:val="2"/>
          <w:sz w:val="32"/>
          <w:szCs w:val="32"/>
          <w:highlight w:val="none"/>
        </w:rPr>
        <w:t>，</w:t>
      </w:r>
      <w:r>
        <w:rPr>
          <w:rFonts w:ascii="仿宋" w:hAnsi="仿宋" w:eastAsia="仿宋" w:cstheme="minorBidi"/>
          <w:color w:val="auto"/>
          <w:kern w:val="2"/>
          <w:sz w:val="32"/>
          <w:szCs w:val="32"/>
          <w:highlight w:val="none"/>
        </w:rPr>
        <w:t>人数为</w:t>
      </w:r>
      <w:r>
        <w:rPr>
          <w:rFonts w:hint="eastAsia" w:ascii="仿宋" w:hAnsi="仿宋" w:eastAsia="仿宋" w:cstheme="minorBidi"/>
          <w:color w:val="auto"/>
          <w:kern w:val="2"/>
          <w:sz w:val="32"/>
          <w:szCs w:val="32"/>
          <w:highlight w:val="none"/>
        </w:rPr>
        <w:t>30人</w:t>
      </w:r>
      <w:r>
        <w:rPr>
          <w:rFonts w:ascii="仿宋" w:hAnsi="仿宋" w:eastAsia="仿宋" w:cstheme="minorBidi"/>
          <w:color w:val="auto"/>
          <w:kern w:val="2"/>
          <w:sz w:val="32"/>
          <w:szCs w:val="32"/>
          <w:highlight w:val="none"/>
        </w:rPr>
        <w:t>；</w:t>
      </w:r>
      <w:r>
        <w:rPr>
          <w:rFonts w:hint="eastAsia" w:ascii="仿宋" w:hAnsi="仿宋" w:eastAsia="仿宋" w:cstheme="minorBidi"/>
          <w:color w:val="auto"/>
          <w:kern w:val="2"/>
          <w:sz w:val="32"/>
          <w:szCs w:val="32"/>
          <w:highlight w:val="none"/>
        </w:rPr>
        <w:t>开展两次</w:t>
      </w:r>
      <w:r>
        <w:rPr>
          <w:rFonts w:ascii="仿宋" w:hAnsi="仿宋" w:eastAsia="仿宋" w:cstheme="minorBidi"/>
          <w:color w:val="auto"/>
          <w:kern w:val="2"/>
          <w:sz w:val="32"/>
          <w:szCs w:val="32"/>
          <w:highlight w:val="none"/>
        </w:rPr>
        <w:t>质管检验资质认定</w:t>
      </w:r>
      <w:r>
        <w:rPr>
          <w:rFonts w:hint="eastAsia" w:ascii="仿宋" w:hAnsi="仿宋" w:eastAsia="仿宋" w:cstheme="minorBidi"/>
          <w:color w:val="auto"/>
          <w:kern w:val="2"/>
          <w:sz w:val="32"/>
          <w:szCs w:val="32"/>
          <w:highlight w:val="none"/>
        </w:rPr>
        <w:t>培训，</w:t>
      </w:r>
      <w:r>
        <w:rPr>
          <w:rFonts w:ascii="仿宋" w:hAnsi="仿宋" w:eastAsia="仿宋" w:cstheme="minorBidi"/>
          <w:color w:val="auto"/>
          <w:kern w:val="2"/>
          <w:sz w:val="32"/>
          <w:szCs w:val="32"/>
          <w:highlight w:val="none"/>
        </w:rPr>
        <w:t>人数</w:t>
      </w:r>
      <w:r>
        <w:rPr>
          <w:rFonts w:hint="eastAsia" w:ascii="仿宋" w:hAnsi="仿宋" w:eastAsia="仿宋" w:cstheme="minorBidi"/>
          <w:color w:val="auto"/>
          <w:kern w:val="2"/>
          <w:sz w:val="32"/>
          <w:szCs w:val="32"/>
          <w:highlight w:val="none"/>
        </w:rPr>
        <w:t>分别</w:t>
      </w:r>
      <w:r>
        <w:rPr>
          <w:rFonts w:ascii="仿宋" w:hAnsi="仿宋" w:eastAsia="仿宋" w:cstheme="minorBidi"/>
          <w:color w:val="auto"/>
          <w:kern w:val="2"/>
          <w:sz w:val="32"/>
          <w:szCs w:val="32"/>
          <w:highlight w:val="none"/>
        </w:rPr>
        <w:t>为</w:t>
      </w:r>
      <w:r>
        <w:rPr>
          <w:rFonts w:hint="eastAsia" w:ascii="仿宋" w:hAnsi="仿宋" w:eastAsia="仿宋" w:cstheme="minorBidi"/>
          <w:color w:val="auto"/>
          <w:kern w:val="2"/>
          <w:sz w:val="32"/>
          <w:szCs w:val="32"/>
          <w:highlight w:val="none"/>
        </w:rPr>
        <w:t>4人、3人</w:t>
      </w:r>
      <w:r>
        <w:rPr>
          <w:rFonts w:hint="eastAsia" w:ascii="仿宋" w:hAnsi="仿宋" w:eastAsia="仿宋" w:cstheme="minorBidi"/>
          <w:color w:val="auto"/>
          <w:kern w:val="2"/>
          <w:sz w:val="32"/>
          <w:szCs w:val="32"/>
          <w:highlight w:val="none"/>
          <w:lang w:eastAsia="zh-CN"/>
        </w:rPr>
        <w:t>。</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lang w:bidi="ar"/>
        </w:rPr>
        <w:t>2</w:t>
      </w:r>
      <w:r>
        <w:rPr>
          <w:rFonts w:ascii="仿宋" w:hAnsi="仿宋" w:eastAsia="仿宋" w:cstheme="minorBidi"/>
          <w:color w:val="auto"/>
          <w:kern w:val="2"/>
          <w:sz w:val="32"/>
          <w:szCs w:val="32"/>
          <w:shd w:val="clear" w:color="auto" w:fill="auto"/>
          <w:lang w:bidi="ar"/>
        </w:rPr>
        <w:t>021年度本部门未举办节庆、晚会、论坛、赛事等活动。</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十一、关于政府采购支出说明</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本部门202</w:t>
      </w:r>
      <w:r>
        <w:rPr>
          <w:rFonts w:ascii="仿宋" w:hAnsi="仿宋" w:eastAsia="仿宋" w:cstheme="minorBidi"/>
          <w:color w:val="auto"/>
          <w:kern w:val="2"/>
          <w:sz w:val="32"/>
          <w:szCs w:val="32"/>
        </w:rPr>
        <w:t>1</w:t>
      </w:r>
      <w:r>
        <w:rPr>
          <w:rFonts w:hint="eastAsia" w:ascii="仿宋" w:hAnsi="仿宋" w:eastAsia="仿宋" w:cstheme="minorBidi"/>
          <w:color w:val="auto"/>
          <w:kern w:val="2"/>
          <w:sz w:val="32"/>
          <w:szCs w:val="32"/>
        </w:rPr>
        <w:t>年度政府采购支出总额</w:t>
      </w:r>
      <w:r>
        <w:rPr>
          <w:rFonts w:ascii="仿宋" w:hAnsi="仿宋" w:eastAsia="仿宋" w:cstheme="minorBidi"/>
          <w:color w:val="auto"/>
          <w:kern w:val="2"/>
          <w:sz w:val="32"/>
          <w:szCs w:val="32"/>
        </w:rPr>
        <w:t>79.81</w:t>
      </w:r>
      <w:r>
        <w:rPr>
          <w:rFonts w:hint="eastAsia" w:ascii="仿宋" w:hAnsi="仿宋" w:eastAsia="仿宋" w:cstheme="minorBidi"/>
          <w:color w:val="auto"/>
          <w:kern w:val="2"/>
          <w:sz w:val="32"/>
          <w:szCs w:val="32"/>
        </w:rPr>
        <w:t>万元，其中：政府采购货物支出</w:t>
      </w:r>
      <w:r>
        <w:rPr>
          <w:rFonts w:ascii="仿宋" w:hAnsi="仿宋" w:eastAsia="仿宋" w:cstheme="minorBidi"/>
          <w:color w:val="auto"/>
          <w:kern w:val="2"/>
          <w:sz w:val="32"/>
          <w:szCs w:val="32"/>
        </w:rPr>
        <w:t>68.19</w:t>
      </w:r>
      <w:r>
        <w:rPr>
          <w:rFonts w:hint="eastAsia" w:ascii="仿宋" w:hAnsi="仿宋" w:eastAsia="仿宋" w:cstheme="minorBidi"/>
          <w:color w:val="auto"/>
          <w:kern w:val="2"/>
          <w:sz w:val="32"/>
          <w:szCs w:val="32"/>
        </w:rPr>
        <w:t>万元、政府采购工程支出0万元、政府采购服务支出</w:t>
      </w:r>
      <w:r>
        <w:rPr>
          <w:rFonts w:ascii="仿宋" w:hAnsi="仿宋" w:eastAsia="仿宋" w:cstheme="minorBidi"/>
          <w:color w:val="auto"/>
          <w:kern w:val="2"/>
          <w:sz w:val="32"/>
          <w:szCs w:val="32"/>
        </w:rPr>
        <w:t>11.62</w:t>
      </w:r>
      <w:r>
        <w:rPr>
          <w:rFonts w:hint="eastAsia" w:ascii="仿宋" w:hAnsi="仿宋" w:eastAsia="仿宋" w:cstheme="minorBidi"/>
          <w:color w:val="auto"/>
          <w:kern w:val="2"/>
          <w:sz w:val="32"/>
          <w:szCs w:val="32"/>
        </w:rPr>
        <w:t>万元。授予中小企业合同金额</w:t>
      </w:r>
      <w:r>
        <w:rPr>
          <w:rFonts w:ascii="仿宋" w:hAnsi="仿宋" w:eastAsia="仿宋" w:cstheme="minorBidi"/>
          <w:color w:val="auto"/>
          <w:kern w:val="2"/>
          <w:sz w:val="32"/>
          <w:szCs w:val="32"/>
        </w:rPr>
        <w:t>79.81</w:t>
      </w:r>
      <w:r>
        <w:rPr>
          <w:rFonts w:hint="eastAsia" w:ascii="仿宋" w:hAnsi="仿宋" w:eastAsia="仿宋" w:cstheme="minorBidi"/>
          <w:color w:val="auto"/>
          <w:kern w:val="2"/>
          <w:sz w:val="32"/>
          <w:szCs w:val="32"/>
        </w:rPr>
        <w:t>万元，占政府采购支出总额的100%，其中：授予小微企业合同金额</w:t>
      </w:r>
      <w:r>
        <w:rPr>
          <w:rFonts w:ascii="仿宋" w:hAnsi="仿宋" w:eastAsia="仿宋" w:cstheme="minorBidi"/>
          <w:color w:val="auto"/>
          <w:kern w:val="2"/>
          <w:sz w:val="32"/>
          <w:szCs w:val="32"/>
        </w:rPr>
        <w:t>79.81</w:t>
      </w:r>
      <w:r>
        <w:rPr>
          <w:rFonts w:hint="eastAsia" w:ascii="仿宋" w:hAnsi="仿宋" w:eastAsia="仿宋" w:cstheme="minorBidi"/>
          <w:color w:val="auto"/>
          <w:kern w:val="2"/>
          <w:sz w:val="32"/>
          <w:szCs w:val="32"/>
        </w:rPr>
        <w:t>万元，占政府采购支出总额的</w:t>
      </w:r>
      <w:r>
        <w:rPr>
          <w:rFonts w:ascii="仿宋" w:hAnsi="仿宋" w:eastAsia="仿宋" w:cstheme="minorBidi"/>
          <w:color w:val="auto"/>
          <w:kern w:val="2"/>
          <w:sz w:val="32"/>
          <w:szCs w:val="32"/>
        </w:rPr>
        <w:t>100%。</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十二、关于国有资产占用情况说明</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截至202</w:t>
      </w:r>
      <w:r>
        <w:rPr>
          <w:rFonts w:ascii="仿宋" w:hAnsi="仿宋" w:eastAsia="仿宋" w:cstheme="minorBidi"/>
          <w:color w:val="auto"/>
          <w:kern w:val="2"/>
          <w:sz w:val="32"/>
          <w:szCs w:val="32"/>
        </w:rPr>
        <w:t>1</w:t>
      </w:r>
      <w:r>
        <w:rPr>
          <w:rFonts w:hint="eastAsia" w:ascii="仿宋" w:hAnsi="仿宋" w:eastAsia="仿宋" w:cstheme="minorBidi"/>
          <w:color w:val="auto"/>
          <w:kern w:val="2"/>
          <w:sz w:val="32"/>
          <w:szCs w:val="32"/>
        </w:rPr>
        <w:t>年12月31日，本单位账面车辆</w:t>
      </w:r>
      <w:r>
        <w:rPr>
          <w:rFonts w:ascii="仿宋" w:hAnsi="仿宋" w:eastAsia="仿宋" w:cstheme="minorBidi"/>
          <w:color w:val="auto"/>
          <w:kern w:val="2"/>
          <w:sz w:val="32"/>
          <w:szCs w:val="32"/>
        </w:rPr>
        <w:t>5</w:t>
      </w:r>
      <w:r>
        <w:rPr>
          <w:rFonts w:hint="eastAsia" w:ascii="仿宋" w:hAnsi="仿宋" w:eastAsia="仿宋" w:cstheme="minorBidi"/>
          <w:color w:val="auto"/>
          <w:kern w:val="2"/>
          <w:sz w:val="32"/>
          <w:szCs w:val="32"/>
        </w:rPr>
        <w:t>辆，1台</w:t>
      </w:r>
      <w:r>
        <w:rPr>
          <w:rFonts w:ascii="仿宋" w:hAnsi="仿宋" w:eastAsia="仿宋" w:cstheme="minorBidi"/>
          <w:color w:val="auto"/>
          <w:kern w:val="2"/>
          <w:sz w:val="32"/>
          <w:szCs w:val="32"/>
        </w:rPr>
        <w:t>在报废流程</w:t>
      </w:r>
      <w:r>
        <w:rPr>
          <w:rFonts w:hint="eastAsia" w:ascii="仿宋" w:hAnsi="仿宋" w:eastAsia="仿宋" w:cstheme="minorBidi"/>
          <w:color w:val="auto"/>
          <w:kern w:val="2"/>
          <w:sz w:val="32"/>
          <w:szCs w:val="32"/>
        </w:rPr>
        <w:t>中</w:t>
      </w:r>
      <w:r>
        <w:rPr>
          <w:rFonts w:ascii="仿宋" w:hAnsi="仿宋" w:eastAsia="仿宋" w:cstheme="minorBidi"/>
          <w:color w:val="auto"/>
          <w:kern w:val="2"/>
          <w:sz w:val="32"/>
          <w:szCs w:val="32"/>
        </w:rPr>
        <w:t>，</w:t>
      </w:r>
      <w:r>
        <w:rPr>
          <w:rFonts w:hint="eastAsia" w:ascii="仿宋" w:hAnsi="仿宋" w:eastAsia="仿宋" w:cstheme="minorBidi"/>
          <w:color w:val="auto"/>
          <w:kern w:val="2"/>
          <w:sz w:val="32"/>
          <w:szCs w:val="32"/>
        </w:rPr>
        <w:t>实际保有量4台，其中：领导干部用车</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辆、一般公务用车</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辆、一般执法执勤用车</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辆、特种专业技术用车</w:t>
      </w:r>
      <w:r>
        <w:rPr>
          <w:rFonts w:ascii="仿宋" w:hAnsi="仿宋" w:eastAsia="仿宋" w:cstheme="minorBidi"/>
          <w:color w:val="auto"/>
          <w:kern w:val="2"/>
          <w:sz w:val="32"/>
          <w:szCs w:val="32"/>
        </w:rPr>
        <w:t>5辆、其他用车0辆</w:t>
      </w:r>
      <w:r>
        <w:rPr>
          <w:rFonts w:hint="eastAsia" w:ascii="仿宋" w:hAnsi="仿宋" w:eastAsia="仿宋" w:cstheme="minorBidi"/>
          <w:color w:val="auto"/>
          <w:kern w:val="2"/>
          <w:sz w:val="32"/>
          <w:szCs w:val="32"/>
          <w:shd w:val="clear" w:color="auto" w:fill="auto"/>
        </w:rPr>
        <w:t>。</w:t>
      </w:r>
      <w:r>
        <w:rPr>
          <w:rFonts w:hint="eastAsia" w:ascii="仿宋" w:hAnsi="仿宋" w:eastAsia="仿宋" w:cstheme="minorBidi"/>
          <w:color w:val="auto"/>
          <w:kern w:val="2"/>
          <w:sz w:val="32"/>
          <w:szCs w:val="32"/>
        </w:rPr>
        <w:t>单位价值50万元以上通用设备</w:t>
      </w:r>
      <w:r>
        <w:rPr>
          <w:rFonts w:ascii="仿宋" w:hAnsi="仿宋" w:eastAsia="仿宋" w:cstheme="minorBidi"/>
          <w:color w:val="auto"/>
          <w:kern w:val="2"/>
          <w:sz w:val="32"/>
          <w:szCs w:val="32"/>
        </w:rPr>
        <w:t>16</w:t>
      </w:r>
      <w:r>
        <w:rPr>
          <w:rFonts w:hint="eastAsia" w:ascii="仿宋" w:hAnsi="仿宋" w:eastAsia="仿宋" w:cstheme="minorBidi"/>
          <w:color w:val="auto"/>
          <w:kern w:val="2"/>
          <w:sz w:val="32"/>
          <w:szCs w:val="32"/>
        </w:rPr>
        <w:t>台（套）；单位价值100万元以上专用设备</w:t>
      </w:r>
      <w:r>
        <w:rPr>
          <w:rFonts w:ascii="仿宋" w:hAnsi="仿宋" w:eastAsia="仿宋" w:cstheme="minorBidi"/>
          <w:color w:val="auto"/>
          <w:kern w:val="2"/>
          <w:sz w:val="32"/>
          <w:szCs w:val="32"/>
        </w:rPr>
        <w:t>0</w:t>
      </w:r>
      <w:r>
        <w:rPr>
          <w:rFonts w:hint="eastAsia" w:ascii="仿宋" w:hAnsi="仿宋" w:eastAsia="仿宋" w:cstheme="minorBidi"/>
          <w:color w:val="auto"/>
          <w:kern w:val="2"/>
          <w:sz w:val="32"/>
          <w:szCs w:val="32"/>
        </w:rPr>
        <w:t>台（套）。</w:t>
      </w:r>
    </w:p>
    <w:p>
      <w:pPr>
        <w:pStyle w:val="13"/>
        <w:spacing w:before="156" w:beforeLines="50" w:after="156" w:afterLines="50"/>
        <w:ind w:firstLine="640" w:firstLineChars="200"/>
        <w:rPr>
          <w:rFonts w:hAnsi="黑体"/>
          <w:b/>
          <w:color w:val="auto"/>
          <w:sz w:val="32"/>
          <w:szCs w:val="32"/>
        </w:rPr>
      </w:pPr>
      <w:r>
        <w:rPr>
          <w:rFonts w:hint="eastAsia" w:hAnsi="黑体"/>
          <w:b/>
          <w:color w:val="auto"/>
          <w:sz w:val="32"/>
          <w:szCs w:val="32"/>
        </w:rPr>
        <w:t>十三、关于202</w:t>
      </w:r>
      <w:r>
        <w:rPr>
          <w:rFonts w:hAnsi="黑体"/>
          <w:b/>
          <w:color w:val="auto"/>
          <w:sz w:val="32"/>
          <w:szCs w:val="32"/>
        </w:rPr>
        <w:t>1</w:t>
      </w:r>
      <w:r>
        <w:rPr>
          <w:rFonts w:hint="eastAsia" w:hAnsi="黑体"/>
          <w:b/>
          <w:color w:val="auto"/>
          <w:sz w:val="32"/>
          <w:szCs w:val="32"/>
        </w:rPr>
        <w:t>年度预算绩效情况的说明</w:t>
      </w:r>
    </w:p>
    <w:p>
      <w:pPr>
        <w:pStyle w:val="13"/>
        <w:ind w:firstLine="640" w:firstLineChars="200"/>
        <w:rPr>
          <w:rFonts w:ascii="仿宋" w:hAnsi="仿宋" w:eastAsia="仿宋" w:cs="仿宋"/>
          <w:color w:val="auto"/>
          <w:kern w:val="2"/>
          <w:sz w:val="32"/>
          <w:szCs w:val="32"/>
        </w:rPr>
      </w:pPr>
      <w:r>
        <w:rPr>
          <w:rFonts w:hint="eastAsia" w:ascii="仿宋" w:hAnsi="仿宋" w:eastAsia="仿宋" w:cs="仿宋"/>
          <w:sz w:val="32"/>
          <w:szCs w:val="32"/>
        </w:rPr>
        <w:t>为进一步规范财政资金管理，强化绩效和责任意识，切实提高财政资金使用效益，</w:t>
      </w:r>
      <w:r>
        <w:rPr>
          <w:rFonts w:hint="eastAsia" w:ascii="仿宋" w:hAnsi="仿宋" w:eastAsia="仿宋" w:cs="仿宋"/>
          <w:sz w:val="32"/>
          <w:szCs w:val="32"/>
          <w:shd w:val="clear" w:color="auto" w:fill="FFFFFF"/>
        </w:rPr>
        <w:t>我部门组织对</w:t>
      </w:r>
      <w:r>
        <w:rPr>
          <w:rFonts w:ascii="仿宋" w:hAnsi="仿宋" w:eastAsia="仿宋" w:cs="仿宋"/>
          <w:sz w:val="32"/>
          <w:szCs w:val="32"/>
          <w:shd w:val="clear" w:color="auto" w:fill="FFFFFF"/>
        </w:rPr>
        <w:t>2021年部门整体支出进行绩效自评，涉及财政资金</w:t>
      </w:r>
      <w:r>
        <w:rPr>
          <w:rFonts w:hint="eastAsia" w:ascii="仿宋" w:hAnsi="仿宋" w:eastAsia="仿宋" w:cs="仿宋"/>
          <w:sz w:val="32"/>
          <w:szCs w:val="32"/>
          <w:shd w:val="clear" w:color="auto" w:fill="FFFFFF"/>
        </w:rPr>
        <w:t>4348.93万元，其中：基本支出</w:t>
      </w:r>
      <w:r>
        <w:rPr>
          <w:rFonts w:ascii="仿宋" w:hAnsi="仿宋" w:eastAsia="仿宋" w:cs="仿宋"/>
          <w:kern w:val="2"/>
          <w:sz w:val="32"/>
          <w:szCs w:val="32"/>
        </w:rPr>
        <w:t xml:space="preserve"> </w:t>
      </w:r>
      <w:r>
        <w:rPr>
          <w:rFonts w:hint="eastAsia" w:ascii="仿宋" w:hAnsi="仿宋" w:eastAsia="仿宋" w:cs="仿宋"/>
          <w:kern w:val="2"/>
          <w:sz w:val="32"/>
          <w:szCs w:val="32"/>
        </w:rPr>
        <w:t>2882</w:t>
      </w:r>
      <w:r>
        <w:rPr>
          <w:rFonts w:hint="eastAsia" w:ascii="仿宋" w:hAnsi="仿宋" w:eastAsia="仿宋" w:cs="仿宋"/>
          <w:sz w:val="32"/>
          <w:szCs w:val="32"/>
          <w:shd w:val="clear" w:color="auto" w:fill="FFFFFF"/>
        </w:rPr>
        <w:t>万元，项目支出</w:t>
      </w:r>
      <w:r>
        <w:rPr>
          <w:rFonts w:ascii="仿宋" w:hAnsi="仿宋" w:eastAsia="仿宋" w:cs="仿宋"/>
          <w:sz w:val="32"/>
          <w:szCs w:val="32"/>
          <w:shd w:val="clear" w:color="auto" w:fill="FFFFFF"/>
        </w:rPr>
        <w:t xml:space="preserve"> </w:t>
      </w:r>
      <w:r>
        <w:rPr>
          <w:rFonts w:hint="eastAsia" w:ascii="仿宋" w:hAnsi="仿宋" w:eastAsia="仿宋" w:cs="仿宋"/>
          <w:sz w:val="32"/>
          <w:szCs w:val="32"/>
          <w:shd w:val="clear" w:color="auto" w:fill="FFFFFF"/>
        </w:rPr>
        <w:t>1466.92</w:t>
      </w:r>
      <w:r>
        <w:rPr>
          <w:rFonts w:ascii="仿宋" w:hAnsi="仿宋" w:eastAsia="仿宋" w:cs="仿宋"/>
          <w:sz w:val="32"/>
          <w:szCs w:val="32"/>
          <w:shd w:val="clear" w:color="auto" w:fill="FFFFFF"/>
        </w:rPr>
        <w:t xml:space="preserve"> 万元。从评价结果看，资金使用效益较好，</w:t>
      </w:r>
      <w:r>
        <w:rPr>
          <w:rFonts w:hint="eastAsia" w:ascii="仿宋" w:hAnsi="仿宋" w:eastAsia="仿宋" w:cs="仿宋"/>
          <w:sz w:val="32"/>
          <w:szCs w:val="32"/>
          <w:shd w:val="clear" w:color="auto" w:fill="FFFFFF"/>
        </w:rPr>
        <w:t>达到了预期绩效目标。</w:t>
      </w:r>
    </w:p>
    <w:p>
      <w:pPr>
        <w:pStyle w:val="13"/>
        <w:ind w:firstLine="640" w:firstLineChars="200"/>
        <w:rPr>
          <w:color w:val="auto"/>
          <w:sz w:val="72"/>
          <w:szCs w:val="72"/>
        </w:rPr>
      </w:pPr>
      <w:r>
        <w:rPr>
          <w:rFonts w:hint="eastAsia" w:ascii="仿宋" w:hAnsi="仿宋" w:eastAsia="仿宋" w:cstheme="minorBidi"/>
          <w:color w:val="auto"/>
          <w:kern w:val="2"/>
          <w:sz w:val="32"/>
          <w:szCs w:val="32"/>
        </w:rPr>
        <w:t>本部门预算绩效管理开展情况、绩效目标和绩效评价报告等详见附件。</w:t>
      </w:r>
    </w:p>
    <w:p>
      <w:pPr>
        <w:pStyle w:val="13"/>
        <w:jc w:val="center"/>
        <w:rPr>
          <w:color w:val="auto"/>
          <w:sz w:val="72"/>
          <w:szCs w:val="72"/>
        </w:rPr>
      </w:pPr>
    </w:p>
    <w:p>
      <w:pPr>
        <w:pStyle w:val="13"/>
        <w:jc w:val="both"/>
        <w:rPr>
          <w:rFonts w:hint="eastAsia"/>
          <w:sz w:val="72"/>
          <w:szCs w:val="72"/>
        </w:rPr>
      </w:pPr>
    </w:p>
    <w:p>
      <w:pPr>
        <w:pStyle w:val="13"/>
        <w:jc w:val="center"/>
        <w:rPr>
          <w:rFonts w:hint="eastAsia"/>
          <w:sz w:val="72"/>
          <w:szCs w:val="72"/>
        </w:rPr>
      </w:pPr>
    </w:p>
    <w:p>
      <w:pPr>
        <w:pStyle w:val="13"/>
        <w:jc w:val="center"/>
        <w:rPr>
          <w:rFonts w:hint="eastAsia"/>
          <w:sz w:val="72"/>
          <w:szCs w:val="72"/>
        </w:rPr>
      </w:pPr>
    </w:p>
    <w:p>
      <w:pPr>
        <w:pStyle w:val="13"/>
        <w:jc w:val="center"/>
        <w:rPr>
          <w:rFonts w:hint="eastAsia"/>
          <w:sz w:val="72"/>
          <w:szCs w:val="72"/>
        </w:rPr>
      </w:pPr>
    </w:p>
    <w:p>
      <w:pPr>
        <w:pStyle w:val="13"/>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1、</w:t>
      </w:r>
      <w:r>
        <w:rPr>
          <w:rFonts w:ascii="仿宋" w:hAnsi="仿宋" w:eastAsia="仿宋" w:cstheme="minorBidi"/>
          <w:color w:val="auto"/>
          <w:kern w:val="2"/>
          <w:sz w:val="32"/>
          <w:szCs w:val="32"/>
        </w:rPr>
        <w:t>财政拨款收入：</w:t>
      </w:r>
      <w:r>
        <w:rPr>
          <w:rFonts w:hint="eastAsia" w:ascii="仿宋" w:hAnsi="仿宋" w:eastAsia="仿宋" w:cstheme="minorBidi"/>
          <w:color w:val="auto"/>
          <w:kern w:val="2"/>
          <w:sz w:val="32"/>
          <w:szCs w:val="32"/>
        </w:rPr>
        <w:t>决算</w:t>
      </w:r>
      <w:r>
        <w:rPr>
          <w:rFonts w:ascii="仿宋" w:hAnsi="仿宋" w:eastAsia="仿宋" w:cstheme="minorBidi"/>
          <w:color w:val="auto"/>
          <w:kern w:val="2"/>
          <w:sz w:val="32"/>
          <w:szCs w:val="32"/>
        </w:rPr>
        <w:t>报表中的财政拨款收入指</w:t>
      </w:r>
      <w:r>
        <w:rPr>
          <w:rFonts w:hint="eastAsia" w:ascii="仿宋" w:hAnsi="仿宋" w:eastAsia="仿宋" w:cstheme="minorBidi"/>
          <w:color w:val="auto"/>
          <w:kern w:val="2"/>
          <w:sz w:val="32"/>
          <w:szCs w:val="32"/>
        </w:rPr>
        <w:t>省</w:t>
      </w:r>
      <w:r>
        <w:rPr>
          <w:rFonts w:ascii="仿宋" w:hAnsi="仿宋" w:eastAsia="仿宋" w:cstheme="minorBidi"/>
          <w:color w:val="auto"/>
          <w:kern w:val="2"/>
          <w:sz w:val="32"/>
          <w:szCs w:val="32"/>
        </w:rPr>
        <w:t>级财政当年拨付的资金</w:t>
      </w:r>
      <w:r>
        <w:rPr>
          <w:rFonts w:hint="eastAsia" w:ascii="仿宋" w:hAnsi="仿宋" w:eastAsia="仿宋" w:cstheme="minorBidi"/>
          <w:color w:val="auto"/>
          <w:kern w:val="2"/>
          <w:sz w:val="32"/>
          <w:szCs w:val="32"/>
        </w:rPr>
        <w:t>，由</w:t>
      </w:r>
      <w:r>
        <w:rPr>
          <w:rFonts w:ascii="仿宋" w:hAnsi="仿宋" w:eastAsia="仿宋" w:cstheme="minorBidi"/>
          <w:color w:val="auto"/>
          <w:kern w:val="2"/>
          <w:sz w:val="32"/>
          <w:szCs w:val="32"/>
        </w:rPr>
        <w:t>于垂管改革，</w:t>
      </w:r>
      <w:r>
        <w:rPr>
          <w:rFonts w:hint="eastAsia" w:ascii="仿宋" w:hAnsi="仿宋" w:eastAsia="仿宋" w:cstheme="minorBidi"/>
          <w:color w:val="auto"/>
          <w:kern w:val="2"/>
          <w:sz w:val="32"/>
          <w:szCs w:val="32"/>
        </w:rPr>
        <w:t>本</w:t>
      </w:r>
      <w:r>
        <w:rPr>
          <w:rFonts w:ascii="仿宋" w:hAnsi="仿宋" w:eastAsia="仿宋" w:cstheme="minorBidi"/>
          <w:color w:val="auto"/>
          <w:kern w:val="2"/>
          <w:sz w:val="32"/>
          <w:szCs w:val="32"/>
        </w:rPr>
        <w:t>单位实际财政拨款收入为省、市两级</w:t>
      </w:r>
      <w:r>
        <w:rPr>
          <w:rFonts w:hint="eastAsia" w:ascii="仿宋" w:hAnsi="仿宋" w:eastAsia="仿宋" w:cstheme="minorBidi"/>
          <w:color w:val="auto"/>
          <w:kern w:val="2"/>
          <w:sz w:val="32"/>
          <w:szCs w:val="32"/>
        </w:rPr>
        <w:t>财政</w:t>
      </w:r>
      <w:r>
        <w:rPr>
          <w:rFonts w:ascii="仿宋" w:hAnsi="仿宋" w:eastAsia="仿宋" w:cstheme="minorBidi"/>
          <w:color w:val="auto"/>
          <w:kern w:val="2"/>
          <w:sz w:val="32"/>
          <w:szCs w:val="32"/>
        </w:rPr>
        <w:t>拨付的资金。</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2、</w:t>
      </w:r>
      <w:r>
        <w:rPr>
          <w:rFonts w:ascii="仿宋" w:hAnsi="仿宋" w:eastAsia="仿宋" w:cstheme="minorBidi"/>
          <w:color w:val="auto"/>
          <w:kern w:val="2"/>
          <w:sz w:val="32"/>
          <w:szCs w:val="32"/>
        </w:rPr>
        <w:t>事业收入：指事业单位开展专业业务活动及辅助活动所取得的收入</w:t>
      </w:r>
      <w:r>
        <w:rPr>
          <w:rFonts w:hint="eastAsia" w:ascii="仿宋" w:hAnsi="仿宋" w:eastAsia="仿宋" w:cstheme="minorBidi"/>
          <w:color w:val="auto"/>
          <w:kern w:val="2"/>
          <w:sz w:val="32"/>
          <w:szCs w:val="32"/>
        </w:rPr>
        <w:t>，我</w:t>
      </w:r>
      <w:r>
        <w:rPr>
          <w:rFonts w:ascii="仿宋" w:hAnsi="仿宋" w:eastAsia="仿宋" w:cstheme="minorBidi"/>
          <w:color w:val="auto"/>
          <w:kern w:val="2"/>
          <w:sz w:val="32"/>
          <w:szCs w:val="32"/>
        </w:rPr>
        <w:t>单位决算数</w:t>
      </w:r>
      <w:r>
        <w:rPr>
          <w:rFonts w:hint="eastAsia" w:ascii="仿宋" w:hAnsi="仿宋" w:eastAsia="仿宋" w:cstheme="minorBidi"/>
          <w:color w:val="auto"/>
          <w:kern w:val="2"/>
          <w:sz w:val="32"/>
          <w:szCs w:val="32"/>
        </w:rPr>
        <w:t>为上级主管部门拨入的带工作任务清单的专项业务经费</w:t>
      </w:r>
      <w:r>
        <w:rPr>
          <w:rFonts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3、</w:t>
      </w:r>
      <w:r>
        <w:rPr>
          <w:rFonts w:ascii="仿宋" w:hAnsi="仿宋" w:eastAsia="仿宋" w:cstheme="minorBidi"/>
          <w:color w:val="auto"/>
          <w:kern w:val="2"/>
          <w:sz w:val="32"/>
          <w:szCs w:val="32"/>
        </w:rPr>
        <w:t>其他收入：指除上述“财政拨款收入”、“事业收入”、“经营收入”等以外的收入</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我单位决算数为市级财政当年安排</w:t>
      </w:r>
      <w:r>
        <w:rPr>
          <w:rFonts w:hint="eastAsia" w:ascii="仿宋" w:hAnsi="仿宋" w:eastAsia="仿宋" w:cstheme="minorBidi"/>
          <w:color w:val="auto"/>
          <w:kern w:val="2"/>
          <w:sz w:val="32"/>
          <w:szCs w:val="32"/>
        </w:rPr>
        <w:t>的</w:t>
      </w:r>
      <w:r>
        <w:rPr>
          <w:rFonts w:ascii="仿宋" w:hAnsi="仿宋" w:eastAsia="仿宋" w:cstheme="minorBidi"/>
          <w:color w:val="auto"/>
          <w:kern w:val="2"/>
          <w:sz w:val="32"/>
          <w:szCs w:val="32"/>
        </w:rPr>
        <w:t>财政拨款</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为</w:t>
      </w:r>
      <w:r>
        <w:rPr>
          <w:rFonts w:hint="eastAsia" w:ascii="仿宋" w:hAnsi="仿宋" w:eastAsia="仿宋" w:cstheme="minorBidi"/>
          <w:color w:val="auto"/>
          <w:kern w:val="2"/>
          <w:sz w:val="32"/>
          <w:szCs w:val="32"/>
        </w:rPr>
        <w:t>非同级财政拨款预算收入</w:t>
      </w:r>
      <w:r>
        <w:rPr>
          <w:rFonts w:ascii="仿宋" w:hAnsi="仿宋" w:eastAsia="仿宋" w:cstheme="minorBidi"/>
          <w:color w:val="auto"/>
          <w:kern w:val="2"/>
          <w:sz w:val="32"/>
          <w:szCs w:val="32"/>
        </w:rPr>
        <w:t>。</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4、年初结转和结余：指以前年度尚未完成、结转到本年按有关规定继续使用的资金。</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5、年末结转和结余</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指本年度或以前年度预算安排、因客观条件发生变化无法按原计划实施，需延迟到以后年度按有关规定继续使用的资金。</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6、基本支出：指为保障机构正常运转、完成日常工作任务而发生的人员支出和公用支出。</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7</w:t>
      </w:r>
      <w:r>
        <w:rPr>
          <w:rFonts w:hint="eastAsia" w:ascii="仿宋" w:hAnsi="仿宋" w:eastAsia="仿宋" w:cstheme="minorBidi"/>
          <w:color w:val="auto"/>
          <w:kern w:val="2"/>
          <w:sz w:val="32"/>
          <w:szCs w:val="32"/>
        </w:rPr>
        <w:t>、项目支出</w:t>
      </w:r>
      <w:r>
        <w:rPr>
          <w:rFonts w:ascii="仿宋" w:hAnsi="仿宋" w:eastAsia="仿宋" w:cstheme="minorBidi"/>
          <w:color w:val="auto"/>
          <w:kern w:val="2"/>
          <w:sz w:val="32"/>
          <w:szCs w:val="32"/>
        </w:rPr>
        <w:t>：指在基本支出之外为完成特定行政任务和事业发展目标所发生的支出。</w:t>
      </w:r>
    </w:p>
    <w:p>
      <w:pPr>
        <w:pStyle w:val="13"/>
        <w:ind w:firstLine="640" w:firstLineChars="200"/>
        <w:rPr>
          <w:rFonts w:ascii="仿宋" w:hAnsi="仿宋" w:eastAsia="仿宋" w:cstheme="minorBidi"/>
          <w:color w:val="auto"/>
          <w:kern w:val="2"/>
          <w:sz w:val="32"/>
          <w:szCs w:val="32"/>
        </w:rPr>
      </w:pPr>
      <w:r>
        <w:rPr>
          <w:rFonts w:ascii="仿宋" w:hAnsi="仿宋" w:eastAsia="仿宋" w:cstheme="minorBidi"/>
          <w:color w:val="auto"/>
          <w:kern w:val="2"/>
          <w:sz w:val="32"/>
          <w:szCs w:val="32"/>
        </w:rPr>
        <w:t>8</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三公”经费：纳入财政预决算管理的“三公”经费，是指部门用财政拨款安排的因公出国（境）费、公务用车购置及运行费和公务接待费。其中，因公出国（境）费反映单位公务出国（境）的国际旅费、国外城市间交通费</w:t>
      </w:r>
      <w:r>
        <w:rPr>
          <w:rFonts w:hint="eastAsia" w:ascii="仿宋" w:hAnsi="仿宋" w:eastAsia="仿宋" w:cstheme="minorBidi"/>
          <w:color w:val="auto"/>
          <w:kern w:val="2"/>
          <w:sz w:val="32"/>
          <w:szCs w:val="32"/>
        </w:rPr>
        <w:t>、</w:t>
      </w:r>
      <w:r>
        <w:rPr>
          <w:rFonts w:ascii="仿宋" w:hAnsi="仿宋" w:eastAsia="仿宋" w:cstheme="minorBidi"/>
          <w:color w:val="auto"/>
          <w:kern w:val="2"/>
          <w:sz w:val="32"/>
          <w:szCs w:val="32"/>
        </w:rPr>
        <w:t>住宿费、伙食费、培训费、公杂费等支出；公务用车购置及运</w:t>
      </w:r>
      <w:bookmarkStart w:id="0" w:name="page51"/>
      <w:bookmarkEnd w:id="0"/>
      <w:r>
        <w:rPr>
          <w:rFonts w:ascii="仿宋" w:hAnsi="仿宋" w:eastAsia="仿宋" w:cstheme="minorBidi"/>
          <w:color w:val="auto"/>
          <w:kern w:val="2"/>
          <w:sz w:val="32"/>
          <w:szCs w:val="32"/>
        </w:rPr>
        <w:t>行费反映单位公务用车车辆购置支出（含车辆购置税）及租用费、燃料费、维修费、过路过桥费、保险费、安全奖励费用等支出；公务接待费反映单位按规定开支的各类公务接待（含外宾接待）支出。</w:t>
      </w: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rPr>
          <w:color w:val="auto"/>
          <w:sz w:val="72"/>
          <w:szCs w:val="72"/>
        </w:rPr>
      </w:pPr>
    </w:p>
    <w:p>
      <w:pPr>
        <w:pStyle w:val="13"/>
        <w:jc w:val="center"/>
        <w:rPr>
          <w:color w:val="auto"/>
          <w:sz w:val="72"/>
          <w:szCs w:val="72"/>
        </w:rPr>
      </w:pPr>
      <w:r>
        <w:rPr>
          <w:rFonts w:hint="eastAsia"/>
          <w:color w:val="auto"/>
          <w:sz w:val="72"/>
          <w:szCs w:val="72"/>
        </w:rPr>
        <w:t>第五部分</w:t>
      </w:r>
    </w:p>
    <w:p>
      <w:pPr>
        <w:jc w:val="center"/>
        <w:rPr>
          <w:rFonts w:ascii="黑体" w:eastAsia="黑体" w:cs="黑体"/>
          <w:kern w:val="0"/>
          <w:sz w:val="70"/>
          <w:szCs w:val="70"/>
        </w:rPr>
      </w:pPr>
    </w:p>
    <w:p>
      <w:pPr>
        <w:jc w:val="center"/>
        <w:rPr>
          <w:rFonts w:ascii="黑体" w:eastAsia="黑体" w:cs="黑体"/>
          <w:kern w:val="0"/>
          <w:sz w:val="70"/>
          <w:szCs w:val="70"/>
        </w:rPr>
      </w:pPr>
      <w:r>
        <w:rPr>
          <w:rFonts w:hint="eastAsia" w:ascii="黑体" w:eastAsia="黑体" w:cs="黑体"/>
          <w:kern w:val="0"/>
          <w:sz w:val="70"/>
          <w:szCs w:val="70"/>
        </w:rPr>
        <w:t>附件</w:t>
      </w:r>
    </w:p>
    <w:p>
      <w:pPr>
        <w:widowControl/>
        <w:jc w:val="left"/>
        <w:rPr>
          <w:rFonts w:ascii="黑体" w:eastAsia="黑体" w:cs="黑体"/>
          <w:kern w:val="0"/>
          <w:sz w:val="70"/>
          <w:szCs w:val="70"/>
        </w:rPr>
      </w:pPr>
    </w:p>
    <w:p>
      <w:pPr>
        <w:widowControl/>
        <w:jc w:val="left"/>
        <w:rPr>
          <w:rFonts w:ascii="黑体" w:eastAsia="黑体" w:cs="黑体"/>
          <w:kern w:val="0"/>
          <w:sz w:val="70"/>
          <w:szCs w:val="70"/>
        </w:rPr>
      </w:pPr>
    </w:p>
    <w:p>
      <w:pPr>
        <w:widowControl/>
        <w:jc w:val="left"/>
        <w:rPr>
          <w:rFonts w:ascii="黑体" w:eastAsia="黑体" w:cs="黑体"/>
          <w:kern w:val="0"/>
          <w:sz w:val="70"/>
          <w:szCs w:val="70"/>
        </w:rPr>
      </w:pPr>
    </w:p>
    <w:p>
      <w:pPr>
        <w:widowControl/>
        <w:jc w:val="left"/>
        <w:rPr>
          <w:rFonts w:ascii="黑体" w:eastAsia="黑体" w:cs="黑体"/>
          <w:kern w:val="0"/>
          <w:sz w:val="70"/>
          <w:szCs w:val="70"/>
        </w:rPr>
      </w:pPr>
    </w:p>
    <w:p>
      <w:pPr>
        <w:widowControl/>
        <w:jc w:val="left"/>
        <w:rPr>
          <w:rFonts w:ascii="黑体" w:eastAsia="黑体" w:cs="黑体"/>
          <w:kern w:val="0"/>
          <w:sz w:val="70"/>
          <w:szCs w:val="70"/>
        </w:rPr>
      </w:pPr>
    </w:p>
    <w:p>
      <w:pPr>
        <w:pStyle w:val="13"/>
        <w:ind w:firstLine="640" w:firstLineChars="200"/>
        <w:rPr>
          <w:rFonts w:ascii="仿宋" w:hAnsi="仿宋" w:eastAsia="仿宋" w:cstheme="minorBidi"/>
          <w:color w:val="auto"/>
          <w:kern w:val="2"/>
          <w:sz w:val="32"/>
          <w:szCs w:val="32"/>
        </w:rPr>
      </w:pPr>
    </w:p>
    <w:p>
      <w:pPr>
        <w:jc w:val="center"/>
        <w:rPr>
          <w:rFonts w:ascii="方正小标宋_GBK" w:eastAsia="方正小标宋_GBK"/>
          <w:sz w:val="48"/>
          <w:szCs w:val="48"/>
        </w:rPr>
      </w:pPr>
    </w:p>
    <w:p>
      <w:pPr>
        <w:jc w:val="center"/>
        <w:rPr>
          <w:rFonts w:ascii="方正小标宋_GBK" w:eastAsia="方正小标宋_GBK"/>
          <w:sz w:val="48"/>
          <w:szCs w:val="48"/>
        </w:rPr>
      </w:pPr>
    </w:p>
    <w:p>
      <w:pPr>
        <w:jc w:val="center"/>
        <w:rPr>
          <w:rFonts w:ascii="方正小标宋_GBK" w:eastAsia="方正小标宋_GBK"/>
          <w:sz w:val="48"/>
          <w:szCs w:val="48"/>
        </w:rPr>
      </w:pPr>
    </w:p>
    <w:p>
      <w:pPr>
        <w:jc w:val="center"/>
        <w:rPr>
          <w:rFonts w:ascii="方正小标宋_GBK" w:eastAsia="方正小标宋_GBK"/>
          <w:sz w:val="48"/>
          <w:szCs w:val="48"/>
        </w:rPr>
      </w:pPr>
      <w:r>
        <w:rPr>
          <w:rFonts w:hint="eastAsia" w:ascii="方正小标宋_GBK" w:eastAsia="方正小标宋_GBK"/>
          <w:sz w:val="48"/>
          <w:szCs w:val="48"/>
        </w:rPr>
        <w:t>2021年度部门整体支出绩效自评报告</w:t>
      </w:r>
    </w:p>
    <w:p>
      <w:pPr>
        <w:adjustRightInd w:val="0"/>
        <w:spacing w:line="720" w:lineRule="auto"/>
        <w:jc w:val="center"/>
        <w:rPr>
          <w:rFonts w:ascii="黑体" w:hAnsi="黑体" w:eastAsia="黑体"/>
          <w:b/>
          <w:sz w:val="44"/>
          <w:szCs w:val="44"/>
        </w:rPr>
      </w:pPr>
    </w:p>
    <w:p>
      <w:pPr>
        <w:adjustRightInd w:val="0"/>
        <w:spacing w:line="720" w:lineRule="auto"/>
        <w:jc w:val="center"/>
        <w:rPr>
          <w:rFonts w:ascii="黑体" w:hAnsi="黑体" w:eastAsia="黑体"/>
          <w:b/>
          <w:sz w:val="44"/>
          <w:szCs w:val="44"/>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黑体" w:eastAsia="黑体"/>
          <w:b/>
          <w:sz w:val="32"/>
          <w:szCs w:val="32"/>
        </w:rPr>
      </w:pPr>
    </w:p>
    <w:p>
      <w:pPr>
        <w:adjustRightInd w:val="0"/>
        <w:jc w:val="center"/>
        <w:rPr>
          <w:rFonts w:ascii="黑体" w:hAnsi="Times New Roman" w:eastAsia="黑体" w:cs="Times New Roman"/>
          <w:sz w:val="44"/>
          <w:szCs w:val="44"/>
        </w:rPr>
      </w:pPr>
      <w:r>
        <w:rPr>
          <w:rFonts w:hint="eastAsia" w:ascii="黑体" w:hAnsi="Times New Roman" w:eastAsia="黑体" w:cs="Times New Roman"/>
          <w:sz w:val="44"/>
          <w:szCs w:val="44"/>
        </w:rPr>
        <w:t>湖南省长沙生态</w:t>
      </w:r>
      <w:r>
        <w:rPr>
          <w:rFonts w:ascii="黑体" w:hAnsi="Times New Roman" w:eastAsia="黑体" w:cs="Times New Roman"/>
          <w:sz w:val="44"/>
          <w:szCs w:val="44"/>
        </w:rPr>
        <w:t>环境监测中心</w:t>
      </w:r>
    </w:p>
    <w:p>
      <w:pPr>
        <w:adjustRightInd w:val="0"/>
        <w:jc w:val="center"/>
        <w:rPr>
          <w:rFonts w:ascii="黑体" w:hAnsi="Times New Roman" w:eastAsia="黑体" w:cs="Times New Roman"/>
          <w:sz w:val="44"/>
          <w:szCs w:val="44"/>
        </w:rPr>
      </w:pPr>
    </w:p>
    <w:p>
      <w:pPr>
        <w:adjustRightInd w:val="0"/>
        <w:rPr>
          <w:rFonts w:ascii="黑体" w:hAnsi="黑体" w:eastAsia="黑体"/>
          <w:b/>
          <w:sz w:val="36"/>
          <w:szCs w:val="36"/>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p>
    <w:p>
      <w:pPr>
        <w:adjustRightInd w:val="0"/>
        <w:spacing w:line="700" w:lineRule="exact"/>
        <w:jc w:val="center"/>
        <w:rPr>
          <w:rFonts w:asciiTheme="minorEastAsia" w:hAnsiTheme="minorEastAsia"/>
          <w:b/>
          <w:sz w:val="44"/>
          <w:szCs w:val="44"/>
        </w:rPr>
      </w:pPr>
      <w:r>
        <w:rPr>
          <w:rFonts w:hint="eastAsia" w:asciiTheme="minorEastAsia" w:hAnsiTheme="minorEastAsia"/>
          <w:b/>
          <w:sz w:val="44"/>
          <w:szCs w:val="44"/>
        </w:rPr>
        <w:t>湖南</w:t>
      </w:r>
      <w:r>
        <w:rPr>
          <w:rFonts w:asciiTheme="minorEastAsia" w:hAnsiTheme="minorEastAsia"/>
          <w:b/>
          <w:sz w:val="44"/>
          <w:szCs w:val="44"/>
        </w:rPr>
        <w:t>省长沙生态环境监测中心</w:t>
      </w:r>
    </w:p>
    <w:p>
      <w:pPr>
        <w:adjustRightInd w:val="0"/>
        <w:spacing w:line="700" w:lineRule="exact"/>
        <w:jc w:val="center"/>
        <w:rPr>
          <w:rFonts w:asciiTheme="minorEastAsia" w:hAnsiTheme="minorEastAsia"/>
          <w:b/>
          <w:sz w:val="44"/>
          <w:szCs w:val="44"/>
        </w:rPr>
      </w:pPr>
      <w:r>
        <w:rPr>
          <w:rFonts w:hint="eastAsia" w:asciiTheme="minorEastAsia" w:hAnsiTheme="minorEastAsia"/>
          <w:b/>
          <w:sz w:val="44"/>
          <w:szCs w:val="44"/>
        </w:rPr>
        <w:t>202</w:t>
      </w:r>
      <w:r>
        <w:rPr>
          <w:rFonts w:asciiTheme="minorEastAsia" w:hAnsiTheme="minorEastAsia"/>
          <w:b/>
          <w:sz w:val="44"/>
          <w:szCs w:val="44"/>
        </w:rPr>
        <w:t>1</w:t>
      </w:r>
      <w:r>
        <w:rPr>
          <w:rFonts w:hint="eastAsia" w:asciiTheme="minorEastAsia" w:hAnsiTheme="minorEastAsia"/>
          <w:b/>
          <w:sz w:val="44"/>
          <w:szCs w:val="44"/>
        </w:rPr>
        <w:t>年</w:t>
      </w:r>
      <w:r>
        <w:rPr>
          <w:rFonts w:asciiTheme="minorEastAsia" w:hAnsiTheme="minorEastAsia"/>
          <w:b/>
          <w:sz w:val="44"/>
          <w:szCs w:val="44"/>
        </w:rPr>
        <w:t>度部门整体支出绩效</w:t>
      </w:r>
      <w:r>
        <w:rPr>
          <w:rFonts w:hint="eastAsia" w:asciiTheme="minorEastAsia" w:hAnsiTheme="minorEastAsia"/>
          <w:b/>
          <w:sz w:val="44"/>
          <w:szCs w:val="44"/>
        </w:rPr>
        <w:t>自评</w:t>
      </w:r>
      <w:r>
        <w:rPr>
          <w:rFonts w:asciiTheme="minorEastAsia" w:hAnsiTheme="minorEastAsia"/>
          <w:b/>
          <w:sz w:val="44"/>
          <w:szCs w:val="44"/>
        </w:rPr>
        <w:t>报告</w:t>
      </w:r>
    </w:p>
    <w:p>
      <w:pPr>
        <w:snapToGrid w:val="0"/>
        <w:rPr>
          <w:rFonts w:ascii="仿宋" w:hAnsi="仿宋" w:eastAsia="仿宋"/>
          <w:color w:val="FF0000"/>
          <w:sz w:val="32"/>
          <w:szCs w:val="32"/>
        </w:rPr>
      </w:pP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根据</w:t>
      </w:r>
      <w:r>
        <w:rPr>
          <w:rFonts w:ascii="仿宋" w:hAnsi="仿宋" w:eastAsia="仿宋"/>
          <w:sz w:val="32"/>
          <w:szCs w:val="32"/>
        </w:rPr>
        <w:t>《湖南省财政厅关于开展2021年度部门整体支出绩效自评工作的通知》(湘财绩〔2021〕1号)文件精神，我中心对部门整体支出进行了绩效评价，现报告</w:t>
      </w:r>
      <w:r>
        <w:rPr>
          <w:rFonts w:hint="eastAsia" w:ascii="仿宋" w:hAnsi="仿宋" w:eastAsia="仿宋"/>
          <w:sz w:val="32"/>
          <w:szCs w:val="32"/>
        </w:rPr>
        <w:t>如</w:t>
      </w:r>
      <w:r>
        <w:rPr>
          <w:rFonts w:ascii="仿宋" w:hAnsi="仿宋" w:eastAsia="仿宋"/>
          <w:sz w:val="32"/>
          <w:szCs w:val="32"/>
        </w:rPr>
        <w:t>下：</w:t>
      </w:r>
    </w:p>
    <w:p>
      <w:pPr>
        <w:snapToGrid w:val="0"/>
        <w:spacing w:line="360" w:lineRule="auto"/>
        <w:ind w:firstLine="640" w:firstLineChars="200"/>
        <w:rPr>
          <w:rFonts w:ascii="仿宋" w:hAnsi="仿宋" w:eastAsia="仿宋"/>
          <w:color w:val="FF0000"/>
          <w:sz w:val="32"/>
          <w:szCs w:val="32"/>
        </w:rPr>
      </w:pPr>
      <w:r>
        <w:rPr>
          <w:rFonts w:hint="eastAsia" w:ascii="黑体" w:hAnsi="黑体" w:eastAsia="黑体"/>
          <w:sz w:val="32"/>
          <w:szCs w:val="32"/>
        </w:rPr>
        <w:t>一、部门、单位基本情况</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1.职能职责：</w:t>
      </w:r>
      <w:r>
        <w:rPr>
          <w:rFonts w:ascii="Calibri" w:hAnsi="Calibri" w:eastAsia="仿宋" w:cs="Calibri"/>
          <w:sz w:val="32"/>
          <w:szCs w:val="32"/>
        </w:rPr>
        <w:t> </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（1）按照湖南省年度生态环境监测方案，对本市辖区范围内水、气、土、声、生物等环境要素开展环境质量例行监测，收集汇总、分析整理和存储环境监测数据，评价环境质量状况，掌握环境质量变化趋势。</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组织编写本市环境质量概要，环境质量报告书和环境监测简报、月报、季报、快报。定期向同级生态环境主管部门和上级监测部门呈报本市环境质量状况和污染动态的技术报告，为各级人民政府制定生态环境计划、规划和决策提供技术支持。</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（3）组织开展本市污染源调查，建立健全污染源档案；对全市各类污染物排放源进行定期年检和不定期监督监测，掌握污染源排污达标情况和污染物排放总量，为污染源管理和排污收费提供监测数据。</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（4）受各级生态环境行政主管部门和其他监督管理部门委托，参与本市环境污染事件的调查，负责突发性环境污染事故应急监测和污染纠纷仲裁监测。</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（5）负责全市环境统计工作和“城考”相关指标的统计上报。</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（6）制订本市生态环境监测发展规划和计划，并负责具体实施。</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（7）组织协调本市环境监测网开展环境监测，督促指导三级站标准化建设和计量认证工作，负责全市生态环境监测系统的技术交流、人员培训和业务考核。</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（8）参与制订和修订地方环境标准和技术规定，承担国家测试技术和分析方法的验证工作，开展环境监测科研，促进监测技术的发展。</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2.机构设置及人员情况</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中心现有内设机构8个，包括办公室(财务科)、人事教育科（党委办）、综合</w:t>
      </w:r>
      <w:r>
        <w:rPr>
          <w:rFonts w:ascii="仿宋" w:hAnsi="仿宋" w:eastAsia="仿宋"/>
          <w:sz w:val="32"/>
          <w:szCs w:val="32"/>
        </w:rPr>
        <w:t>技术科、分析技术</w:t>
      </w:r>
      <w:r>
        <w:rPr>
          <w:rFonts w:hint="eastAsia" w:ascii="仿宋" w:hAnsi="仿宋" w:eastAsia="仿宋"/>
          <w:sz w:val="32"/>
          <w:szCs w:val="32"/>
        </w:rPr>
        <w:t>室</w:t>
      </w:r>
      <w:r>
        <w:rPr>
          <w:rFonts w:ascii="仿宋" w:hAnsi="仿宋" w:eastAsia="仿宋"/>
          <w:sz w:val="32"/>
          <w:szCs w:val="32"/>
        </w:rPr>
        <w:t>、水环境监测科、大气环境监测科、</w:t>
      </w:r>
      <w:r>
        <w:rPr>
          <w:rFonts w:hint="eastAsia" w:ascii="仿宋" w:hAnsi="仿宋" w:eastAsia="仿宋"/>
          <w:sz w:val="32"/>
          <w:szCs w:val="32"/>
        </w:rPr>
        <w:t>质量管理科、污染源监测管理（辐射环境</w:t>
      </w:r>
      <w:r>
        <w:rPr>
          <w:rFonts w:ascii="仿宋" w:hAnsi="仿宋" w:eastAsia="仿宋"/>
          <w:sz w:val="32"/>
          <w:szCs w:val="32"/>
        </w:rPr>
        <w:t>监测</w:t>
      </w:r>
      <w:r>
        <w:rPr>
          <w:rFonts w:hint="eastAsia" w:ascii="仿宋" w:hAnsi="仿宋" w:eastAsia="仿宋"/>
          <w:sz w:val="32"/>
          <w:szCs w:val="32"/>
        </w:rPr>
        <w:t>）科。</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中心现有全额拨款事业编制</w:t>
      </w:r>
      <w:r>
        <w:rPr>
          <w:rFonts w:ascii="仿宋" w:hAnsi="仿宋" w:eastAsia="仿宋"/>
          <w:sz w:val="32"/>
          <w:szCs w:val="32"/>
        </w:rPr>
        <w:t>83</w:t>
      </w:r>
      <w:r>
        <w:rPr>
          <w:rFonts w:hint="eastAsia" w:ascii="仿宋" w:hAnsi="仿宋" w:eastAsia="仿宋"/>
          <w:sz w:val="32"/>
          <w:szCs w:val="32"/>
        </w:rPr>
        <w:t>个，截至202</w:t>
      </w:r>
      <w:r>
        <w:rPr>
          <w:rFonts w:ascii="仿宋" w:hAnsi="仿宋" w:eastAsia="仿宋"/>
          <w:sz w:val="32"/>
          <w:szCs w:val="32"/>
        </w:rPr>
        <w:t>1</w:t>
      </w:r>
      <w:r>
        <w:rPr>
          <w:rFonts w:hint="eastAsia" w:ascii="仿宋" w:hAnsi="仿宋" w:eastAsia="仿宋"/>
          <w:sz w:val="32"/>
          <w:szCs w:val="32"/>
        </w:rPr>
        <w:t>年末，实有在职职工7</w:t>
      </w:r>
      <w:r>
        <w:rPr>
          <w:rFonts w:ascii="仿宋" w:hAnsi="仿宋" w:eastAsia="仿宋"/>
          <w:sz w:val="32"/>
          <w:szCs w:val="32"/>
        </w:rPr>
        <w:t>1</w:t>
      </w:r>
      <w:r>
        <w:rPr>
          <w:rFonts w:hint="eastAsia" w:ascii="仿宋" w:hAnsi="仿宋" w:eastAsia="仿宋"/>
          <w:sz w:val="32"/>
          <w:szCs w:val="32"/>
        </w:rPr>
        <w:t>人，退休人员6</w:t>
      </w:r>
      <w:r>
        <w:rPr>
          <w:rFonts w:ascii="仿宋" w:hAnsi="仿宋" w:eastAsia="仿宋"/>
          <w:sz w:val="32"/>
          <w:szCs w:val="32"/>
        </w:rPr>
        <w:t>3</w:t>
      </w:r>
      <w:r>
        <w:rPr>
          <w:rFonts w:hint="eastAsia" w:ascii="仿宋" w:hAnsi="仿宋" w:eastAsia="仿宋"/>
          <w:sz w:val="32"/>
          <w:szCs w:val="32"/>
        </w:rPr>
        <w:t>人，长期聘用人员12人。</w:t>
      </w:r>
    </w:p>
    <w:p>
      <w:pPr>
        <w:snapToGrid w:val="0"/>
        <w:ind w:firstLine="640" w:firstLineChars="200"/>
        <w:rPr>
          <w:rFonts w:ascii="黑体" w:hAnsi="黑体" w:eastAsia="黑体"/>
          <w:sz w:val="32"/>
          <w:szCs w:val="32"/>
        </w:rPr>
      </w:pPr>
      <w:bookmarkStart w:id="1" w:name="_Toc71830717"/>
      <w:r>
        <w:rPr>
          <w:rFonts w:ascii="黑体" w:hAnsi="黑体" w:eastAsia="黑体"/>
          <w:sz w:val="32"/>
          <w:szCs w:val="32"/>
        </w:rPr>
        <w:t>二、</w:t>
      </w:r>
      <w:r>
        <w:rPr>
          <w:rFonts w:hint="eastAsia" w:ascii="黑体" w:hAnsi="黑体" w:eastAsia="黑体"/>
          <w:sz w:val="32"/>
          <w:szCs w:val="32"/>
        </w:rPr>
        <w:t>一般</w:t>
      </w:r>
      <w:r>
        <w:rPr>
          <w:rFonts w:ascii="黑体" w:hAnsi="黑体" w:eastAsia="黑体"/>
          <w:sz w:val="32"/>
          <w:szCs w:val="32"/>
        </w:rPr>
        <w:t>公共预算支出情况</w:t>
      </w:r>
      <w:bookmarkEnd w:id="1"/>
    </w:p>
    <w:p>
      <w:pPr>
        <w:snapToGrid w:val="0"/>
        <w:ind w:firstLine="640" w:firstLineChars="200"/>
        <w:rPr>
          <w:rFonts w:ascii="黑体" w:hAnsi="黑体" w:eastAsia="黑体"/>
          <w:sz w:val="32"/>
          <w:szCs w:val="32"/>
        </w:rPr>
      </w:pPr>
    </w:p>
    <w:p>
      <w:pPr>
        <w:spacing w:line="360" w:lineRule="auto"/>
        <w:ind w:firstLine="640" w:firstLineChars="200"/>
        <w:outlineLvl w:val="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年我中心一般公共预算收入决算数1776.96为万元，其中上年结转</w:t>
      </w:r>
      <w:r>
        <w:rPr>
          <w:rFonts w:ascii="仿宋" w:hAnsi="仿宋" w:eastAsia="仿宋"/>
          <w:sz w:val="32"/>
          <w:szCs w:val="32"/>
        </w:rPr>
        <w:t>502.65</w:t>
      </w:r>
      <w:r>
        <w:rPr>
          <w:rFonts w:hint="eastAsia" w:ascii="仿宋" w:hAnsi="仿宋" w:eastAsia="仿宋"/>
          <w:sz w:val="32"/>
          <w:szCs w:val="32"/>
        </w:rPr>
        <w:t xml:space="preserve"> 万元，本年收入3950.74万元万元，年初预算3036.31万元（包括市级财政经费1367.35万元），年中预算增加</w:t>
      </w:r>
      <w:r>
        <w:rPr>
          <w:rFonts w:ascii="仿宋" w:hAnsi="仿宋" w:eastAsia="仿宋"/>
          <w:sz w:val="32"/>
          <w:szCs w:val="32"/>
        </w:rPr>
        <w:t>914.43</w:t>
      </w:r>
      <w:r>
        <w:rPr>
          <w:rFonts w:hint="eastAsia" w:ascii="仿宋" w:hAnsi="仿宋" w:eastAsia="仿宋"/>
          <w:sz w:val="32"/>
          <w:szCs w:val="32"/>
        </w:rPr>
        <w:t>万元,主要原因为：主要是以下原因： 一是2021年部分公</w:t>
      </w:r>
      <w:r>
        <w:rPr>
          <w:rFonts w:ascii="仿宋" w:hAnsi="仿宋" w:eastAsia="仿宋"/>
          <w:sz w:val="32"/>
          <w:szCs w:val="32"/>
        </w:rPr>
        <w:t>共</w:t>
      </w:r>
      <w:r>
        <w:rPr>
          <w:rFonts w:hint="eastAsia" w:ascii="仿宋" w:hAnsi="仿宋" w:eastAsia="仿宋"/>
          <w:sz w:val="32"/>
          <w:szCs w:val="32"/>
        </w:rPr>
        <w:t>项目年初未纳入我</w:t>
      </w:r>
      <w:r>
        <w:rPr>
          <w:rFonts w:ascii="仿宋" w:hAnsi="仿宋" w:eastAsia="仿宋"/>
          <w:sz w:val="32"/>
          <w:szCs w:val="32"/>
        </w:rPr>
        <w:t>单位</w:t>
      </w:r>
      <w:r>
        <w:rPr>
          <w:rFonts w:hint="eastAsia" w:ascii="仿宋" w:hAnsi="仿宋" w:eastAsia="仿宋"/>
          <w:sz w:val="32"/>
          <w:szCs w:val="32"/>
        </w:rPr>
        <w:t>预算，由</w:t>
      </w:r>
      <w:r>
        <w:rPr>
          <w:rFonts w:ascii="仿宋" w:hAnsi="仿宋" w:eastAsia="仿宋"/>
          <w:sz w:val="32"/>
          <w:szCs w:val="32"/>
        </w:rPr>
        <w:t>市环保局统一</w:t>
      </w:r>
      <w:r>
        <w:rPr>
          <w:rFonts w:hint="eastAsia" w:ascii="仿宋" w:hAnsi="仿宋" w:eastAsia="仿宋"/>
          <w:sz w:val="32"/>
          <w:szCs w:val="32"/>
        </w:rPr>
        <w:t>安排</w:t>
      </w:r>
      <w:r>
        <w:rPr>
          <w:rFonts w:ascii="仿宋" w:hAnsi="仿宋" w:eastAsia="仿宋"/>
          <w:sz w:val="32"/>
          <w:szCs w:val="32"/>
        </w:rPr>
        <w:t>预算</w:t>
      </w:r>
      <w:r>
        <w:rPr>
          <w:rFonts w:hint="eastAsia" w:ascii="仿宋" w:hAnsi="仿宋" w:eastAsia="仿宋"/>
          <w:sz w:val="32"/>
          <w:szCs w:val="32"/>
        </w:rPr>
        <w:t>；二</w:t>
      </w:r>
      <w:r>
        <w:rPr>
          <w:rFonts w:ascii="仿宋" w:hAnsi="仿宋" w:eastAsia="仿宋"/>
          <w:sz w:val="32"/>
          <w:szCs w:val="32"/>
        </w:rPr>
        <w:t>是</w:t>
      </w:r>
      <w:r>
        <w:rPr>
          <w:rFonts w:hint="eastAsia" w:ascii="仿宋" w:hAnsi="仿宋" w:eastAsia="仿宋"/>
          <w:sz w:val="32"/>
          <w:szCs w:val="32"/>
        </w:rPr>
        <w:t>2021年长沙市空气质量精细化监管（微站）建设项目资金524.84万元是</w:t>
      </w:r>
      <w:r>
        <w:rPr>
          <w:rFonts w:ascii="仿宋" w:hAnsi="仿宋" w:eastAsia="仿宋"/>
          <w:sz w:val="32"/>
          <w:szCs w:val="32"/>
        </w:rPr>
        <w:t>由</w:t>
      </w:r>
      <w:r>
        <w:rPr>
          <w:rFonts w:hint="eastAsia" w:ascii="仿宋" w:hAnsi="仿宋" w:eastAsia="仿宋"/>
          <w:sz w:val="32"/>
          <w:szCs w:val="32"/>
        </w:rPr>
        <w:t>市</w:t>
      </w:r>
      <w:r>
        <w:rPr>
          <w:rFonts w:ascii="仿宋" w:hAnsi="仿宋" w:eastAsia="仿宋"/>
          <w:sz w:val="32"/>
          <w:szCs w:val="32"/>
        </w:rPr>
        <w:t>财政局归</w:t>
      </w:r>
      <w:r>
        <w:rPr>
          <w:rFonts w:hint="eastAsia" w:ascii="仿宋" w:hAnsi="仿宋" w:eastAsia="仿宋"/>
          <w:sz w:val="32"/>
          <w:szCs w:val="32"/>
        </w:rPr>
        <w:t>集</w:t>
      </w:r>
      <w:r>
        <w:rPr>
          <w:rFonts w:ascii="仿宋" w:hAnsi="仿宋" w:eastAsia="仿宋"/>
          <w:sz w:val="32"/>
          <w:szCs w:val="32"/>
        </w:rPr>
        <w:t>区县资金；</w:t>
      </w:r>
      <w:r>
        <w:rPr>
          <w:rFonts w:hint="eastAsia" w:ascii="仿宋" w:hAnsi="仿宋" w:eastAsia="仿宋"/>
          <w:sz w:val="32"/>
          <w:szCs w:val="32"/>
        </w:rPr>
        <w:t>三</w:t>
      </w:r>
      <w:r>
        <w:rPr>
          <w:rFonts w:ascii="仿宋" w:hAnsi="仿宋" w:eastAsia="仿宋"/>
          <w:sz w:val="32"/>
          <w:szCs w:val="32"/>
        </w:rPr>
        <w:t>是</w:t>
      </w:r>
      <w:r>
        <w:rPr>
          <w:rFonts w:hint="eastAsia" w:ascii="仿宋" w:hAnsi="仿宋" w:eastAsia="仿宋"/>
          <w:sz w:val="32"/>
          <w:szCs w:val="32"/>
        </w:rPr>
        <w:t>土壤能力建设项目90万由上</w:t>
      </w:r>
      <w:r>
        <w:rPr>
          <w:rFonts w:ascii="仿宋" w:hAnsi="仿宋" w:eastAsia="仿宋"/>
          <w:sz w:val="32"/>
          <w:szCs w:val="32"/>
        </w:rPr>
        <w:t>级部门统一安排预算</w:t>
      </w:r>
      <w:r>
        <w:rPr>
          <w:rFonts w:hint="eastAsia" w:ascii="仿宋" w:hAnsi="仿宋" w:eastAsia="仿宋"/>
          <w:sz w:val="32"/>
          <w:szCs w:val="32"/>
        </w:rPr>
        <w:t>。</w:t>
      </w:r>
    </w:p>
    <w:p>
      <w:pPr>
        <w:autoSpaceDE w:val="0"/>
        <w:autoSpaceDN w:val="0"/>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w:t>
      </w:r>
      <w:r>
        <w:rPr>
          <w:rFonts w:ascii="黑体" w:hAnsi="黑体" w:eastAsia="黑体" w:cs="黑体"/>
          <w:color w:val="000000"/>
          <w:sz w:val="32"/>
          <w:szCs w:val="32"/>
        </w:rPr>
        <w:t>）</w:t>
      </w:r>
      <w:r>
        <w:rPr>
          <w:rFonts w:hint="eastAsia" w:ascii="黑体" w:hAnsi="黑体" w:eastAsia="黑体" w:cs="黑体"/>
          <w:color w:val="000000"/>
          <w:sz w:val="32"/>
          <w:szCs w:val="32"/>
        </w:rPr>
        <w:t>基本支出</w:t>
      </w:r>
      <w:r>
        <w:rPr>
          <w:rFonts w:ascii="黑体" w:hAnsi="黑体" w:eastAsia="黑体" w:cs="黑体"/>
          <w:color w:val="000000"/>
          <w:sz w:val="32"/>
          <w:szCs w:val="32"/>
        </w:rPr>
        <w:t>情况</w:t>
      </w:r>
    </w:p>
    <w:p>
      <w:pPr>
        <w:ind w:firstLine="640" w:firstLineChars="200"/>
        <w:outlineLvl w:val="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年我中心纳入绩效自评范围的基本支出</w:t>
      </w:r>
      <w:r>
        <w:rPr>
          <w:rFonts w:ascii="仿宋" w:hAnsi="仿宋" w:eastAsia="仿宋"/>
          <w:sz w:val="32"/>
          <w:szCs w:val="32"/>
        </w:rPr>
        <w:t>2882</w:t>
      </w:r>
      <w:r>
        <w:rPr>
          <w:rFonts w:hint="eastAsia" w:ascii="仿宋" w:hAnsi="仿宋" w:eastAsia="仿宋"/>
          <w:sz w:val="32"/>
          <w:szCs w:val="32"/>
        </w:rPr>
        <w:t>万元，总支出4348.93万元</w:t>
      </w:r>
      <w:r>
        <w:rPr>
          <w:rFonts w:ascii="仿宋" w:hAnsi="仿宋" w:eastAsia="仿宋"/>
          <w:sz w:val="32"/>
          <w:szCs w:val="32"/>
        </w:rPr>
        <w:t>，占支出总额的66.3%</w:t>
      </w:r>
      <w:r>
        <w:rPr>
          <w:rFonts w:hint="eastAsia" w:ascii="仿宋" w:hAnsi="仿宋" w:eastAsia="仿宋"/>
          <w:sz w:val="32"/>
          <w:szCs w:val="32"/>
        </w:rPr>
        <w:t>。其中</w:t>
      </w:r>
      <w:r>
        <w:rPr>
          <w:rFonts w:ascii="仿宋" w:hAnsi="仿宋" w:eastAsia="仿宋"/>
          <w:sz w:val="32"/>
          <w:szCs w:val="32"/>
        </w:rPr>
        <w:t>：</w:t>
      </w:r>
      <w:r>
        <w:rPr>
          <w:rFonts w:hint="eastAsia" w:ascii="仿宋" w:hAnsi="仿宋" w:eastAsia="仿宋"/>
          <w:sz w:val="32"/>
          <w:szCs w:val="32"/>
        </w:rPr>
        <w:t>工资</w:t>
      </w:r>
      <w:r>
        <w:rPr>
          <w:rFonts w:ascii="仿宋" w:hAnsi="仿宋" w:eastAsia="仿宋"/>
          <w:sz w:val="32"/>
          <w:szCs w:val="32"/>
        </w:rPr>
        <w:t>福利支出2087.84</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sz w:val="32"/>
          <w:szCs w:val="32"/>
        </w:rPr>
        <w:t>商品</w:t>
      </w:r>
      <w:r>
        <w:rPr>
          <w:rFonts w:ascii="仿宋" w:hAnsi="仿宋" w:eastAsia="仿宋"/>
          <w:sz w:val="32"/>
          <w:szCs w:val="32"/>
        </w:rPr>
        <w:t>和服务支出307.5</w:t>
      </w:r>
      <w:r>
        <w:rPr>
          <w:rFonts w:hint="eastAsia" w:ascii="仿宋" w:hAnsi="仿宋" w:eastAsia="仿宋"/>
          <w:sz w:val="32"/>
          <w:szCs w:val="32"/>
        </w:rPr>
        <w:t>万</w:t>
      </w:r>
      <w:r>
        <w:rPr>
          <w:rFonts w:ascii="仿宋" w:hAnsi="仿宋" w:eastAsia="仿宋"/>
          <w:sz w:val="32"/>
          <w:szCs w:val="32"/>
        </w:rPr>
        <w:t>元，对个人和家庭的补助支出480.8</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sz w:val="32"/>
          <w:szCs w:val="32"/>
        </w:rPr>
        <w:t>，资</w:t>
      </w:r>
      <w:r>
        <w:rPr>
          <w:rFonts w:ascii="仿宋" w:hAnsi="仿宋" w:eastAsia="仿宋"/>
          <w:sz w:val="32"/>
          <w:szCs w:val="32"/>
        </w:rPr>
        <w:t>本性支出5.87</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sz w:val="32"/>
          <w:szCs w:val="32"/>
        </w:rPr>
        <w:t>基本支出主要用于在职人员基本工资、津贴补贴、绩效工资、奖金、住房公积金、社会保障费、临聘人员工资福利及离退休人员福利等人员经费和办公费、印刷费、水电、邮电费、差旅费、维修</w:t>
      </w:r>
      <w:r>
        <w:rPr>
          <w:rFonts w:ascii="仿宋" w:hAnsi="仿宋" w:eastAsia="仿宋"/>
          <w:sz w:val="32"/>
          <w:szCs w:val="32"/>
        </w:rPr>
        <w:t>（</w:t>
      </w:r>
      <w:r>
        <w:rPr>
          <w:rFonts w:hint="eastAsia" w:ascii="仿宋" w:hAnsi="仿宋" w:eastAsia="仿宋"/>
          <w:sz w:val="32"/>
          <w:szCs w:val="32"/>
        </w:rPr>
        <w:t>护</w:t>
      </w:r>
      <w:r>
        <w:rPr>
          <w:rFonts w:ascii="仿宋" w:hAnsi="仿宋" w:eastAsia="仿宋"/>
          <w:sz w:val="32"/>
          <w:szCs w:val="32"/>
        </w:rPr>
        <w:t>）</w:t>
      </w:r>
      <w:r>
        <w:rPr>
          <w:rFonts w:hint="eastAsia" w:ascii="仿宋" w:hAnsi="仿宋" w:eastAsia="仿宋"/>
          <w:sz w:val="32"/>
          <w:szCs w:val="32"/>
        </w:rPr>
        <w:t>费</w:t>
      </w:r>
      <w:r>
        <w:rPr>
          <w:rFonts w:ascii="仿宋" w:hAnsi="仿宋" w:eastAsia="仿宋"/>
          <w:sz w:val="32"/>
          <w:szCs w:val="32"/>
        </w:rPr>
        <w:t>、</w:t>
      </w:r>
      <w:r>
        <w:rPr>
          <w:rFonts w:hint="eastAsia" w:ascii="仿宋" w:hAnsi="仿宋" w:eastAsia="仿宋"/>
          <w:sz w:val="32"/>
          <w:szCs w:val="32"/>
        </w:rPr>
        <w:t>培训费、会议费</w:t>
      </w:r>
      <w:r>
        <w:rPr>
          <w:rFonts w:ascii="仿宋" w:hAnsi="仿宋" w:eastAsia="仿宋"/>
          <w:sz w:val="32"/>
          <w:szCs w:val="32"/>
        </w:rPr>
        <w:t>、</w:t>
      </w:r>
      <w:r>
        <w:rPr>
          <w:rFonts w:hint="eastAsia" w:ascii="仿宋" w:hAnsi="仿宋" w:eastAsia="仿宋"/>
          <w:sz w:val="32"/>
          <w:szCs w:val="32"/>
        </w:rPr>
        <w:t>工会经费、劳务费、</w:t>
      </w:r>
      <w:r>
        <w:rPr>
          <w:rFonts w:ascii="仿宋" w:hAnsi="仿宋" w:eastAsia="仿宋"/>
          <w:sz w:val="32"/>
          <w:szCs w:val="32"/>
        </w:rPr>
        <w:t>福利</w:t>
      </w:r>
      <w:r>
        <w:rPr>
          <w:rFonts w:hint="eastAsia" w:ascii="仿宋" w:hAnsi="仿宋" w:eastAsia="仿宋"/>
          <w:sz w:val="32"/>
          <w:szCs w:val="32"/>
        </w:rPr>
        <w:t>费、公务用车</w:t>
      </w:r>
      <w:r>
        <w:rPr>
          <w:rFonts w:ascii="仿宋" w:hAnsi="仿宋" w:eastAsia="仿宋"/>
          <w:sz w:val="32"/>
          <w:szCs w:val="32"/>
        </w:rPr>
        <w:t>运维</w:t>
      </w:r>
      <w:r>
        <w:rPr>
          <w:rFonts w:hint="eastAsia" w:ascii="仿宋" w:hAnsi="仿宋" w:eastAsia="仿宋"/>
          <w:sz w:val="32"/>
          <w:szCs w:val="32"/>
        </w:rPr>
        <w:t>费</w:t>
      </w:r>
      <w:r>
        <w:rPr>
          <w:rFonts w:ascii="仿宋" w:hAnsi="仿宋" w:eastAsia="仿宋"/>
          <w:sz w:val="32"/>
          <w:szCs w:val="32"/>
        </w:rPr>
        <w:t>、其他交通费用、公务接待</w:t>
      </w:r>
      <w:r>
        <w:rPr>
          <w:rFonts w:hint="eastAsia" w:ascii="仿宋" w:hAnsi="仿宋" w:eastAsia="仿宋"/>
          <w:sz w:val="32"/>
          <w:szCs w:val="32"/>
        </w:rPr>
        <w:t>等日常公用经费。</w:t>
      </w:r>
    </w:p>
    <w:p>
      <w:pPr>
        <w:autoSpaceDE w:val="0"/>
        <w:autoSpaceDN w:val="0"/>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（二）项目支出情况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年我中心纳入本次绩效自评范围的项目支出本年预算</w:t>
      </w:r>
      <w:r>
        <w:rPr>
          <w:rFonts w:ascii="仿宋" w:hAnsi="仿宋" w:eastAsia="仿宋"/>
          <w:sz w:val="32"/>
          <w:szCs w:val="32"/>
        </w:rPr>
        <w:t>149.49</w:t>
      </w:r>
      <w:r>
        <w:rPr>
          <w:rFonts w:hint="eastAsia" w:ascii="仿宋" w:hAnsi="仿宋" w:eastAsia="仿宋"/>
          <w:sz w:val="32"/>
          <w:szCs w:val="32"/>
        </w:rPr>
        <w:t>万元</w:t>
      </w:r>
      <w:r>
        <w:rPr>
          <w:rFonts w:ascii="仿宋" w:hAnsi="仿宋" w:eastAsia="仿宋"/>
          <w:sz w:val="32"/>
          <w:szCs w:val="32"/>
        </w:rPr>
        <w:t>，本年实际支出</w:t>
      </w:r>
      <w:r>
        <w:rPr>
          <w:rFonts w:hint="eastAsia" w:ascii="仿宋" w:hAnsi="仿宋" w:eastAsia="仿宋"/>
          <w:sz w:val="32"/>
          <w:szCs w:val="32"/>
        </w:rPr>
        <w:t>80.79万元。因单位垂改，2021年项目支出预算787.39万元，实际支出1466.92万元，包含省市两级支出，市级支出将纳入市级自评范围。纳入此次省级绩效自评范围的预算数为149.49万元，决算数80.79万元。其余为省级能力建设资金及环保专项资金，省厅将另行组织开展自评，此次不纳入部门整体支出绩效自评范围。</w:t>
      </w:r>
    </w:p>
    <w:p>
      <w:pPr>
        <w:ind w:firstLine="640" w:firstLineChars="200"/>
        <w:rPr>
          <w:rFonts w:ascii="仿宋" w:hAnsi="仿宋" w:eastAsia="仿宋"/>
          <w:sz w:val="32"/>
          <w:szCs w:val="32"/>
        </w:rPr>
      </w:pPr>
      <w:r>
        <w:rPr>
          <w:rFonts w:hint="eastAsia" w:ascii="仿宋" w:hAnsi="仿宋" w:eastAsia="仿宋"/>
          <w:sz w:val="32"/>
          <w:szCs w:val="32"/>
        </w:rPr>
        <w:t>1.纳入本次</w:t>
      </w:r>
      <w:r>
        <w:rPr>
          <w:rFonts w:ascii="仿宋" w:hAnsi="仿宋" w:eastAsia="仿宋"/>
          <w:sz w:val="32"/>
          <w:szCs w:val="32"/>
        </w:rPr>
        <w:t>绩效业务专项资金使用情况</w:t>
      </w:r>
    </w:p>
    <w:p>
      <w:pPr>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年我中心业务专项项目预算</w:t>
      </w:r>
      <w:r>
        <w:rPr>
          <w:rFonts w:ascii="仿宋_GB2312" w:hAnsi="仿宋_GB2312" w:eastAsia="仿宋_GB2312" w:cs="仿宋_GB2312"/>
          <w:sz w:val="32"/>
          <w:szCs w:val="32"/>
        </w:rPr>
        <w:t>数为149.49</w:t>
      </w:r>
      <w:r>
        <w:rPr>
          <w:rFonts w:hint="eastAsia" w:ascii="仿宋_GB2312" w:hAnsi="仿宋_GB2312" w:eastAsia="仿宋_GB2312" w:cs="仿宋_GB2312"/>
          <w:sz w:val="32"/>
          <w:szCs w:val="32"/>
        </w:rPr>
        <w:t>万元，其中环境</w:t>
      </w:r>
      <w:r>
        <w:rPr>
          <w:rFonts w:ascii="仿宋_GB2312" w:hAnsi="仿宋_GB2312" w:eastAsia="仿宋_GB2312" w:cs="仿宋_GB2312"/>
          <w:sz w:val="32"/>
          <w:szCs w:val="32"/>
        </w:rPr>
        <w:t>质量监测经费</w:t>
      </w:r>
      <w:r>
        <w:rPr>
          <w:rFonts w:hint="eastAsia" w:ascii="仿宋_GB2312" w:hAnsi="仿宋_GB2312" w:eastAsia="仿宋_GB2312" w:cs="仿宋_GB2312"/>
          <w:sz w:val="32"/>
          <w:szCs w:val="32"/>
        </w:rPr>
        <w:t>109.49万元，仪器设备</w:t>
      </w:r>
      <w:r>
        <w:rPr>
          <w:rFonts w:ascii="仿宋_GB2312" w:hAnsi="仿宋_GB2312" w:eastAsia="仿宋_GB2312" w:cs="仿宋_GB2312"/>
          <w:sz w:val="32"/>
          <w:szCs w:val="32"/>
        </w:rPr>
        <w:t>购置经费</w:t>
      </w:r>
      <w:r>
        <w:rPr>
          <w:rFonts w:hint="eastAsia" w:ascii="仿宋_GB2312" w:hAnsi="仿宋_GB2312" w:eastAsia="仿宋_GB2312" w:cs="仿宋_GB2312"/>
          <w:sz w:val="32"/>
          <w:szCs w:val="32"/>
        </w:rPr>
        <w:t>40万元，决算数为80.79万元。</w:t>
      </w:r>
    </w:p>
    <w:p>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2.其他</w:t>
      </w:r>
      <w:r>
        <w:rPr>
          <w:rFonts w:ascii="仿宋_GB2312" w:hAnsi="仿宋_GB2312" w:eastAsia="仿宋_GB2312" w:cs="仿宋_GB2312"/>
          <w:sz w:val="32"/>
          <w:szCs w:val="32"/>
        </w:rPr>
        <w:t>项目支出使用情况</w:t>
      </w:r>
      <w:r>
        <w:rPr>
          <w:rFonts w:hint="eastAsia" w:ascii="仿宋_GB2312" w:hAnsi="仿宋_GB2312" w:eastAsia="仿宋_GB2312" w:cs="仿宋_GB2312"/>
          <w:sz w:val="32"/>
          <w:szCs w:val="32"/>
        </w:rPr>
        <w:t>(省市两</w:t>
      </w:r>
      <w:r>
        <w:rPr>
          <w:rFonts w:ascii="仿宋_GB2312" w:hAnsi="仿宋_GB2312" w:eastAsia="仿宋_GB2312" w:cs="仿宋_GB2312"/>
          <w:sz w:val="32"/>
          <w:szCs w:val="32"/>
        </w:rPr>
        <w:t>级项目资金</w:t>
      </w:r>
      <w:r>
        <w:rPr>
          <w:rFonts w:hint="eastAsia" w:ascii="仿宋_GB2312" w:hAnsi="仿宋_GB2312" w:eastAsia="仿宋_GB2312" w:cs="仿宋_GB2312"/>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)专用仪器设备购置经费(市</w:t>
      </w:r>
      <w:r>
        <w:rPr>
          <w:rFonts w:ascii="仿宋" w:hAnsi="仿宋" w:eastAsia="仿宋"/>
          <w:sz w:val="32"/>
          <w:szCs w:val="32"/>
        </w:rPr>
        <w:t>级</w:t>
      </w:r>
      <w:r>
        <w:rPr>
          <w:rFonts w:hint="eastAsia" w:ascii="仿宋" w:hAnsi="仿宋" w:eastAsia="仿宋"/>
          <w:sz w:val="32"/>
          <w:szCs w:val="32"/>
        </w:rPr>
        <w:t>)</w:t>
      </w:r>
      <w:r>
        <w:rPr>
          <w:rFonts w:ascii="仿宋" w:hAnsi="仿宋" w:eastAsia="仿宋"/>
          <w:sz w:val="32"/>
          <w:szCs w:val="32"/>
        </w:rPr>
        <w:t>23.72</w:t>
      </w:r>
      <w:r>
        <w:rPr>
          <w:rFonts w:hint="eastAsia" w:ascii="仿宋" w:hAnsi="仿宋" w:eastAsia="仿宋"/>
          <w:sz w:val="32"/>
          <w:szCs w:val="32"/>
        </w:rPr>
        <w:t>万元。主要包括采样、分析仪器及配套办公设备的购置支出。</w:t>
      </w:r>
    </w:p>
    <w:p>
      <w:pPr>
        <w:ind w:firstLine="640" w:firstLineChars="200"/>
        <w:outlineLvl w:val="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)环境质量监测经费</w:t>
      </w:r>
      <w:r>
        <w:rPr>
          <w:rFonts w:ascii="仿宋" w:hAnsi="仿宋" w:eastAsia="仿宋"/>
          <w:sz w:val="32"/>
          <w:szCs w:val="32"/>
        </w:rPr>
        <w:t>151.15</w:t>
      </w:r>
      <w:r>
        <w:rPr>
          <w:rFonts w:hint="eastAsia" w:ascii="仿宋" w:hAnsi="仿宋" w:eastAsia="仿宋"/>
          <w:sz w:val="32"/>
          <w:szCs w:val="32"/>
        </w:rPr>
        <w:t>万元。主要用于空气、水质、噪声等方面的监测工作经费支出，包括无人机系统</w:t>
      </w:r>
      <w:r>
        <w:rPr>
          <w:rFonts w:ascii="仿宋" w:hAnsi="仿宋" w:eastAsia="仿宋"/>
          <w:sz w:val="32"/>
          <w:szCs w:val="32"/>
        </w:rPr>
        <w:t>采购支出、</w:t>
      </w:r>
      <w:r>
        <w:rPr>
          <w:rFonts w:hint="eastAsia" w:ascii="仿宋" w:hAnsi="仿宋" w:eastAsia="仿宋"/>
          <w:sz w:val="32"/>
          <w:szCs w:val="32"/>
        </w:rPr>
        <w:t>移动</w:t>
      </w:r>
      <w:r>
        <w:rPr>
          <w:rFonts w:ascii="仿宋" w:hAnsi="仿宋" w:eastAsia="仿宋"/>
          <w:sz w:val="32"/>
          <w:szCs w:val="32"/>
        </w:rPr>
        <w:t>监测调度</w:t>
      </w:r>
      <w:r>
        <w:rPr>
          <w:rFonts w:hint="eastAsia" w:ascii="仿宋" w:hAnsi="仿宋" w:eastAsia="仿宋"/>
          <w:sz w:val="32"/>
          <w:szCs w:val="32"/>
        </w:rPr>
        <w:t>设备</w:t>
      </w:r>
      <w:r>
        <w:rPr>
          <w:rFonts w:ascii="仿宋" w:hAnsi="仿宋" w:eastAsia="仿宋"/>
          <w:sz w:val="32"/>
          <w:szCs w:val="32"/>
        </w:rPr>
        <w:t>采购</w:t>
      </w:r>
      <w:r>
        <w:rPr>
          <w:rFonts w:hint="eastAsia" w:ascii="仿宋" w:hAnsi="仿宋" w:eastAsia="仿宋"/>
          <w:sz w:val="32"/>
          <w:szCs w:val="32"/>
        </w:rPr>
        <w:t>支出、仪器</w:t>
      </w:r>
      <w:r>
        <w:rPr>
          <w:rFonts w:ascii="仿宋" w:hAnsi="仿宋" w:eastAsia="仿宋"/>
          <w:sz w:val="32"/>
          <w:szCs w:val="32"/>
        </w:rPr>
        <w:t>设备质量校准服务费、</w:t>
      </w:r>
      <w:r>
        <w:rPr>
          <w:rFonts w:hint="eastAsia" w:ascii="仿宋" w:hAnsi="仿宋" w:eastAsia="仿宋"/>
          <w:sz w:val="32"/>
          <w:szCs w:val="32"/>
        </w:rPr>
        <w:t>环境空气质量预警预报</w:t>
      </w:r>
      <w:r>
        <w:rPr>
          <w:rFonts w:ascii="仿宋" w:hAnsi="仿宋" w:eastAsia="仿宋"/>
          <w:sz w:val="32"/>
          <w:szCs w:val="32"/>
        </w:rPr>
        <w:t>设备</w:t>
      </w:r>
      <w:r>
        <w:rPr>
          <w:rFonts w:hint="eastAsia" w:ascii="仿宋" w:hAnsi="仿宋" w:eastAsia="仿宋"/>
          <w:sz w:val="32"/>
          <w:szCs w:val="32"/>
        </w:rPr>
        <w:t>采购</w:t>
      </w:r>
      <w:r>
        <w:rPr>
          <w:rFonts w:ascii="仿宋" w:hAnsi="仿宋" w:eastAsia="仿宋"/>
          <w:sz w:val="32"/>
          <w:szCs w:val="32"/>
        </w:rPr>
        <w:t>支出</w:t>
      </w:r>
      <w:r>
        <w:rPr>
          <w:rFonts w:hint="eastAsia" w:ascii="仿宋" w:hAnsi="仿宋" w:eastAsia="仿宋"/>
          <w:sz w:val="32"/>
          <w:szCs w:val="32"/>
        </w:rPr>
        <w:t>、遥感</w:t>
      </w:r>
      <w:r>
        <w:rPr>
          <w:rFonts w:ascii="仿宋" w:hAnsi="仿宋" w:eastAsia="仿宋"/>
          <w:sz w:val="32"/>
          <w:szCs w:val="32"/>
        </w:rPr>
        <w:t>及监测数据采集服务费、</w:t>
      </w:r>
      <w:r>
        <w:rPr>
          <w:rFonts w:hint="eastAsia" w:ascii="仿宋" w:hAnsi="仿宋" w:eastAsia="仿宋"/>
          <w:sz w:val="32"/>
          <w:szCs w:val="32"/>
        </w:rPr>
        <w:t>仪器运维、化学试剂专用</w:t>
      </w:r>
      <w:r>
        <w:rPr>
          <w:rFonts w:ascii="仿宋" w:hAnsi="仿宋" w:eastAsia="仿宋"/>
          <w:sz w:val="32"/>
          <w:szCs w:val="32"/>
        </w:rPr>
        <w:t>耗材</w:t>
      </w:r>
      <w:r>
        <w:rPr>
          <w:rFonts w:hint="eastAsia" w:ascii="仿宋" w:hAnsi="仿宋" w:eastAsia="仿宋"/>
          <w:sz w:val="32"/>
          <w:szCs w:val="32"/>
        </w:rPr>
        <w:t>购置、监测</w:t>
      </w:r>
      <w:r>
        <w:rPr>
          <w:rFonts w:ascii="仿宋" w:hAnsi="仿宋" w:eastAsia="仿宋"/>
          <w:sz w:val="32"/>
          <w:szCs w:val="32"/>
        </w:rPr>
        <w:t>船舶租赁费、</w:t>
      </w:r>
      <w:r>
        <w:rPr>
          <w:rFonts w:hint="eastAsia" w:ascii="仿宋" w:hAnsi="仿宋" w:eastAsia="仿宋"/>
          <w:sz w:val="32"/>
          <w:szCs w:val="32"/>
        </w:rPr>
        <w:t>仪器维护等费用支出。</w:t>
      </w:r>
    </w:p>
    <w:p>
      <w:pPr>
        <w:ind w:firstLine="640" w:firstLineChars="200"/>
        <w:outlineLvl w:val="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水质自动监测站运营管理经费</w:t>
      </w:r>
      <w:r>
        <w:rPr>
          <w:rFonts w:ascii="仿宋" w:hAnsi="仿宋" w:eastAsia="仿宋"/>
          <w:sz w:val="32"/>
          <w:szCs w:val="32"/>
        </w:rPr>
        <w:t>48.86</w:t>
      </w:r>
      <w:r>
        <w:rPr>
          <w:rFonts w:hint="eastAsia" w:ascii="仿宋" w:hAnsi="仿宋" w:eastAsia="仿宋"/>
          <w:sz w:val="32"/>
          <w:szCs w:val="32"/>
        </w:rPr>
        <w:t>万元。主要用于长沙市4个水质自动监测站（星沙水厂、榔梨水厂、廖家祠堂水厂及二水厂等）运维和管理费用。</w:t>
      </w:r>
    </w:p>
    <w:p>
      <w:pPr>
        <w:ind w:firstLine="640" w:firstLineChars="200"/>
        <w:outlineLvl w:val="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省中心下拨的国家地表水考核断面采测分离、国家土壤</w:t>
      </w:r>
      <w:r>
        <w:rPr>
          <w:rFonts w:ascii="仿宋" w:hAnsi="仿宋" w:eastAsia="仿宋"/>
          <w:sz w:val="32"/>
          <w:szCs w:val="32"/>
        </w:rPr>
        <w:t>环境</w:t>
      </w:r>
      <w:r>
        <w:rPr>
          <w:rFonts w:hint="eastAsia" w:ascii="仿宋" w:hAnsi="仿宋" w:eastAsia="仿宋"/>
          <w:sz w:val="32"/>
          <w:szCs w:val="32"/>
        </w:rPr>
        <w:t>监测经费及国家环境监测网运行经费</w:t>
      </w:r>
      <w:r>
        <w:rPr>
          <w:rFonts w:ascii="仿宋" w:hAnsi="仿宋" w:eastAsia="仿宋"/>
          <w:sz w:val="32"/>
          <w:szCs w:val="32"/>
        </w:rPr>
        <w:t>44.95</w:t>
      </w:r>
      <w:r>
        <w:rPr>
          <w:rFonts w:hint="eastAsia" w:ascii="仿宋" w:hAnsi="仿宋" w:eastAsia="仿宋"/>
          <w:sz w:val="32"/>
          <w:szCs w:val="32"/>
        </w:rPr>
        <w:t>万元。主要用于实验室管理系统、仪器运维、分析试剂耗材等</w:t>
      </w:r>
      <w:r>
        <w:rPr>
          <w:rFonts w:ascii="仿宋" w:hAnsi="仿宋" w:eastAsia="仿宋"/>
          <w:sz w:val="32"/>
          <w:szCs w:val="32"/>
        </w:rPr>
        <w:t>专用材料购置</w:t>
      </w:r>
      <w:r>
        <w:rPr>
          <w:rFonts w:hint="eastAsia" w:ascii="仿宋" w:hAnsi="仿宋" w:eastAsia="仿宋"/>
          <w:sz w:val="32"/>
          <w:szCs w:val="32"/>
        </w:rPr>
        <w:t>、项目差旅费等支出。</w:t>
      </w:r>
    </w:p>
    <w:p>
      <w:pPr>
        <w:ind w:firstLine="640" w:firstLineChars="200"/>
        <w:outlineLvl w:val="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5</w:t>
      </w:r>
      <w:r>
        <w:rPr>
          <w:rFonts w:hint="eastAsia" w:ascii="仿宋" w:hAnsi="仿宋" w:eastAsia="仿宋"/>
          <w:sz w:val="32"/>
          <w:szCs w:val="32"/>
        </w:rPr>
        <w:t>)应急监测工作</w:t>
      </w:r>
      <w:r>
        <w:rPr>
          <w:rFonts w:ascii="仿宋" w:hAnsi="仿宋" w:eastAsia="仿宋"/>
          <w:sz w:val="32"/>
          <w:szCs w:val="32"/>
        </w:rPr>
        <w:t>经费38.19</w:t>
      </w:r>
      <w:r>
        <w:rPr>
          <w:rFonts w:hint="eastAsia" w:ascii="仿宋" w:hAnsi="仿宋" w:eastAsia="仿宋"/>
          <w:sz w:val="32"/>
          <w:szCs w:val="32"/>
        </w:rPr>
        <w:t>万元。主要用于每年的突发性环境污染事故的现场监测，包括应急监测车辆维修费、应急监测演练费用、应急监测</w:t>
      </w:r>
      <w:r>
        <w:rPr>
          <w:rFonts w:ascii="仿宋" w:hAnsi="仿宋" w:eastAsia="仿宋"/>
          <w:sz w:val="32"/>
          <w:szCs w:val="32"/>
        </w:rPr>
        <w:t>差旅费、</w:t>
      </w:r>
      <w:r>
        <w:rPr>
          <w:rFonts w:hint="eastAsia" w:ascii="仿宋" w:hAnsi="仿宋" w:eastAsia="仿宋"/>
          <w:sz w:val="32"/>
          <w:szCs w:val="32"/>
        </w:rPr>
        <w:t>应急监测</w:t>
      </w:r>
      <w:r>
        <w:rPr>
          <w:rFonts w:ascii="仿宋" w:hAnsi="仿宋" w:eastAsia="仿宋"/>
          <w:sz w:val="32"/>
          <w:szCs w:val="32"/>
        </w:rPr>
        <w:t>仪器设备购置</w:t>
      </w:r>
      <w:r>
        <w:rPr>
          <w:rFonts w:hint="eastAsia" w:ascii="仿宋" w:hAnsi="仿宋" w:eastAsia="仿宋"/>
          <w:sz w:val="32"/>
          <w:szCs w:val="32"/>
        </w:rPr>
        <w:t>及专用</w:t>
      </w:r>
      <w:r>
        <w:rPr>
          <w:rFonts w:ascii="仿宋" w:hAnsi="仿宋" w:eastAsia="仿宋"/>
          <w:sz w:val="32"/>
          <w:szCs w:val="32"/>
        </w:rPr>
        <w:t>耗材</w:t>
      </w:r>
      <w:r>
        <w:rPr>
          <w:rFonts w:hint="eastAsia" w:ascii="仿宋" w:hAnsi="仿宋" w:eastAsia="仿宋"/>
          <w:sz w:val="32"/>
          <w:szCs w:val="32"/>
        </w:rPr>
        <w:t>等支出。</w:t>
      </w:r>
    </w:p>
    <w:p>
      <w:pPr>
        <w:ind w:firstLine="640" w:firstLineChars="200"/>
        <w:outlineLvl w:val="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日贷还本付息</w:t>
      </w:r>
      <w:r>
        <w:rPr>
          <w:rFonts w:ascii="仿宋" w:hAnsi="仿宋" w:eastAsia="仿宋"/>
          <w:sz w:val="32"/>
          <w:szCs w:val="32"/>
        </w:rPr>
        <w:t>9.97</w:t>
      </w:r>
      <w:r>
        <w:rPr>
          <w:rFonts w:hint="eastAsia" w:ascii="仿宋" w:hAnsi="仿宋" w:eastAsia="仿宋"/>
          <w:sz w:val="32"/>
          <w:szCs w:val="32"/>
        </w:rPr>
        <w:t>万元，为日元贷款还本付息的支出。</w:t>
      </w:r>
    </w:p>
    <w:p>
      <w:pPr>
        <w:ind w:firstLine="640" w:firstLineChars="200"/>
        <w:outlineLvl w:val="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污染源监督性</w:t>
      </w:r>
      <w:r>
        <w:rPr>
          <w:rFonts w:ascii="仿宋" w:hAnsi="仿宋" w:eastAsia="仿宋"/>
          <w:sz w:val="32"/>
          <w:szCs w:val="32"/>
        </w:rPr>
        <w:t>监测经费</w:t>
      </w:r>
      <w:r>
        <w:rPr>
          <w:rFonts w:hint="eastAsia" w:ascii="仿宋" w:hAnsi="仿宋" w:eastAsia="仿宋"/>
          <w:sz w:val="32"/>
          <w:szCs w:val="32"/>
        </w:rPr>
        <w:t>8万元，主要用于</w:t>
      </w:r>
      <w:r>
        <w:rPr>
          <w:rFonts w:ascii="仿宋" w:hAnsi="仿宋" w:eastAsia="仿宋"/>
          <w:sz w:val="32"/>
          <w:szCs w:val="32"/>
        </w:rPr>
        <w:t>购耗材一批</w:t>
      </w:r>
      <w:r>
        <w:rPr>
          <w:rFonts w:hint="eastAsia" w:ascii="仿宋" w:hAnsi="仿宋" w:eastAsia="仿宋"/>
          <w:sz w:val="32"/>
          <w:szCs w:val="32"/>
        </w:rPr>
        <w:t>及</w:t>
      </w:r>
      <w:r>
        <w:rPr>
          <w:rFonts w:ascii="仿宋" w:hAnsi="仿宋" w:eastAsia="仿宋"/>
          <w:sz w:val="32"/>
          <w:szCs w:val="32"/>
        </w:rPr>
        <w:t>购买一批气体等</w:t>
      </w:r>
      <w:r>
        <w:rPr>
          <w:rFonts w:hint="eastAsia" w:ascii="仿宋" w:hAnsi="仿宋" w:eastAsia="仿宋"/>
          <w:sz w:val="32"/>
          <w:szCs w:val="32"/>
        </w:rPr>
        <w:t>支出。</w:t>
      </w:r>
    </w:p>
    <w:p>
      <w:pPr>
        <w:ind w:firstLine="640" w:firstLineChars="200"/>
        <w:outlineLvl w:val="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空气自动监测站质控与考核费用21万元</w:t>
      </w:r>
      <w:r>
        <w:rPr>
          <w:rFonts w:ascii="仿宋" w:hAnsi="仿宋" w:eastAsia="仿宋"/>
          <w:sz w:val="32"/>
          <w:szCs w:val="32"/>
        </w:rPr>
        <w:t>，主要用于</w:t>
      </w:r>
      <w:r>
        <w:rPr>
          <w:rFonts w:hint="eastAsia" w:ascii="仿宋" w:hAnsi="仿宋" w:eastAsia="仿宋"/>
          <w:sz w:val="32"/>
          <w:szCs w:val="32"/>
        </w:rPr>
        <w:t>大气科</w:t>
      </w:r>
      <w:r>
        <w:rPr>
          <w:rFonts w:ascii="仿宋" w:hAnsi="仿宋" w:eastAsia="仿宋"/>
          <w:sz w:val="32"/>
          <w:szCs w:val="32"/>
        </w:rPr>
        <w:t>采购混合气体</w:t>
      </w:r>
      <w:r>
        <w:rPr>
          <w:rFonts w:hint="eastAsia" w:ascii="仿宋" w:hAnsi="仿宋" w:eastAsia="仿宋"/>
          <w:sz w:val="32"/>
          <w:szCs w:val="32"/>
        </w:rPr>
        <w:t>、分析仪</w:t>
      </w:r>
      <w:r>
        <w:rPr>
          <w:rFonts w:ascii="仿宋" w:hAnsi="仿宋" w:eastAsia="仿宋"/>
          <w:sz w:val="32"/>
          <w:szCs w:val="32"/>
        </w:rPr>
        <w:t>更新升级支出</w:t>
      </w:r>
      <w:r>
        <w:rPr>
          <w:rFonts w:hint="eastAsia" w:ascii="仿宋" w:hAnsi="仿宋" w:eastAsia="仿宋"/>
          <w:sz w:val="32"/>
          <w:szCs w:val="32"/>
        </w:rPr>
        <w:t>以及</w:t>
      </w:r>
      <w:r>
        <w:rPr>
          <w:rFonts w:ascii="仿宋" w:hAnsi="仿宋" w:eastAsia="仿宋"/>
          <w:sz w:val="32"/>
          <w:szCs w:val="32"/>
        </w:rPr>
        <w:t>省市控点</w:t>
      </w:r>
      <w:r>
        <w:rPr>
          <w:rFonts w:hint="eastAsia" w:ascii="仿宋" w:hAnsi="仿宋" w:eastAsia="仿宋"/>
          <w:sz w:val="32"/>
          <w:szCs w:val="32"/>
        </w:rPr>
        <w:t>核查</w:t>
      </w:r>
      <w:r>
        <w:rPr>
          <w:rFonts w:ascii="仿宋" w:hAnsi="仿宋" w:eastAsia="仿宋"/>
          <w:sz w:val="32"/>
          <w:szCs w:val="32"/>
        </w:rPr>
        <w:t>差旅费等支出。</w:t>
      </w:r>
    </w:p>
    <w:p>
      <w:pPr>
        <w:ind w:firstLine="640" w:firstLineChars="200"/>
        <w:outlineLvl w:val="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长沙市空气质量预报预警高性能服务费用19.8万元，</w:t>
      </w:r>
      <w:r>
        <w:rPr>
          <w:rFonts w:ascii="仿宋" w:hAnsi="仿宋" w:eastAsia="仿宋"/>
          <w:sz w:val="32"/>
          <w:szCs w:val="32"/>
        </w:rPr>
        <w:t>主要</w:t>
      </w:r>
      <w:r>
        <w:rPr>
          <w:rFonts w:hint="eastAsia" w:ascii="仿宋" w:hAnsi="仿宋" w:eastAsia="仿宋"/>
          <w:sz w:val="32"/>
          <w:szCs w:val="32"/>
        </w:rPr>
        <w:t>为长沙市环境空气质量预报预警及污染控制决策支持系统高性能计算服务费。</w:t>
      </w:r>
    </w:p>
    <w:p>
      <w:pPr>
        <w:ind w:firstLine="640" w:firstLineChars="200"/>
        <w:outlineLvl w:val="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10</w:t>
      </w:r>
      <w:r>
        <w:rPr>
          <w:rFonts w:hint="eastAsia" w:ascii="仿宋" w:hAnsi="仿宋" w:eastAsia="仿宋"/>
          <w:sz w:val="32"/>
          <w:szCs w:val="32"/>
        </w:rPr>
        <w:t>)十三五环境空气质量监测网络建设经费63.32万元</w:t>
      </w:r>
      <w:r>
        <w:rPr>
          <w:rFonts w:ascii="仿宋" w:hAnsi="仿宋" w:eastAsia="仿宋"/>
          <w:sz w:val="32"/>
          <w:szCs w:val="32"/>
        </w:rPr>
        <w:t>。</w:t>
      </w:r>
    </w:p>
    <w:p>
      <w:pPr>
        <w:ind w:firstLine="640" w:firstLineChars="200"/>
        <w:outlineLvl w:val="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市控点三个水质自动监测站设备更新经费21.4万元</w:t>
      </w:r>
      <w:r>
        <w:rPr>
          <w:rFonts w:ascii="仿宋" w:hAnsi="仿宋" w:eastAsia="仿宋"/>
          <w:sz w:val="32"/>
          <w:szCs w:val="32"/>
        </w:rPr>
        <w:t>，主要为支付</w:t>
      </w:r>
      <w:r>
        <w:rPr>
          <w:rFonts w:hint="eastAsia" w:ascii="仿宋" w:hAnsi="仿宋" w:eastAsia="仿宋"/>
          <w:sz w:val="32"/>
          <w:szCs w:val="32"/>
        </w:rPr>
        <w:t>设备质保金。</w:t>
      </w:r>
    </w:p>
    <w:p>
      <w:pPr>
        <w:ind w:firstLine="640" w:firstLineChars="200"/>
        <w:outlineLvl w:val="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国控空气质量自动监测站点仪器设备更新项目经费3.45万元，</w:t>
      </w:r>
      <w:r>
        <w:rPr>
          <w:rFonts w:ascii="仿宋" w:hAnsi="仿宋" w:eastAsia="仿宋"/>
          <w:sz w:val="32"/>
          <w:szCs w:val="32"/>
        </w:rPr>
        <w:t>主要为支付</w:t>
      </w:r>
      <w:r>
        <w:rPr>
          <w:rFonts w:hint="eastAsia" w:ascii="仿宋" w:hAnsi="仿宋" w:eastAsia="仿宋"/>
          <w:sz w:val="32"/>
          <w:szCs w:val="32"/>
        </w:rPr>
        <w:t>设备质保金。</w:t>
      </w:r>
    </w:p>
    <w:p>
      <w:pPr>
        <w:ind w:firstLine="640" w:firstLineChars="200"/>
        <w:outlineLvl w:val="0"/>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生态环境监测能力建设（监测业务用车购置）经费18万元</w:t>
      </w:r>
      <w:r>
        <w:rPr>
          <w:rFonts w:ascii="仿宋" w:hAnsi="仿宋" w:eastAsia="仿宋"/>
          <w:sz w:val="32"/>
          <w:szCs w:val="32"/>
        </w:rPr>
        <w:t>，</w:t>
      </w:r>
      <w:r>
        <w:rPr>
          <w:rFonts w:hint="eastAsia" w:ascii="仿宋" w:hAnsi="仿宋" w:eastAsia="仿宋"/>
          <w:sz w:val="32"/>
          <w:szCs w:val="32"/>
        </w:rPr>
        <w:t>为省中心</w:t>
      </w:r>
      <w:r>
        <w:rPr>
          <w:rFonts w:ascii="仿宋" w:hAnsi="仿宋" w:eastAsia="仿宋"/>
          <w:sz w:val="32"/>
          <w:szCs w:val="32"/>
        </w:rPr>
        <w:t>经费下拨的专项资金采购</w:t>
      </w:r>
      <w:r>
        <w:rPr>
          <w:rFonts w:hint="eastAsia" w:ascii="仿宋" w:hAnsi="仿宋" w:eastAsia="仿宋"/>
          <w:sz w:val="32"/>
          <w:szCs w:val="32"/>
        </w:rPr>
        <w:t>监测</w:t>
      </w:r>
      <w:r>
        <w:rPr>
          <w:rFonts w:ascii="仿宋" w:hAnsi="仿宋" w:eastAsia="仿宋"/>
          <w:sz w:val="32"/>
          <w:szCs w:val="32"/>
        </w:rPr>
        <w:t>业务用车一台。</w:t>
      </w:r>
    </w:p>
    <w:p>
      <w:pPr>
        <w:ind w:firstLine="640" w:firstLineChars="200"/>
        <w:outlineLvl w:val="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长沙市空气质量精细化监管（微站）建设项目经费524.8</w:t>
      </w:r>
      <w:r>
        <w:rPr>
          <w:rFonts w:ascii="仿宋" w:hAnsi="仿宋" w:eastAsia="仿宋"/>
          <w:sz w:val="32"/>
          <w:szCs w:val="32"/>
        </w:rPr>
        <w:t>4</w:t>
      </w:r>
      <w:r>
        <w:rPr>
          <w:rFonts w:hint="eastAsia" w:ascii="仿宋" w:hAnsi="仿宋" w:eastAsia="仿宋"/>
          <w:sz w:val="32"/>
          <w:szCs w:val="32"/>
        </w:rPr>
        <w:t>万。</w:t>
      </w:r>
    </w:p>
    <w:p>
      <w:pPr>
        <w:ind w:firstLine="640" w:firstLineChars="200"/>
        <w:outlineLvl w:val="0"/>
        <w:rPr>
          <w:rFonts w:ascii="仿宋" w:hAnsi="仿宋" w:eastAsia="仿宋"/>
          <w:sz w:val="32"/>
          <w:szCs w:val="32"/>
        </w:rPr>
      </w:pPr>
      <w:r>
        <w:rPr>
          <w:rFonts w:hint="eastAsia" w:ascii="仿宋" w:hAnsi="仿宋" w:eastAsia="仿宋"/>
          <w:sz w:val="32"/>
          <w:szCs w:val="32"/>
        </w:rPr>
        <w:t>(15)土壤监测能力建设</w:t>
      </w:r>
      <w:r>
        <w:rPr>
          <w:rFonts w:ascii="仿宋" w:hAnsi="仿宋" w:eastAsia="仿宋"/>
          <w:sz w:val="32"/>
          <w:szCs w:val="32"/>
        </w:rPr>
        <w:t>经费</w:t>
      </w:r>
      <w:r>
        <w:rPr>
          <w:rFonts w:hint="eastAsia" w:ascii="仿宋" w:hAnsi="仿宋" w:eastAsia="仿宋"/>
          <w:sz w:val="32"/>
          <w:szCs w:val="32"/>
        </w:rPr>
        <w:t>318.45万元，</w:t>
      </w:r>
      <w:r>
        <w:rPr>
          <w:rFonts w:ascii="仿宋" w:hAnsi="仿宋" w:eastAsia="仿宋"/>
          <w:sz w:val="32"/>
          <w:szCs w:val="32"/>
        </w:rPr>
        <w:t>用于</w:t>
      </w:r>
      <w:r>
        <w:rPr>
          <w:rFonts w:hint="eastAsia" w:ascii="仿宋" w:hAnsi="仿宋" w:eastAsia="仿宋"/>
          <w:sz w:val="32"/>
          <w:szCs w:val="32"/>
        </w:rPr>
        <w:t>购置</w:t>
      </w:r>
      <w:r>
        <w:rPr>
          <w:rFonts w:ascii="仿宋" w:hAnsi="仿宋" w:eastAsia="仿宋"/>
          <w:sz w:val="32"/>
          <w:szCs w:val="32"/>
        </w:rPr>
        <w:t>土壤监测相关仪器设备</w:t>
      </w:r>
      <w:r>
        <w:rPr>
          <w:rFonts w:hint="eastAsia" w:ascii="仿宋" w:hAnsi="仿宋" w:eastAsia="仿宋"/>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(16)土壤防治</w:t>
      </w:r>
      <w:r>
        <w:rPr>
          <w:rFonts w:ascii="仿宋" w:hAnsi="仿宋" w:eastAsia="仿宋"/>
          <w:sz w:val="32"/>
          <w:szCs w:val="32"/>
        </w:rPr>
        <w:t>项目专项资金</w:t>
      </w:r>
      <w:r>
        <w:rPr>
          <w:rFonts w:hint="eastAsia" w:ascii="仿宋" w:hAnsi="仿宋" w:eastAsia="仿宋"/>
          <w:sz w:val="32"/>
          <w:szCs w:val="32"/>
        </w:rPr>
        <w:t>71.03万元，</w:t>
      </w:r>
      <w:r>
        <w:rPr>
          <w:rFonts w:ascii="仿宋" w:hAnsi="仿宋" w:eastAsia="仿宋"/>
          <w:sz w:val="32"/>
          <w:szCs w:val="32"/>
        </w:rPr>
        <w:t>用于购置土壤防治相关仪器设备。</w:t>
      </w:r>
    </w:p>
    <w:p>
      <w:pPr>
        <w:ind w:firstLine="646"/>
        <w:rPr>
          <w:rFonts w:ascii="黑体" w:hAnsi="黑体" w:eastAsia="黑体"/>
          <w:sz w:val="32"/>
          <w:szCs w:val="32"/>
        </w:rPr>
      </w:pPr>
      <w:r>
        <w:rPr>
          <w:rFonts w:hint="eastAsia" w:ascii="黑体" w:hAnsi="黑体" w:eastAsia="黑体" w:cs="黑体"/>
          <w:color w:val="000000"/>
          <w:sz w:val="32"/>
          <w:szCs w:val="32"/>
        </w:rPr>
        <w:t>四、</w:t>
      </w:r>
      <w:r>
        <w:rPr>
          <w:rFonts w:ascii="黑体" w:hAnsi="黑体" w:eastAsia="黑体"/>
          <w:sz w:val="32"/>
          <w:szCs w:val="32"/>
        </w:rPr>
        <w:t>部门</w:t>
      </w:r>
      <w:r>
        <w:rPr>
          <w:rFonts w:hint="eastAsia" w:ascii="黑体" w:hAnsi="黑体" w:eastAsia="黑体"/>
          <w:sz w:val="32"/>
          <w:szCs w:val="32"/>
        </w:rPr>
        <w:t>整体支出绩效情况分析</w:t>
      </w:r>
    </w:p>
    <w:p>
      <w:pPr>
        <w:ind w:firstLine="640" w:firstLineChars="200"/>
        <w:outlineLvl w:val="0"/>
        <w:rPr>
          <w:rFonts w:ascii="仿宋" w:hAnsi="仿宋" w:eastAsia="仿宋"/>
          <w:sz w:val="32"/>
          <w:szCs w:val="32"/>
        </w:rPr>
      </w:pPr>
      <w:bookmarkStart w:id="2" w:name="_Toc71709540"/>
      <w:r>
        <w:rPr>
          <w:rFonts w:hint="eastAsia" w:ascii="仿宋" w:hAnsi="仿宋" w:eastAsia="仿宋"/>
          <w:sz w:val="32"/>
          <w:szCs w:val="32"/>
        </w:rPr>
        <w:t>202</w:t>
      </w:r>
      <w:r>
        <w:rPr>
          <w:rFonts w:ascii="仿宋" w:hAnsi="仿宋" w:eastAsia="仿宋"/>
          <w:sz w:val="32"/>
          <w:szCs w:val="32"/>
        </w:rPr>
        <w:t>1年度我</w:t>
      </w:r>
      <w:r>
        <w:rPr>
          <w:rFonts w:hint="eastAsia" w:ascii="仿宋" w:hAnsi="仿宋" w:eastAsia="仿宋"/>
          <w:sz w:val="32"/>
          <w:szCs w:val="32"/>
        </w:rPr>
        <w:t>中心</w:t>
      </w:r>
      <w:r>
        <w:rPr>
          <w:rFonts w:ascii="仿宋" w:hAnsi="仿宋" w:eastAsia="仿宋"/>
          <w:sz w:val="32"/>
          <w:szCs w:val="32"/>
        </w:rPr>
        <w:t>在工作中较好的完成了年度绩效目标，绩效评价工作组主要从管理效率、履职效益</w:t>
      </w:r>
      <w:r>
        <w:rPr>
          <w:rFonts w:hint="eastAsia" w:ascii="仿宋" w:hAnsi="仿宋" w:eastAsia="仿宋"/>
          <w:sz w:val="32"/>
          <w:szCs w:val="32"/>
        </w:rPr>
        <w:t>两</w:t>
      </w:r>
      <w:r>
        <w:rPr>
          <w:rFonts w:ascii="仿宋" w:hAnsi="仿宋" w:eastAsia="仿宋"/>
          <w:sz w:val="32"/>
          <w:szCs w:val="32"/>
        </w:rPr>
        <w:t>个方面对年度工作成绩进行了综合分析评价，具体情况如下：</w:t>
      </w:r>
      <w:bookmarkEnd w:id="2"/>
      <w:bookmarkStart w:id="3" w:name="_Toc71830722"/>
      <w:bookmarkStart w:id="4" w:name="_Toc71830723"/>
    </w:p>
    <w:p>
      <w:pPr>
        <w:ind w:firstLine="640" w:firstLineChars="200"/>
        <w:outlineLvl w:val="0"/>
        <w:rPr>
          <w:rFonts w:ascii="仿宋" w:hAnsi="仿宋" w:eastAsia="仿宋"/>
          <w:sz w:val="32"/>
          <w:szCs w:val="32"/>
        </w:rPr>
      </w:pPr>
      <w:r>
        <w:rPr>
          <w:rFonts w:ascii="仿宋" w:hAnsi="仿宋" w:eastAsia="仿宋"/>
          <w:sz w:val="32"/>
          <w:szCs w:val="32"/>
        </w:rPr>
        <w:t>（一）履职效能方面</w:t>
      </w:r>
      <w:bookmarkEnd w:id="3"/>
    </w:p>
    <w:p>
      <w:pPr>
        <w:ind w:firstLine="640" w:firstLineChars="200"/>
        <w:outlineLvl w:val="0"/>
        <w:rPr>
          <w:rFonts w:ascii="仿宋" w:hAnsi="仿宋" w:eastAsia="仿宋"/>
          <w:sz w:val="32"/>
          <w:szCs w:val="32"/>
        </w:rPr>
      </w:pPr>
      <w:r>
        <w:rPr>
          <w:rFonts w:ascii="仿宋" w:hAnsi="仿宋" w:eastAsia="仿宋"/>
          <w:sz w:val="32"/>
          <w:szCs w:val="32"/>
        </w:rPr>
        <w:t>目标管理：</w:t>
      </w:r>
      <w:r>
        <w:rPr>
          <w:rFonts w:hint="eastAsia" w:ascii="仿宋" w:hAnsi="仿宋" w:eastAsia="仿宋"/>
          <w:sz w:val="32"/>
          <w:szCs w:val="32"/>
        </w:rPr>
        <w:t>20</w:t>
      </w:r>
      <w:r>
        <w:rPr>
          <w:rFonts w:ascii="仿宋" w:hAnsi="仿宋" w:eastAsia="仿宋"/>
          <w:sz w:val="32"/>
          <w:szCs w:val="32"/>
        </w:rPr>
        <w:t>21</w:t>
      </w:r>
      <w:r>
        <w:rPr>
          <w:rFonts w:hint="eastAsia" w:ascii="仿宋" w:hAnsi="仿宋" w:eastAsia="仿宋"/>
          <w:sz w:val="32"/>
          <w:szCs w:val="32"/>
        </w:rPr>
        <w:t>年我中心依据省市</w:t>
      </w:r>
      <w:r>
        <w:rPr>
          <w:rFonts w:ascii="仿宋" w:hAnsi="仿宋" w:eastAsia="仿宋"/>
          <w:sz w:val="32"/>
          <w:szCs w:val="32"/>
        </w:rPr>
        <w:t>两级预算</w:t>
      </w:r>
      <w:r>
        <w:rPr>
          <w:rFonts w:hint="eastAsia" w:ascii="仿宋" w:hAnsi="仿宋" w:eastAsia="仿宋"/>
          <w:sz w:val="32"/>
          <w:szCs w:val="32"/>
        </w:rPr>
        <w:t>设定了年度整体工作绩效目标，目标设定充分考虑了本中心的实际情况，除个别目标设置不够细化外，基本符合要求，</w:t>
      </w:r>
      <w:r>
        <w:rPr>
          <w:rFonts w:ascii="仿宋" w:hAnsi="仿宋" w:eastAsia="仿宋"/>
          <w:sz w:val="32"/>
          <w:szCs w:val="32"/>
        </w:rPr>
        <w:t>严格执行预算指标，合理分配开支，</w:t>
      </w:r>
      <w:r>
        <w:rPr>
          <w:rFonts w:hint="eastAsia" w:ascii="仿宋" w:hAnsi="仿宋" w:eastAsia="仿宋"/>
          <w:sz w:val="32"/>
          <w:szCs w:val="32"/>
        </w:rPr>
        <w:t>项目</w:t>
      </w:r>
      <w:r>
        <w:rPr>
          <w:rFonts w:ascii="仿宋" w:hAnsi="仿宋" w:eastAsia="仿宋"/>
          <w:sz w:val="32"/>
          <w:szCs w:val="32"/>
        </w:rPr>
        <w:t>执行</w:t>
      </w:r>
      <w:r>
        <w:rPr>
          <w:rFonts w:hint="eastAsia" w:ascii="仿宋" w:hAnsi="仿宋" w:eastAsia="仿宋"/>
          <w:sz w:val="32"/>
          <w:szCs w:val="32"/>
        </w:rPr>
        <w:t>效率</w:t>
      </w:r>
      <w:r>
        <w:rPr>
          <w:rFonts w:ascii="仿宋" w:hAnsi="仿宋" w:eastAsia="仿宋"/>
          <w:sz w:val="32"/>
          <w:szCs w:val="32"/>
        </w:rPr>
        <w:t>较高</w:t>
      </w:r>
      <w:r>
        <w:rPr>
          <w:rFonts w:hint="eastAsia" w:ascii="仿宋" w:hAnsi="仿宋" w:eastAsia="仿宋"/>
          <w:sz w:val="32"/>
          <w:szCs w:val="32"/>
        </w:rPr>
        <w:t xml:space="preserve">。 </w:t>
      </w:r>
    </w:p>
    <w:p>
      <w:pPr>
        <w:ind w:firstLine="640" w:firstLineChars="200"/>
        <w:outlineLvl w:val="0"/>
        <w:rPr>
          <w:rFonts w:ascii="仿宋" w:hAnsi="仿宋" w:eastAsia="仿宋"/>
          <w:sz w:val="32"/>
          <w:szCs w:val="32"/>
        </w:rPr>
      </w:pPr>
      <w:r>
        <w:rPr>
          <w:rFonts w:ascii="仿宋" w:hAnsi="仿宋" w:eastAsia="仿宋"/>
          <w:sz w:val="32"/>
          <w:szCs w:val="32"/>
        </w:rPr>
        <w:t>内部控制：</w:t>
      </w:r>
      <w:r>
        <w:rPr>
          <w:rFonts w:hint="eastAsia" w:ascii="仿宋" w:hAnsi="仿宋" w:eastAsia="仿宋"/>
          <w:sz w:val="32"/>
          <w:szCs w:val="32"/>
        </w:rPr>
        <w:t>财务科</w:t>
      </w:r>
      <w:r>
        <w:rPr>
          <w:rFonts w:ascii="仿宋" w:hAnsi="仿宋" w:eastAsia="仿宋"/>
          <w:sz w:val="32"/>
          <w:szCs w:val="32"/>
        </w:rPr>
        <w:t>以财政及相关部门颁布的制度为基准，</w:t>
      </w:r>
      <w:r>
        <w:rPr>
          <w:rFonts w:hint="eastAsia" w:ascii="仿宋" w:hAnsi="仿宋" w:eastAsia="仿宋"/>
          <w:sz w:val="32"/>
          <w:szCs w:val="32"/>
        </w:rPr>
        <w:t>结合</w:t>
      </w:r>
      <w:r>
        <w:rPr>
          <w:rFonts w:ascii="仿宋" w:hAnsi="仿宋" w:eastAsia="仿宋"/>
          <w:sz w:val="32"/>
          <w:szCs w:val="32"/>
        </w:rPr>
        <w:t>单位</w:t>
      </w:r>
      <w:r>
        <w:rPr>
          <w:rFonts w:hint="eastAsia" w:ascii="仿宋" w:hAnsi="仿宋" w:eastAsia="仿宋"/>
          <w:sz w:val="32"/>
          <w:szCs w:val="32"/>
        </w:rPr>
        <w:t>实际</w:t>
      </w:r>
      <w:r>
        <w:rPr>
          <w:rFonts w:ascii="仿宋" w:hAnsi="仿宋" w:eastAsia="仿宋"/>
          <w:sz w:val="32"/>
          <w:szCs w:val="32"/>
        </w:rPr>
        <w:t>情况，重新梳理完善</w:t>
      </w:r>
      <w:r>
        <w:rPr>
          <w:rFonts w:hint="eastAsia" w:ascii="仿宋" w:hAnsi="仿宋" w:eastAsia="仿宋"/>
          <w:sz w:val="32"/>
          <w:szCs w:val="32"/>
        </w:rPr>
        <w:t>了</w:t>
      </w:r>
      <w:r>
        <w:rPr>
          <w:rFonts w:ascii="仿宋" w:hAnsi="仿宋" w:eastAsia="仿宋"/>
          <w:sz w:val="32"/>
          <w:szCs w:val="32"/>
        </w:rPr>
        <w:t>经济事项的报销流程，制定了《公务</w:t>
      </w:r>
      <w:r>
        <w:rPr>
          <w:rFonts w:hint="eastAsia" w:ascii="仿宋" w:hAnsi="仿宋" w:eastAsia="仿宋"/>
          <w:sz w:val="32"/>
          <w:szCs w:val="32"/>
        </w:rPr>
        <w:t>活动</w:t>
      </w:r>
      <w:r>
        <w:rPr>
          <w:rFonts w:ascii="仿宋" w:hAnsi="仿宋" w:eastAsia="仿宋"/>
          <w:sz w:val="32"/>
          <w:szCs w:val="32"/>
        </w:rPr>
        <w:t>用餐管理办法（</w:t>
      </w:r>
      <w:r>
        <w:rPr>
          <w:rFonts w:hint="eastAsia" w:ascii="仿宋" w:hAnsi="仿宋" w:eastAsia="仿宋"/>
          <w:sz w:val="32"/>
          <w:szCs w:val="32"/>
        </w:rPr>
        <w:t>试行</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等六项费用管理制度及</w:t>
      </w:r>
      <w:r>
        <w:rPr>
          <w:rFonts w:hint="eastAsia" w:ascii="仿宋" w:hAnsi="仿宋" w:eastAsia="仿宋"/>
          <w:sz w:val="32"/>
          <w:szCs w:val="32"/>
        </w:rPr>
        <w:t>《经费支出审批及报销流程》</w:t>
      </w:r>
      <w:r>
        <w:rPr>
          <w:rFonts w:ascii="仿宋" w:hAnsi="仿宋" w:eastAsia="仿宋"/>
          <w:sz w:val="32"/>
          <w:szCs w:val="32"/>
        </w:rPr>
        <w:t>，</w:t>
      </w:r>
      <w:r>
        <w:rPr>
          <w:rFonts w:hint="eastAsia" w:ascii="仿宋" w:hAnsi="仿宋" w:eastAsia="仿宋"/>
          <w:sz w:val="32"/>
          <w:szCs w:val="32"/>
        </w:rPr>
        <w:t>逐级审批</w:t>
      </w:r>
      <w:r>
        <w:rPr>
          <w:rFonts w:ascii="仿宋" w:hAnsi="仿宋" w:eastAsia="仿宋"/>
          <w:sz w:val="32"/>
          <w:szCs w:val="32"/>
        </w:rPr>
        <w:t>，</w:t>
      </w:r>
      <w:r>
        <w:rPr>
          <w:rFonts w:hint="eastAsia" w:ascii="仿宋" w:hAnsi="仿宋" w:eastAsia="仿宋"/>
          <w:sz w:val="32"/>
          <w:szCs w:val="32"/>
        </w:rPr>
        <w:t>完善财务制度</w:t>
      </w:r>
      <w:r>
        <w:rPr>
          <w:rFonts w:ascii="仿宋" w:hAnsi="仿宋" w:eastAsia="仿宋"/>
          <w:sz w:val="32"/>
          <w:szCs w:val="32"/>
        </w:rPr>
        <w:t>，</w:t>
      </w:r>
      <w:r>
        <w:rPr>
          <w:rFonts w:hint="eastAsia" w:ascii="仿宋" w:hAnsi="仿宋" w:eastAsia="仿宋"/>
          <w:sz w:val="32"/>
          <w:szCs w:val="32"/>
        </w:rPr>
        <w:t>新制度</w:t>
      </w:r>
      <w:r>
        <w:rPr>
          <w:rFonts w:ascii="仿宋" w:hAnsi="仿宋" w:eastAsia="仿宋"/>
          <w:sz w:val="32"/>
          <w:szCs w:val="32"/>
        </w:rPr>
        <w:t>的实施</w:t>
      </w:r>
      <w:r>
        <w:rPr>
          <w:rFonts w:hint="eastAsia" w:ascii="仿宋" w:hAnsi="仿宋" w:eastAsia="仿宋"/>
          <w:sz w:val="32"/>
          <w:szCs w:val="32"/>
        </w:rPr>
        <w:t>确保</w:t>
      </w:r>
      <w:r>
        <w:rPr>
          <w:rFonts w:ascii="仿宋" w:hAnsi="仿宋" w:eastAsia="仿宋"/>
          <w:sz w:val="32"/>
          <w:szCs w:val="32"/>
        </w:rPr>
        <w:t>了中心各项</w:t>
      </w:r>
      <w:r>
        <w:rPr>
          <w:rFonts w:hint="eastAsia" w:ascii="仿宋" w:hAnsi="仿宋" w:eastAsia="仿宋"/>
          <w:sz w:val="32"/>
          <w:szCs w:val="32"/>
        </w:rPr>
        <w:t>经济</w:t>
      </w:r>
      <w:r>
        <w:rPr>
          <w:rFonts w:ascii="仿宋" w:hAnsi="仿宋" w:eastAsia="仿宋"/>
          <w:sz w:val="32"/>
          <w:szCs w:val="32"/>
        </w:rPr>
        <w:t>行为有章可循，执行层</w:t>
      </w:r>
      <w:r>
        <w:rPr>
          <w:rFonts w:hint="eastAsia" w:ascii="仿宋" w:hAnsi="仿宋" w:eastAsia="仿宋"/>
          <w:sz w:val="32"/>
          <w:szCs w:val="32"/>
        </w:rPr>
        <w:t>面</w:t>
      </w:r>
      <w:r>
        <w:rPr>
          <w:rFonts w:ascii="仿宋" w:hAnsi="仿宋" w:eastAsia="仿宋"/>
          <w:sz w:val="32"/>
          <w:szCs w:val="32"/>
        </w:rPr>
        <w:t>有规可依，职工办事层面</w:t>
      </w:r>
      <w:r>
        <w:rPr>
          <w:rFonts w:hint="eastAsia" w:ascii="仿宋" w:hAnsi="仿宋" w:eastAsia="仿宋"/>
          <w:sz w:val="32"/>
          <w:szCs w:val="32"/>
        </w:rPr>
        <w:t>有</w:t>
      </w:r>
      <w:r>
        <w:rPr>
          <w:rFonts w:ascii="仿宋" w:hAnsi="仿宋" w:eastAsia="仿宋"/>
          <w:sz w:val="32"/>
          <w:szCs w:val="32"/>
        </w:rPr>
        <w:t>具体指南</w:t>
      </w:r>
      <w:r>
        <w:rPr>
          <w:rFonts w:hint="eastAsia" w:ascii="仿宋" w:hAnsi="仿宋" w:eastAsia="仿宋"/>
          <w:sz w:val="32"/>
          <w:szCs w:val="32"/>
        </w:rPr>
        <w:t>，内部</w:t>
      </w:r>
      <w:r>
        <w:rPr>
          <w:rFonts w:ascii="仿宋" w:hAnsi="仿宋" w:eastAsia="仿宋"/>
          <w:sz w:val="32"/>
          <w:szCs w:val="32"/>
        </w:rPr>
        <w:t>控制能力</w:t>
      </w:r>
      <w:r>
        <w:rPr>
          <w:rFonts w:hint="eastAsia" w:ascii="仿宋" w:hAnsi="仿宋" w:eastAsia="仿宋"/>
          <w:sz w:val="32"/>
          <w:szCs w:val="32"/>
        </w:rPr>
        <w:t>进一步得到了</w:t>
      </w:r>
      <w:r>
        <w:rPr>
          <w:rFonts w:ascii="仿宋" w:hAnsi="仿宋" w:eastAsia="仿宋"/>
          <w:sz w:val="32"/>
          <w:szCs w:val="32"/>
        </w:rPr>
        <w:t>提升。</w:t>
      </w:r>
    </w:p>
    <w:p>
      <w:pPr>
        <w:ind w:firstLine="640" w:firstLineChars="200"/>
        <w:outlineLvl w:val="0"/>
        <w:rPr>
          <w:rFonts w:ascii="仿宋" w:hAnsi="仿宋" w:eastAsia="仿宋"/>
          <w:sz w:val="32"/>
          <w:szCs w:val="32"/>
        </w:rPr>
      </w:pPr>
      <w:r>
        <w:rPr>
          <w:rFonts w:ascii="仿宋" w:hAnsi="仿宋" w:eastAsia="仿宋"/>
          <w:sz w:val="32"/>
          <w:szCs w:val="32"/>
        </w:rPr>
        <w:t>成本控制：</w:t>
      </w:r>
      <w:r>
        <w:rPr>
          <w:rFonts w:hint="eastAsia" w:ascii="仿宋" w:hAnsi="仿宋" w:eastAsia="仿宋"/>
          <w:sz w:val="32"/>
          <w:szCs w:val="32"/>
        </w:rPr>
        <w:t>我中心严格贯彻实施中央、省关于过“紧日子”的重要决策部署，严控 “三公经费”、人员编制，禁止违规新建楼堂馆所，切实降低管理运行成本，提升管理效率。截至202</w:t>
      </w:r>
      <w:r>
        <w:rPr>
          <w:rFonts w:ascii="仿宋" w:hAnsi="仿宋" w:eastAsia="仿宋"/>
          <w:sz w:val="32"/>
          <w:szCs w:val="32"/>
        </w:rPr>
        <w:t>1</w:t>
      </w:r>
      <w:r>
        <w:rPr>
          <w:rFonts w:hint="eastAsia" w:ascii="仿宋" w:hAnsi="仿宋" w:eastAsia="仿宋"/>
          <w:sz w:val="32"/>
          <w:szCs w:val="32"/>
        </w:rPr>
        <w:t>年12月31日，省编办核定我中心事业编制</w:t>
      </w:r>
      <w:r>
        <w:rPr>
          <w:rFonts w:ascii="仿宋" w:hAnsi="仿宋" w:eastAsia="仿宋"/>
          <w:sz w:val="32"/>
          <w:szCs w:val="32"/>
        </w:rPr>
        <w:t>83</w:t>
      </w:r>
      <w:r>
        <w:rPr>
          <w:rFonts w:hint="eastAsia" w:ascii="仿宋" w:hAnsi="仿宋" w:eastAsia="仿宋"/>
          <w:sz w:val="32"/>
          <w:szCs w:val="32"/>
        </w:rPr>
        <w:t>人。我中心实际在职在编人数</w:t>
      </w:r>
      <w:r>
        <w:rPr>
          <w:rFonts w:ascii="仿宋" w:hAnsi="仿宋" w:eastAsia="仿宋"/>
          <w:sz w:val="32"/>
          <w:szCs w:val="32"/>
        </w:rPr>
        <w:t>71</w:t>
      </w:r>
      <w:r>
        <w:rPr>
          <w:rFonts w:hint="eastAsia" w:ascii="仿宋" w:hAnsi="仿宋" w:eastAsia="仿宋"/>
          <w:sz w:val="32"/>
          <w:szCs w:val="32"/>
        </w:rPr>
        <w:t>人，在职人员控制率8</w:t>
      </w:r>
      <w:r>
        <w:rPr>
          <w:rFonts w:ascii="仿宋" w:hAnsi="仿宋" w:eastAsia="仿宋"/>
          <w:sz w:val="32"/>
          <w:szCs w:val="32"/>
        </w:rPr>
        <w:t>5.5</w:t>
      </w:r>
      <w:r>
        <w:rPr>
          <w:rFonts w:hint="eastAsia" w:ascii="仿宋" w:hAnsi="仿宋" w:eastAsia="仿宋"/>
          <w:sz w:val="32"/>
          <w:szCs w:val="32"/>
        </w:rPr>
        <w:t>%，情况良好。“三公经费”2021年预算数38万元，决算数37.14万元，控制情况良好。我中心202</w:t>
      </w:r>
      <w:r>
        <w:rPr>
          <w:rFonts w:ascii="仿宋" w:hAnsi="仿宋" w:eastAsia="仿宋"/>
          <w:sz w:val="32"/>
          <w:szCs w:val="32"/>
        </w:rPr>
        <w:t>1</w:t>
      </w:r>
      <w:r>
        <w:rPr>
          <w:rFonts w:hint="eastAsia" w:ascii="仿宋" w:hAnsi="仿宋" w:eastAsia="仿宋"/>
          <w:sz w:val="32"/>
          <w:szCs w:val="32"/>
        </w:rPr>
        <w:t>年无在建楼堂馆所，控制情况良好。</w:t>
      </w:r>
    </w:p>
    <w:p>
      <w:pPr>
        <w:ind w:firstLine="640" w:firstLineChars="200"/>
        <w:outlineLvl w:val="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二</w:t>
      </w:r>
      <w:r>
        <w:rPr>
          <w:rFonts w:ascii="仿宋" w:hAnsi="仿宋" w:eastAsia="仿宋"/>
          <w:sz w:val="32"/>
          <w:szCs w:val="32"/>
        </w:rPr>
        <w:t>）管理效率方面</w:t>
      </w:r>
      <w:bookmarkEnd w:id="4"/>
    </w:p>
    <w:p>
      <w:pPr>
        <w:spacing w:line="560" w:lineRule="exact"/>
        <w:ind w:firstLine="640" w:firstLineChars="200"/>
        <w:outlineLvl w:val="0"/>
        <w:rPr>
          <w:rFonts w:ascii="仿宋" w:hAnsi="仿宋" w:eastAsia="仿宋"/>
          <w:sz w:val="32"/>
          <w:szCs w:val="32"/>
        </w:rPr>
      </w:pPr>
      <w:r>
        <w:rPr>
          <w:rFonts w:ascii="仿宋" w:hAnsi="仿宋" w:eastAsia="仿宋"/>
          <w:sz w:val="32"/>
          <w:szCs w:val="32"/>
        </w:rPr>
        <w:t>预算管理：</w:t>
      </w: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年我中心收入决算数</w:t>
      </w:r>
      <w:r>
        <w:rPr>
          <w:rFonts w:ascii="仿宋" w:hAnsi="仿宋" w:eastAsia="仿宋"/>
          <w:sz w:val="32"/>
          <w:szCs w:val="32"/>
        </w:rPr>
        <w:t>4453.39</w:t>
      </w:r>
      <w:r>
        <w:rPr>
          <w:rFonts w:hint="eastAsia" w:ascii="仿宋" w:hAnsi="仿宋" w:eastAsia="仿宋"/>
          <w:sz w:val="32"/>
          <w:szCs w:val="32"/>
        </w:rPr>
        <w:t>为万元，其中上年结转</w:t>
      </w:r>
      <w:r>
        <w:rPr>
          <w:rFonts w:ascii="仿宋" w:hAnsi="仿宋" w:eastAsia="仿宋"/>
          <w:sz w:val="32"/>
          <w:szCs w:val="32"/>
        </w:rPr>
        <w:t>502.65</w:t>
      </w:r>
      <w:r>
        <w:rPr>
          <w:rFonts w:hint="eastAsia" w:ascii="仿宋" w:hAnsi="仿宋" w:eastAsia="仿宋"/>
          <w:sz w:val="32"/>
          <w:szCs w:val="32"/>
        </w:rPr>
        <w:t xml:space="preserve"> 万元，实际支出</w:t>
      </w:r>
      <w:r>
        <w:rPr>
          <w:rFonts w:ascii="仿宋" w:hAnsi="仿宋" w:eastAsia="仿宋"/>
          <w:sz w:val="32"/>
          <w:szCs w:val="32"/>
        </w:rPr>
        <w:t>4348.93</w:t>
      </w:r>
      <w:r>
        <w:rPr>
          <w:rFonts w:hint="eastAsia" w:ascii="仿宋" w:hAnsi="仿宋" w:eastAsia="仿宋"/>
          <w:sz w:val="32"/>
          <w:szCs w:val="32"/>
        </w:rPr>
        <w:t>万元，预算执行率</w:t>
      </w:r>
      <w:r>
        <w:rPr>
          <w:rFonts w:ascii="仿宋" w:hAnsi="仿宋" w:eastAsia="仿宋"/>
          <w:sz w:val="32"/>
          <w:szCs w:val="32"/>
        </w:rPr>
        <w:t>95.4</w:t>
      </w:r>
      <w:r>
        <w:rPr>
          <w:rFonts w:hint="eastAsia" w:ascii="仿宋" w:hAnsi="仿宋" w:eastAsia="仿宋"/>
          <w:sz w:val="32"/>
          <w:szCs w:val="32"/>
        </w:rPr>
        <w:t>%；本年收入3950.74万元万元，年初预算3036.31万元（包括市级财政经费1367.35万元），年中预算增加</w:t>
      </w:r>
      <w:r>
        <w:rPr>
          <w:rFonts w:ascii="仿宋" w:hAnsi="仿宋" w:eastAsia="仿宋"/>
          <w:sz w:val="32"/>
          <w:szCs w:val="32"/>
        </w:rPr>
        <w:t>914.43</w:t>
      </w:r>
      <w:r>
        <w:rPr>
          <w:rFonts w:hint="eastAsia" w:ascii="仿宋" w:hAnsi="仿宋" w:eastAsia="仿宋"/>
          <w:sz w:val="32"/>
          <w:szCs w:val="32"/>
        </w:rPr>
        <w:t>万元,主要是由于部分</w:t>
      </w:r>
      <w:r>
        <w:rPr>
          <w:rFonts w:ascii="仿宋" w:hAnsi="仿宋" w:eastAsia="仿宋"/>
          <w:sz w:val="32"/>
          <w:szCs w:val="32"/>
        </w:rPr>
        <w:t>项目</w:t>
      </w:r>
      <w:r>
        <w:rPr>
          <w:rFonts w:hint="eastAsia" w:ascii="仿宋" w:hAnsi="仿宋" w:eastAsia="仿宋"/>
          <w:sz w:val="32"/>
          <w:szCs w:val="32"/>
        </w:rPr>
        <w:t>年初未纳入我</w:t>
      </w:r>
      <w:r>
        <w:rPr>
          <w:rFonts w:ascii="仿宋" w:hAnsi="仿宋" w:eastAsia="仿宋"/>
          <w:sz w:val="32"/>
          <w:szCs w:val="32"/>
        </w:rPr>
        <w:t>单位</w:t>
      </w:r>
      <w:r>
        <w:rPr>
          <w:rFonts w:hint="eastAsia" w:ascii="仿宋" w:hAnsi="仿宋" w:eastAsia="仿宋"/>
          <w:sz w:val="32"/>
          <w:szCs w:val="32"/>
        </w:rPr>
        <w:t>预算，由上级部门</w:t>
      </w:r>
      <w:r>
        <w:rPr>
          <w:rFonts w:ascii="仿宋" w:hAnsi="仿宋" w:eastAsia="仿宋"/>
          <w:sz w:val="32"/>
          <w:szCs w:val="32"/>
        </w:rPr>
        <w:t>和财政统一安排</w:t>
      </w:r>
      <w:r>
        <w:rPr>
          <w:rFonts w:hint="eastAsia" w:ascii="仿宋" w:hAnsi="仿宋" w:eastAsia="仿宋"/>
          <w:sz w:val="32"/>
          <w:szCs w:val="32"/>
        </w:rPr>
        <w:t>预算</w:t>
      </w:r>
      <w:r>
        <w:rPr>
          <w:rFonts w:ascii="仿宋" w:hAnsi="仿宋" w:eastAsia="仿宋"/>
          <w:sz w:val="32"/>
          <w:szCs w:val="32"/>
        </w:rPr>
        <w:t>。</w:t>
      </w:r>
      <w:r>
        <w:rPr>
          <w:rFonts w:hint="eastAsia" w:ascii="仿宋" w:hAnsi="仿宋" w:eastAsia="仿宋"/>
          <w:sz w:val="32"/>
          <w:szCs w:val="32"/>
        </w:rPr>
        <w:t>本年政府采购项目执行率较高，执行情况良好，采购</w:t>
      </w:r>
      <w:r>
        <w:rPr>
          <w:rFonts w:ascii="仿宋" w:hAnsi="仿宋" w:eastAsia="仿宋"/>
          <w:sz w:val="32"/>
          <w:szCs w:val="32"/>
        </w:rPr>
        <w:t>部门满意度良好</w:t>
      </w:r>
      <w:r>
        <w:rPr>
          <w:rFonts w:hint="eastAsia" w:ascii="仿宋" w:hAnsi="仿宋" w:eastAsia="仿宋"/>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）履职效益方面</w:t>
      </w:r>
    </w:p>
    <w:p>
      <w:pPr>
        <w:ind w:firstLine="640" w:firstLineChars="200"/>
        <w:outlineLvl w:val="0"/>
        <w:rPr>
          <w:rFonts w:ascii="仿宋" w:hAnsi="仿宋" w:eastAsia="仿宋"/>
          <w:sz w:val="32"/>
          <w:szCs w:val="32"/>
        </w:rPr>
      </w:pPr>
      <w:r>
        <w:rPr>
          <w:rFonts w:hint="eastAsia" w:ascii="仿宋" w:hAnsi="仿宋" w:eastAsia="仿宋"/>
          <w:sz w:val="32"/>
          <w:szCs w:val="32"/>
        </w:rPr>
        <w:t>我中心有序</w:t>
      </w:r>
      <w:r>
        <w:rPr>
          <w:rFonts w:ascii="仿宋" w:hAnsi="仿宋" w:eastAsia="仿宋"/>
          <w:sz w:val="32"/>
          <w:szCs w:val="32"/>
        </w:rPr>
        <w:t>开展监测</w:t>
      </w:r>
      <w:r>
        <w:rPr>
          <w:rFonts w:hint="eastAsia" w:ascii="仿宋" w:hAnsi="仿宋" w:eastAsia="仿宋"/>
          <w:sz w:val="32"/>
          <w:szCs w:val="32"/>
        </w:rPr>
        <w:t>，准确把握环境质量。每月完成对10个国控、5个省控、4个市控、4个组分站、1</w:t>
      </w:r>
      <w:r>
        <w:rPr>
          <w:rFonts w:ascii="仿宋" w:hAnsi="仿宋" w:eastAsia="仿宋"/>
          <w:sz w:val="32"/>
          <w:szCs w:val="32"/>
        </w:rPr>
        <w:t>62</w:t>
      </w:r>
      <w:r>
        <w:rPr>
          <w:rFonts w:hint="eastAsia" w:ascii="仿宋" w:hAnsi="仿宋" w:eastAsia="仿宋"/>
          <w:sz w:val="32"/>
          <w:szCs w:val="32"/>
        </w:rPr>
        <w:t>个小微自动空气站点运维、</w:t>
      </w:r>
      <w:r>
        <w:rPr>
          <w:rFonts w:ascii="仿宋" w:hAnsi="仿宋" w:eastAsia="仿宋"/>
          <w:sz w:val="32"/>
          <w:szCs w:val="32"/>
        </w:rPr>
        <w:t>监管</w:t>
      </w:r>
      <w:r>
        <w:rPr>
          <w:rFonts w:hint="eastAsia" w:ascii="仿宋" w:hAnsi="仿宋" w:eastAsia="仿宋"/>
          <w:sz w:val="32"/>
          <w:szCs w:val="32"/>
        </w:rPr>
        <w:t>或质控核查等。完成40个断面</w:t>
      </w:r>
      <w:r>
        <w:rPr>
          <w:rFonts w:ascii="仿宋" w:hAnsi="仿宋" w:eastAsia="仿宋"/>
          <w:sz w:val="32"/>
          <w:szCs w:val="32"/>
        </w:rPr>
        <w:t>的</w:t>
      </w:r>
      <w:r>
        <w:rPr>
          <w:rFonts w:hint="eastAsia" w:ascii="仿宋" w:hAnsi="仿宋" w:eastAsia="仿宋"/>
          <w:sz w:val="32"/>
          <w:szCs w:val="32"/>
        </w:rPr>
        <w:t>手工监测任务（</w:t>
      </w:r>
      <w:r>
        <w:rPr>
          <w:rFonts w:ascii="仿宋" w:hAnsi="仿宋" w:eastAsia="仿宋"/>
          <w:sz w:val="32"/>
          <w:szCs w:val="32"/>
        </w:rPr>
        <w:t>23</w:t>
      </w:r>
      <w:r>
        <w:rPr>
          <w:rFonts w:hint="eastAsia" w:ascii="仿宋" w:hAnsi="仿宋" w:eastAsia="仿宋"/>
          <w:sz w:val="32"/>
          <w:szCs w:val="32"/>
        </w:rPr>
        <w:t>个地表水断面、1</w:t>
      </w:r>
      <w:r>
        <w:rPr>
          <w:rFonts w:ascii="仿宋" w:hAnsi="仿宋" w:eastAsia="仿宋"/>
          <w:sz w:val="32"/>
          <w:szCs w:val="32"/>
        </w:rPr>
        <w:t>1</w:t>
      </w:r>
      <w:r>
        <w:rPr>
          <w:rFonts w:hint="eastAsia" w:ascii="仿宋" w:hAnsi="仿宋" w:eastAsia="仿宋"/>
          <w:sz w:val="32"/>
          <w:szCs w:val="32"/>
        </w:rPr>
        <w:t>个集中式饮用水源地水质断面、6个地表水重金属监控断面），对57个水质自动监测站进行运维监管，14个污水处理厂进行减排监测。2021年，中心响应突发环境应急事件8起，出动应急监测324人/次，为市局应急决策提供400余个应急监测数据，出具应急监测报告25期。</w:t>
      </w:r>
    </w:p>
    <w:p>
      <w:pPr>
        <w:ind w:firstLine="640" w:firstLineChars="200"/>
        <w:outlineLvl w:val="0"/>
        <w:rPr>
          <w:rFonts w:ascii="仿宋" w:hAnsi="仿宋" w:eastAsia="仿宋"/>
          <w:sz w:val="32"/>
          <w:szCs w:val="32"/>
        </w:rPr>
      </w:pPr>
      <w:r>
        <w:rPr>
          <w:rFonts w:hint="eastAsia" w:ascii="仿宋" w:hAnsi="仿宋" w:eastAsia="仿宋"/>
          <w:sz w:val="32"/>
          <w:szCs w:val="32"/>
        </w:rPr>
        <w:t>深入分析研判，精准服务决策管理。2021年</w:t>
      </w:r>
      <w:r>
        <w:rPr>
          <w:rFonts w:ascii="仿宋" w:hAnsi="仿宋" w:eastAsia="仿宋"/>
          <w:sz w:val="32"/>
          <w:szCs w:val="32"/>
        </w:rPr>
        <w:t>，</w:t>
      </w:r>
      <w:r>
        <w:rPr>
          <w:rFonts w:hint="eastAsia" w:ascii="仿宋" w:hAnsi="仿宋" w:eastAsia="仿宋"/>
          <w:sz w:val="32"/>
          <w:szCs w:val="32"/>
        </w:rPr>
        <w:t>编制各类报告</w:t>
      </w:r>
      <w:r>
        <w:rPr>
          <w:rFonts w:ascii="仿宋" w:hAnsi="仿宋" w:eastAsia="仿宋"/>
          <w:sz w:val="32"/>
          <w:szCs w:val="32"/>
        </w:rPr>
        <w:t>共计200</w:t>
      </w:r>
      <w:r>
        <w:rPr>
          <w:rFonts w:hint="eastAsia" w:ascii="仿宋" w:hAnsi="仿宋" w:eastAsia="仿宋"/>
          <w:sz w:val="32"/>
          <w:szCs w:val="32"/>
        </w:rPr>
        <w:t>余</w:t>
      </w:r>
      <w:r>
        <w:rPr>
          <w:rFonts w:ascii="仿宋" w:hAnsi="仿宋" w:eastAsia="仿宋"/>
          <w:sz w:val="32"/>
          <w:szCs w:val="32"/>
        </w:rPr>
        <w:t>份</w:t>
      </w:r>
      <w:r>
        <w:rPr>
          <w:rFonts w:hint="eastAsia" w:ascii="仿宋" w:hAnsi="仿宋" w:eastAsia="仿宋"/>
          <w:sz w:val="32"/>
          <w:szCs w:val="32"/>
        </w:rPr>
        <w:t>。编制完成《长沙市的十四五能力建设规划实施方案》、《2021年长沙市生态环境监测方案》、《2021年环境空气颗粒物和挥发性有机物手工监测方案》各类</w:t>
      </w:r>
      <w:r>
        <w:rPr>
          <w:rFonts w:ascii="仿宋" w:hAnsi="仿宋" w:eastAsia="仿宋"/>
          <w:sz w:val="32"/>
          <w:szCs w:val="32"/>
        </w:rPr>
        <w:t>方案</w:t>
      </w:r>
      <w:r>
        <w:rPr>
          <w:rFonts w:hint="eastAsia" w:ascii="仿宋" w:hAnsi="仿宋" w:eastAsia="仿宋"/>
          <w:sz w:val="32"/>
          <w:szCs w:val="32"/>
        </w:rPr>
        <w:t>10余</w:t>
      </w:r>
      <w:r>
        <w:rPr>
          <w:rFonts w:ascii="仿宋" w:hAnsi="仿宋" w:eastAsia="仿宋"/>
          <w:sz w:val="32"/>
          <w:szCs w:val="32"/>
        </w:rPr>
        <w:t>份。</w:t>
      </w:r>
      <w:r>
        <w:rPr>
          <w:rFonts w:hint="eastAsia" w:ascii="仿宋" w:hAnsi="仿宋" w:eastAsia="仿宋"/>
          <w:sz w:val="32"/>
          <w:szCs w:val="32"/>
        </w:rPr>
        <w:t>环境空气</w:t>
      </w:r>
      <w:r>
        <w:rPr>
          <w:rFonts w:ascii="仿宋" w:hAnsi="仿宋" w:eastAsia="仿宋"/>
          <w:sz w:val="32"/>
          <w:szCs w:val="32"/>
        </w:rPr>
        <w:t>质量跨等级预报准确率为91.2%，启动加密会商共65余次</w:t>
      </w:r>
      <w:r>
        <w:rPr>
          <w:rFonts w:hint="eastAsia" w:ascii="仿宋" w:hAnsi="仿宋" w:eastAsia="仿宋"/>
          <w:sz w:val="32"/>
          <w:szCs w:val="32"/>
        </w:rPr>
        <w:t>，发布《空气质量专题分析》9期、《空气质量一周趋势预测》46期、《重污染天气消息》10期</w:t>
      </w:r>
      <w:r>
        <w:rPr>
          <w:rFonts w:ascii="仿宋" w:hAnsi="仿宋" w:eastAsia="仿宋"/>
          <w:sz w:val="32"/>
          <w:szCs w:val="32"/>
        </w:rPr>
        <w:t>。</w:t>
      </w:r>
      <w:r>
        <w:rPr>
          <w:rFonts w:hint="eastAsia" w:ascii="仿宋" w:hAnsi="仿宋" w:eastAsia="仿宋"/>
          <w:sz w:val="32"/>
          <w:szCs w:val="32"/>
        </w:rPr>
        <w:t>高质量完成</w:t>
      </w:r>
      <w:r>
        <w:rPr>
          <w:rFonts w:ascii="仿宋" w:hAnsi="仿宋" w:eastAsia="仿宋"/>
          <w:sz w:val="32"/>
          <w:szCs w:val="32"/>
        </w:rPr>
        <w:t>“十四五”酸雨、噪声监测点位布设与优化</w:t>
      </w:r>
      <w:r>
        <w:rPr>
          <w:rFonts w:hint="eastAsia" w:ascii="仿宋" w:hAnsi="仿宋" w:eastAsia="仿宋"/>
          <w:sz w:val="32"/>
          <w:szCs w:val="32"/>
        </w:rPr>
        <w:t>。组织浏阳市横山桥断面锰异常、樟树港总磷异常、长沙市功能区噪声超标</w:t>
      </w:r>
      <w:r>
        <w:rPr>
          <w:rFonts w:ascii="仿宋" w:hAnsi="仿宋" w:eastAsia="仿宋"/>
          <w:sz w:val="32"/>
          <w:szCs w:val="32"/>
        </w:rPr>
        <w:t>情况</w:t>
      </w:r>
      <w:r>
        <w:rPr>
          <w:rFonts w:hint="eastAsia" w:ascii="仿宋" w:hAnsi="仿宋" w:eastAsia="仿宋"/>
          <w:sz w:val="32"/>
          <w:szCs w:val="32"/>
        </w:rPr>
        <w:t>1</w:t>
      </w:r>
      <w:r>
        <w:rPr>
          <w:rFonts w:ascii="仿宋" w:hAnsi="仿宋" w:eastAsia="仿宋"/>
          <w:sz w:val="32"/>
          <w:szCs w:val="32"/>
        </w:rPr>
        <w:t>0</w:t>
      </w:r>
      <w:r>
        <w:rPr>
          <w:rFonts w:hint="eastAsia" w:ascii="仿宋" w:hAnsi="仿宋" w:eastAsia="仿宋"/>
          <w:sz w:val="32"/>
          <w:szCs w:val="32"/>
        </w:rPr>
        <w:t>余次</w:t>
      </w:r>
      <w:r>
        <w:rPr>
          <w:rFonts w:ascii="仿宋" w:hAnsi="仿宋" w:eastAsia="仿宋"/>
          <w:sz w:val="32"/>
          <w:szCs w:val="32"/>
        </w:rPr>
        <w:t>专项调查</w:t>
      </w:r>
      <w:r>
        <w:rPr>
          <w:rFonts w:hint="eastAsia" w:ascii="仿宋" w:hAnsi="仿宋" w:eastAsia="仿宋"/>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积极探索创新，努力践行走在前列。完成中心</w:t>
      </w:r>
      <w:r>
        <w:rPr>
          <w:rFonts w:ascii="仿宋" w:hAnsi="仿宋" w:eastAsia="仿宋"/>
          <w:sz w:val="32"/>
          <w:szCs w:val="32"/>
        </w:rPr>
        <w:t>应急</w:t>
      </w:r>
      <w:r>
        <w:rPr>
          <w:rFonts w:hint="eastAsia" w:ascii="仿宋" w:hAnsi="仿宋" w:eastAsia="仿宋"/>
          <w:sz w:val="32"/>
          <w:szCs w:val="32"/>
        </w:rPr>
        <w:t>监测指挥</w:t>
      </w:r>
      <w:r>
        <w:rPr>
          <w:rFonts w:ascii="仿宋" w:hAnsi="仿宋" w:eastAsia="仿宋"/>
          <w:sz w:val="32"/>
          <w:szCs w:val="32"/>
        </w:rPr>
        <w:t>系统的</w:t>
      </w:r>
      <w:r>
        <w:rPr>
          <w:rFonts w:hint="eastAsia" w:ascii="仿宋" w:hAnsi="仿宋" w:eastAsia="仿宋"/>
          <w:sz w:val="32"/>
          <w:szCs w:val="32"/>
        </w:rPr>
        <w:t>基础</w:t>
      </w:r>
      <w:r>
        <w:rPr>
          <w:rFonts w:ascii="仿宋" w:hAnsi="仿宋" w:eastAsia="仿宋"/>
          <w:sz w:val="32"/>
          <w:szCs w:val="32"/>
        </w:rPr>
        <w:t>建设</w:t>
      </w:r>
      <w:r>
        <w:rPr>
          <w:rFonts w:hint="eastAsia" w:ascii="仿宋" w:hAnsi="仿宋" w:eastAsia="仿宋"/>
          <w:sz w:val="32"/>
          <w:szCs w:val="32"/>
        </w:rPr>
        <w:t>；完成长沙市近5年来主要污染物高清地图；精心组织编制《长沙市“十四五”生态环境监测断面（点）图鉴》；开展环境质量颗粒物及VOC的质控核查监测工作；开展湖南省地方标准《污染源排放废水锰、铅、镉在线监测系统技术规范》（DB43/T 969-2014）评估项目并顺利通过省厅专家评审会评审；编制</w:t>
      </w:r>
      <w:r>
        <w:rPr>
          <w:rFonts w:ascii="仿宋" w:hAnsi="仿宋" w:eastAsia="仿宋"/>
          <w:sz w:val="32"/>
          <w:szCs w:val="32"/>
        </w:rPr>
        <w:t>完成</w:t>
      </w:r>
      <w:r>
        <w:rPr>
          <w:rFonts w:hint="eastAsia" w:ascii="仿宋" w:hAnsi="仿宋" w:eastAsia="仿宋"/>
          <w:sz w:val="32"/>
          <w:szCs w:val="32"/>
        </w:rPr>
        <w:t>在线管理制度《长沙市污染源自动监控工作指南（试行）》，得到省厅的高度认可</w:t>
      </w:r>
      <w:r>
        <w:rPr>
          <w:rFonts w:ascii="仿宋" w:hAnsi="仿宋" w:eastAsia="仿宋"/>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强化质量管理，确保数据真实有效。全年手工监测数据超2万个，自控平行双样达数据总量的15%，现场密码平行双样近1000项次、自控明码标样1200项次、全程序空白2200项次均符合质控要求。完成了质量管理体系文件的转版，并顺利通过资质认证复评审；本年度参加生态环境部标样所、中国环境监测总站和省市场监督管理局组织的能力验证和考核共计6轮次，涉及水和废水、废气、土壤和固废及地下水10个项目参数，结果均为满意；推动lims系统和智慧环保运用，加快信息化建设，严格内部流程控制</w:t>
      </w:r>
      <w:r>
        <w:rPr>
          <w:rFonts w:ascii="仿宋" w:hAnsi="仿宋" w:eastAsia="仿宋"/>
          <w:sz w:val="32"/>
          <w:szCs w:val="32"/>
        </w:rPr>
        <w:t>。</w:t>
      </w:r>
    </w:p>
    <w:p>
      <w:pPr>
        <w:ind w:firstLine="640" w:firstLineChars="200"/>
        <w:outlineLvl w:val="0"/>
        <w:rPr>
          <w:rFonts w:ascii="仿宋" w:hAnsi="仿宋" w:eastAsia="仿宋"/>
          <w:sz w:val="32"/>
          <w:szCs w:val="32"/>
        </w:rPr>
      </w:pPr>
      <w:r>
        <w:rPr>
          <w:rFonts w:hint="eastAsia" w:ascii="仿宋" w:hAnsi="仿宋" w:eastAsia="仿宋"/>
          <w:sz w:val="32"/>
          <w:szCs w:val="32"/>
        </w:rPr>
        <w:t>综合发展再上台阶，各项成绩斐然。按程序遴选18位中层干部，平均年龄37岁，其中高级职称7人，中级职称11人。10月，中心内设机构优化调整工作圆满完成，新的科室、新的机构、新的成员扬帆起航。注重人才</w:t>
      </w:r>
      <w:r>
        <w:rPr>
          <w:rFonts w:ascii="仿宋" w:hAnsi="仿宋" w:eastAsia="仿宋"/>
          <w:sz w:val="32"/>
          <w:szCs w:val="32"/>
        </w:rPr>
        <w:t>培养和</w:t>
      </w:r>
      <w:r>
        <w:rPr>
          <w:rFonts w:hint="eastAsia" w:ascii="仿宋" w:hAnsi="仿宋" w:eastAsia="仿宋"/>
          <w:sz w:val="32"/>
          <w:szCs w:val="32"/>
        </w:rPr>
        <w:t>队伍建设，形成比学赶超、争先创优的良好氛围。结合中心自身实际，通过每日“微课堂”、青年“小课堂”、周五“大课堂”、在线“云课堂”等新方式开展多次内部培训活动</w:t>
      </w:r>
      <w:r>
        <w:rPr>
          <w:rFonts w:ascii="仿宋" w:hAnsi="仿宋" w:eastAsia="仿宋"/>
          <w:sz w:val="32"/>
          <w:szCs w:val="32"/>
        </w:rPr>
        <w:t>，</w:t>
      </w:r>
      <w:r>
        <w:rPr>
          <w:rFonts w:hint="eastAsia" w:ascii="仿宋" w:hAnsi="仿宋" w:eastAsia="仿宋"/>
          <w:sz w:val="32"/>
          <w:szCs w:val="32"/>
        </w:rPr>
        <w:t>并积极组织人员</w:t>
      </w:r>
      <w:r>
        <w:rPr>
          <w:rFonts w:ascii="仿宋" w:hAnsi="仿宋" w:eastAsia="仿宋"/>
          <w:sz w:val="32"/>
          <w:szCs w:val="32"/>
        </w:rPr>
        <w:t>参加</w:t>
      </w:r>
      <w:r>
        <w:rPr>
          <w:rFonts w:hint="eastAsia" w:ascii="仿宋" w:hAnsi="仿宋" w:eastAsia="仿宋"/>
          <w:sz w:val="32"/>
          <w:szCs w:val="32"/>
        </w:rPr>
        <w:t>总站</w:t>
      </w:r>
      <w:r>
        <w:rPr>
          <w:rFonts w:ascii="仿宋" w:hAnsi="仿宋" w:eastAsia="仿宋"/>
          <w:sz w:val="32"/>
          <w:szCs w:val="32"/>
        </w:rPr>
        <w:t>、省中心</w:t>
      </w:r>
      <w:r>
        <w:rPr>
          <w:rFonts w:hint="eastAsia" w:ascii="仿宋" w:hAnsi="仿宋" w:eastAsia="仿宋"/>
          <w:sz w:val="32"/>
          <w:szCs w:val="32"/>
        </w:rPr>
        <w:t>组织</w:t>
      </w:r>
      <w:r>
        <w:rPr>
          <w:rFonts w:ascii="仿宋" w:hAnsi="仿宋" w:eastAsia="仿宋"/>
          <w:sz w:val="32"/>
          <w:szCs w:val="32"/>
        </w:rPr>
        <w:t>的</w:t>
      </w:r>
      <w:r>
        <w:rPr>
          <w:rFonts w:hint="eastAsia" w:ascii="仿宋" w:hAnsi="仿宋" w:eastAsia="仿宋"/>
          <w:sz w:val="32"/>
          <w:szCs w:val="32"/>
        </w:rPr>
        <w:t>培训，选派优秀干部职工到总站、省中心、市局跟班学习</w:t>
      </w:r>
      <w:r>
        <w:rPr>
          <w:rFonts w:ascii="仿宋" w:hAnsi="仿宋" w:eastAsia="仿宋"/>
          <w:sz w:val="32"/>
          <w:szCs w:val="32"/>
        </w:rPr>
        <w:t>。</w:t>
      </w:r>
      <w:r>
        <w:rPr>
          <w:rFonts w:hint="eastAsia" w:ascii="仿宋" w:hAnsi="仿宋" w:eastAsia="仿宋"/>
          <w:sz w:val="32"/>
          <w:szCs w:val="32"/>
        </w:rPr>
        <w:t>通过</w:t>
      </w:r>
      <w:r>
        <w:rPr>
          <w:rFonts w:ascii="仿宋" w:hAnsi="仿宋" w:eastAsia="仿宋"/>
          <w:sz w:val="32"/>
          <w:szCs w:val="32"/>
        </w:rPr>
        <w:t>开展</w:t>
      </w:r>
      <w:r>
        <w:rPr>
          <w:rFonts w:hint="eastAsia" w:ascii="仿宋" w:hAnsi="仿宋" w:eastAsia="仿宋"/>
          <w:sz w:val="32"/>
          <w:szCs w:val="32"/>
        </w:rPr>
        <w:t>一系列品牌培训，让长沙中心</w:t>
      </w:r>
      <w:r>
        <w:rPr>
          <w:rFonts w:ascii="仿宋" w:hAnsi="仿宋" w:eastAsia="仿宋"/>
          <w:sz w:val="32"/>
          <w:szCs w:val="32"/>
        </w:rPr>
        <w:t>职工</w:t>
      </w:r>
      <w:r>
        <w:rPr>
          <w:rFonts w:hint="eastAsia" w:ascii="仿宋" w:hAnsi="仿宋" w:eastAsia="仿宋"/>
          <w:sz w:val="32"/>
          <w:szCs w:val="32"/>
        </w:rPr>
        <w:t>“走上讲台、迈向舞台”，促使干部职工更深入钻研专业知识，带动整体的学习氛围。中心荣获4项市级</w:t>
      </w:r>
      <w:r>
        <w:rPr>
          <w:rFonts w:ascii="仿宋" w:hAnsi="仿宋" w:eastAsia="仿宋"/>
          <w:sz w:val="32"/>
          <w:szCs w:val="32"/>
        </w:rPr>
        <w:t>以上</w:t>
      </w:r>
      <w:r>
        <w:rPr>
          <w:rFonts w:hint="eastAsia" w:ascii="仿宋" w:hAnsi="仿宋" w:eastAsia="仿宋"/>
          <w:sz w:val="32"/>
          <w:szCs w:val="32"/>
        </w:rPr>
        <w:t>团体</w:t>
      </w:r>
      <w:r>
        <w:rPr>
          <w:rFonts w:ascii="仿宋" w:hAnsi="仿宋" w:eastAsia="仿宋"/>
          <w:sz w:val="32"/>
          <w:szCs w:val="32"/>
        </w:rPr>
        <w:t>荣誉，</w:t>
      </w:r>
      <w:r>
        <w:rPr>
          <w:rFonts w:hint="eastAsia" w:ascii="仿宋" w:hAnsi="仿宋" w:eastAsia="仿宋"/>
          <w:sz w:val="32"/>
          <w:szCs w:val="32"/>
        </w:rPr>
        <w:t>32人获</w:t>
      </w:r>
      <w:r>
        <w:rPr>
          <w:rFonts w:ascii="仿宋" w:hAnsi="仿宋" w:eastAsia="仿宋"/>
          <w:sz w:val="32"/>
          <w:szCs w:val="32"/>
        </w:rPr>
        <w:t>市级以上荣誉。</w:t>
      </w:r>
      <w:r>
        <w:rPr>
          <w:rFonts w:hint="eastAsia" w:ascii="仿宋" w:hAnsi="仿宋" w:eastAsia="仿宋"/>
          <w:sz w:val="32"/>
          <w:szCs w:val="32"/>
        </w:rPr>
        <w:t>省监测中心委员会颁发的“优秀领导班子”、长沙市总工会“湘悦读 工力量”2020年全市职工主题阅读活动优秀组织奖、被市生态环境局评为“先进基层党组织”。第14届全省监测技术比武</w:t>
      </w:r>
      <w:r>
        <w:rPr>
          <w:rFonts w:ascii="仿宋" w:hAnsi="仿宋" w:eastAsia="仿宋"/>
          <w:sz w:val="32"/>
          <w:szCs w:val="32"/>
        </w:rPr>
        <w:t>中</w:t>
      </w:r>
      <w:r>
        <w:rPr>
          <w:rFonts w:hint="eastAsia" w:ascii="仿宋" w:hAnsi="仿宋" w:eastAsia="仿宋"/>
          <w:sz w:val="32"/>
          <w:szCs w:val="32"/>
        </w:rPr>
        <w:t>荣获省属综合组团体一等奖，2人荣获个人一等奖、1人荣获三等奖。第15届全省监测技术比武荣获省直分析技能组团体一等奖；省直废水样品采样组团体二等奖。2名同志荣获“长沙市蓝天保卫战先进个人”称号。1</w:t>
      </w:r>
      <w:r>
        <w:rPr>
          <w:rFonts w:ascii="仿宋" w:hAnsi="仿宋" w:eastAsia="仿宋"/>
          <w:sz w:val="32"/>
          <w:szCs w:val="32"/>
        </w:rPr>
        <w:t>0</w:t>
      </w:r>
      <w:r>
        <w:rPr>
          <w:rFonts w:hint="eastAsia" w:ascii="仿宋" w:hAnsi="仿宋" w:eastAsia="仿宋"/>
          <w:sz w:val="32"/>
          <w:szCs w:val="32"/>
        </w:rPr>
        <w:t>名同志荣获“长沙市2020年生态环境保护工作先进个人”称号。7人获“优秀共产党员”，1人获“优秀党务工作者”。9人被国家环保部评为全国“三五”人才技术骨干。</w:t>
      </w:r>
    </w:p>
    <w:p>
      <w:pPr>
        <w:pStyle w:val="8"/>
        <w:ind w:firstLine="643"/>
        <w:rPr>
          <w:rFonts w:ascii="黑体" w:hAnsi="黑体" w:eastAsia="黑体"/>
          <w:color w:val="000000"/>
          <w:sz w:val="32"/>
        </w:rPr>
      </w:pPr>
      <w:r>
        <w:rPr>
          <w:rFonts w:hint="eastAsia" w:ascii="黑体" w:hAnsi="黑体" w:eastAsia="黑体"/>
          <w:color w:val="000000"/>
          <w:sz w:val="32"/>
        </w:rPr>
        <w:t>五、存在的主要</w:t>
      </w:r>
      <w:r>
        <w:rPr>
          <w:rFonts w:ascii="黑体" w:hAnsi="黑体" w:eastAsia="黑体"/>
          <w:color w:val="000000"/>
          <w:sz w:val="32"/>
        </w:rPr>
        <w:t>问题</w:t>
      </w:r>
      <w:r>
        <w:rPr>
          <w:rFonts w:hint="eastAsia" w:ascii="黑体" w:hAnsi="黑体" w:eastAsia="黑体"/>
          <w:color w:val="000000"/>
          <w:sz w:val="32"/>
        </w:rPr>
        <w:t>及</w:t>
      </w:r>
      <w:r>
        <w:rPr>
          <w:rFonts w:ascii="黑体" w:hAnsi="黑体" w:eastAsia="黑体"/>
          <w:color w:val="000000"/>
          <w:sz w:val="32"/>
        </w:rPr>
        <w:t>下一步改进措施</w:t>
      </w:r>
    </w:p>
    <w:p>
      <w:pPr>
        <w:spacing w:before="0" w:beforeLines="-2147483648"/>
        <w:ind w:firstLine="640" w:firstLineChars="200"/>
        <w:outlineLvl w:val="0"/>
        <w:rPr>
          <w:rFonts w:hint="eastAsia" w:ascii="仿宋" w:hAnsi="仿宋" w:eastAsia="仿宋" w:cstheme="minorBidi"/>
          <w:bCs w:val="0"/>
          <w:sz w:val="32"/>
          <w:szCs w:val="32"/>
        </w:rPr>
      </w:pPr>
      <w:r>
        <w:rPr>
          <w:rFonts w:hint="eastAsia" w:ascii="仿宋" w:hAnsi="仿宋" w:eastAsia="仿宋" w:cstheme="minorBidi"/>
          <w:bCs w:val="0"/>
          <w:sz w:val="32"/>
          <w:szCs w:val="32"/>
        </w:rPr>
        <w:t>由于政府采购流程过缓等原因，部分项目执行在年度前期推进较慢。今后将强化预算的科学管理，督促项目实施进展，关注项目节点，对纳入预算的项目及时推进调度，将预算资金管理全程贯穿于项目实施过程。年末对执行率较低的项目及时分析原因，并根据资金具体使用情况调整下年预算安排。</w:t>
      </w:r>
    </w:p>
    <w:p>
      <w:pPr>
        <w:pStyle w:val="13"/>
        <w:ind w:firstLine="640" w:firstLineChars="200"/>
        <w:rPr>
          <w:rFonts w:ascii="仿宋" w:hAnsi="仿宋" w:eastAsia="仿宋" w:cstheme="minorBidi"/>
          <w:color w:val="auto"/>
          <w:kern w:val="2"/>
          <w:sz w:val="32"/>
          <w:szCs w:val="32"/>
        </w:rPr>
      </w:pP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4506F9"/>
    <w:rsid w:val="000014DE"/>
    <w:rsid w:val="00005CFA"/>
    <w:rsid w:val="0001719F"/>
    <w:rsid w:val="00017D3B"/>
    <w:rsid w:val="0002229B"/>
    <w:rsid w:val="000273BD"/>
    <w:rsid w:val="0002780F"/>
    <w:rsid w:val="000322B4"/>
    <w:rsid w:val="00037F83"/>
    <w:rsid w:val="000415B7"/>
    <w:rsid w:val="00041E3F"/>
    <w:rsid w:val="00041FF3"/>
    <w:rsid w:val="00047A94"/>
    <w:rsid w:val="000536D4"/>
    <w:rsid w:val="00055DAA"/>
    <w:rsid w:val="0005698D"/>
    <w:rsid w:val="00057A9E"/>
    <w:rsid w:val="00057E3B"/>
    <w:rsid w:val="00061F7B"/>
    <w:rsid w:val="000651E3"/>
    <w:rsid w:val="000658A3"/>
    <w:rsid w:val="00074155"/>
    <w:rsid w:val="00085FE2"/>
    <w:rsid w:val="000936C4"/>
    <w:rsid w:val="000A3F69"/>
    <w:rsid w:val="000C17B8"/>
    <w:rsid w:val="000C23BE"/>
    <w:rsid w:val="000C7C34"/>
    <w:rsid w:val="000D434D"/>
    <w:rsid w:val="000E4A7E"/>
    <w:rsid w:val="000E756E"/>
    <w:rsid w:val="000F33B2"/>
    <w:rsid w:val="000F7B91"/>
    <w:rsid w:val="001002FF"/>
    <w:rsid w:val="001014A2"/>
    <w:rsid w:val="00103957"/>
    <w:rsid w:val="001322ED"/>
    <w:rsid w:val="0014498D"/>
    <w:rsid w:val="00152C6D"/>
    <w:rsid w:val="00162D39"/>
    <w:rsid w:val="00164F22"/>
    <w:rsid w:val="001678BD"/>
    <w:rsid w:val="00192269"/>
    <w:rsid w:val="0019470F"/>
    <w:rsid w:val="00197FC2"/>
    <w:rsid w:val="001A5AA3"/>
    <w:rsid w:val="001A67DB"/>
    <w:rsid w:val="001B4C37"/>
    <w:rsid w:val="001B616C"/>
    <w:rsid w:val="001B74C2"/>
    <w:rsid w:val="001C39E6"/>
    <w:rsid w:val="001C3C29"/>
    <w:rsid w:val="001C4900"/>
    <w:rsid w:val="001D2B6D"/>
    <w:rsid w:val="001D4EA0"/>
    <w:rsid w:val="001D51E5"/>
    <w:rsid w:val="001E080D"/>
    <w:rsid w:val="001E1DF4"/>
    <w:rsid w:val="001E53D0"/>
    <w:rsid w:val="001E7AEF"/>
    <w:rsid w:val="001F0C3B"/>
    <w:rsid w:val="001F15CD"/>
    <w:rsid w:val="001F3B73"/>
    <w:rsid w:val="001F412A"/>
    <w:rsid w:val="001F4C88"/>
    <w:rsid w:val="002011D4"/>
    <w:rsid w:val="00202C82"/>
    <w:rsid w:val="00214427"/>
    <w:rsid w:val="002167AD"/>
    <w:rsid w:val="0021793E"/>
    <w:rsid w:val="002207CA"/>
    <w:rsid w:val="00222FFE"/>
    <w:rsid w:val="00225396"/>
    <w:rsid w:val="00226CB7"/>
    <w:rsid w:val="00227FED"/>
    <w:rsid w:val="00241167"/>
    <w:rsid w:val="002436AF"/>
    <w:rsid w:val="00245C1E"/>
    <w:rsid w:val="00247864"/>
    <w:rsid w:val="00250352"/>
    <w:rsid w:val="00250A55"/>
    <w:rsid w:val="002558AF"/>
    <w:rsid w:val="00264552"/>
    <w:rsid w:val="00264EF9"/>
    <w:rsid w:val="00265724"/>
    <w:rsid w:val="00270305"/>
    <w:rsid w:val="0027426B"/>
    <w:rsid w:val="0028073D"/>
    <w:rsid w:val="00282BAE"/>
    <w:rsid w:val="0028537A"/>
    <w:rsid w:val="00285620"/>
    <w:rsid w:val="00294673"/>
    <w:rsid w:val="002A4425"/>
    <w:rsid w:val="002A53CD"/>
    <w:rsid w:val="002A6357"/>
    <w:rsid w:val="002B13BC"/>
    <w:rsid w:val="002D0995"/>
    <w:rsid w:val="002D7C33"/>
    <w:rsid w:val="002E0A30"/>
    <w:rsid w:val="002E6AE6"/>
    <w:rsid w:val="002E6D94"/>
    <w:rsid w:val="003016C9"/>
    <w:rsid w:val="0030215A"/>
    <w:rsid w:val="003113CE"/>
    <w:rsid w:val="003130C4"/>
    <w:rsid w:val="00315B34"/>
    <w:rsid w:val="00316C4B"/>
    <w:rsid w:val="003211C7"/>
    <w:rsid w:val="003213E1"/>
    <w:rsid w:val="0032192B"/>
    <w:rsid w:val="0032312E"/>
    <w:rsid w:val="00330A14"/>
    <w:rsid w:val="00337D06"/>
    <w:rsid w:val="0034290B"/>
    <w:rsid w:val="00343436"/>
    <w:rsid w:val="00344409"/>
    <w:rsid w:val="003479BD"/>
    <w:rsid w:val="003531A1"/>
    <w:rsid w:val="00357CA6"/>
    <w:rsid w:val="003631EE"/>
    <w:rsid w:val="0037197D"/>
    <w:rsid w:val="003768D5"/>
    <w:rsid w:val="00377DA3"/>
    <w:rsid w:val="00383B38"/>
    <w:rsid w:val="00391494"/>
    <w:rsid w:val="00393A3C"/>
    <w:rsid w:val="00395D4C"/>
    <w:rsid w:val="003A1EDD"/>
    <w:rsid w:val="003A22FD"/>
    <w:rsid w:val="003A2F20"/>
    <w:rsid w:val="003A3BAE"/>
    <w:rsid w:val="003B0CF3"/>
    <w:rsid w:val="003C47E6"/>
    <w:rsid w:val="003C4FC2"/>
    <w:rsid w:val="003E2913"/>
    <w:rsid w:val="003F12BB"/>
    <w:rsid w:val="003F6E70"/>
    <w:rsid w:val="00402404"/>
    <w:rsid w:val="004051C3"/>
    <w:rsid w:val="00410C78"/>
    <w:rsid w:val="00416E61"/>
    <w:rsid w:val="00420948"/>
    <w:rsid w:val="0042261B"/>
    <w:rsid w:val="00422D18"/>
    <w:rsid w:val="00425A45"/>
    <w:rsid w:val="0042790C"/>
    <w:rsid w:val="00433785"/>
    <w:rsid w:val="004417C6"/>
    <w:rsid w:val="00446FA8"/>
    <w:rsid w:val="004506F9"/>
    <w:rsid w:val="00450C25"/>
    <w:rsid w:val="004511E1"/>
    <w:rsid w:val="00451B76"/>
    <w:rsid w:val="00453992"/>
    <w:rsid w:val="00456186"/>
    <w:rsid w:val="004623E2"/>
    <w:rsid w:val="00462A3B"/>
    <w:rsid w:val="004717A2"/>
    <w:rsid w:val="00473DF3"/>
    <w:rsid w:val="00487911"/>
    <w:rsid w:val="00491741"/>
    <w:rsid w:val="00491C27"/>
    <w:rsid w:val="004B0740"/>
    <w:rsid w:val="004B73BD"/>
    <w:rsid w:val="004D1250"/>
    <w:rsid w:val="004D2AB0"/>
    <w:rsid w:val="004E522A"/>
    <w:rsid w:val="00500E5F"/>
    <w:rsid w:val="00502DA8"/>
    <w:rsid w:val="0050599E"/>
    <w:rsid w:val="005122EF"/>
    <w:rsid w:val="0051441A"/>
    <w:rsid w:val="00515345"/>
    <w:rsid w:val="00517C33"/>
    <w:rsid w:val="00520336"/>
    <w:rsid w:val="00523644"/>
    <w:rsid w:val="0054069E"/>
    <w:rsid w:val="00544866"/>
    <w:rsid w:val="0056571F"/>
    <w:rsid w:val="00566E51"/>
    <w:rsid w:val="00574CA0"/>
    <w:rsid w:val="005767CC"/>
    <w:rsid w:val="00577F2E"/>
    <w:rsid w:val="00586E21"/>
    <w:rsid w:val="00587AFF"/>
    <w:rsid w:val="00590D9F"/>
    <w:rsid w:val="0059404D"/>
    <w:rsid w:val="00595D26"/>
    <w:rsid w:val="00596102"/>
    <w:rsid w:val="0059672F"/>
    <w:rsid w:val="005A2859"/>
    <w:rsid w:val="005A5C9E"/>
    <w:rsid w:val="005A74AB"/>
    <w:rsid w:val="005A74E6"/>
    <w:rsid w:val="005B22ED"/>
    <w:rsid w:val="005B27FE"/>
    <w:rsid w:val="005B33E3"/>
    <w:rsid w:val="005B404E"/>
    <w:rsid w:val="005C2934"/>
    <w:rsid w:val="005C6A91"/>
    <w:rsid w:val="005D006F"/>
    <w:rsid w:val="005D0708"/>
    <w:rsid w:val="005D1F56"/>
    <w:rsid w:val="005D254E"/>
    <w:rsid w:val="005D33BF"/>
    <w:rsid w:val="005D4138"/>
    <w:rsid w:val="005D4D55"/>
    <w:rsid w:val="005E2CFB"/>
    <w:rsid w:val="005F24A6"/>
    <w:rsid w:val="005F2CF4"/>
    <w:rsid w:val="005F3D1C"/>
    <w:rsid w:val="00603CB6"/>
    <w:rsid w:val="00616EBA"/>
    <w:rsid w:val="0062378F"/>
    <w:rsid w:val="00624147"/>
    <w:rsid w:val="0063622A"/>
    <w:rsid w:val="00641842"/>
    <w:rsid w:val="00651BC6"/>
    <w:rsid w:val="00651EEC"/>
    <w:rsid w:val="006729D2"/>
    <w:rsid w:val="0067373E"/>
    <w:rsid w:val="00677598"/>
    <w:rsid w:val="00686673"/>
    <w:rsid w:val="00691E8C"/>
    <w:rsid w:val="00694EF0"/>
    <w:rsid w:val="006971C6"/>
    <w:rsid w:val="006A22C4"/>
    <w:rsid w:val="006A351B"/>
    <w:rsid w:val="006B0422"/>
    <w:rsid w:val="006C1B53"/>
    <w:rsid w:val="006C1E82"/>
    <w:rsid w:val="006D7730"/>
    <w:rsid w:val="006E1AB8"/>
    <w:rsid w:val="006E44B3"/>
    <w:rsid w:val="006E5284"/>
    <w:rsid w:val="006E7F35"/>
    <w:rsid w:val="006F3529"/>
    <w:rsid w:val="006F3EB5"/>
    <w:rsid w:val="00702E34"/>
    <w:rsid w:val="00704395"/>
    <w:rsid w:val="00704748"/>
    <w:rsid w:val="00713A2C"/>
    <w:rsid w:val="00717621"/>
    <w:rsid w:val="00717649"/>
    <w:rsid w:val="00720FF1"/>
    <w:rsid w:val="0072442F"/>
    <w:rsid w:val="00727A53"/>
    <w:rsid w:val="007424CC"/>
    <w:rsid w:val="00742896"/>
    <w:rsid w:val="00743D85"/>
    <w:rsid w:val="007446E8"/>
    <w:rsid w:val="00754C12"/>
    <w:rsid w:val="007659E5"/>
    <w:rsid w:val="007732BB"/>
    <w:rsid w:val="00773CB2"/>
    <w:rsid w:val="007749D4"/>
    <w:rsid w:val="00780CDF"/>
    <w:rsid w:val="00787B42"/>
    <w:rsid w:val="0079021C"/>
    <w:rsid w:val="007A509A"/>
    <w:rsid w:val="007B044A"/>
    <w:rsid w:val="007B42B1"/>
    <w:rsid w:val="007C4539"/>
    <w:rsid w:val="007D47A0"/>
    <w:rsid w:val="007D5F20"/>
    <w:rsid w:val="007F3657"/>
    <w:rsid w:val="007F39B5"/>
    <w:rsid w:val="007F3C33"/>
    <w:rsid w:val="007F57B7"/>
    <w:rsid w:val="007F583E"/>
    <w:rsid w:val="00802EC7"/>
    <w:rsid w:val="00804568"/>
    <w:rsid w:val="00810E52"/>
    <w:rsid w:val="00812ED5"/>
    <w:rsid w:val="00814B2D"/>
    <w:rsid w:val="008179C6"/>
    <w:rsid w:val="0082031E"/>
    <w:rsid w:val="008270A4"/>
    <w:rsid w:val="008277D9"/>
    <w:rsid w:val="008432BE"/>
    <w:rsid w:val="0084478C"/>
    <w:rsid w:val="00850C2E"/>
    <w:rsid w:val="0085308D"/>
    <w:rsid w:val="00854F2E"/>
    <w:rsid w:val="00857B8F"/>
    <w:rsid w:val="008624FE"/>
    <w:rsid w:val="00862726"/>
    <w:rsid w:val="0086638C"/>
    <w:rsid w:val="008729EF"/>
    <w:rsid w:val="008741D2"/>
    <w:rsid w:val="008A2021"/>
    <w:rsid w:val="008A3E8D"/>
    <w:rsid w:val="008C4EF7"/>
    <w:rsid w:val="008C5D88"/>
    <w:rsid w:val="008C69F3"/>
    <w:rsid w:val="008D453A"/>
    <w:rsid w:val="008E5C87"/>
    <w:rsid w:val="008F38ED"/>
    <w:rsid w:val="008F5E85"/>
    <w:rsid w:val="00902229"/>
    <w:rsid w:val="00913C4F"/>
    <w:rsid w:val="009229F7"/>
    <w:rsid w:val="009237C4"/>
    <w:rsid w:val="00930C74"/>
    <w:rsid w:val="00942444"/>
    <w:rsid w:val="009439A5"/>
    <w:rsid w:val="00944C48"/>
    <w:rsid w:val="009454DE"/>
    <w:rsid w:val="00950252"/>
    <w:rsid w:val="0095243F"/>
    <w:rsid w:val="00961304"/>
    <w:rsid w:val="00967F5D"/>
    <w:rsid w:val="00985CF1"/>
    <w:rsid w:val="009A027B"/>
    <w:rsid w:val="009A0F95"/>
    <w:rsid w:val="009A4D83"/>
    <w:rsid w:val="009A590C"/>
    <w:rsid w:val="009B0B36"/>
    <w:rsid w:val="009B3ADF"/>
    <w:rsid w:val="009C3B52"/>
    <w:rsid w:val="009E4B56"/>
    <w:rsid w:val="009E6817"/>
    <w:rsid w:val="009E6E9A"/>
    <w:rsid w:val="00A018FB"/>
    <w:rsid w:val="00A01D2B"/>
    <w:rsid w:val="00A120FB"/>
    <w:rsid w:val="00A16EC1"/>
    <w:rsid w:val="00A329CB"/>
    <w:rsid w:val="00A42218"/>
    <w:rsid w:val="00A479C1"/>
    <w:rsid w:val="00A543E9"/>
    <w:rsid w:val="00A70249"/>
    <w:rsid w:val="00A70AFD"/>
    <w:rsid w:val="00A70B02"/>
    <w:rsid w:val="00A716C0"/>
    <w:rsid w:val="00A71D9F"/>
    <w:rsid w:val="00A73031"/>
    <w:rsid w:val="00A7735C"/>
    <w:rsid w:val="00A92E9F"/>
    <w:rsid w:val="00A934FC"/>
    <w:rsid w:val="00A94CE0"/>
    <w:rsid w:val="00AB4944"/>
    <w:rsid w:val="00AB4E34"/>
    <w:rsid w:val="00AC1896"/>
    <w:rsid w:val="00AC7526"/>
    <w:rsid w:val="00AD15D2"/>
    <w:rsid w:val="00AD1B73"/>
    <w:rsid w:val="00AD3FB2"/>
    <w:rsid w:val="00AD3FFC"/>
    <w:rsid w:val="00AD4CE0"/>
    <w:rsid w:val="00AD5FF2"/>
    <w:rsid w:val="00AD6205"/>
    <w:rsid w:val="00AE2F37"/>
    <w:rsid w:val="00AE7000"/>
    <w:rsid w:val="00B0141B"/>
    <w:rsid w:val="00B04C1C"/>
    <w:rsid w:val="00B13D1B"/>
    <w:rsid w:val="00B1434D"/>
    <w:rsid w:val="00B25EDE"/>
    <w:rsid w:val="00B33BEA"/>
    <w:rsid w:val="00B374C6"/>
    <w:rsid w:val="00B448FD"/>
    <w:rsid w:val="00B47629"/>
    <w:rsid w:val="00B55E04"/>
    <w:rsid w:val="00B57C9F"/>
    <w:rsid w:val="00B614DE"/>
    <w:rsid w:val="00B61FE6"/>
    <w:rsid w:val="00B63572"/>
    <w:rsid w:val="00B658A7"/>
    <w:rsid w:val="00B66653"/>
    <w:rsid w:val="00B845B3"/>
    <w:rsid w:val="00B85D8B"/>
    <w:rsid w:val="00B86181"/>
    <w:rsid w:val="00BB4A40"/>
    <w:rsid w:val="00BB795D"/>
    <w:rsid w:val="00BC5786"/>
    <w:rsid w:val="00BD6C3E"/>
    <w:rsid w:val="00BE1B90"/>
    <w:rsid w:val="00BE3674"/>
    <w:rsid w:val="00BF4B28"/>
    <w:rsid w:val="00C03225"/>
    <w:rsid w:val="00C053BB"/>
    <w:rsid w:val="00C10681"/>
    <w:rsid w:val="00C11DB3"/>
    <w:rsid w:val="00C13EF1"/>
    <w:rsid w:val="00C15F33"/>
    <w:rsid w:val="00C2004A"/>
    <w:rsid w:val="00C2170A"/>
    <w:rsid w:val="00C25689"/>
    <w:rsid w:val="00C30449"/>
    <w:rsid w:val="00C3049A"/>
    <w:rsid w:val="00C31B1E"/>
    <w:rsid w:val="00C41E38"/>
    <w:rsid w:val="00C519A0"/>
    <w:rsid w:val="00C709F9"/>
    <w:rsid w:val="00C76621"/>
    <w:rsid w:val="00C77645"/>
    <w:rsid w:val="00C84D24"/>
    <w:rsid w:val="00C85DC5"/>
    <w:rsid w:val="00C91353"/>
    <w:rsid w:val="00C91F28"/>
    <w:rsid w:val="00C94C4D"/>
    <w:rsid w:val="00CB3B62"/>
    <w:rsid w:val="00CB6D76"/>
    <w:rsid w:val="00CB6ED5"/>
    <w:rsid w:val="00CC6B37"/>
    <w:rsid w:val="00CD67B0"/>
    <w:rsid w:val="00CE04C3"/>
    <w:rsid w:val="00CE4F7D"/>
    <w:rsid w:val="00CE5C05"/>
    <w:rsid w:val="00CE76A0"/>
    <w:rsid w:val="00CE777A"/>
    <w:rsid w:val="00CF0DC6"/>
    <w:rsid w:val="00CF2008"/>
    <w:rsid w:val="00CF77DE"/>
    <w:rsid w:val="00D0034F"/>
    <w:rsid w:val="00D055D0"/>
    <w:rsid w:val="00D142CD"/>
    <w:rsid w:val="00D148C6"/>
    <w:rsid w:val="00D17A8A"/>
    <w:rsid w:val="00D221F2"/>
    <w:rsid w:val="00D24A4B"/>
    <w:rsid w:val="00D24CDB"/>
    <w:rsid w:val="00D27D33"/>
    <w:rsid w:val="00D415BA"/>
    <w:rsid w:val="00D445BF"/>
    <w:rsid w:val="00D564E1"/>
    <w:rsid w:val="00D57767"/>
    <w:rsid w:val="00D644EE"/>
    <w:rsid w:val="00D6771C"/>
    <w:rsid w:val="00D712D7"/>
    <w:rsid w:val="00D72DE8"/>
    <w:rsid w:val="00D77CB4"/>
    <w:rsid w:val="00D86B98"/>
    <w:rsid w:val="00D9240B"/>
    <w:rsid w:val="00D96BA4"/>
    <w:rsid w:val="00DA5F15"/>
    <w:rsid w:val="00DB120F"/>
    <w:rsid w:val="00DB1FD3"/>
    <w:rsid w:val="00DB3773"/>
    <w:rsid w:val="00DC3720"/>
    <w:rsid w:val="00DC58A1"/>
    <w:rsid w:val="00DC7564"/>
    <w:rsid w:val="00DD06FF"/>
    <w:rsid w:val="00DD5FE9"/>
    <w:rsid w:val="00DE3AAC"/>
    <w:rsid w:val="00DF353D"/>
    <w:rsid w:val="00E00C7A"/>
    <w:rsid w:val="00E031F8"/>
    <w:rsid w:val="00E119B2"/>
    <w:rsid w:val="00E2460D"/>
    <w:rsid w:val="00E276E9"/>
    <w:rsid w:val="00E27E24"/>
    <w:rsid w:val="00E3116C"/>
    <w:rsid w:val="00E377E7"/>
    <w:rsid w:val="00E37D6C"/>
    <w:rsid w:val="00E40219"/>
    <w:rsid w:val="00E4105B"/>
    <w:rsid w:val="00E44F98"/>
    <w:rsid w:val="00E50C96"/>
    <w:rsid w:val="00E55B68"/>
    <w:rsid w:val="00E60E5C"/>
    <w:rsid w:val="00E634E3"/>
    <w:rsid w:val="00E637CB"/>
    <w:rsid w:val="00E67BE6"/>
    <w:rsid w:val="00E7153D"/>
    <w:rsid w:val="00E738FF"/>
    <w:rsid w:val="00E74E8F"/>
    <w:rsid w:val="00E82098"/>
    <w:rsid w:val="00E846AD"/>
    <w:rsid w:val="00E84A21"/>
    <w:rsid w:val="00E85450"/>
    <w:rsid w:val="00E8683C"/>
    <w:rsid w:val="00E951E0"/>
    <w:rsid w:val="00EA21C8"/>
    <w:rsid w:val="00EA273D"/>
    <w:rsid w:val="00EA2B72"/>
    <w:rsid w:val="00EA5B78"/>
    <w:rsid w:val="00EC1551"/>
    <w:rsid w:val="00EE3937"/>
    <w:rsid w:val="00EF0A12"/>
    <w:rsid w:val="00EF0EF2"/>
    <w:rsid w:val="00EF2BBD"/>
    <w:rsid w:val="00F0287F"/>
    <w:rsid w:val="00F02F60"/>
    <w:rsid w:val="00F04A02"/>
    <w:rsid w:val="00F07203"/>
    <w:rsid w:val="00F11252"/>
    <w:rsid w:val="00F11C58"/>
    <w:rsid w:val="00F13F90"/>
    <w:rsid w:val="00F218C5"/>
    <w:rsid w:val="00F235ED"/>
    <w:rsid w:val="00F26AA0"/>
    <w:rsid w:val="00F32F77"/>
    <w:rsid w:val="00F437D9"/>
    <w:rsid w:val="00F459F9"/>
    <w:rsid w:val="00F47D2F"/>
    <w:rsid w:val="00F74360"/>
    <w:rsid w:val="00F86E10"/>
    <w:rsid w:val="00F86F98"/>
    <w:rsid w:val="00F94F36"/>
    <w:rsid w:val="00FA55A2"/>
    <w:rsid w:val="00FB18BC"/>
    <w:rsid w:val="00FB462F"/>
    <w:rsid w:val="00FE16FA"/>
    <w:rsid w:val="00FE328A"/>
    <w:rsid w:val="00FE58C3"/>
    <w:rsid w:val="00FE6269"/>
    <w:rsid w:val="00FE7D86"/>
    <w:rsid w:val="00FF5CD6"/>
    <w:rsid w:val="03760287"/>
    <w:rsid w:val="09F24640"/>
    <w:rsid w:val="0CD77D8F"/>
    <w:rsid w:val="10C55FD8"/>
    <w:rsid w:val="118F171D"/>
    <w:rsid w:val="13E14A34"/>
    <w:rsid w:val="16423AC9"/>
    <w:rsid w:val="19237682"/>
    <w:rsid w:val="19B25ED4"/>
    <w:rsid w:val="1BDD260D"/>
    <w:rsid w:val="1ED524E2"/>
    <w:rsid w:val="28537B7C"/>
    <w:rsid w:val="28FB161A"/>
    <w:rsid w:val="292C2B79"/>
    <w:rsid w:val="29E6133D"/>
    <w:rsid w:val="2C595AD2"/>
    <w:rsid w:val="2E2D2F16"/>
    <w:rsid w:val="2EE57420"/>
    <w:rsid w:val="31C14142"/>
    <w:rsid w:val="36D22BEE"/>
    <w:rsid w:val="3A3A582E"/>
    <w:rsid w:val="3D1A32B3"/>
    <w:rsid w:val="3DA30C11"/>
    <w:rsid w:val="3F743FC9"/>
    <w:rsid w:val="4002441C"/>
    <w:rsid w:val="401A3683"/>
    <w:rsid w:val="417E6D79"/>
    <w:rsid w:val="4B312B5D"/>
    <w:rsid w:val="4ECA4365"/>
    <w:rsid w:val="54341EAE"/>
    <w:rsid w:val="546C7D1B"/>
    <w:rsid w:val="556B1922"/>
    <w:rsid w:val="56757125"/>
    <w:rsid w:val="57C01C68"/>
    <w:rsid w:val="59CA142C"/>
    <w:rsid w:val="5D8A5BF3"/>
    <w:rsid w:val="5F021772"/>
    <w:rsid w:val="61E003F2"/>
    <w:rsid w:val="63641537"/>
    <w:rsid w:val="65835B0E"/>
    <w:rsid w:val="65AB7358"/>
    <w:rsid w:val="67484761"/>
    <w:rsid w:val="67D522BB"/>
    <w:rsid w:val="6C170C65"/>
    <w:rsid w:val="6CB135B9"/>
    <w:rsid w:val="73A3131E"/>
    <w:rsid w:val="7F0A2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spacing w:before="240" w:after="60"/>
      <w:outlineLvl w:val="0"/>
    </w:pPr>
    <w:rPr>
      <w:rFonts w:ascii="Cambria" w:hAnsi="Cambria" w:eastAsia="宋体"/>
      <w:b/>
      <w:bCs/>
      <w:kern w:val="32"/>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8"/>
    <w:semiHidden/>
    <w:unhideWhenUsed/>
    <w:qFormat/>
    <w:uiPriority w:val="99"/>
    <w:pPr>
      <w:ind w:left="100" w:leftChars="25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Title"/>
    <w:basedOn w:val="1"/>
    <w:next w:val="1"/>
    <w:link w:val="17"/>
    <w:qFormat/>
    <w:uiPriority w:val="0"/>
    <w:pPr>
      <w:spacing w:before="240" w:after="240" w:line="360" w:lineRule="auto"/>
      <w:ind w:firstLine="200" w:firstLineChars="200"/>
      <w:jc w:val="left"/>
      <w:outlineLvl w:val="0"/>
    </w:pPr>
    <w:rPr>
      <w:rFonts w:ascii="Cambria" w:hAnsi="Cambria" w:eastAsia="宋体" w:cs="Times New Roman"/>
      <w:b/>
      <w:bCs/>
      <w:sz w:val="36"/>
      <w:szCs w:val="32"/>
      <w:lang w:val="zh-CN"/>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标题 1 Char"/>
    <w:basedOn w:val="10"/>
    <w:link w:val="2"/>
    <w:qFormat/>
    <w:uiPriority w:val="9"/>
    <w:rPr>
      <w:rFonts w:ascii="Cambria" w:hAnsi="Cambria" w:eastAsia="宋体"/>
      <w:b/>
      <w:bCs/>
      <w:kern w:val="32"/>
      <w:sz w:val="32"/>
      <w:szCs w:val="32"/>
    </w:rPr>
  </w:style>
  <w:style w:type="character" w:customStyle="1" w:styleId="17">
    <w:name w:val="标题 Char"/>
    <w:basedOn w:val="10"/>
    <w:link w:val="8"/>
    <w:qFormat/>
    <w:uiPriority w:val="0"/>
    <w:rPr>
      <w:rFonts w:ascii="Cambria" w:hAnsi="Cambria" w:eastAsia="宋体" w:cs="Times New Roman"/>
      <w:b/>
      <w:bCs/>
      <w:sz w:val="36"/>
      <w:szCs w:val="32"/>
      <w:lang w:val="zh-CN" w:eastAsia="zh-CN"/>
    </w:rPr>
  </w:style>
  <w:style w:type="character" w:customStyle="1" w:styleId="18">
    <w:name w:val="日期 Char"/>
    <w:basedOn w:val="10"/>
    <w:link w:val="3"/>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C75A4-49E4-4771-9E31-EE7DC1E1CEC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13397</Words>
  <Characters>16192</Characters>
  <Lines>151</Lines>
  <Paragraphs>42</Paragraphs>
  <TotalTime>4</TotalTime>
  <ScaleCrop>false</ScaleCrop>
  <LinksUpToDate>false</LinksUpToDate>
  <CharactersWithSpaces>17564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2022-09-14T07:20:00Z</dcterms:created>
  <dc:creator>李航 null</dc:creator>
  <cp:lastModifiedBy>rani</cp:lastModifiedBy>
  <cp:lastPrinted>2022-09-14T08:14:00Z</cp:lastPrinted>
  <dcterms:modified xsi:type="dcterms:W3CDTF">2023-09-24T11:14:45Z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7AA2092BCF01414B9EEC0058ED6D5AA3_13</vt:lpwstr>
  </property>
</Properties>
</file>