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spacing w:line="1100" w:lineRule="exact"/>
        <w:jc w:val="center"/>
        <w:rPr>
          <w:rFonts w:asciiTheme="majorEastAsia" w:hAnsiTheme="majorEastAsia" w:eastAsiaTheme="majorEastAsia"/>
          <w:b/>
          <w:w w:val="85"/>
          <w:sz w:val="72"/>
          <w:szCs w:val="72"/>
        </w:rPr>
      </w:pPr>
      <w:r>
        <w:rPr>
          <w:rFonts w:hint="eastAsia" w:asciiTheme="majorEastAsia" w:hAnsiTheme="majorEastAsia" w:eastAsiaTheme="majorEastAsia"/>
          <w:b/>
          <w:w w:val="85"/>
          <w:sz w:val="72"/>
          <w:szCs w:val="72"/>
        </w:rPr>
        <w:t>2021年度</w:t>
      </w:r>
    </w:p>
    <w:p>
      <w:pPr>
        <w:pStyle w:val="10"/>
        <w:spacing w:line="1100" w:lineRule="exact"/>
        <w:jc w:val="center"/>
        <w:rPr>
          <w:rFonts w:asciiTheme="majorEastAsia" w:hAnsiTheme="majorEastAsia" w:eastAsiaTheme="majorEastAsia"/>
          <w:b/>
          <w:w w:val="85"/>
          <w:sz w:val="72"/>
          <w:szCs w:val="72"/>
        </w:rPr>
      </w:pPr>
      <w:r>
        <w:rPr>
          <w:rFonts w:hint="eastAsia" w:asciiTheme="majorEastAsia" w:hAnsiTheme="majorEastAsia" w:eastAsiaTheme="majorEastAsia"/>
          <w:b/>
          <w:w w:val="85"/>
          <w:sz w:val="72"/>
          <w:szCs w:val="72"/>
        </w:rPr>
        <w:t>湖南省岳阳生态环境监测中心</w:t>
      </w:r>
    </w:p>
    <w:p>
      <w:pPr>
        <w:pStyle w:val="10"/>
        <w:spacing w:line="1100" w:lineRule="exact"/>
        <w:jc w:val="center"/>
        <w:rPr>
          <w:rFonts w:asciiTheme="majorEastAsia" w:hAnsiTheme="majorEastAsia" w:eastAsiaTheme="majorEastAsia"/>
          <w:b/>
          <w:w w:val="85"/>
          <w:sz w:val="72"/>
          <w:szCs w:val="72"/>
        </w:rPr>
      </w:pPr>
      <w:r>
        <w:rPr>
          <w:rFonts w:hint="eastAsia" w:asciiTheme="majorEastAsia" w:hAnsiTheme="majorEastAsia" w:eastAsiaTheme="majorEastAsia"/>
          <w:b/>
          <w:w w:val="85"/>
          <w:sz w:val="72"/>
          <w:szCs w:val="72"/>
        </w:rPr>
        <w:t>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rFonts w:hint="eastAsia"/>
          <w:b/>
          <w:sz w:val="36"/>
          <w:szCs w:val="28"/>
        </w:rPr>
      </w:pPr>
      <w:r>
        <w:rPr>
          <w:rFonts w:hint="eastAsia"/>
          <w:b/>
          <w:sz w:val="36"/>
          <w:szCs w:val="28"/>
        </w:rPr>
        <w:t>目  录</w:t>
      </w:r>
    </w:p>
    <w:p>
      <w:pPr>
        <w:pStyle w:val="10"/>
        <w:spacing w:line="500" w:lineRule="exact"/>
        <w:jc w:val="center"/>
        <w:rPr>
          <w:b/>
          <w:sz w:val="36"/>
          <w:szCs w:val="28"/>
        </w:rPr>
      </w:pPr>
    </w:p>
    <w:p>
      <w:pPr>
        <w:pStyle w:val="10"/>
        <w:spacing w:line="460" w:lineRule="exact"/>
        <w:ind w:firstLine="562" w:firstLineChars="200"/>
        <w:rPr>
          <w:b/>
          <w:sz w:val="28"/>
          <w:szCs w:val="28"/>
        </w:rPr>
      </w:pPr>
      <w:r>
        <w:rPr>
          <w:rFonts w:hint="eastAsia"/>
          <w:b/>
          <w:sz w:val="28"/>
          <w:szCs w:val="28"/>
        </w:rPr>
        <w:t>第一部分湖南省岳阳生态环境监测中心单位概况</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一、部门职责</w:t>
      </w:r>
    </w:p>
    <w:p>
      <w:pPr>
        <w:pStyle w:val="10"/>
        <w:spacing w:line="460" w:lineRule="exact"/>
        <w:ind w:firstLine="560" w:firstLineChars="200"/>
        <w:rPr>
          <w:rFonts w:hint="default" w:ascii="仿宋" w:hAnsi="仿宋" w:eastAsia="仿宋" w:cs="仿宋_GB2312"/>
          <w:sz w:val="28"/>
          <w:szCs w:val="28"/>
          <w:lang w:val="en-US" w:eastAsia="zh-CN"/>
        </w:rPr>
      </w:pPr>
      <w:r>
        <w:rPr>
          <w:rFonts w:ascii="仿宋" w:hAnsi="仿宋" w:eastAsia="仿宋" w:cs="仿宋_GB2312"/>
          <w:sz w:val="28"/>
          <w:szCs w:val="28"/>
        </w:rPr>
        <w:t>二、机构设置</w:t>
      </w:r>
      <w:r>
        <w:rPr>
          <w:rFonts w:hint="eastAsia" w:ascii="仿宋" w:hAnsi="仿宋" w:eastAsia="仿宋" w:cs="仿宋_GB2312"/>
          <w:sz w:val="28"/>
          <w:szCs w:val="28"/>
          <w:lang w:val="en-US" w:eastAsia="zh-CN"/>
        </w:rPr>
        <w:t>及决算单位构成</w:t>
      </w:r>
    </w:p>
    <w:p>
      <w:pPr>
        <w:pStyle w:val="10"/>
        <w:spacing w:line="460" w:lineRule="exact"/>
        <w:ind w:firstLine="562" w:firstLineChars="200"/>
        <w:rPr>
          <w:b/>
          <w:sz w:val="28"/>
          <w:szCs w:val="28"/>
        </w:rPr>
      </w:pPr>
      <w:r>
        <w:rPr>
          <w:rFonts w:hint="eastAsia"/>
          <w:b/>
          <w:sz w:val="28"/>
          <w:szCs w:val="28"/>
        </w:rPr>
        <w:t>第二部分</w:t>
      </w:r>
      <w:r>
        <w:rPr>
          <w:b/>
          <w:sz w:val="28"/>
          <w:szCs w:val="28"/>
        </w:rPr>
        <w:t>20</w:t>
      </w:r>
      <w:r>
        <w:rPr>
          <w:rFonts w:hint="eastAsia"/>
          <w:b/>
          <w:sz w:val="28"/>
          <w:szCs w:val="28"/>
        </w:rPr>
        <w:t>21年度部门决算表</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一、收入支出决算总表</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二、收入决算表</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三、支出决算表</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四、财政拨款收入支出决算总表</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五、一般公共预算财政拨款支出决算表</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六、一般公共预算财政拨款基本支出决算</w:t>
      </w:r>
      <w:r>
        <w:rPr>
          <w:rFonts w:hint="eastAsia" w:ascii="仿宋" w:hAnsi="仿宋" w:eastAsia="仿宋" w:cs="仿宋_GB2312"/>
          <w:sz w:val="28"/>
          <w:szCs w:val="28"/>
        </w:rPr>
        <w:t>明细</w:t>
      </w:r>
      <w:r>
        <w:rPr>
          <w:rFonts w:ascii="仿宋" w:hAnsi="仿宋" w:eastAsia="仿宋" w:cs="仿宋_GB2312"/>
          <w:sz w:val="28"/>
          <w:szCs w:val="28"/>
        </w:rPr>
        <w:t>表</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七、一般公共预算财政拨款“三公”经费支出决算表</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八、政府性基金预算财政拨款收入支出决算表</w:t>
      </w:r>
    </w:p>
    <w:p>
      <w:pPr>
        <w:pStyle w:val="10"/>
        <w:spacing w:line="46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九、国有资本经营预算财政拨款支出决算表</w:t>
      </w:r>
    </w:p>
    <w:p>
      <w:pPr>
        <w:pStyle w:val="10"/>
        <w:spacing w:line="460" w:lineRule="exact"/>
        <w:ind w:firstLine="562" w:firstLineChars="200"/>
        <w:rPr>
          <w:b/>
          <w:sz w:val="28"/>
          <w:szCs w:val="28"/>
        </w:rPr>
      </w:pPr>
      <w:r>
        <w:rPr>
          <w:rFonts w:hint="eastAsia"/>
          <w:b/>
          <w:sz w:val="28"/>
          <w:szCs w:val="28"/>
        </w:rPr>
        <w:t>第三部分</w:t>
      </w:r>
      <w:r>
        <w:rPr>
          <w:b/>
          <w:sz w:val="28"/>
          <w:szCs w:val="28"/>
        </w:rPr>
        <w:t>20</w:t>
      </w:r>
      <w:r>
        <w:rPr>
          <w:rFonts w:hint="eastAsia"/>
          <w:b/>
          <w:sz w:val="28"/>
          <w:szCs w:val="28"/>
        </w:rPr>
        <w:t>21年度部门决算情况说明</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一、收入支出决算总体情况说明</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二、收入决算情况说明</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三、支出决算情况说明</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四、财政拨款收入支出决算总体情况说明</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五、一般公共预算财政拨款支出决算情况说明</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六、一般公共预算财政拨款基本支出决算情况说明</w:t>
      </w:r>
    </w:p>
    <w:p>
      <w:pPr>
        <w:pStyle w:val="10"/>
        <w:spacing w:line="460" w:lineRule="exact"/>
        <w:ind w:firstLine="560" w:firstLineChars="200"/>
        <w:rPr>
          <w:rFonts w:ascii="仿宋" w:hAnsi="仿宋" w:eastAsia="仿宋" w:cs="仿宋_GB2312"/>
          <w:sz w:val="28"/>
          <w:szCs w:val="28"/>
        </w:rPr>
      </w:pPr>
      <w:r>
        <w:rPr>
          <w:rFonts w:ascii="仿宋" w:hAnsi="仿宋" w:eastAsia="仿宋" w:cs="仿宋_GB2312"/>
          <w:sz w:val="28"/>
          <w:szCs w:val="28"/>
        </w:rPr>
        <w:t>七、一般公共预算财政拨款</w:t>
      </w:r>
      <w:r>
        <w:rPr>
          <w:rFonts w:hint="eastAsia" w:ascii="仿宋" w:hAnsi="仿宋" w:eastAsia="仿宋" w:cs="仿宋_GB2312"/>
          <w:sz w:val="28"/>
          <w:szCs w:val="28"/>
        </w:rPr>
        <w:t>“</w:t>
      </w:r>
      <w:r>
        <w:rPr>
          <w:rFonts w:ascii="仿宋" w:hAnsi="仿宋" w:eastAsia="仿宋" w:cs="仿宋_GB2312"/>
          <w:sz w:val="28"/>
          <w:szCs w:val="28"/>
        </w:rPr>
        <w:t>三公</w:t>
      </w:r>
      <w:r>
        <w:rPr>
          <w:rFonts w:hint="eastAsia" w:ascii="仿宋" w:hAnsi="仿宋" w:eastAsia="仿宋" w:cs="仿宋_GB2312"/>
          <w:sz w:val="28"/>
          <w:szCs w:val="28"/>
        </w:rPr>
        <w:t>”</w:t>
      </w:r>
      <w:r>
        <w:rPr>
          <w:rFonts w:ascii="仿宋" w:hAnsi="仿宋" w:eastAsia="仿宋" w:cs="仿宋_GB2312"/>
          <w:sz w:val="28"/>
          <w:szCs w:val="28"/>
        </w:rPr>
        <w:t>经费支出决算情况说明</w:t>
      </w:r>
    </w:p>
    <w:p>
      <w:pPr>
        <w:pStyle w:val="10"/>
        <w:spacing w:line="460" w:lineRule="exact"/>
        <w:ind w:firstLine="560" w:firstLineChars="200"/>
        <w:rPr>
          <w:rFonts w:hint="eastAsia" w:ascii="仿宋" w:hAnsi="仿宋" w:eastAsia="仿宋" w:cs="仿宋_GB2312"/>
          <w:sz w:val="28"/>
          <w:szCs w:val="28"/>
        </w:rPr>
      </w:pPr>
      <w:r>
        <w:rPr>
          <w:rFonts w:hint="eastAsia" w:ascii="仿宋" w:hAnsi="仿宋" w:eastAsia="仿宋" w:cs="仿宋_GB2312"/>
          <w:sz w:val="28"/>
          <w:szCs w:val="28"/>
        </w:rPr>
        <w:t>八</w:t>
      </w:r>
      <w:r>
        <w:rPr>
          <w:rFonts w:ascii="仿宋" w:hAnsi="仿宋" w:eastAsia="仿宋" w:cs="仿宋_GB2312"/>
          <w:sz w:val="28"/>
          <w:szCs w:val="28"/>
        </w:rPr>
        <w:t>、</w:t>
      </w:r>
      <w:r>
        <w:rPr>
          <w:rFonts w:hint="eastAsia" w:ascii="仿宋" w:hAnsi="仿宋" w:eastAsia="仿宋" w:cs="仿宋_GB2312"/>
          <w:sz w:val="28"/>
          <w:szCs w:val="28"/>
        </w:rPr>
        <w:t>政府性基金预算收入支出决算情况</w:t>
      </w:r>
    </w:p>
    <w:p>
      <w:pPr>
        <w:pStyle w:val="10"/>
        <w:spacing w:line="46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九、机关运行经费支出说明</w:t>
      </w:r>
    </w:p>
    <w:p>
      <w:pPr>
        <w:pStyle w:val="10"/>
        <w:spacing w:line="46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十、一般性支出情况说明</w:t>
      </w:r>
    </w:p>
    <w:p>
      <w:pPr>
        <w:pStyle w:val="10"/>
        <w:spacing w:line="46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十一、政府采购支出说明</w:t>
      </w:r>
    </w:p>
    <w:p>
      <w:pPr>
        <w:pStyle w:val="10"/>
        <w:spacing w:line="46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十二、国有资产占用情况说明</w:t>
      </w:r>
    </w:p>
    <w:p>
      <w:pPr>
        <w:pStyle w:val="10"/>
        <w:spacing w:line="46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十三、2021年度预算绩效情况说明</w:t>
      </w:r>
    </w:p>
    <w:p>
      <w:pPr>
        <w:pStyle w:val="10"/>
        <w:spacing w:line="460" w:lineRule="exact"/>
        <w:ind w:firstLine="562" w:firstLineChars="200"/>
        <w:rPr>
          <w:b/>
          <w:sz w:val="28"/>
          <w:szCs w:val="28"/>
        </w:rPr>
      </w:pPr>
      <w:r>
        <w:rPr>
          <w:b/>
          <w:sz w:val="28"/>
          <w:szCs w:val="28"/>
        </w:rPr>
        <w:t>第四部分名词解释</w:t>
      </w:r>
    </w:p>
    <w:p>
      <w:pPr>
        <w:pStyle w:val="10"/>
        <w:spacing w:line="460" w:lineRule="exact"/>
        <w:ind w:firstLine="562" w:firstLineChars="200"/>
        <w:rPr>
          <w:b/>
          <w:sz w:val="28"/>
          <w:szCs w:val="28"/>
        </w:rPr>
      </w:pPr>
      <w:r>
        <w:rPr>
          <w:rFonts w:hint="eastAsia"/>
          <w:b/>
          <w:sz w:val="28"/>
          <w:szCs w:val="28"/>
        </w:rPr>
        <w:t>第五部分附件</w:t>
      </w:r>
    </w:p>
    <w:p>
      <w:pPr>
        <w:jc w:val="center"/>
        <w:rPr>
          <w:sz w:val="72"/>
          <w:szCs w:val="72"/>
        </w:rPr>
      </w:pPr>
    </w:p>
    <w:p>
      <w:pPr>
        <w:pStyle w:val="10"/>
        <w:spacing w:line="460" w:lineRule="exact"/>
        <w:ind w:firstLine="562" w:firstLineChars="200"/>
        <w:rPr>
          <w:b/>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52"/>
          <w:szCs w:val="52"/>
        </w:rPr>
      </w:pPr>
      <w:r>
        <w:rPr>
          <w:rFonts w:hint="eastAsia"/>
          <w:sz w:val="52"/>
          <w:szCs w:val="52"/>
        </w:rPr>
        <w:t>第一部分</w:t>
      </w:r>
    </w:p>
    <w:p>
      <w:pPr>
        <w:pStyle w:val="10"/>
        <w:jc w:val="center"/>
        <w:rPr>
          <w:w w:val="90"/>
          <w:sz w:val="28"/>
          <w:szCs w:val="28"/>
        </w:rPr>
      </w:pPr>
    </w:p>
    <w:p>
      <w:pPr>
        <w:pStyle w:val="10"/>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湖南省岳阳生态环境监测中心</w:t>
      </w:r>
    </w:p>
    <w:p>
      <w:pPr>
        <w:pStyle w:val="10"/>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widowControl/>
        <w:ind w:firstLine="560" w:firstLineChars="200"/>
        <w:rPr>
          <w:rFonts w:ascii="黑体" w:hAnsi="黑体" w:eastAsia="黑体"/>
          <w:bCs/>
          <w:kern w:val="0"/>
          <w:sz w:val="28"/>
          <w:szCs w:val="28"/>
        </w:rPr>
      </w:pPr>
      <w:r>
        <w:rPr>
          <w:rFonts w:hint="eastAsia" w:ascii="黑体" w:hAnsi="黑体" w:eastAsia="黑体"/>
          <w:bCs/>
          <w:kern w:val="0"/>
          <w:sz w:val="28"/>
          <w:szCs w:val="28"/>
        </w:rPr>
        <w:t>一、</w:t>
      </w:r>
      <w:r>
        <w:rPr>
          <w:rFonts w:ascii="黑体" w:hAnsi="黑体" w:eastAsia="黑体"/>
          <w:bCs/>
          <w:kern w:val="0"/>
          <w:sz w:val="28"/>
          <w:szCs w:val="28"/>
        </w:rPr>
        <w:t>部门职责</w:t>
      </w:r>
    </w:p>
    <w:p>
      <w:pPr>
        <w:ind w:firstLine="560" w:firstLineChars="200"/>
        <w:jc w:val="left"/>
        <w:rPr>
          <w:rFonts w:ascii="仿宋" w:hAnsi="仿宋" w:eastAsia="仿宋"/>
          <w:sz w:val="28"/>
          <w:szCs w:val="28"/>
        </w:rPr>
      </w:pPr>
      <w:r>
        <w:rPr>
          <w:rFonts w:hint="eastAsia" w:ascii="仿宋" w:hAnsi="仿宋" w:eastAsia="仿宋"/>
          <w:sz w:val="28"/>
          <w:szCs w:val="28"/>
        </w:rPr>
        <w:t>按照国家统一规范，负责对岳阳市的环境空气、地表水、地下水、土壤、固体废弃物、降水、噪声等多种环境要素进行定期监测，定期向省环境生态监测中心和市生态局呈报环境质量状况及变化趋势的技术报告。负责本市工业污染源的监督性监测，特别是对重点污染源进行定期监督监测，建立健全污染源档案数据库，为加强污染源管理和排污收费提供科学依据。</w:t>
      </w:r>
      <w:r>
        <w:rPr>
          <w:rFonts w:ascii="仿宋" w:hAnsi="仿宋" w:eastAsia="仿宋"/>
          <w:sz w:val="28"/>
          <w:szCs w:val="28"/>
        </w:rPr>
        <w:t> </w:t>
      </w:r>
      <w:r>
        <w:rPr>
          <w:rFonts w:hint="eastAsia" w:ascii="仿宋" w:hAnsi="仿宋" w:eastAsia="仿宋"/>
          <w:sz w:val="28"/>
          <w:szCs w:val="28"/>
        </w:rPr>
        <w:t>负责本市的环境质量评价，编写本市年度环境质量报告书和重点污染源状况报告，为环境规划及管理提供科学依据。</w:t>
      </w:r>
      <w:r>
        <w:rPr>
          <w:rFonts w:ascii="仿宋" w:hAnsi="仿宋" w:eastAsia="仿宋"/>
          <w:sz w:val="28"/>
          <w:szCs w:val="28"/>
        </w:rPr>
        <w:t> </w:t>
      </w:r>
      <w:r>
        <w:rPr>
          <w:rFonts w:hint="eastAsia" w:ascii="仿宋" w:hAnsi="仿宋" w:eastAsia="仿宋"/>
          <w:sz w:val="28"/>
          <w:szCs w:val="28"/>
        </w:rPr>
        <w:t>接受市级政府部门的指令，及时、准确地进行环境污染事故应急监测、环境污染纠纷仲裁监测，以及群众来信来访的污染纠纷监测。积极开展环境监测科研工作，了解污染因子在环境中的运动规律，开展环境质量的预测、预报工作，加强对环境监测基础技术的研究，开展对环境有价值的调查工作，对市辖区县环境监测站进行技术指导。</w:t>
      </w:r>
    </w:p>
    <w:p>
      <w:pPr>
        <w:widowControl/>
        <w:ind w:firstLine="560" w:firstLineChars="200"/>
        <w:rPr>
          <w:rFonts w:ascii="黑体" w:hAnsi="黑体" w:eastAsia="黑体"/>
          <w:bCs/>
          <w:kern w:val="0"/>
          <w:sz w:val="28"/>
          <w:szCs w:val="28"/>
        </w:rPr>
      </w:pPr>
      <w:r>
        <w:rPr>
          <w:rFonts w:hint="eastAsia" w:ascii="黑体" w:hAnsi="黑体" w:eastAsia="黑体"/>
          <w:bCs/>
          <w:kern w:val="0"/>
          <w:sz w:val="28"/>
          <w:szCs w:val="28"/>
        </w:rPr>
        <w:t>二、机构设置及决算单位构成</w:t>
      </w:r>
    </w:p>
    <w:p>
      <w:pPr>
        <w:widowControl/>
        <w:ind w:firstLine="562" w:firstLineChars="200"/>
        <w:rPr>
          <w:rFonts w:ascii="仿宋" w:hAnsi="仿宋" w:eastAsia="仿宋"/>
          <w:b/>
          <w:sz w:val="28"/>
          <w:szCs w:val="28"/>
        </w:rPr>
      </w:pPr>
      <w:r>
        <w:rPr>
          <w:rFonts w:hint="eastAsia" w:ascii="仿宋" w:hAnsi="仿宋" w:eastAsia="仿宋"/>
          <w:b/>
          <w:sz w:val="28"/>
          <w:szCs w:val="28"/>
        </w:rPr>
        <w:t>（一）内设机构设置。</w:t>
      </w:r>
    </w:p>
    <w:p>
      <w:pPr>
        <w:ind w:firstLine="560" w:firstLineChars="200"/>
        <w:jc w:val="left"/>
        <w:rPr>
          <w:rFonts w:hint="eastAsia" w:ascii="仿宋" w:hAnsi="仿宋" w:eastAsia="仿宋"/>
          <w:sz w:val="28"/>
          <w:szCs w:val="28"/>
          <w:lang w:eastAsia="zh-CN"/>
        </w:rPr>
      </w:pPr>
      <w:r>
        <w:rPr>
          <w:rFonts w:hint="eastAsia" w:ascii="仿宋" w:hAnsi="仿宋" w:eastAsia="仿宋"/>
          <w:sz w:val="28"/>
          <w:szCs w:val="28"/>
        </w:rPr>
        <w:t>本中心内设机构为9个科室：分别为办公室（党建、纪检）、人事科、财务科、资产管理科、质量控制科、综合技术科（自动监测科）、污染源与应急监测科、分析技术科、现场监测科</w:t>
      </w:r>
      <w:r>
        <w:rPr>
          <w:rFonts w:hint="eastAsia" w:ascii="仿宋" w:hAnsi="仿宋" w:eastAsia="仿宋"/>
          <w:sz w:val="28"/>
          <w:szCs w:val="28"/>
          <w:lang w:eastAsia="zh-CN"/>
        </w:rPr>
        <w:t>。</w:t>
      </w:r>
    </w:p>
    <w:p>
      <w:pPr>
        <w:widowControl/>
        <w:ind w:firstLine="562" w:firstLineChars="200"/>
        <w:rPr>
          <w:rFonts w:ascii="仿宋" w:hAnsi="仿宋" w:eastAsia="仿宋"/>
          <w:b/>
          <w:sz w:val="28"/>
          <w:szCs w:val="28"/>
        </w:rPr>
      </w:pPr>
      <w:r>
        <w:rPr>
          <w:rFonts w:hint="eastAsia" w:ascii="仿宋" w:hAnsi="仿宋" w:eastAsia="仿宋"/>
          <w:b/>
          <w:sz w:val="28"/>
          <w:szCs w:val="28"/>
        </w:rPr>
        <w:t>（二）决算单位构成。</w:t>
      </w:r>
    </w:p>
    <w:p>
      <w:pPr>
        <w:widowControl/>
        <w:spacing w:line="240" w:lineRule="auto"/>
        <w:ind w:firstLine="560" w:firstLineChars="200"/>
        <w:jc w:val="left"/>
        <w:rPr>
          <w:rFonts w:hint="default" w:ascii="仿宋" w:hAnsi="仿宋" w:eastAsia="仿宋"/>
          <w:bCs w:val="0"/>
          <w:kern w:val="2"/>
          <w:sz w:val="28"/>
          <w:szCs w:val="28"/>
        </w:rPr>
      </w:pPr>
      <w:r>
        <w:rPr>
          <w:rFonts w:hint="eastAsia" w:ascii="仿宋" w:hAnsi="仿宋" w:eastAsia="仿宋"/>
          <w:sz w:val="28"/>
          <w:szCs w:val="28"/>
        </w:rPr>
        <w:t>本中心为</w:t>
      </w:r>
      <w:r>
        <w:rPr>
          <w:rFonts w:hint="eastAsia" w:ascii="仿宋" w:hAnsi="仿宋" w:eastAsia="仿宋"/>
          <w:sz w:val="28"/>
          <w:szCs w:val="28"/>
          <w:lang w:eastAsia="zh-CN"/>
        </w:rPr>
        <w:t>二</w:t>
      </w:r>
      <w:r>
        <w:rPr>
          <w:rFonts w:hint="eastAsia" w:ascii="仿宋" w:hAnsi="仿宋" w:eastAsia="仿宋"/>
          <w:sz w:val="28"/>
          <w:szCs w:val="28"/>
        </w:rPr>
        <w:t>级预算单位</w:t>
      </w:r>
      <w:r>
        <w:rPr>
          <w:rFonts w:hint="eastAsia" w:ascii="仿宋" w:hAnsi="仿宋" w:eastAsia="仿宋"/>
          <w:sz w:val="28"/>
          <w:szCs w:val="28"/>
          <w:lang w:eastAsia="zh-CN"/>
        </w:rPr>
        <w:t>，</w:t>
      </w:r>
      <w:r>
        <w:rPr>
          <w:rFonts w:hint="eastAsia" w:ascii="仿宋" w:hAnsi="仿宋" w:eastAsia="仿宋"/>
          <w:sz w:val="28"/>
          <w:szCs w:val="28"/>
          <w:lang w:val="en-US" w:eastAsia="zh-CN"/>
        </w:rPr>
        <w:t>无下级预算单位，因此2021年部门汇总决算单位构成为：</w:t>
      </w:r>
      <w:r>
        <w:rPr>
          <w:rFonts w:hint="eastAsia" w:ascii="仿宋" w:hAnsi="仿宋" w:eastAsia="仿宋"/>
          <w:b w:val="0"/>
          <w:w w:val="100"/>
          <w:sz w:val="28"/>
          <w:szCs w:val="28"/>
        </w:rPr>
        <w:t>湖南省岳阳生态环境监测中心</w:t>
      </w:r>
      <w:r>
        <w:rPr>
          <w:rFonts w:hint="eastAsia" w:ascii="仿宋" w:hAnsi="仿宋" w:eastAsia="仿宋"/>
          <w:b w:val="0"/>
          <w:w w:val="100"/>
          <w:sz w:val="28"/>
          <w:szCs w:val="28"/>
          <w:lang w:val="en-US" w:eastAsia="zh-CN"/>
        </w:rPr>
        <w:t>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pStyle w:val="10"/>
        <w:spacing w:line="460" w:lineRule="exact"/>
        <w:ind w:firstLine="562" w:firstLineChars="200"/>
        <w:rPr>
          <w:b/>
          <w:sz w:val="28"/>
          <w:szCs w:val="28"/>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52"/>
          <w:szCs w:val="52"/>
        </w:rPr>
      </w:pPr>
      <w:r>
        <w:rPr>
          <w:rFonts w:hint="eastAsia"/>
          <w:sz w:val="52"/>
          <w:szCs w:val="52"/>
        </w:rPr>
        <w:t>第二部分</w:t>
      </w:r>
    </w:p>
    <w:p>
      <w:pPr>
        <w:jc w:val="center"/>
        <w:rPr>
          <w:sz w:val="72"/>
          <w:szCs w:val="72"/>
        </w:rPr>
      </w:pPr>
    </w:p>
    <w:p>
      <w:pPr>
        <w:pStyle w:val="10"/>
        <w:jc w:val="center"/>
        <w:rPr>
          <w:rFonts w:asciiTheme="majorEastAsia" w:hAnsiTheme="majorEastAsia" w:eastAsiaTheme="majorEastAsia"/>
          <w:b/>
          <w:sz w:val="52"/>
          <w:szCs w:val="52"/>
        </w:rPr>
      </w:pPr>
      <w:r>
        <w:rPr>
          <w:rFonts w:asciiTheme="majorEastAsia" w:hAnsiTheme="majorEastAsia" w:eastAsiaTheme="majorEastAsia"/>
          <w:b/>
          <w:sz w:val="52"/>
          <w:szCs w:val="52"/>
        </w:rPr>
        <w:t>20</w:t>
      </w:r>
      <w:r>
        <w:rPr>
          <w:rFonts w:hint="eastAsia" w:asciiTheme="majorEastAsia" w:hAnsiTheme="majorEastAsia" w:eastAsiaTheme="majorEastAsia"/>
          <w:b/>
          <w:sz w:val="52"/>
          <w:szCs w:val="52"/>
        </w:rPr>
        <w:t>21年度部门决算表</w:t>
      </w:r>
    </w:p>
    <w:p>
      <w:pPr>
        <w:jc w:val="center"/>
        <w:rPr>
          <w:sz w:val="72"/>
          <w:szCs w:val="72"/>
        </w:rPr>
      </w:pPr>
    </w:p>
    <w:p>
      <w:pPr>
        <w:jc w:val="left"/>
        <w:rPr>
          <w:sz w:val="72"/>
          <w:szCs w:val="72"/>
        </w:rPr>
      </w:pPr>
    </w:p>
    <w:p>
      <w:pPr>
        <w:jc w:val="center"/>
        <w:rPr>
          <w:sz w:val="72"/>
          <w:szCs w:val="72"/>
        </w:rPr>
      </w:pPr>
    </w:p>
    <w:p>
      <w:pPr>
        <w:jc w:val="left"/>
        <w:rPr>
          <w:rFonts w:asciiTheme="minorHAnsi" w:hAnsiTheme="minorHAnsi" w:eastAsiaTheme="minorEastAsia" w:cstheme="minorBidi"/>
          <w:kern w:val="2"/>
          <w:sz w:val="21"/>
          <w:szCs w:val="22"/>
          <w:lang w:val="en-US" w:eastAsia="zh-CN" w:bidi="ar-SA"/>
        </w:rPr>
      </w:pPr>
    </w:p>
    <w:p>
      <w:pPr>
        <w:tabs>
          <w:tab w:val="center" w:pos="4882"/>
        </w:tabs>
        <w:jc w:val="left"/>
        <w:rPr>
          <w:sz w:val="72"/>
          <w:szCs w:val="72"/>
        </w:rPr>
      </w:pPr>
      <w:r>
        <w:rPr>
          <w:rFonts w:hint="eastAsia"/>
          <w:lang w:val="en-US" w:eastAsia="zh-CN"/>
        </w:rPr>
        <w:tab/>
      </w: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1071" w:bottom="720" w:left="1071" w:header="851" w:footer="992" w:gutter="0"/>
          <w:cols w:space="425" w:num="1"/>
          <w:docGrid w:type="lines" w:linePitch="312" w:charSpace="0"/>
        </w:sectPr>
      </w:pPr>
    </w:p>
    <w:tbl>
      <w:tblPr>
        <w:tblStyle w:val="6"/>
        <w:tblW w:w="4656" w:type="pct"/>
        <w:tblInd w:w="588" w:type="dxa"/>
        <w:tblLayout w:type="autofit"/>
        <w:tblCellMar>
          <w:top w:w="0" w:type="dxa"/>
          <w:left w:w="108" w:type="dxa"/>
          <w:bottom w:w="0" w:type="dxa"/>
          <w:right w:w="108" w:type="dxa"/>
        </w:tblCellMar>
      </w:tblPr>
      <w:tblGrid>
        <w:gridCol w:w="3914"/>
        <w:gridCol w:w="1128"/>
        <w:gridCol w:w="1762"/>
        <w:gridCol w:w="4662"/>
        <w:gridCol w:w="1038"/>
        <w:gridCol w:w="2036"/>
      </w:tblGrid>
      <w:tr>
        <w:trPr>
          <w:trHeight w:val="390" w:hRule="atLeast"/>
        </w:trPr>
        <w:tc>
          <w:tcPr>
            <w:tcW w:w="5000" w:type="pct"/>
            <w:gridSpan w:val="6"/>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30"/>
                <w:szCs w:val="30"/>
              </w:rPr>
            </w:pPr>
            <w:r>
              <w:rPr>
                <w:rFonts w:hint="eastAsia" w:ascii="宋体" w:hAnsi="宋体" w:eastAsia="宋体" w:cs="Arial"/>
                <w:color w:val="000000"/>
                <w:kern w:val="0"/>
                <w:sz w:val="30"/>
                <w:szCs w:val="30"/>
              </w:rPr>
              <w:t>收入支出决算总表</w:t>
            </w:r>
          </w:p>
        </w:tc>
      </w:tr>
      <w:tr>
        <w:tblPrEx>
          <w:tblCellMar>
            <w:top w:w="0" w:type="dxa"/>
            <w:left w:w="108" w:type="dxa"/>
            <w:bottom w:w="0" w:type="dxa"/>
            <w:right w:w="108" w:type="dxa"/>
          </w:tblCellMar>
        </w:tblPrEx>
        <w:trPr>
          <w:trHeight w:val="255" w:hRule="atLeast"/>
        </w:trPr>
        <w:tc>
          <w:tcPr>
            <w:tcW w:w="1346"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88"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606"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603"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57"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697" w:type="pct"/>
            <w:tcBorders>
              <w:top w:val="nil"/>
              <w:left w:val="nil"/>
              <w:bottom w:val="nil"/>
              <w:right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公开01表</w:t>
            </w:r>
          </w:p>
        </w:tc>
      </w:tr>
      <w:tr>
        <w:tblPrEx>
          <w:tblCellMar>
            <w:top w:w="0" w:type="dxa"/>
            <w:left w:w="108" w:type="dxa"/>
            <w:bottom w:w="0" w:type="dxa"/>
            <w:right w:w="108" w:type="dxa"/>
          </w:tblCellMar>
        </w:tblPrEx>
        <w:trPr>
          <w:trHeight w:val="255" w:hRule="atLeast"/>
        </w:trPr>
        <w:tc>
          <w:tcPr>
            <w:tcW w:w="1346" w:type="pct"/>
            <w:tcBorders>
              <w:top w:val="nil"/>
              <w:left w:val="nil"/>
              <w:bottom w:val="nil"/>
              <w:right w:val="nil"/>
            </w:tcBorders>
            <w:shd w:val="clear" w:color="auto" w:fill="auto"/>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部门：湖南省岳阳生态环境监测中心</w:t>
            </w:r>
          </w:p>
        </w:tc>
        <w:tc>
          <w:tcPr>
            <w:tcW w:w="388"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606"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603" w:type="pct"/>
            <w:tcBorders>
              <w:top w:val="nil"/>
              <w:left w:val="nil"/>
              <w:bottom w:val="nil"/>
              <w:right w:val="nil"/>
            </w:tcBorders>
            <w:shd w:val="clear" w:color="auto" w:fill="auto"/>
            <w:noWrap/>
            <w:vAlign w:val="bottom"/>
          </w:tcPr>
          <w:p>
            <w:pPr>
              <w:widowControl/>
              <w:jc w:val="left"/>
              <w:rPr>
                <w:rFonts w:hint="default" w:ascii="Arial" w:hAnsi="Arial" w:eastAsia="宋体" w:cs="Arial"/>
                <w:color w:val="000000"/>
                <w:kern w:val="0"/>
                <w:sz w:val="20"/>
                <w:szCs w:val="20"/>
                <w:lang w:val="en-US" w:eastAsia="zh-CN"/>
              </w:rPr>
            </w:pPr>
            <w:r>
              <w:rPr>
                <w:rFonts w:hint="eastAsia" w:ascii="Arial" w:hAnsi="Arial" w:eastAsia="宋体" w:cs="Arial"/>
                <w:color w:val="000000"/>
                <w:kern w:val="0"/>
                <w:sz w:val="20"/>
                <w:szCs w:val="20"/>
                <w:lang w:val="en-US" w:eastAsia="zh-CN"/>
              </w:rPr>
              <w:t>2021年度</w:t>
            </w:r>
          </w:p>
        </w:tc>
        <w:tc>
          <w:tcPr>
            <w:tcW w:w="357"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697" w:type="pct"/>
            <w:tcBorders>
              <w:top w:val="nil"/>
              <w:left w:val="nil"/>
              <w:bottom w:val="nil"/>
              <w:right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234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收入</w:t>
            </w:r>
          </w:p>
        </w:tc>
        <w:tc>
          <w:tcPr>
            <w:tcW w:w="2659" w:type="pct"/>
            <w:gridSpan w:val="3"/>
            <w:tcBorders>
              <w:top w:val="single" w:color="000000" w:sz="4" w:space="0"/>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支出</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行次</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金额</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行次</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金额</w:t>
            </w:r>
          </w:p>
        </w:tc>
      </w:tr>
      <w:tr>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一、一般公共预算财政拨款收入</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1,765.69</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一、一般公共服务支出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32</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二、政府性基金预算财政拨款收入</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二、外交支出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33</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三、国有资本经营预算财政拨款收入</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三、国防支出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34</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四、上级补助收入</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23.44</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四、公共安全支出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35</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五、事业收入</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五、教育支出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36</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六、经营收入</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六、科学技术支出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37</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0.73</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七、附属单位上缴收入</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7</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七、文化旅游体育与传媒支出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38</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八、其他收入</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8</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828.23</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八、社会保障和就业支出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39</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106.78</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9</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九、卫生健康支出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40</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10</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十、节能环保支出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41</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1,846.85</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11</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十一、城乡社区支出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42</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12</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十二、农林水支出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43</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13</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十三、交通运输支出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44</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14</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十四、资源勘探工业信息等支出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45</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15</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十五、商业服务业等支出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46</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16</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十六、金融支出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47</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17</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十七、援助其他地区支出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48</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18</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十八、自然资源海洋气象等支出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49</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19</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十九、住房保障支出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50</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20</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二十、粮油物资储备支出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51</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21</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二十一、国有资本经营预算支出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52</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22</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二十二、灾害防治及应急管理支出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53</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23</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二十三、其他支出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54</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24</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二十四、债务还本支出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55</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25</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二十五、债务付息支出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56</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26</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二十六、抗疫特别国债安排的支出</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57</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color w:val="000000"/>
                <w:kern w:val="0"/>
                <w:sz w:val="22"/>
              </w:rPr>
            </w:pPr>
            <w:r>
              <w:rPr>
                <w:rFonts w:hint="eastAsia" w:ascii="宋体" w:hAnsi="宋体" w:eastAsia="宋体" w:cs="Arial"/>
                <w:b/>
                <w:bCs/>
                <w:color w:val="000000"/>
                <w:kern w:val="0"/>
                <w:sz w:val="22"/>
              </w:rPr>
              <w:t>本年收入合计</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27</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2,617.36</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color w:val="000000"/>
                <w:kern w:val="0"/>
                <w:sz w:val="22"/>
              </w:rPr>
            </w:pPr>
            <w:r>
              <w:rPr>
                <w:rFonts w:hint="eastAsia" w:ascii="宋体" w:hAnsi="宋体" w:eastAsia="宋体" w:cs="Arial"/>
                <w:b/>
                <w:bCs/>
                <w:color w:val="000000"/>
                <w:kern w:val="0"/>
                <w:sz w:val="22"/>
              </w:rPr>
              <w:t>本年支出合计</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58</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2,084.04</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使用非财政拨款结余</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28</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68.94</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结余分配</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59</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500.78</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年初结转和结余</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29</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280.57</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年末结转和结余</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60</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382.06</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30</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61</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1346" w:type="pct"/>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color w:val="000000"/>
                <w:kern w:val="0"/>
                <w:sz w:val="22"/>
              </w:rPr>
            </w:pPr>
            <w:r>
              <w:rPr>
                <w:rFonts w:hint="eastAsia" w:ascii="宋体" w:hAnsi="宋体" w:eastAsia="宋体" w:cs="Arial"/>
                <w:b/>
                <w:bCs/>
                <w:color w:val="000000"/>
                <w:kern w:val="0"/>
                <w:sz w:val="22"/>
              </w:rPr>
              <w:t>总计</w:t>
            </w:r>
          </w:p>
        </w:tc>
        <w:tc>
          <w:tcPr>
            <w:tcW w:w="388"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31</w:t>
            </w:r>
          </w:p>
        </w:tc>
        <w:tc>
          <w:tcPr>
            <w:tcW w:w="60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2,966.88</w:t>
            </w:r>
          </w:p>
        </w:tc>
        <w:tc>
          <w:tcPr>
            <w:tcW w:w="1603"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b/>
                <w:bCs/>
                <w:color w:val="000000"/>
                <w:kern w:val="0"/>
                <w:sz w:val="22"/>
              </w:rPr>
            </w:pPr>
            <w:r>
              <w:rPr>
                <w:rFonts w:hint="eastAsia" w:ascii="宋体" w:hAnsi="宋体" w:eastAsia="宋体" w:cs="Arial"/>
                <w:b/>
                <w:bCs/>
                <w:color w:val="000000"/>
                <w:kern w:val="0"/>
                <w:sz w:val="22"/>
              </w:rPr>
              <w:t>总计</w:t>
            </w:r>
          </w:p>
        </w:tc>
        <w:tc>
          <w:tcPr>
            <w:tcW w:w="357" w:type="pc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62</w:t>
            </w:r>
          </w:p>
        </w:tc>
        <w:tc>
          <w:tcPr>
            <w:tcW w:w="697"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2,966.88</w:t>
            </w:r>
          </w:p>
        </w:tc>
      </w:tr>
      <w:tr>
        <w:trPr>
          <w:trHeight w:val="308" w:hRule="atLeast"/>
        </w:trPr>
        <w:tc>
          <w:tcPr>
            <w:tcW w:w="5000" w:type="pct"/>
            <w:gridSpan w:val="6"/>
            <w:tcBorders>
              <w:top w:val="nil"/>
              <w:left w:val="nil"/>
              <w:bottom w:val="nil"/>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注：1.本表反映部门本年度的总收支和年末结转结余情况。</w:t>
            </w:r>
          </w:p>
        </w:tc>
      </w:tr>
      <w:tr>
        <w:tblPrEx>
          <w:tblCellMar>
            <w:top w:w="0" w:type="dxa"/>
            <w:left w:w="108" w:type="dxa"/>
            <w:bottom w:w="0" w:type="dxa"/>
            <w:right w:w="108" w:type="dxa"/>
          </w:tblCellMar>
        </w:tblPrEx>
        <w:trPr>
          <w:trHeight w:val="308" w:hRule="atLeast"/>
        </w:trPr>
        <w:tc>
          <w:tcPr>
            <w:tcW w:w="5000" w:type="pct"/>
            <w:gridSpan w:val="6"/>
            <w:tcBorders>
              <w:top w:val="nil"/>
              <w:left w:val="nil"/>
              <w:bottom w:val="nil"/>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xml:space="preserve">    2.本套报表金额单位转换时可能存在尾数误差。</w:t>
            </w:r>
          </w:p>
        </w:tc>
      </w:tr>
    </w:tbl>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tbl>
      <w:tblPr>
        <w:tblStyle w:val="6"/>
        <w:tblW w:w="5000" w:type="pct"/>
        <w:tblInd w:w="0" w:type="dxa"/>
        <w:tblLayout w:type="autofit"/>
        <w:tblCellMar>
          <w:top w:w="0" w:type="dxa"/>
          <w:left w:w="108" w:type="dxa"/>
          <w:bottom w:w="0" w:type="dxa"/>
          <w:right w:w="108" w:type="dxa"/>
        </w:tblCellMar>
      </w:tblPr>
      <w:tblGrid>
        <w:gridCol w:w="400"/>
        <w:gridCol w:w="315"/>
        <w:gridCol w:w="271"/>
        <w:gridCol w:w="4481"/>
        <w:gridCol w:w="1605"/>
        <w:gridCol w:w="1606"/>
        <w:gridCol w:w="1406"/>
        <w:gridCol w:w="1206"/>
        <w:gridCol w:w="1206"/>
        <w:gridCol w:w="1206"/>
        <w:gridCol w:w="1912"/>
      </w:tblGrid>
      <w:tr>
        <w:tblPrEx>
          <w:tblCellMar>
            <w:top w:w="0" w:type="dxa"/>
            <w:left w:w="108" w:type="dxa"/>
            <w:bottom w:w="0" w:type="dxa"/>
            <w:right w:w="108" w:type="dxa"/>
          </w:tblCellMar>
        </w:tblPrEx>
        <w:trPr>
          <w:trHeight w:val="390" w:hRule="atLeast"/>
        </w:trPr>
        <w:tc>
          <w:tcPr>
            <w:tcW w:w="5000" w:type="pct"/>
            <w:gridSpan w:val="11"/>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30"/>
                <w:szCs w:val="30"/>
              </w:rPr>
            </w:pPr>
            <w:r>
              <w:rPr>
                <w:rFonts w:hint="eastAsia" w:ascii="宋体" w:hAnsi="宋体" w:eastAsia="宋体" w:cs="Arial"/>
                <w:color w:val="000000"/>
                <w:kern w:val="0"/>
                <w:sz w:val="30"/>
                <w:szCs w:val="30"/>
              </w:rPr>
              <w:t>收入决算表</w:t>
            </w:r>
          </w:p>
        </w:tc>
      </w:tr>
      <w:tr>
        <w:tblPrEx>
          <w:tblCellMar>
            <w:top w:w="0" w:type="dxa"/>
            <w:left w:w="108" w:type="dxa"/>
            <w:bottom w:w="0" w:type="dxa"/>
            <w:right w:w="108" w:type="dxa"/>
          </w:tblCellMar>
        </w:tblPrEx>
        <w:trPr>
          <w:trHeight w:val="255" w:hRule="atLeast"/>
        </w:trPr>
        <w:tc>
          <w:tcPr>
            <w:tcW w:w="109"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86"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74"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441"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520"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520"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456"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92"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92"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92"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618" w:type="pct"/>
            <w:tcBorders>
              <w:top w:val="nil"/>
              <w:left w:val="nil"/>
              <w:bottom w:val="nil"/>
              <w:right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公开02表</w:t>
            </w:r>
          </w:p>
        </w:tc>
      </w:tr>
      <w:tr>
        <w:tblPrEx>
          <w:tblCellMar>
            <w:top w:w="0" w:type="dxa"/>
            <w:left w:w="108" w:type="dxa"/>
            <w:bottom w:w="0" w:type="dxa"/>
            <w:right w:w="108" w:type="dxa"/>
          </w:tblCellMar>
        </w:tblPrEx>
        <w:trPr>
          <w:trHeight w:val="255" w:hRule="atLeast"/>
        </w:trPr>
        <w:tc>
          <w:tcPr>
            <w:tcW w:w="1709" w:type="pct"/>
            <w:gridSpan w:val="4"/>
            <w:tcBorders>
              <w:top w:val="nil"/>
              <w:left w:val="nil"/>
              <w:bottom w:val="nil"/>
              <w:right w:val="nil"/>
            </w:tcBorders>
            <w:shd w:val="clear" w:color="auto" w:fill="auto"/>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部门：湖南省岳阳生态环境监测中心</w:t>
            </w:r>
          </w:p>
        </w:tc>
        <w:tc>
          <w:tcPr>
            <w:tcW w:w="520"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520" w:type="pct"/>
            <w:tcBorders>
              <w:top w:val="nil"/>
              <w:left w:val="nil"/>
              <w:bottom w:val="nil"/>
              <w:right w:val="nil"/>
            </w:tcBorders>
            <w:shd w:val="clear" w:color="auto" w:fill="auto"/>
            <w:noWrap/>
            <w:vAlign w:val="bottom"/>
          </w:tcPr>
          <w:p>
            <w:pPr>
              <w:widowControl/>
              <w:jc w:val="left"/>
              <w:rPr>
                <w:rFonts w:hint="default" w:ascii="Arial" w:hAnsi="Arial" w:eastAsia="宋体" w:cs="Arial"/>
                <w:color w:val="000000"/>
                <w:kern w:val="0"/>
                <w:sz w:val="20"/>
                <w:szCs w:val="20"/>
                <w:lang w:val="en-US" w:eastAsia="zh-CN"/>
              </w:rPr>
            </w:pPr>
            <w:r>
              <w:rPr>
                <w:rFonts w:hint="eastAsia" w:ascii="Arial" w:hAnsi="Arial" w:eastAsia="宋体" w:cs="Arial"/>
                <w:color w:val="000000"/>
                <w:kern w:val="0"/>
                <w:sz w:val="20"/>
                <w:szCs w:val="20"/>
                <w:lang w:val="en-US" w:eastAsia="zh-CN"/>
              </w:rPr>
              <w:t>2021年度</w:t>
            </w:r>
          </w:p>
        </w:tc>
        <w:tc>
          <w:tcPr>
            <w:tcW w:w="456"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92"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92"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92"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618" w:type="pct"/>
            <w:tcBorders>
              <w:top w:val="nil"/>
              <w:left w:val="nil"/>
              <w:bottom w:val="nil"/>
              <w:right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1709"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520"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本年收入合计</w:t>
            </w:r>
          </w:p>
        </w:tc>
        <w:tc>
          <w:tcPr>
            <w:tcW w:w="520"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财政拨款收入</w:t>
            </w:r>
          </w:p>
        </w:tc>
        <w:tc>
          <w:tcPr>
            <w:tcW w:w="456"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上级补助收入</w:t>
            </w:r>
          </w:p>
        </w:tc>
        <w:tc>
          <w:tcPr>
            <w:tcW w:w="392"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事业收入</w:t>
            </w:r>
          </w:p>
        </w:tc>
        <w:tc>
          <w:tcPr>
            <w:tcW w:w="392"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经营收入</w:t>
            </w:r>
          </w:p>
        </w:tc>
        <w:tc>
          <w:tcPr>
            <w:tcW w:w="392"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附属单位上缴收入</w:t>
            </w:r>
          </w:p>
        </w:tc>
        <w:tc>
          <w:tcPr>
            <w:tcW w:w="618"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其他收入</w:t>
            </w:r>
          </w:p>
        </w:tc>
      </w:tr>
      <w:tr>
        <w:tblPrEx>
          <w:tblCellMar>
            <w:top w:w="0" w:type="dxa"/>
            <w:left w:w="108" w:type="dxa"/>
            <w:bottom w:w="0" w:type="dxa"/>
            <w:right w:w="108" w:type="dxa"/>
          </w:tblCellMar>
        </w:tblPrEx>
        <w:trPr>
          <w:trHeight w:val="312" w:hRule="atLeast"/>
        </w:trPr>
        <w:tc>
          <w:tcPr>
            <w:tcW w:w="269" w:type="pct"/>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功能分类科目编码</w:t>
            </w:r>
          </w:p>
        </w:tc>
        <w:tc>
          <w:tcPr>
            <w:tcW w:w="1441" w:type="pct"/>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科目名称</w:t>
            </w:r>
          </w:p>
        </w:tc>
        <w:tc>
          <w:tcPr>
            <w:tcW w:w="52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2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456"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92"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92"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92"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618"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12" w:hRule="atLeast"/>
        </w:trPr>
        <w:tc>
          <w:tcPr>
            <w:tcW w:w="269" w:type="pct"/>
            <w:gridSpan w:val="3"/>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441" w:type="pct"/>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2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2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456"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92"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92"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92"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618"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12" w:hRule="atLeast"/>
        </w:trPr>
        <w:tc>
          <w:tcPr>
            <w:tcW w:w="269" w:type="pct"/>
            <w:gridSpan w:val="3"/>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441" w:type="pct"/>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2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2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456"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92"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92"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92"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618"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08" w:hRule="atLeast"/>
        </w:trPr>
        <w:tc>
          <w:tcPr>
            <w:tcW w:w="1709" w:type="pct"/>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5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52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45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c>
          <w:tcPr>
            <w:tcW w:w="39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w:t>
            </w:r>
          </w:p>
        </w:tc>
        <w:tc>
          <w:tcPr>
            <w:tcW w:w="39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w:t>
            </w:r>
          </w:p>
        </w:tc>
        <w:tc>
          <w:tcPr>
            <w:tcW w:w="392"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w:t>
            </w:r>
          </w:p>
        </w:tc>
        <w:tc>
          <w:tcPr>
            <w:tcW w:w="618"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7</w:t>
            </w:r>
          </w:p>
        </w:tc>
      </w:tr>
      <w:tr>
        <w:tblPrEx>
          <w:tblCellMar>
            <w:top w:w="0" w:type="dxa"/>
            <w:left w:w="108" w:type="dxa"/>
            <w:bottom w:w="0" w:type="dxa"/>
            <w:right w:w="108" w:type="dxa"/>
          </w:tblCellMar>
        </w:tblPrEx>
        <w:trPr>
          <w:trHeight w:val="308" w:hRule="atLeast"/>
        </w:trPr>
        <w:tc>
          <w:tcPr>
            <w:tcW w:w="1709" w:type="pct"/>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合计</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2,617.36</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1,765.69</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23.44</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828.23</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社会保障和就业支出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106.78</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102.97</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3.81</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行政事业单位养老支出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103.34</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102.97</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0.37</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2080502</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事业单位离退休</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12.21</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12.21</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2080505</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机关事业单位基本养老保险缴费支出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90.76</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90.76</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2080599</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其他行政事业单位养老支出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0.37</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0.37</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20808</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抚恤</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3.44</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3.44</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2080899</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其他优抚支出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3.44</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3.44</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卫生健康支出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21011</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行政事业单位医疗</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2101102</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事业单位医疗</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节能环保支出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2,380.91</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1,533.05</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23.44</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824.42</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21101</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环境保护管理事务</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906.92</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105.00</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2110101</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行政运行</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2110199</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其他环境保护管理事务支出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105.00</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105.00</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21102</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环境监测与监察</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2110299</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其他环境监测与监察支出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污染防治</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1,038.00</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514.00</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524.00</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2110301</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大气</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279.00</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279.00</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2110307</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土壤</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514.00</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514.00</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2110399</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其他污染防治支出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245.00</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245.00</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21111</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污染减排</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199.13</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199.13</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2111101</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生态环境监测与信息</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199.13</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199.13</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21199</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其他节能环保支出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218.86</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23.44</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195.42</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2119999</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其他节能环保支出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218.86</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23.44</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195.42</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住房保障支出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22102</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住房改革支出</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69"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2210201</w:t>
            </w:r>
          </w:p>
        </w:tc>
        <w:tc>
          <w:tcPr>
            <w:tcW w:w="1441"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住房公积金</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52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45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92"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18"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5000" w:type="pct"/>
            <w:gridSpan w:val="11"/>
            <w:tcBorders>
              <w:top w:val="nil"/>
              <w:left w:val="nil"/>
              <w:bottom w:val="nil"/>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注：本表反映部门本年度取得的各项收入情况。</w:t>
            </w:r>
          </w:p>
        </w:tc>
      </w:tr>
    </w:tbl>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tbl>
      <w:tblPr>
        <w:tblStyle w:val="6"/>
        <w:tblW w:w="5000" w:type="pct"/>
        <w:tblInd w:w="0" w:type="dxa"/>
        <w:tblLayout w:type="autofit"/>
        <w:tblCellMar>
          <w:top w:w="0" w:type="dxa"/>
          <w:left w:w="108" w:type="dxa"/>
          <w:bottom w:w="0" w:type="dxa"/>
          <w:right w:w="108" w:type="dxa"/>
        </w:tblCellMar>
      </w:tblPr>
      <w:tblGrid>
        <w:gridCol w:w="400"/>
        <w:gridCol w:w="314"/>
        <w:gridCol w:w="272"/>
        <w:gridCol w:w="4845"/>
        <w:gridCol w:w="1741"/>
        <w:gridCol w:w="1741"/>
        <w:gridCol w:w="1600"/>
        <w:gridCol w:w="1313"/>
        <w:gridCol w:w="1313"/>
        <w:gridCol w:w="2075"/>
      </w:tblGrid>
      <w:tr>
        <w:tblPrEx>
          <w:tblCellMar>
            <w:top w:w="0" w:type="dxa"/>
            <w:left w:w="108" w:type="dxa"/>
            <w:bottom w:w="0" w:type="dxa"/>
            <w:right w:w="108" w:type="dxa"/>
          </w:tblCellMar>
        </w:tblPrEx>
        <w:trPr>
          <w:trHeight w:val="390" w:hRule="atLeast"/>
        </w:trPr>
        <w:tc>
          <w:tcPr>
            <w:tcW w:w="5000" w:type="pct"/>
            <w:gridSpan w:val="10"/>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30"/>
                <w:szCs w:val="30"/>
              </w:rPr>
            </w:pPr>
            <w:r>
              <w:rPr>
                <w:rFonts w:hint="eastAsia" w:ascii="宋体" w:hAnsi="宋体" w:eastAsia="宋体" w:cs="Arial"/>
                <w:color w:val="000000"/>
                <w:kern w:val="0"/>
                <w:sz w:val="30"/>
                <w:szCs w:val="30"/>
              </w:rPr>
              <w:t>支出决算表</w:t>
            </w:r>
          </w:p>
        </w:tc>
      </w:tr>
      <w:tr>
        <w:tblPrEx>
          <w:tblCellMar>
            <w:top w:w="0" w:type="dxa"/>
            <w:left w:w="108" w:type="dxa"/>
            <w:bottom w:w="0" w:type="dxa"/>
            <w:right w:w="108" w:type="dxa"/>
          </w:tblCellMar>
        </w:tblPrEx>
        <w:trPr>
          <w:trHeight w:val="255" w:hRule="atLeast"/>
        </w:trPr>
        <w:tc>
          <w:tcPr>
            <w:tcW w:w="121"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95"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81"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554"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560"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560"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515"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423"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423"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666" w:type="pct"/>
            <w:tcBorders>
              <w:top w:val="nil"/>
              <w:left w:val="nil"/>
              <w:bottom w:val="nil"/>
              <w:right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公开03表</w:t>
            </w:r>
          </w:p>
        </w:tc>
      </w:tr>
      <w:tr>
        <w:tblPrEx>
          <w:tblCellMar>
            <w:top w:w="0" w:type="dxa"/>
            <w:left w:w="108" w:type="dxa"/>
            <w:bottom w:w="0" w:type="dxa"/>
            <w:right w:w="108" w:type="dxa"/>
          </w:tblCellMar>
        </w:tblPrEx>
        <w:trPr>
          <w:trHeight w:val="255" w:hRule="atLeast"/>
        </w:trPr>
        <w:tc>
          <w:tcPr>
            <w:tcW w:w="1852" w:type="pct"/>
            <w:gridSpan w:val="4"/>
            <w:tcBorders>
              <w:top w:val="nil"/>
              <w:left w:val="nil"/>
              <w:bottom w:val="nil"/>
              <w:right w:val="nil"/>
            </w:tcBorders>
            <w:shd w:val="clear" w:color="auto" w:fill="auto"/>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部门：湖南省岳阳生态环境监测中心</w:t>
            </w:r>
          </w:p>
        </w:tc>
        <w:tc>
          <w:tcPr>
            <w:tcW w:w="560"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560" w:type="pct"/>
            <w:tcBorders>
              <w:top w:val="nil"/>
              <w:left w:val="nil"/>
              <w:bottom w:val="nil"/>
              <w:right w:val="nil"/>
            </w:tcBorders>
            <w:shd w:val="clear" w:color="auto" w:fill="auto"/>
            <w:noWrap/>
            <w:vAlign w:val="bottom"/>
          </w:tcPr>
          <w:p>
            <w:pPr>
              <w:widowControl/>
              <w:jc w:val="left"/>
              <w:rPr>
                <w:rFonts w:hint="default" w:ascii="Arial" w:hAnsi="Arial" w:eastAsia="宋体" w:cs="Arial"/>
                <w:color w:val="000000"/>
                <w:kern w:val="0"/>
                <w:sz w:val="20"/>
                <w:szCs w:val="20"/>
                <w:lang w:val="en-US" w:eastAsia="zh-CN"/>
              </w:rPr>
            </w:pPr>
            <w:r>
              <w:rPr>
                <w:rFonts w:hint="eastAsia" w:ascii="Arial" w:hAnsi="Arial" w:eastAsia="宋体" w:cs="Arial"/>
                <w:color w:val="000000"/>
                <w:kern w:val="0"/>
                <w:sz w:val="20"/>
                <w:szCs w:val="20"/>
                <w:lang w:val="en-US" w:eastAsia="zh-CN"/>
              </w:rPr>
              <w:t>2021年度</w:t>
            </w:r>
          </w:p>
        </w:tc>
        <w:tc>
          <w:tcPr>
            <w:tcW w:w="515"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423"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423" w:type="pct"/>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666" w:type="pct"/>
            <w:tcBorders>
              <w:top w:val="nil"/>
              <w:left w:val="nil"/>
              <w:bottom w:val="nil"/>
              <w:right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08" w:hRule="atLeast"/>
        </w:trPr>
        <w:tc>
          <w:tcPr>
            <w:tcW w:w="185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560"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本年支出合计</w:t>
            </w:r>
          </w:p>
        </w:tc>
        <w:tc>
          <w:tcPr>
            <w:tcW w:w="560"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基本支出</w:t>
            </w:r>
          </w:p>
        </w:tc>
        <w:tc>
          <w:tcPr>
            <w:tcW w:w="515"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项目支出</w:t>
            </w:r>
          </w:p>
        </w:tc>
        <w:tc>
          <w:tcPr>
            <w:tcW w:w="423"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上缴上级支出</w:t>
            </w:r>
          </w:p>
        </w:tc>
        <w:tc>
          <w:tcPr>
            <w:tcW w:w="423"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经营支出</w:t>
            </w:r>
          </w:p>
        </w:tc>
        <w:tc>
          <w:tcPr>
            <w:tcW w:w="666" w:type="pct"/>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对附属单位补助支出</w:t>
            </w:r>
          </w:p>
        </w:tc>
      </w:tr>
      <w:tr>
        <w:tblPrEx>
          <w:tblCellMar>
            <w:top w:w="0" w:type="dxa"/>
            <w:left w:w="108" w:type="dxa"/>
            <w:bottom w:w="0" w:type="dxa"/>
            <w:right w:w="108" w:type="dxa"/>
          </w:tblCellMar>
        </w:tblPrEx>
        <w:trPr>
          <w:trHeight w:val="312" w:hRule="atLeast"/>
        </w:trPr>
        <w:tc>
          <w:tcPr>
            <w:tcW w:w="298" w:type="pct"/>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功能分类科目编码</w:t>
            </w:r>
          </w:p>
        </w:tc>
        <w:tc>
          <w:tcPr>
            <w:tcW w:w="1554" w:type="pct"/>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科目名称</w:t>
            </w:r>
          </w:p>
        </w:tc>
        <w:tc>
          <w:tcPr>
            <w:tcW w:w="56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6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15"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423"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423"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666"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12" w:hRule="atLeast"/>
        </w:trPr>
        <w:tc>
          <w:tcPr>
            <w:tcW w:w="298" w:type="pct"/>
            <w:gridSpan w:val="3"/>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554" w:type="pct"/>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6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6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15"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423"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423"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666"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12" w:hRule="atLeast"/>
        </w:trPr>
        <w:tc>
          <w:tcPr>
            <w:tcW w:w="298" w:type="pct"/>
            <w:gridSpan w:val="3"/>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554" w:type="pct"/>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6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60"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515"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423"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423"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666" w:type="pct"/>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08" w:hRule="atLeast"/>
        </w:trPr>
        <w:tc>
          <w:tcPr>
            <w:tcW w:w="1852" w:type="pct"/>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5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560"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515"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c>
          <w:tcPr>
            <w:tcW w:w="4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w:t>
            </w:r>
          </w:p>
        </w:tc>
        <w:tc>
          <w:tcPr>
            <w:tcW w:w="423"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w:t>
            </w:r>
          </w:p>
        </w:tc>
        <w:tc>
          <w:tcPr>
            <w:tcW w:w="666" w:type="pc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w:t>
            </w:r>
          </w:p>
        </w:tc>
      </w:tr>
      <w:tr>
        <w:tblPrEx>
          <w:tblCellMar>
            <w:top w:w="0" w:type="dxa"/>
            <w:left w:w="108" w:type="dxa"/>
            <w:bottom w:w="0" w:type="dxa"/>
            <w:right w:w="108" w:type="dxa"/>
          </w:tblCellMar>
        </w:tblPrEx>
        <w:trPr>
          <w:trHeight w:val="308" w:hRule="atLeast"/>
        </w:trPr>
        <w:tc>
          <w:tcPr>
            <w:tcW w:w="1852" w:type="pct"/>
            <w:gridSpan w:val="4"/>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合计</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2,084.04</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1,454.40</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629.64</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206</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科学技术支出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0.73</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0.73</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20602</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基础研究</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0.73</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0.73</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2060203</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自然科学基金</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0.73</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0.73</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社会保障和就业支出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106.78</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106.78</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行政事业单位养老支出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103.34</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103.34</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2080502</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事业单位离退休</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12.21</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12.21</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2080505</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机关事业单位基本养老保险缴费支出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90.76</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90.76</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2080599</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其他行政事业单位养老支出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0.37</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0.37</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20808</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抚恤</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3.44</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3.44</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2080899</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其他优抚支出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3.44</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3.44</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卫生健康支出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21011</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行政事业单位医疗</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2101102</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事业单位医疗</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节能环保支出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1,846.85</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1,217.95</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628.91</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21101</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环境保护管理事务</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831.92</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831.92</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2110101</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行政运行</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2110199</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其他环境保护管理事务支出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30.00</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30.00</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21102</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环境监测与监察</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2110299</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其他环境监测与监察支出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污染防治</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463.11</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217.89</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245.22</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2110301</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大气</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39.04</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39.04</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2110307</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土壤</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176.18</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176.18</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2110399</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其他污染防治支出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247.89</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217.89</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30.00</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21111</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污染减排</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365.69</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365.69</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2111101</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生态环境监测与信息</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365.69</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365.69</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21199</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其他节能环保支出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168.14</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168.14</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2119999</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其他节能环保支出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168.14</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168.14</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住房保障支出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22102</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住房改革支出</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29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2210201</w:t>
            </w:r>
          </w:p>
        </w:tc>
        <w:tc>
          <w:tcPr>
            <w:tcW w:w="1554" w:type="pct"/>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住房公积金</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560"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515"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3"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666" w:type="pct"/>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08" w:hRule="atLeast"/>
        </w:trPr>
        <w:tc>
          <w:tcPr>
            <w:tcW w:w="5000" w:type="pct"/>
            <w:gridSpan w:val="10"/>
            <w:tcBorders>
              <w:top w:val="nil"/>
              <w:left w:val="nil"/>
              <w:bottom w:val="nil"/>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注：本表反映部门本年度各项支出情况。</w:t>
            </w:r>
          </w:p>
        </w:tc>
      </w:tr>
    </w:tbl>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tbl>
      <w:tblPr>
        <w:tblStyle w:val="6"/>
        <w:tblW w:w="4956" w:type="pct"/>
        <w:jc w:val="center"/>
        <w:tblLayout w:type="fixed"/>
        <w:tblCellMar>
          <w:top w:w="0" w:type="dxa"/>
          <w:left w:w="108" w:type="dxa"/>
          <w:bottom w:w="0" w:type="dxa"/>
          <w:right w:w="108" w:type="dxa"/>
        </w:tblCellMar>
      </w:tblPr>
      <w:tblGrid>
        <w:gridCol w:w="236"/>
        <w:gridCol w:w="188"/>
        <w:gridCol w:w="1770"/>
        <w:gridCol w:w="791"/>
        <w:gridCol w:w="609"/>
        <w:gridCol w:w="875"/>
        <w:gridCol w:w="1191"/>
        <w:gridCol w:w="236"/>
        <w:gridCol w:w="637"/>
        <w:gridCol w:w="244"/>
        <w:gridCol w:w="578"/>
        <w:gridCol w:w="430"/>
        <w:gridCol w:w="198"/>
        <w:gridCol w:w="1194"/>
        <w:gridCol w:w="1425"/>
        <w:gridCol w:w="1533"/>
        <w:gridCol w:w="1800"/>
        <w:gridCol w:w="1544"/>
      </w:tblGrid>
      <w:tr>
        <w:tblPrEx>
          <w:tblCellMar>
            <w:top w:w="0" w:type="dxa"/>
            <w:left w:w="108" w:type="dxa"/>
            <w:bottom w:w="0" w:type="dxa"/>
            <w:right w:w="108" w:type="dxa"/>
          </w:tblCellMar>
        </w:tblPrEx>
        <w:trPr>
          <w:gridAfter w:val="1"/>
          <w:wAfter w:w="498" w:type="pct"/>
          <w:trHeight w:val="419" w:hRule="atLeast"/>
          <w:jc w:val="center"/>
        </w:trPr>
        <w:tc>
          <w:tcPr>
            <w:tcW w:w="4501" w:type="pct"/>
            <w:gridSpan w:val="17"/>
            <w:tcBorders>
              <w:top w:val="nil"/>
              <w:left w:val="nil"/>
              <w:bottom w:val="nil"/>
              <w:right w:val="nil"/>
            </w:tcBorders>
            <w:shd w:val="clear" w:color="auto" w:fill="auto"/>
            <w:noWrap/>
            <w:vAlign w:val="bottom"/>
          </w:tcPr>
          <w:p>
            <w:pPr>
              <w:widowControl/>
              <w:jc w:val="center"/>
              <w:rPr>
                <w:rFonts w:hint="eastAsia" w:ascii="宋体" w:hAnsi="宋体" w:eastAsia="宋体" w:cs="Arial"/>
                <w:color w:val="000000"/>
                <w:kern w:val="0"/>
                <w:sz w:val="30"/>
                <w:szCs w:val="30"/>
              </w:rPr>
            </w:pPr>
          </w:p>
          <w:p>
            <w:pPr>
              <w:widowControl/>
              <w:jc w:val="center"/>
              <w:rPr>
                <w:rFonts w:hint="eastAsia" w:ascii="宋体" w:hAnsi="宋体" w:eastAsia="宋体" w:cs="Arial"/>
                <w:color w:val="000000"/>
                <w:kern w:val="0"/>
                <w:sz w:val="30"/>
                <w:szCs w:val="30"/>
              </w:rPr>
            </w:pPr>
          </w:p>
          <w:p>
            <w:pPr>
              <w:widowControl/>
              <w:jc w:val="center"/>
              <w:rPr>
                <w:rFonts w:hint="eastAsia" w:ascii="宋体" w:hAnsi="宋体" w:eastAsia="宋体" w:cs="Arial"/>
                <w:color w:val="000000"/>
                <w:kern w:val="0"/>
                <w:sz w:val="30"/>
                <w:szCs w:val="30"/>
              </w:rPr>
            </w:pPr>
          </w:p>
          <w:p>
            <w:pPr>
              <w:widowControl/>
              <w:jc w:val="center"/>
              <w:rPr>
                <w:rFonts w:ascii="宋体" w:hAnsi="宋体" w:eastAsia="宋体" w:cs="Arial"/>
                <w:color w:val="000000"/>
                <w:kern w:val="0"/>
                <w:sz w:val="28"/>
                <w:szCs w:val="28"/>
              </w:rPr>
            </w:pPr>
            <w:r>
              <w:rPr>
                <w:rFonts w:hint="eastAsia" w:ascii="宋体" w:hAnsi="宋体" w:eastAsia="宋体" w:cs="Arial"/>
                <w:color w:val="000000"/>
                <w:kern w:val="0"/>
                <w:sz w:val="30"/>
                <w:szCs w:val="30"/>
              </w:rPr>
              <w:t>财政拨款收入支出决算总表</w:t>
            </w:r>
          </w:p>
        </w:tc>
      </w:tr>
      <w:tr>
        <w:tblPrEx>
          <w:tblCellMar>
            <w:top w:w="0" w:type="dxa"/>
            <w:left w:w="108" w:type="dxa"/>
            <w:bottom w:w="0" w:type="dxa"/>
            <w:right w:w="108" w:type="dxa"/>
          </w:tblCellMar>
        </w:tblPrEx>
        <w:trPr>
          <w:trHeight w:val="255" w:hRule="atLeast"/>
          <w:jc w:val="center"/>
        </w:trPr>
        <w:tc>
          <w:tcPr>
            <w:tcW w:w="76" w:type="pct"/>
            <w:tcBorders>
              <w:top w:val="nil"/>
              <w:left w:val="nil"/>
              <w:bottom w:val="nil"/>
              <w:right w:val="nil"/>
            </w:tcBorders>
            <w:shd w:val="clear" w:color="auto" w:fill="auto"/>
            <w:noWrap/>
            <w:vAlign w:val="bottom"/>
          </w:tcPr>
          <w:p>
            <w:pPr>
              <w:widowControl/>
              <w:spacing w:line="240" w:lineRule="exact"/>
              <w:jc w:val="left"/>
              <w:rPr>
                <w:rFonts w:ascii="Arial" w:hAnsi="Arial" w:eastAsia="宋体" w:cs="Arial"/>
                <w:color w:val="000000"/>
                <w:kern w:val="0"/>
                <w:sz w:val="20"/>
                <w:szCs w:val="20"/>
              </w:rPr>
            </w:pPr>
          </w:p>
        </w:tc>
        <w:tc>
          <w:tcPr>
            <w:tcW w:w="60" w:type="pct"/>
            <w:tcBorders>
              <w:top w:val="nil"/>
              <w:left w:val="nil"/>
              <w:bottom w:val="nil"/>
              <w:right w:val="nil"/>
            </w:tcBorders>
            <w:shd w:val="clear" w:color="auto" w:fill="auto"/>
            <w:noWrap/>
            <w:vAlign w:val="bottom"/>
          </w:tcPr>
          <w:p>
            <w:pPr>
              <w:widowControl/>
              <w:spacing w:line="240" w:lineRule="exact"/>
              <w:jc w:val="left"/>
              <w:rPr>
                <w:rFonts w:ascii="Arial" w:hAnsi="Arial" w:eastAsia="宋体" w:cs="Arial"/>
                <w:color w:val="000000"/>
                <w:kern w:val="0"/>
                <w:sz w:val="20"/>
                <w:szCs w:val="20"/>
              </w:rPr>
            </w:pPr>
          </w:p>
        </w:tc>
        <w:tc>
          <w:tcPr>
            <w:tcW w:w="1023" w:type="pct"/>
            <w:gridSpan w:val="3"/>
            <w:tcBorders>
              <w:top w:val="nil"/>
              <w:left w:val="nil"/>
              <w:bottom w:val="nil"/>
              <w:right w:val="nil"/>
            </w:tcBorders>
            <w:shd w:val="clear" w:color="auto" w:fill="auto"/>
            <w:noWrap/>
            <w:vAlign w:val="bottom"/>
          </w:tcPr>
          <w:p>
            <w:pPr>
              <w:widowControl/>
              <w:spacing w:line="240" w:lineRule="exact"/>
              <w:jc w:val="left"/>
              <w:rPr>
                <w:rFonts w:ascii="Arial" w:hAnsi="Arial" w:eastAsia="宋体" w:cs="Arial"/>
                <w:color w:val="000000"/>
                <w:kern w:val="0"/>
                <w:sz w:val="20"/>
                <w:szCs w:val="20"/>
              </w:rPr>
            </w:pPr>
          </w:p>
        </w:tc>
        <w:tc>
          <w:tcPr>
            <w:tcW w:w="667" w:type="pct"/>
            <w:gridSpan w:val="2"/>
            <w:tcBorders>
              <w:top w:val="nil"/>
              <w:left w:val="nil"/>
              <w:bottom w:val="nil"/>
              <w:right w:val="nil"/>
            </w:tcBorders>
            <w:shd w:val="clear" w:color="auto" w:fill="auto"/>
            <w:noWrap/>
            <w:vAlign w:val="bottom"/>
          </w:tcPr>
          <w:p>
            <w:pPr>
              <w:widowControl/>
              <w:spacing w:line="240" w:lineRule="exact"/>
              <w:jc w:val="left"/>
              <w:rPr>
                <w:rFonts w:ascii="Arial" w:hAnsi="Arial" w:eastAsia="宋体" w:cs="Arial"/>
                <w:color w:val="000000"/>
                <w:kern w:val="0"/>
                <w:sz w:val="20"/>
                <w:szCs w:val="20"/>
              </w:rPr>
            </w:pPr>
          </w:p>
        </w:tc>
        <w:tc>
          <w:tcPr>
            <w:tcW w:w="76" w:type="pct"/>
            <w:tcBorders>
              <w:top w:val="nil"/>
              <w:left w:val="nil"/>
              <w:bottom w:val="nil"/>
              <w:right w:val="nil"/>
            </w:tcBorders>
            <w:shd w:val="clear" w:color="auto" w:fill="auto"/>
            <w:noWrap/>
            <w:vAlign w:val="bottom"/>
          </w:tcPr>
          <w:p>
            <w:pPr>
              <w:widowControl/>
              <w:spacing w:line="240" w:lineRule="exact"/>
              <w:jc w:val="left"/>
              <w:rPr>
                <w:rFonts w:ascii="Arial" w:hAnsi="Arial" w:eastAsia="宋体" w:cs="Arial"/>
                <w:color w:val="000000"/>
                <w:kern w:val="0"/>
                <w:sz w:val="20"/>
                <w:szCs w:val="20"/>
              </w:rPr>
            </w:pPr>
          </w:p>
        </w:tc>
        <w:tc>
          <w:tcPr>
            <w:tcW w:w="205" w:type="pct"/>
            <w:tcBorders>
              <w:top w:val="nil"/>
              <w:left w:val="nil"/>
              <w:bottom w:val="nil"/>
              <w:right w:val="nil"/>
            </w:tcBorders>
            <w:shd w:val="clear" w:color="auto" w:fill="auto"/>
            <w:noWrap/>
            <w:vAlign w:val="bottom"/>
          </w:tcPr>
          <w:p>
            <w:pPr>
              <w:widowControl/>
              <w:spacing w:line="240" w:lineRule="exact"/>
              <w:jc w:val="left"/>
              <w:rPr>
                <w:rFonts w:ascii="Arial" w:hAnsi="Arial" w:eastAsia="宋体" w:cs="Arial"/>
                <w:color w:val="000000"/>
                <w:kern w:val="0"/>
                <w:sz w:val="20"/>
                <w:szCs w:val="20"/>
              </w:rPr>
            </w:pPr>
          </w:p>
        </w:tc>
        <w:tc>
          <w:tcPr>
            <w:tcW w:w="265" w:type="pct"/>
            <w:gridSpan w:val="2"/>
            <w:tcBorders>
              <w:top w:val="nil"/>
              <w:left w:val="nil"/>
              <w:bottom w:val="nil"/>
              <w:right w:val="nil"/>
            </w:tcBorders>
            <w:shd w:val="clear" w:color="auto" w:fill="auto"/>
            <w:noWrap/>
            <w:vAlign w:val="bottom"/>
          </w:tcPr>
          <w:p>
            <w:pPr>
              <w:widowControl/>
              <w:spacing w:line="240" w:lineRule="exact"/>
              <w:jc w:val="left"/>
              <w:rPr>
                <w:rFonts w:ascii="Arial" w:hAnsi="Arial" w:eastAsia="宋体" w:cs="Arial"/>
                <w:color w:val="000000"/>
                <w:kern w:val="0"/>
                <w:sz w:val="20"/>
                <w:szCs w:val="20"/>
              </w:rPr>
            </w:pPr>
          </w:p>
        </w:tc>
        <w:tc>
          <w:tcPr>
            <w:tcW w:w="202" w:type="pct"/>
            <w:gridSpan w:val="2"/>
            <w:tcBorders>
              <w:top w:val="nil"/>
              <w:left w:val="nil"/>
              <w:bottom w:val="nil"/>
              <w:right w:val="nil"/>
            </w:tcBorders>
            <w:shd w:val="clear" w:color="auto" w:fill="auto"/>
            <w:noWrap/>
            <w:vAlign w:val="bottom"/>
          </w:tcPr>
          <w:p>
            <w:pPr>
              <w:widowControl/>
              <w:spacing w:line="240" w:lineRule="exact"/>
              <w:jc w:val="left"/>
              <w:rPr>
                <w:rFonts w:ascii="Arial" w:hAnsi="Arial" w:eastAsia="宋体" w:cs="Arial"/>
                <w:color w:val="000000"/>
                <w:kern w:val="0"/>
                <w:sz w:val="20"/>
                <w:szCs w:val="20"/>
              </w:rPr>
            </w:pPr>
          </w:p>
        </w:tc>
        <w:tc>
          <w:tcPr>
            <w:tcW w:w="2421" w:type="pct"/>
            <w:gridSpan w:val="5"/>
            <w:tcBorders>
              <w:top w:val="nil"/>
              <w:left w:val="nil"/>
              <w:bottom w:val="nil"/>
              <w:right w:val="nil"/>
            </w:tcBorders>
            <w:shd w:val="clear" w:color="auto" w:fill="auto"/>
            <w:noWrap/>
            <w:vAlign w:val="bottom"/>
          </w:tcPr>
          <w:p>
            <w:pPr>
              <w:widowControl/>
              <w:spacing w:line="240" w:lineRule="exact"/>
              <w:ind w:firstLine="4800" w:firstLineChars="2400"/>
              <w:jc w:val="both"/>
              <w:rPr>
                <w:rFonts w:ascii="宋体" w:hAnsi="宋体" w:eastAsia="宋体" w:cs="Arial"/>
                <w:color w:val="000000"/>
                <w:kern w:val="0"/>
                <w:sz w:val="20"/>
                <w:szCs w:val="20"/>
              </w:rPr>
            </w:pPr>
            <w:r>
              <w:rPr>
                <w:rFonts w:hint="eastAsia" w:ascii="宋体" w:hAnsi="宋体" w:eastAsia="宋体" w:cs="Arial"/>
                <w:color w:val="000000"/>
                <w:kern w:val="0"/>
                <w:sz w:val="20"/>
                <w:szCs w:val="20"/>
              </w:rPr>
              <w:t>公开04表</w:t>
            </w:r>
          </w:p>
        </w:tc>
      </w:tr>
      <w:tr>
        <w:tblPrEx>
          <w:tblCellMar>
            <w:top w:w="0" w:type="dxa"/>
            <w:left w:w="108" w:type="dxa"/>
            <w:bottom w:w="0" w:type="dxa"/>
            <w:right w:w="108" w:type="dxa"/>
          </w:tblCellMar>
        </w:tblPrEx>
        <w:trPr>
          <w:gridAfter w:val="1"/>
          <w:wAfter w:w="498" w:type="pct"/>
          <w:trHeight w:val="255" w:hRule="atLeast"/>
          <w:jc w:val="center"/>
        </w:trPr>
        <w:tc>
          <w:tcPr>
            <w:tcW w:w="4501" w:type="pct"/>
            <w:gridSpan w:val="17"/>
            <w:tcBorders>
              <w:top w:val="nil"/>
              <w:left w:val="nil"/>
              <w:bottom w:val="nil"/>
            </w:tcBorders>
            <w:shd w:val="clear" w:color="auto" w:fill="auto"/>
            <w:noWrap/>
            <w:vAlign w:val="bottom"/>
          </w:tcPr>
          <w:p>
            <w:pPr>
              <w:widowControl/>
              <w:spacing w:line="240" w:lineRule="exact"/>
              <w:ind w:left="12800" w:hanging="12800" w:hangingChars="6400"/>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部门：湖南省岳阳生态环境监测中心                                                       </w:t>
            </w:r>
            <w:r>
              <w:rPr>
                <w:rFonts w:hint="eastAsia" w:ascii="宋体" w:hAnsi="宋体" w:eastAsia="宋体" w:cs="Arial"/>
                <w:color w:val="000000"/>
                <w:kern w:val="0"/>
                <w:sz w:val="20"/>
                <w:szCs w:val="20"/>
                <w:lang w:val="en-US" w:eastAsia="zh-CN"/>
              </w:rPr>
              <w:t>2021年度                            金额单位</w:t>
            </w:r>
            <w:r>
              <w:rPr>
                <w:rFonts w:hint="eastAsia" w:ascii="宋体" w:hAnsi="宋体" w:eastAsia="宋体" w:cs="Arial"/>
                <w:color w:val="000000"/>
                <w:kern w:val="0"/>
                <w:sz w:val="20"/>
                <w:szCs w:val="20"/>
              </w:rPr>
              <w:t>：万元</w:t>
            </w:r>
          </w:p>
        </w:tc>
      </w:tr>
      <w:tr>
        <w:tblPrEx>
          <w:tblCellMar>
            <w:top w:w="0" w:type="dxa"/>
            <w:left w:w="108" w:type="dxa"/>
            <w:bottom w:w="0" w:type="dxa"/>
            <w:right w:w="108" w:type="dxa"/>
          </w:tblCellMar>
        </w:tblPrEx>
        <w:trPr>
          <w:gridAfter w:val="1"/>
          <w:wAfter w:w="498" w:type="pct"/>
          <w:trHeight w:val="308" w:hRule="atLeast"/>
          <w:jc w:val="center"/>
        </w:trPr>
        <w:tc>
          <w:tcPr>
            <w:tcW w:w="1443" w:type="pct"/>
            <w:gridSpan w:val="6"/>
            <w:tcBorders>
              <w:top w:val="single" w:color="000000" w:sz="4" w:space="0"/>
              <w:left w:val="single" w:color="000000" w:sz="4" w:space="0"/>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收     入</w:t>
            </w:r>
          </w:p>
        </w:tc>
        <w:tc>
          <w:tcPr>
            <w:tcW w:w="3057" w:type="pct"/>
            <w:gridSpan w:val="11"/>
            <w:tcBorders>
              <w:top w:val="single" w:color="000000" w:sz="4" w:space="0"/>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支     出</w:t>
            </w:r>
          </w:p>
        </w:tc>
      </w:tr>
      <w:tr>
        <w:tblPrEx>
          <w:tblCellMar>
            <w:top w:w="0" w:type="dxa"/>
            <w:left w:w="108" w:type="dxa"/>
            <w:bottom w:w="0" w:type="dxa"/>
            <w:right w:w="108" w:type="dxa"/>
          </w:tblCellMar>
        </w:tblPrEx>
        <w:trPr>
          <w:gridAfter w:val="1"/>
          <w:wAfter w:w="498" w:type="pct"/>
          <w:trHeight w:val="312" w:hRule="atLeast"/>
          <w:jc w:val="center"/>
        </w:trPr>
        <w:tc>
          <w:tcPr>
            <w:tcW w:w="708" w:type="pct"/>
            <w:gridSpan w:val="3"/>
            <w:vMerge w:val="restart"/>
            <w:tcBorders>
              <w:top w:val="nil"/>
              <w:left w:val="single" w:color="000000" w:sz="4" w:space="0"/>
              <w:bottom w:val="single" w:color="000000" w:sz="4" w:space="0"/>
              <w:right w:val="single" w:color="000000" w:sz="4" w:space="0"/>
            </w:tcBorders>
            <w:shd w:val="clear" w:color="FFFFFF" w:fill="auto"/>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项目</w:t>
            </w:r>
          </w:p>
        </w:tc>
        <w:tc>
          <w:tcPr>
            <w:tcW w:w="255" w:type="pct"/>
            <w:vMerge w:val="restart"/>
            <w:tcBorders>
              <w:top w:val="nil"/>
              <w:left w:val="nil"/>
              <w:bottom w:val="single" w:color="000000" w:sz="4" w:space="0"/>
              <w:right w:val="single" w:color="000000" w:sz="4" w:space="0"/>
            </w:tcBorders>
            <w:shd w:val="clear" w:color="FFFFFF" w:fill="auto"/>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行次</w:t>
            </w:r>
          </w:p>
        </w:tc>
        <w:tc>
          <w:tcPr>
            <w:tcW w:w="479" w:type="pct"/>
            <w:gridSpan w:val="2"/>
            <w:vMerge w:val="restart"/>
            <w:tcBorders>
              <w:top w:val="nil"/>
              <w:left w:val="nil"/>
              <w:bottom w:val="single" w:color="000000" w:sz="4" w:space="0"/>
              <w:right w:val="single" w:color="000000" w:sz="4" w:space="0"/>
            </w:tcBorders>
            <w:shd w:val="clear" w:color="FFFFFF" w:fill="auto"/>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金额</w:t>
            </w:r>
          </w:p>
        </w:tc>
        <w:tc>
          <w:tcPr>
            <w:tcW w:w="745" w:type="pct"/>
            <w:gridSpan w:val="4"/>
            <w:vMerge w:val="restart"/>
            <w:tcBorders>
              <w:top w:val="nil"/>
              <w:left w:val="nil"/>
              <w:bottom w:val="single" w:color="000000" w:sz="4" w:space="0"/>
              <w:right w:val="single" w:color="000000" w:sz="4" w:space="0"/>
            </w:tcBorders>
            <w:shd w:val="clear" w:color="FFFFFF" w:fill="auto"/>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项目</w:t>
            </w:r>
          </w:p>
        </w:tc>
        <w:tc>
          <w:tcPr>
            <w:tcW w:w="325" w:type="pct"/>
            <w:gridSpan w:val="2"/>
            <w:vMerge w:val="restart"/>
            <w:tcBorders>
              <w:top w:val="nil"/>
              <w:left w:val="nil"/>
              <w:bottom w:val="single" w:color="000000" w:sz="4" w:space="0"/>
              <w:right w:val="single" w:color="000000" w:sz="4" w:space="0"/>
            </w:tcBorders>
            <w:shd w:val="clear" w:color="FFFFFF" w:fill="auto"/>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行次</w:t>
            </w:r>
          </w:p>
        </w:tc>
        <w:tc>
          <w:tcPr>
            <w:tcW w:w="449" w:type="pct"/>
            <w:gridSpan w:val="2"/>
            <w:vMerge w:val="restar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合计</w:t>
            </w:r>
          </w:p>
        </w:tc>
        <w:tc>
          <w:tcPr>
            <w:tcW w:w="460" w:type="pct"/>
            <w:vMerge w:val="restart"/>
            <w:tcBorders>
              <w:top w:val="nil"/>
              <w:left w:val="nil"/>
              <w:bottom w:val="single" w:color="000000" w:sz="4" w:space="0"/>
              <w:right w:val="single" w:color="000000" w:sz="4" w:space="0"/>
            </w:tcBorders>
            <w:shd w:val="clear" w:color="FFFFFF" w:fill="auto"/>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一般公共预算财政拨款</w:t>
            </w:r>
          </w:p>
        </w:tc>
        <w:tc>
          <w:tcPr>
            <w:tcW w:w="495" w:type="pct"/>
            <w:vMerge w:val="restart"/>
            <w:tcBorders>
              <w:top w:val="nil"/>
              <w:left w:val="nil"/>
              <w:bottom w:val="single" w:color="000000" w:sz="4" w:space="0"/>
              <w:right w:val="single" w:color="000000" w:sz="4" w:space="0"/>
            </w:tcBorders>
            <w:shd w:val="clear" w:color="FFFFFF" w:fill="auto"/>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政府性基金预算财政拨款</w:t>
            </w:r>
          </w:p>
        </w:tc>
        <w:tc>
          <w:tcPr>
            <w:tcW w:w="581" w:type="pct"/>
            <w:vMerge w:val="restart"/>
            <w:tcBorders>
              <w:top w:val="nil"/>
              <w:left w:val="nil"/>
              <w:bottom w:val="single" w:color="000000" w:sz="4" w:space="0"/>
              <w:right w:val="single" w:color="000000" w:sz="4" w:space="0"/>
            </w:tcBorders>
            <w:shd w:val="clear" w:color="FFFFFF" w:fill="auto"/>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国有资本经营预算财政拨款</w:t>
            </w:r>
          </w:p>
        </w:tc>
      </w:tr>
      <w:tr>
        <w:tblPrEx>
          <w:tblCellMar>
            <w:top w:w="0" w:type="dxa"/>
            <w:left w:w="108" w:type="dxa"/>
            <w:bottom w:w="0" w:type="dxa"/>
            <w:right w:w="108" w:type="dxa"/>
          </w:tblCellMar>
        </w:tblPrEx>
        <w:trPr>
          <w:gridAfter w:val="1"/>
          <w:wAfter w:w="498" w:type="pct"/>
          <w:trHeight w:val="348" w:hRule="atLeast"/>
          <w:jc w:val="center"/>
        </w:trPr>
        <w:tc>
          <w:tcPr>
            <w:tcW w:w="708" w:type="pct"/>
            <w:gridSpan w:val="3"/>
            <w:vMerge w:val="continue"/>
            <w:tcBorders>
              <w:top w:val="nil"/>
              <w:left w:val="single" w:color="000000" w:sz="4" w:space="0"/>
              <w:bottom w:val="single" w:color="000000" w:sz="4" w:space="0"/>
              <w:right w:val="single" w:color="000000" w:sz="4" w:space="0"/>
            </w:tcBorders>
            <w:shd w:val="clear" w:color="FFFFFF" w:fill="auto"/>
            <w:vAlign w:val="center"/>
          </w:tcPr>
          <w:p>
            <w:pPr>
              <w:widowControl/>
              <w:spacing w:line="240" w:lineRule="exact"/>
              <w:jc w:val="left"/>
              <w:rPr>
                <w:rFonts w:ascii="宋体" w:hAnsi="宋体" w:eastAsia="宋体" w:cs="Arial"/>
                <w:color w:val="000000"/>
                <w:kern w:val="0"/>
                <w:sz w:val="20"/>
                <w:szCs w:val="20"/>
              </w:rPr>
            </w:pPr>
          </w:p>
        </w:tc>
        <w:tc>
          <w:tcPr>
            <w:tcW w:w="255" w:type="pct"/>
            <w:vMerge w:val="continue"/>
            <w:tcBorders>
              <w:top w:val="nil"/>
              <w:left w:val="nil"/>
              <w:bottom w:val="single" w:color="000000" w:sz="4" w:space="0"/>
              <w:right w:val="single" w:color="000000" w:sz="4" w:space="0"/>
            </w:tcBorders>
            <w:shd w:val="clear" w:color="FFFFFF" w:fill="auto"/>
            <w:vAlign w:val="center"/>
          </w:tcPr>
          <w:p>
            <w:pPr>
              <w:widowControl/>
              <w:spacing w:line="240" w:lineRule="exact"/>
              <w:jc w:val="left"/>
              <w:rPr>
                <w:rFonts w:ascii="宋体" w:hAnsi="宋体" w:eastAsia="宋体" w:cs="Arial"/>
                <w:color w:val="000000"/>
                <w:kern w:val="0"/>
                <w:sz w:val="20"/>
                <w:szCs w:val="20"/>
              </w:rPr>
            </w:pPr>
          </w:p>
        </w:tc>
        <w:tc>
          <w:tcPr>
            <w:tcW w:w="479" w:type="pct"/>
            <w:gridSpan w:val="2"/>
            <w:vMerge w:val="continue"/>
            <w:tcBorders>
              <w:top w:val="nil"/>
              <w:left w:val="nil"/>
              <w:bottom w:val="single" w:color="000000" w:sz="4" w:space="0"/>
              <w:right w:val="single" w:color="000000" w:sz="4" w:space="0"/>
            </w:tcBorders>
            <w:shd w:val="clear" w:color="FFFFFF" w:fill="auto"/>
            <w:vAlign w:val="center"/>
          </w:tcPr>
          <w:p>
            <w:pPr>
              <w:widowControl/>
              <w:spacing w:line="240" w:lineRule="exact"/>
              <w:jc w:val="left"/>
              <w:rPr>
                <w:rFonts w:ascii="宋体" w:hAnsi="宋体" w:eastAsia="宋体" w:cs="Arial"/>
                <w:color w:val="000000"/>
                <w:kern w:val="0"/>
                <w:sz w:val="20"/>
                <w:szCs w:val="20"/>
              </w:rPr>
            </w:pPr>
          </w:p>
        </w:tc>
        <w:tc>
          <w:tcPr>
            <w:tcW w:w="745" w:type="pct"/>
            <w:gridSpan w:val="4"/>
            <w:vMerge w:val="continue"/>
            <w:tcBorders>
              <w:top w:val="nil"/>
              <w:left w:val="nil"/>
              <w:bottom w:val="single" w:color="000000" w:sz="4" w:space="0"/>
              <w:right w:val="single" w:color="000000" w:sz="4" w:space="0"/>
            </w:tcBorders>
            <w:shd w:val="clear" w:color="FFFFFF" w:fill="auto"/>
            <w:vAlign w:val="center"/>
          </w:tcPr>
          <w:p>
            <w:pPr>
              <w:widowControl/>
              <w:spacing w:line="240" w:lineRule="exact"/>
              <w:jc w:val="left"/>
              <w:rPr>
                <w:rFonts w:ascii="宋体" w:hAnsi="宋体" w:eastAsia="宋体" w:cs="Arial"/>
                <w:color w:val="000000"/>
                <w:kern w:val="0"/>
                <w:sz w:val="20"/>
                <w:szCs w:val="20"/>
              </w:rPr>
            </w:pPr>
          </w:p>
        </w:tc>
        <w:tc>
          <w:tcPr>
            <w:tcW w:w="325" w:type="pct"/>
            <w:gridSpan w:val="2"/>
            <w:vMerge w:val="continue"/>
            <w:tcBorders>
              <w:top w:val="nil"/>
              <w:left w:val="nil"/>
              <w:bottom w:val="single" w:color="000000" w:sz="4" w:space="0"/>
              <w:right w:val="single" w:color="000000" w:sz="4" w:space="0"/>
            </w:tcBorders>
            <w:shd w:val="clear" w:color="FFFFFF" w:fill="auto"/>
            <w:vAlign w:val="center"/>
          </w:tcPr>
          <w:p>
            <w:pPr>
              <w:widowControl/>
              <w:spacing w:line="240" w:lineRule="exact"/>
              <w:jc w:val="left"/>
              <w:rPr>
                <w:rFonts w:ascii="宋体" w:hAnsi="宋体" w:eastAsia="宋体" w:cs="Arial"/>
                <w:color w:val="000000"/>
                <w:kern w:val="0"/>
                <w:sz w:val="20"/>
                <w:szCs w:val="20"/>
              </w:rPr>
            </w:pPr>
          </w:p>
        </w:tc>
        <w:tc>
          <w:tcPr>
            <w:tcW w:w="449" w:type="pct"/>
            <w:gridSpan w:val="2"/>
            <w:vMerge w:val="continue"/>
            <w:tcBorders>
              <w:top w:val="nil"/>
              <w:left w:val="nil"/>
              <w:bottom w:val="single" w:color="000000" w:sz="4" w:space="0"/>
              <w:right w:val="single" w:color="000000" w:sz="4" w:space="0"/>
            </w:tcBorders>
            <w:shd w:val="clear" w:color="FFFFFF" w:fill="auto"/>
            <w:vAlign w:val="center"/>
          </w:tcPr>
          <w:p>
            <w:pPr>
              <w:widowControl/>
              <w:spacing w:line="240" w:lineRule="exact"/>
              <w:jc w:val="left"/>
              <w:rPr>
                <w:rFonts w:ascii="宋体" w:hAnsi="宋体" w:eastAsia="宋体" w:cs="Arial"/>
                <w:color w:val="000000"/>
                <w:kern w:val="0"/>
                <w:sz w:val="20"/>
                <w:szCs w:val="20"/>
              </w:rPr>
            </w:pPr>
          </w:p>
        </w:tc>
        <w:tc>
          <w:tcPr>
            <w:tcW w:w="460" w:type="pct"/>
            <w:vMerge w:val="continue"/>
            <w:tcBorders>
              <w:top w:val="nil"/>
              <w:left w:val="nil"/>
              <w:bottom w:val="single" w:color="000000" w:sz="4" w:space="0"/>
              <w:right w:val="single" w:color="000000" w:sz="4" w:space="0"/>
            </w:tcBorders>
            <w:shd w:val="clear" w:color="FFFFFF" w:fill="auto"/>
            <w:vAlign w:val="center"/>
          </w:tcPr>
          <w:p>
            <w:pPr>
              <w:widowControl/>
              <w:spacing w:line="240" w:lineRule="exact"/>
              <w:jc w:val="left"/>
              <w:rPr>
                <w:rFonts w:ascii="宋体" w:hAnsi="宋体" w:eastAsia="宋体" w:cs="Arial"/>
                <w:color w:val="000000"/>
                <w:kern w:val="0"/>
                <w:sz w:val="20"/>
                <w:szCs w:val="20"/>
              </w:rPr>
            </w:pPr>
          </w:p>
        </w:tc>
        <w:tc>
          <w:tcPr>
            <w:tcW w:w="495" w:type="pct"/>
            <w:vMerge w:val="continue"/>
            <w:tcBorders>
              <w:top w:val="nil"/>
              <w:left w:val="nil"/>
              <w:bottom w:val="single" w:color="000000" w:sz="4" w:space="0"/>
              <w:right w:val="single" w:color="000000" w:sz="4" w:space="0"/>
            </w:tcBorders>
            <w:shd w:val="clear" w:color="FFFFFF" w:fill="auto"/>
            <w:vAlign w:val="center"/>
          </w:tcPr>
          <w:p>
            <w:pPr>
              <w:widowControl/>
              <w:spacing w:line="240" w:lineRule="exact"/>
              <w:jc w:val="left"/>
              <w:rPr>
                <w:rFonts w:ascii="宋体" w:hAnsi="宋体" w:eastAsia="宋体" w:cs="Arial"/>
                <w:color w:val="000000"/>
                <w:kern w:val="0"/>
                <w:sz w:val="20"/>
                <w:szCs w:val="20"/>
              </w:rPr>
            </w:pPr>
          </w:p>
        </w:tc>
        <w:tc>
          <w:tcPr>
            <w:tcW w:w="581" w:type="pct"/>
            <w:vMerge w:val="continue"/>
            <w:tcBorders>
              <w:top w:val="nil"/>
              <w:left w:val="nil"/>
              <w:bottom w:val="single" w:color="000000" w:sz="4" w:space="0"/>
              <w:right w:val="single" w:color="000000" w:sz="4" w:space="0"/>
            </w:tcBorders>
            <w:shd w:val="clear" w:color="FFFFFF" w:fill="auto"/>
            <w:vAlign w:val="center"/>
          </w:tcPr>
          <w:p>
            <w:pPr>
              <w:widowControl/>
              <w:spacing w:line="240" w:lineRule="exact"/>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栏次</w:t>
            </w:r>
          </w:p>
        </w:tc>
        <w:tc>
          <w:tcPr>
            <w:tcW w:w="25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7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745" w:type="pct"/>
            <w:gridSpan w:val="4"/>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栏次</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4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460"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49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581"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一、一般公共预算财政拨款</w:t>
            </w:r>
          </w:p>
        </w:tc>
        <w:tc>
          <w:tcPr>
            <w:tcW w:w="25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w:t>
            </w:r>
          </w:p>
        </w:tc>
        <w:tc>
          <w:tcPr>
            <w:tcW w:w="47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1,765.69</w:t>
            </w:r>
          </w:p>
        </w:tc>
        <w:tc>
          <w:tcPr>
            <w:tcW w:w="745" w:type="pct"/>
            <w:gridSpan w:val="4"/>
            <w:tcBorders>
              <w:top w:val="nil"/>
              <w:left w:val="nil"/>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一、一般公共服务支出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33</w:t>
            </w:r>
          </w:p>
        </w:tc>
        <w:tc>
          <w:tcPr>
            <w:tcW w:w="44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二、政府性基金预算财政拨款</w:t>
            </w:r>
          </w:p>
        </w:tc>
        <w:tc>
          <w:tcPr>
            <w:tcW w:w="25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w:t>
            </w:r>
          </w:p>
        </w:tc>
        <w:tc>
          <w:tcPr>
            <w:tcW w:w="47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二、外交支出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34</w:t>
            </w:r>
          </w:p>
        </w:tc>
        <w:tc>
          <w:tcPr>
            <w:tcW w:w="44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三、国有资本经营财政拨款</w:t>
            </w:r>
          </w:p>
        </w:tc>
        <w:tc>
          <w:tcPr>
            <w:tcW w:w="25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w:t>
            </w:r>
          </w:p>
        </w:tc>
        <w:tc>
          <w:tcPr>
            <w:tcW w:w="47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三、国防支出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35</w:t>
            </w:r>
          </w:p>
        </w:tc>
        <w:tc>
          <w:tcPr>
            <w:tcW w:w="44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w:t>
            </w:r>
          </w:p>
        </w:tc>
        <w:tc>
          <w:tcPr>
            <w:tcW w:w="47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四、公共安全支出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36</w:t>
            </w:r>
          </w:p>
        </w:tc>
        <w:tc>
          <w:tcPr>
            <w:tcW w:w="44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w:t>
            </w:r>
          </w:p>
        </w:tc>
        <w:tc>
          <w:tcPr>
            <w:tcW w:w="47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FFFFFF"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五、教育支出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37</w:t>
            </w:r>
          </w:p>
        </w:tc>
        <w:tc>
          <w:tcPr>
            <w:tcW w:w="449"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FFFFFF"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六、科学技术支出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38</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7</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七、文化旅游体育与传媒支出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39</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8</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八、社会保障和就业支出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40</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102.97</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102.97</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9</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九、卫生健康支出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41</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36.92</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36.92</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10</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十、节能环保支出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42</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1,391.79</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1,391.79</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11</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十一、城乡社区支出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43</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12</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十二、农林水支出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44</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13</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十三、交通运输支出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45</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14</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十四、资源勘探工业信息等支出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46</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rPr>
          <w:gridAfter w:val="1"/>
          <w:wAfter w:w="498" w:type="pct"/>
          <w:trHeight w:val="257"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15</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十五、商业服务业等支出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47</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16</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十六、金融支出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48</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17</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十七、援助其他地区支出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49</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18</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十八、自然资源海洋气象等支出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50</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19</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十九、住房保障支出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51</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92.75</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92.75</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20</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二十、粮油物资储备支出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52</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21</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二十一、国有资本经营预算支出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53</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22</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二十二、灾害防治及应急管理支出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54</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23</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二十三、其他支出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55</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24</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二十四、债务还本支出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56</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25</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二十五、债务付息支出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57</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26</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二十六、抗疫特别国债安排的支出</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58</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130"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本年收入合计</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27</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1,765.69</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本年支出合计</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59</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1,624.43</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1,624.43</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年初财政拨款结转和结余</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28</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224.64</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年末财政拨款结转和结余</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60</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365.90</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365.90</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一般公共预算财政拨款</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29</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224.64</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61</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政府性基金预算财政拨款</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30</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62</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国有资本经营预算财政拨款</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31</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63</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708" w:type="pct"/>
            <w:gridSpan w:val="3"/>
            <w:tcBorders>
              <w:top w:val="nil"/>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总计</w:t>
            </w:r>
          </w:p>
        </w:tc>
        <w:tc>
          <w:tcPr>
            <w:tcW w:w="25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32</w:t>
            </w:r>
          </w:p>
        </w:tc>
        <w:tc>
          <w:tcPr>
            <w:tcW w:w="47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1,990.33</w:t>
            </w:r>
          </w:p>
        </w:tc>
        <w:tc>
          <w:tcPr>
            <w:tcW w:w="745" w:type="pct"/>
            <w:gridSpan w:val="4"/>
            <w:tcBorders>
              <w:top w:val="nil"/>
              <w:left w:val="nil"/>
              <w:bottom w:val="single" w:color="000000" w:sz="4" w:space="0"/>
              <w:right w:val="single" w:color="000000" w:sz="4" w:space="0"/>
            </w:tcBorders>
            <w:shd w:val="clear" w:color="auto" w:fill="auto"/>
            <w:noWrap/>
            <w:vAlign w:val="center"/>
          </w:tcPr>
          <w:p>
            <w:pPr>
              <w:widowControl/>
              <w:spacing w:line="240" w:lineRule="exact"/>
              <w:jc w:val="center"/>
              <w:rPr>
                <w:rFonts w:ascii="宋体" w:hAnsi="宋体" w:eastAsia="宋体" w:cs="Arial"/>
                <w:b/>
                <w:bCs/>
                <w:color w:val="000000"/>
                <w:kern w:val="0"/>
                <w:sz w:val="20"/>
                <w:szCs w:val="20"/>
              </w:rPr>
            </w:pPr>
            <w:r>
              <w:rPr>
                <w:rFonts w:hint="eastAsia" w:ascii="宋体" w:hAnsi="宋体" w:eastAsia="宋体" w:cs="Arial"/>
                <w:b/>
                <w:bCs/>
                <w:color w:val="000000"/>
                <w:kern w:val="0"/>
                <w:sz w:val="20"/>
                <w:szCs w:val="20"/>
              </w:rPr>
              <w:t>总计</w:t>
            </w:r>
          </w:p>
        </w:tc>
        <w:tc>
          <w:tcPr>
            <w:tcW w:w="325" w:type="pct"/>
            <w:gridSpan w:val="2"/>
            <w:tcBorders>
              <w:top w:val="nil"/>
              <w:left w:val="nil"/>
              <w:bottom w:val="single" w:color="000000" w:sz="4" w:space="0"/>
              <w:right w:val="single" w:color="000000" w:sz="4" w:space="0"/>
            </w:tcBorders>
            <w:shd w:val="clear" w:color="FFFFFF" w:fill="auto"/>
            <w:noWrap/>
            <w:vAlign w:val="center"/>
          </w:tcPr>
          <w:p>
            <w:pPr>
              <w:widowControl/>
              <w:spacing w:line="240" w:lineRule="exact"/>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64</w:t>
            </w:r>
          </w:p>
        </w:tc>
        <w:tc>
          <w:tcPr>
            <w:tcW w:w="449" w:type="pct"/>
            <w:gridSpan w:val="2"/>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1,990.33</w:t>
            </w:r>
          </w:p>
        </w:tc>
        <w:tc>
          <w:tcPr>
            <w:tcW w:w="460"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1,990.33</w:t>
            </w:r>
          </w:p>
        </w:tc>
        <w:tc>
          <w:tcPr>
            <w:tcW w:w="495"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581" w:type="pct"/>
            <w:tcBorders>
              <w:top w:val="nil"/>
              <w:left w:val="nil"/>
              <w:bottom w:val="single" w:color="000000" w:sz="4" w:space="0"/>
              <w:right w:val="single" w:color="000000" w:sz="4" w:space="0"/>
            </w:tcBorders>
            <w:shd w:val="clear" w:color="auto" w:fill="auto"/>
            <w:noWrap/>
            <w:vAlign w:val="center"/>
          </w:tcPr>
          <w:p>
            <w:pPr>
              <w:widowControl/>
              <w:spacing w:line="240" w:lineRule="exact"/>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gridAfter w:val="1"/>
          <w:wAfter w:w="498" w:type="pct"/>
          <w:trHeight w:val="308" w:hRule="atLeast"/>
          <w:jc w:val="center"/>
        </w:trPr>
        <w:tc>
          <w:tcPr>
            <w:tcW w:w="4501" w:type="pct"/>
            <w:gridSpan w:val="17"/>
            <w:tcBorders>
              <w:top w:val="nil"/>
              <w:left w:val="nil"/>
              <w:bottom w:val="nil"/>
              <w:right w:val="nil"/>
            </w:tcBorders>
            <w:shd w:val="clear" w:color="auto" w:fill="auto"/>
            <w:noWrap/>
            <w:vAlign w:val="center"/>
          </w:tcPr>
          <w:p>
            <w:pPr>
              <w:widowControl/>
              <w:spacing w:line="240" w:lineRule="exact"/>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注：本表反映部门本年度一般公共预算财政拨款、政府性基金预算财政拨款和国有资本经营预算财政拨款的总收支和年末结转结余情况。</w:t>
            </w:r>
          </w:p>
        </w:tc>
      </w:tr>
    </w:tbl>
    <w:p>
      <w:pPr>
        <w:pStyle w:val="10"/>
        <w:rPr>
          <w:rFonts w:asciiTheme="minorEastAsia" w:hAnsiTheme="minorEastAsia" w:eastAsiaTheme="minorEastAsia"/>
          <w:sz w:val="32"/>
          <w:szCs w:val="32"/>
        </w:rPr>
      </w:pPr>
    </w:p>
    <w:tbl>
      <w:tblPr>
        <w:tblStyle w:val="6"/>
        <w:tblW w:w="13604" w:type="dxa"/>
        <w:tblInd w:w="638" w:type="dxa"/>
        <w:tblLayout w:type="fixed"/>
        <w:tblCellMar>
          <w:top w:w="0" w:type="dxa"/>
          <w:left w:w="108" w:type="dxa"/>
          <w:bottom w:w="0" w:type="dxa"/>
          <w:right w:w="108" w:type="dxa"/>
        </w:tblCellMar>
      </w:tblPr>
      <w:tblGrid>
        <w:gridCol w:w="236"/>
        <w:gridCol w:w="329"/>
        <w:gridCol w:w="793"/>
        <w:gridCol w:w="456"/>
        <w:gridCol w:w="4519"/>
        <w:gridCol w:w="456"/>
        <w:gridCol w:w="1919"/>
        <w:gridCol w:w="456"/>
        <w:gridCol w:w="1235"/>
        <w:gridCol w:w="456"/>
        <w:gridCol w:w="2749"/>
      </w:tblGrid>
      <w:tr>
        <w:tblPrEx>
          <w:tblCellMar>
            <w:top w:w="0" w:type="dxa"/>
            <w:left w:w="108" w:type="dxa"/>
            <w:bottom w:w="0" w:type="dxa"/>
            <w:right w:w="108" w:type="dxa"/>
          </w:tblCellMar>
        </w:tblPrEx>
        <w:trPr>
          <w:trHeight w:val="423" w:hRule="atLeast"/>
        </w:trPr>
        <w:tc>
          <w:tcPr>
            <w:tcW w:w="13604" w:type="dxa"/>
            <w:gridSpan w:val="11"/>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30"/>
                <w:szCs w:val="30"/>
              </w:rPr>
            </w:pPr>
            <w:r>
              <w:rPr>
                <w:rFonts w:hint="eastAsia" w:ascii="宋体" w:hAnsi="宋体" w:eastAsia="宋体" w:cs="Arial"/>
                <w:color w:val="000000"/>
                <w:kern w:val="0"/>
                <w:sz w:val="30"/>
                <w:szCs w:val="30"/>
              </w:rPr>
              <w:t>一般公共预算财政拨款支出决算表</w:t>
            </w:r>
          </w:p>
        </w:tc>
      </w:tr>
      <w:tr>
        <w:tblPrEx>
          <w:tblCellMar>
            <w:top w:w="0" w:type="dxa"/>
            <w:left w:w="108" w:type="dxa"/>
            <w:bottom w:w="0" w:type="dxa"/>
            <w:right w:w="108" w:type="dxa"/>
          </w:tblCellMar>
        </w:tblPrEx>
        <w:trPr>
          <w:trHeight w:val="277" w:hRule="atLeast"/>
        </w:trPr>
        <w:tc>
          <w:tcPr>
            <w:tcW w:w="236"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29"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249"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4975"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2375"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691"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2749" w:type="dxa"/>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lang w:val="en-US" w:eastAsia="zh-CN"/>
              </w:rPr>
              <w:t xml:space="preserve">              </w:t>
            </w:r>
            <w:r>
              <w:rPr>
                <w:rFonts w:hint="eastAsia" w:ascii="宋体" w:hAnsi="宋体" w:eastAsia="宋体" w:cs="Arial"/>
                <w:color w:val="000000"/>
                <w:kern w:val="0"/>
                <w:sz w:val="20"/>
                <w:szCs w:val="20"/>
              </w:rPr>
              <w:t>公开05表</w:t>
            </w:r>
          </w:p>
        </w:tc>
      </w:tr>
      <w:tr>
        <w:tblPrEx>
          <w:tblCellMar>
            <w:top w:w="0" w:type="dxa"/>
            <w:left w:w="108" w:type="dxa"/>
            <w:bottom w:w="0" w:type="dxa"/>
            <w:right w:w="108" w:type="dxa"/>
          </w:tblCellMar>
        </w:tblPrEx>
        <w:trPr>
          <w:trHeight w:val="277" w:hRule="atLeast"/>
        </w:trPr>
        <w:tc>
          <w:tcPr>
            <w:tcW w:w="6333" w:type="dxa"/>
            <w:gridSpan w:val="5"/>
            <w:tcBorders>
              <w:top w:val="nil"/>
              <w:left w:val="nil"/>
              <w:bottom w:val="nil"/>
              <w:right w:val="nil"/>
            </w:tcBorders>
            <w:shd w:val="clear" w:color="auto" w:fill="auto"/>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部门：湖南省岳阳生态环境监测中心</w:t>
            </w:r>
          </w:p>
        </w:tc>
        <w:tc>
          <w:tcPr>
            <w:tcW w:w="2375" w:type="dxa"/>
            <w:gridSpan w:val="2"/>
            <w:tcBorders>
              <w:top w:val="nil"/>
              <w:left w:val="nil"/>
              <w:bottom w:val="nil"/>
              <w:right w:val="nil"/>
            </w:tcBorders>
            <w:shd w:val="clear" w:color="auto" w:fill="auto"/>
            <w:noWrap/>
            <w:vAlign w:val="bottom"/>
          </w:tcPr>
          <w:p>
            <w:pPr>
              <w:widowControl/>
              <w:jc w:val="left"/>
              <w:rPr>
                <w:rFonts w:hint="default" w:ascii="Arial" w:hAnsi="Arial" w:eastAsia="宋体" w:cs="Arial"/>
                <w:color w:val="000000"/>
                <w:kern w:val="0"/>
                <w:sz w:val="20"/>
                <w:szCs w:val="20"/>
                <w:lang w:val="en-US" w:eastAsia="zh-CN"/>
              </w:rPr>
            </w:pPr>
            <w:r>
              <w:rPr>
                <w:rFonts w:hint="eastAsia" w:ascii="Arial" w:hAnsi="Arial" w:eastAsia="宋体" w:cs="Arial"/>
                <w:color w:val="000000"/>
                <w:kern w:val="0"/>
                <w:sz w:val="20"/>
                <w:szCs w:val="20"/>
                <w:lang w:val="en-US" w:eastAsia="zh-CN"/>
              </w:rPr>
              <w:t>2021年度</w:t>
            </w:r>
          </w:p>
        </w:tc>
        <w:tc>
          <w:tcPr>
            <w:tcW w:w="1691"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205" w:type="dxa"/>
            <w:gridSpan w:val="2"/>
            <w:tcBorders>
              <w:top w:val="nil"/>
              <w:left w:val="nil"/>
              <w:bottom w:val="nil"/>
              <w:right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34" w:hRule="atLeast"/>
        </w:trPr>
        <w:tc>
          <w:tcPr>
            <w:tcW w:w="6333" w:type="dxa"/>
            <w:gridSpan w:val="5"/>
            <w:tcBorders>
              <w:top w:val="single" w:color="000000" w:sz="4" w:space="0"/>
              <w:left w:val="single" w:color="000000" w:sz="4" w:space="0"/>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7271" w:type="dxa"/>
            <w:gridSpan w:val="6"/>
            <w:tcBorders>
              <w:top w:val="single" w:color="000000" w:sz="4" w:space="0"/>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本年支出</w:t>
            </w:r>
          </w:p>
        </w:tc>
      </w:tr>
      <w:tr>
        <w:tblPrEx>
          <w:tblCellMar>
            <w:top w:w="0" w:type="dxa"/>
            <w:left w:w="108" w:type="dxa"/>
            <w:bottom w:w="0" w:type="dxa"/>
            <w:right w:w="108" w:type="dxa"/>
          </w:tblCellMar>
        </w:tblPrEx>
        <w:trPr>
          <w:trHeight w:val="339" w:hRule="atLeast"/>
        </w:trPr>
        <w:tc>
          <w:tcPr>
            <w:tcW w:w="1358" w:type="dxa"/>
            <w:gridSpan w:val="3"/>
            <w:vMerge w:val="restart"/>
            <w:tcBorders>
              <w:top w:val="nil"/>
              <w:left w:val="single" w:color="000000" w:sz="4" w:space="0"/>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功能分类科目编码</w:t>
            </w:r>
          </w:p>
        </w:tc>
        <w:tc>
          <w:tcPr>
            <w:tcW w:w="4975" w:type="dxa"/>
            <w:gridSpan w:val="2"/>
            <w:vMerge w:val="restart"/>
            <w:tcBorders>
              <w:top w:val="nil"/>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科目名称</w:t>
            </w:r>
          </w:p>
        </w:tc>
        <w:tc>
          <w:tcPr>
            <w:tcW w:w="2375" w:type="dxa"/>
            <w:gridSpan w:val="2"/>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小计</w:t>
            </w:r>
          </w:p>
        </w:tc>
        <w:tc>
          <w:tcPr>
            <w:tcW w:w="1691" w:type="dxa"/>
            <w:gridSpan w:val="2"/>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基本支出</w:t>
            </w:r>
          </w:p>
        </w:tc>
        <w:tc>
          <w:tcPr>
            <w:tcW w:w="3205" w:type="dxa"/>
            <w:gridSpan w:val="2"/>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项目支出</w:t>
            </w:r>
          </w:p>
        </w:tc>
      </w:tr>
      <w:tr>
        <w:tblPrEx>
          <w:tblCellMar>
            <w:top w:w="0" w:type="dxa"/>
            <w:left w:w="108" w:type="dxa"/>
            <w:bottom w:w="0" w:type="dxa"/>
            <w:right w:w="108" w:type="dxa"/>
          </w:tblCellMar>
        </w:tblPrEx>
        <w:trPr>
          <w:trHeight w:val="339" w:hRule="atLeast"/>
        </w:trPr>
        <w:tc>
          <w:tcPr>
            <w:tcW w:w="1358" w:type="dxa"/>
            <w:gridSpan w:val="3"/>
            <w:vMerge w:val="continue"/>
            <w:tcBorders>
              <w:top w:val="nil"/>
              <w:left w:val="single" w:color="000000" w:sz="4" w:space="0"/>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4975"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2375"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1691"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3205"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39" w:hRule="atLeast"/>
        </w:trPr>
        <w:tc>
          <w:tcPr>
            <w:tcW w:w="1358" w:type="dxa"/>
            <w:gridSpan w:val="3"/>
            <w:vMerge w:val="continue"/>
            <w:tcBorders>
              <w:top w:val="nil"/>
              <w:left w:val="single" w:color="000000" w:sz="4" w:space="0"/>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4975"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2375"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1691"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3205"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34" w:hRule="atLeast"/>
        </w:trPr>
        <w:tc>
          <w:tcPr>
            <w:tcW w:w="6333" w:type="dxa"/>
            <w:gridSpan w:val="5"/>
            <w:tcBorders>
              <w:top w:val="nil"/>
              <w:left w:val="single" w:color="000000" w:sz="4" w:space="0"/>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2375" w:type="dxa"/>
            <w:gridSpan w:val="2"/>
            <w:tcBorders>
              <w:top w:val="nil"/>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1691" w:type="dxa"/>
            <w:gridSpan w:val="2"/>
            <w:tcBorders>
              <w:top w:val="nil"/>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3205" w:type="dxa"/>
            <w:gridSpan w:val="2"/>
            <w:tcBorders>
              <w:top w:val="nil"/>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r>
      <w:tr>
        <w:tblPrEx>
          <w:tblCellMar>
            <w:top w:w="0" w:type="dxa"/>
            <w:left w:w="108" w:type="dxa"/>
            <w:bottom w:w="0" w:type="dxa"/>
            <w:right w:w="108" w:type="dxa"/>
          </w:tblCellMar>
        </w:tblPrEx>
        <w:trPr>
          <w:trHeight w:val="334" w:hRule="atLeast"/>
        </w:trPr>
        <w:tc>
          <w:tcPr>
            <w:tcW w:w="6333" w:type="dxa"/>
            <w:gridSpan w:val="5"/>
            <w:tcBorders>
              <w:top w:val="nil"/>
              <w:left w:val="single" w:color="000000" w:sz="4" w:space="0"/>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合计</w:t>
            </w:r>
          </w:p>
        </w:tc>
        <w:tc>
          <w:tcPr>
            <w:tcW w:w="2375" w:type="dxa"/>
            <w:gridSpan w:val="2"/>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1,624.43</w:t>
            </w:r>
          </w:p>
        </w:tc>
        <w:tc>
          <w:tcPr>
            <w:tcW w:w="1691" w:type="dxa"/>
            <w:gridSpan w:val="2"/>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1,034.56</w:t>
            </w:r>
          </w:p>
        </w:tc>
        <w:tc>
          <w:tcPr>
            <w:tcW w:w="3205" w:type="dxa"/>
            <w:gridSpan w:val="2"/>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589.87</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社会保障和就业支出</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102.97</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102.97</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行政事业单位养老支出</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102.97</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102.97</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2080502</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事业单位离退休</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12.21</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12.21</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2080505</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机关事业单位基本养老保险缴费支出</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90.76</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90.76</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卫生健康支出</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21011</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行政事业单位医疗</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2101102</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事业单位医疗</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36.92</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节能环保支出</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1,391.79</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589.87</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21101</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环境保护管理事务</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2110101</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行政运行</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801.92</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21102</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环境监测与监察</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2110299</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其他环境监测与监察支出</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18.00</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污染防治</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206.18</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206.18</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2110307</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土壤</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176.18</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176.18</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2110399</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其他污染防治支出</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30.00</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30.00</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21111</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污染减排</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365.69</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365.69</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2111101</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生态环境监测与信息</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365.69</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365.69</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住房保障支出</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22102</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住房改革支出</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58"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2210201</w:t>
            </w:r>
          </w:p>
        </w:tc>
        <w:tc>
          <w:tcPr>
            <w:tcW w:w="4975"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住房公积金</w:t>
            </w:r>
          </w:p>
        </w:tc>
        <w:tc>
          <w:tcPr>
            <w:tcW w:w="237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1691"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92.75</w:t>
            </w:r>
          </w:p>
        </w:tc>
        <w:tc>
          <w:tcPr>
            <w:tcW w:w="3205"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34" w:hRule="atLeast"/>
        </w:trPr>
        <w:tc>
          <w:tcPr>
            <w:tcW w:w="13604" w:type="dxa"/>
            <w:gridSpan w:val="11"/>
            <w:tcBorders>
              <w:top w:val="nil"/>
              <w:left w:val="nil"/>
              <w:bottom w:val="nil"/>
              <w:right w:val="nil"/>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注：本表反映部门本年度一般公共预算财政拨款支出情况。</w:t>
            </w:r>
          </w:p>
        </w:tc>
      </w:tr>
    </w:tbl>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tbl>
      <w:tblPr>
        <w:tblStyle w:val="6"/>
        <w:tblW w:w="13574" w:type="dxa"/>
        <w:jc w:val="center"/>
        <w:tblLayout w:type="fixed"/>
        <w:tblCellMar>
          <w:top w:w="0" w:type="dxa"/>
          <w:left w:w="108" w:type="dxa"/>
          <w:bottom w:w="0" w:type="dxa"/>
          <w:right w:w="108" w:type="dxa"/>
        </w:tblCellMar>
      </w:tblPr>
      <w:tblGrid>
        <w:gridCol w:w="1074"/>
        <w:gridCol w:w="1471"/>
        <w:gridCol w:w="729"/>
        <w:gridCol w:w="1425"/>
        <w:gridCol w:w="206"/>
        <w:gridCol w:w="894"/>
        <w:gridCol w:w="2225"/>
        <w:gridCol w:w="1250"/>
        <w:gridCol w:w="1080"/>
        <w:gridCol w:w="2222"/>
        <w:gridCol w:w="998"/>
      </w:tblGrid>
      <w:tr>
        <w:tblPrEx>
          <w:tblCellMar>
            <w:top w:w="0" w:type="dxa"/>
            <w:left w:w="108" w:type="dxa"/>
            <w:bottom w:w="0" w:type="dxa"/>
            <w:right w:w="108" w:type="dxa"/>
          </w:tblCellMar>
        </w:tblPrEx>
        <w:trPr>
          <w:trHeight w:val="390" w:hRule="atLeast"/>
          <w:jc w:val="center"/>
        </w:trPr>
        <w:tc>
          <w:tcPr>
            <w:tcW w:w="13574" w:type="dxa"/>
            <w:gridSpan w:val="11"/>
            <w:tcBorders>
              <w:top w:val="nil"/>
              <w:left w:val="nil"/>
              <w:bottom w:val="nil"/>
              <w:right w:val="nil"/>
            </w:tcBorders>
            <w:shd w:val="clear" w:color="auto" w:fill="auto"/>
            <w:noWrap/>
            <w:vAlign w:val="bottom"/>
          </w:tcPr>
          <w:p>
            <w:pPr>
              <w:widowControl/>
              <w:jc w:val="center"/>
              <w:rPr>
                <w:rFonts w:hint="eastAsia" w:ascii="宋体" w:hAnsi="宋体" w:eastAsia="宋体" w:cs="Arial"/>
                <w:color w:val="000000"/>
                <w:kern w:val="0"/>
                <w:sz w:val="30"/>
                <w:szCs w:val="30"/>
              </w:rPr>
            </w:pPr>
          </w:p>
          <w:p>
            <w:pPr>
              <w:widowControl/>
              <w:jc w:val="center"/>
              <w:rPr>
                <w:rFonts w:hint="eastAsia" w:ascii="宋体" w:hAnsi="宋体" w:eastAsia="宋体" w:cs="Arial"/>
                <w:color w:val="000000"/>
                <w:kern w:val="0"/>
                <w:sz w:val="30"/>
                <w:szCs w:val="30"/>
              </w:rPr>
            </w:pPr>
          </w:p>
          <w:p>
            <w:pPr>
              <w:widowControl/>
              <w:jc w:val="center"/>
              <w:rPr>
                <w:rFonts w:hint="eastAsia" w:ascii="宋体" w:hAnsi="宋体" w:eastAsia="宋体" w:cs="Arial"/>
                <w:color w:val="000000"/>
                <w:kern w:val="0"/>
                <w:sz w:val="30"/>
                <w:szCs w:val="30"/>
              </w:rPr>
            </w:pPr>
          </w:p>
          <w:p>
            <w:pPr>
              <w:widowControl/>
              <w:jc w:val="center"/>
              <w:rPr>
                <w:rFonts w:ascii="宋体" w:hAnsi="宋体" w:eastAsia="宋体" w:cs="Arial"/>
                <w:color w:val="000000"/>
                <w:kern w:val="0"/>
                <w:sz w:val="30"/>
                <w:szCs w:val="30"/>
              </w:rPr>
            </w:pPr>
            <w:r>
              <w:rPr>
                <w:rFonts w:hint="eastAsia" w:ascii="宋体" w:hAnsi="宋体" w:eastAsia="宋体" w:cs="Arial"/>
                <w:color w:val="000000"/>
                <w:kern w:val="0"/>
                <w:sz w:val="30"/>
                <w:szCs w:val="30"/>
              </w:rPr>
              <w:t>一般公共预算财政拨款基本支出决算明细表</w:t>
            </w:r>
          </w:p>
        </w:tc>
      </w:tr>
      <w:tr>
        <w:tblPrEx>
          <w:tblCellMar>
            <w:top w:w="0" w:type="dxa"/>
            <w:left w:w="108" w:type="dxa"/>
            <w:bottom w:w="0" w:type="dxa"/>
            <w:right w:w="108" w:type="dxa"/>
          </w:tblCellMar>
        </w:tblPrEx>
        <w:trPr>
          <w:trHeight w:val="255" w:hRule="atLeast"/>
          <w:jc w:val="center"/>
        </w:trPr>
        <w:tc>
          <w:tcPr>
            <w:tcW w:w="2545"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2360" w:type="dxa"/>
            <w:gridSpan w:val="3"/>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8669" w:type="dxa"/>
            <w:gridSpan w:val="6"/>
            <w:tcBorders>
              <w:top w:val="nil"/>
              <w:left w:val="nil"/>
              <w:bottom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公开06表</w:t>
            </w:r>
          </w:p>
        </w:tc>
      </w:tr>
      <w:tr>
        <w:tblPrEx>
          <w:tblCellMar>
            <w:top w:w="0" w:type="dxa"/>
            <w:left w:w="108" w:type="dxa"/>
            <w:bottom w:w="0" w:type="dxa"/>
            <w:right w:w="108" w:type="dxa"/>
          </w:tblCellMar>
        </w:tblPrEx>
        <w:trPr>
          <w:trHeight w:val="255" w:hRule="atLeast"/>
          <w:jc w:val="center"/>
        </w:trPr>
        <w:tc>
          <w:tcPr>
            <w:tcW w:w="13574" w:type="dxa"/>
            <w:gridSpan w:val="11"/>
            <w:tcBorders>
              <w:top w:val="nil"/>
              <w:left w:val="nil"/>
              <w:bottom w:val="nil"/>
            </w:tcBorders>
            <w:shd w:val="clear" w:color="auto" w:fill="auto"/>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部门：湖南省岳阳生态环境监测中心                </w:t>
            </w:r>
            <w:r>
              <w:rPr>
                <w:rFonts w:hint="eastAsia" w:ascii="宋体" w:hAnsi="宋体" w:eastAsia="宋体" w:cs="Arial"/>
                <w:color w:val="000000"/>
                <w:kern w:val="0"/>
                <w:sz w:val="20"/>
                <w:szCs w:val="20"/>
                <w:lang w:val="en-US" w:eastAsia="zh-CN"/>
              </w:rPr>
              <w:t xml:space="preserve">           </w:t>
            </w:r>
            <w:r>
              <w:rPr>
                <w:rFonts w:hint="eastAsia" w:ascii="宋体" w:hAnsi="宋体" w:eastAsia="宋体" w:cs="Arial"/>
                <w:color w:val="000000"/>
                <w:kern w:val="0"/>
                <w:sz w:val="20"/>
                <w:szCs w:val="20"/>
              </w:rPr>
              <w:t xml:space="preserve"> </w:t>
            </w:r>
            <w:r>
              <w:rPr>
                <w:rFonts w:hint="eastAsia" w:ascii="宋体" w:hAnsi="宋体" w:eastAsia="宋体" w:cs="Arial"/>
                <w:color w:val="000000"/>
                <w:kern w:val="0"/>
                <w:sz w:val="20"/>
                <w:szCs w:val="20"/>
                <w:lang w:val="en-US" w:eastAsia="zh-CN"/>
              </w:rPr>
              <w:t>2021年度</w:t>
            </w:r>
            <w:r>
              <w:rPr>
                <w:rFonts w:hint="eastAsia" w:ascii="宋体" w:hAnsi="宋体" w:eastAsia="宋体" w:cs="Arial"/>
                <w:color w:val="000000"/>
                <w:kern w:val="0"/>
                <w:sz w:val="20"/>
                <w:szCs w:val="20"/>
              </w:rPr>
              <w:t xml:space="preserve">                            </w:t>
            </w:r>
            <w:r>
              <w:rPr>
                <w:rFonts w:hint="eastAsia" w:ascii="宋体" w:hAnsi="宋体" w:eastAsia="宋体" w:cs="Arial"/>
                <w:color w:val="000000"/>
                <w:kern w:val="0"/>
                <w:sz w:val="20"/>
                <w:szCs w:val="20"/>
                <w:lang w:val="en-US" w:eastAsia="zh-CN"/>
              </w:rPr>
              <w:t xml:space="preserve"> </w:t>
            </w:r>
            <w:r>
              <w:rPr>
                <w:rFonts w:hint="eastAsia" w:ascii="宋体" w:hAnsi="宋体" w:eastAsia="宋体" w:cs="Arial"/>
                <w:color w:val="000000"/>
                <w:kern w:val="0"/>
                <w:sz w:val="20"/>
                <w:szCs w:val="20"/>
              </w:rPr>
              <w:t xml:space="preserve">         </w:t>
            </w:r>
            <w:r>
              <w:rPr>
                <w:rFonts w:hint="eastAsia" w:ascii="宋体" w:hAnsi="宋体" w:eastAsia="宋体" w:cs="Arial"/>
                <w:color w:val="000000"/>
                <w:kern w:val="0"/>
                <w:sz w:val="20"/>
                <w:szCs w:val="20"/>
                <w:lang w:val="en-US" w:eastAsia="zh-CN"/>
              </w:rPr>
              <w:t xml:space="preserve">             </w:t>
            </w: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08" w:hRule="atLeast"/>
          <w:jc w:val="center"/>
        </w:trPr>
        <w:tc>
          <w:tcPr>
            <w:tcW w:w="4699" w:type="dxa"/>
            <w:gridSpan w:val="4"/>
            <w:tcBorders>
              <w:top w:val="single" w:color="000000" w:sz="4" w:space="0"/>
              <w:left w:val="single" w:color="000000" w:sz="4" w:space="0"/>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人员经费</w:t>
            </w:r>
          </w:p>
        </w:tc>
        <w:tc>
          <w:tcPr>
            <w:tcW w:w="8875" w:type="dxa"/>
            <w:gridSpan w:val="7"/>
            <w:tcBorders>
              <w:top w:val="single" w:color="000000" w:sz="4" w:space="0"/>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公用经费</w:t>
            </w:r>
          </w:p>
        </w:tc>
      </w:tr>
      <w:tr>
        <w:tblPrEx>
          <w:tblCellMar>
            <w:top w:w="0" w:type="dxa"/>
            <w:left w:w="108" w:type="dxa"/>
            <w:bottom w:w="0" w:type="dxa"/>
            <w:right w:w="108" w:type="dxa"/>
          </w:tblCellMar>
        </w:tblPrEx>
        <w:trPr>
          <w:trHeight w:val="312" w:hRule="atLeast"/>
          <w:jc w:val="center"/>
        </w:trPr>
        <w:tc>
          <w:tcPr>
            <w:tcW w:w="1074" w:type="dxa"/>
            <w:vMerge w:val="restart"/>
            <w:tcBorders>
              <w:top w:val="nil"/>
              <w:left w:val="single" w:color="000000" w:sz="4" w:space="0"/>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科目编码</w:t>
            </w:r>
          </w:p>
        </w:tc>
        <w:tc>
          <w:tcPr>
            <w:tcW w:w="2200" w:type="dxa"/>
            <w:gridSpan w:val="2"/>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1425" w:type="dxa"/>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决算数</w:t>
            </w:r>
          </w:p>
        </w:tc>
        <w:tc>
          <w:tcPr>
            <w:tcW w:w="1100" w:type="dxa"/>
            <w:gridSpan w:val="2"/>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w:t>
            </w:r>
          </w:p>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编码</w:t>
            </w:r>
          </w:p>
        </w:tc>
        <w:tc>
          <w:tcPr>
            <w:tcW w:w="2225" w:type="dxa"/>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1250" w:type="dxa"/>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决算数</w:t>
            </w:r>
          </w:p>
        </w:tc>
        <w:tc>
          <w:tcPr>
            <w:tcW w:w="1080" w:type="dxa"/>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w:t>
            </w:r>
          </w:p>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编码</w:t>
            </w:r>
          </w:p>
        </w:tc>
        <w:tc>
          <w:tcPr>
            <w:tcW w:w="2222" w:type="dxa"/>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科目名称</w:t>
            </w:r>
          </w:p>
        </w:tc>
        <w:tc>
          <w:tcPr>
            <w:tcW w:w="998" w:type="dxa"/>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决算数</w:t>
            </w:r>
          </w:p>
        </w:tc>
      </w:tr>
      <w:tr>
        <w:tblPrEx>
          <w:tblCellMar>
            <w:top w:w="0" w:type="dxa"/>
            <w:left w:w="108" w:type="dxa"/>
            <w:bottom w:w="0" w:type="dxa"/>
            <w:right w:w="108" w:type="dxa"/>
          </w:tblCellMar>
        </w:tblPrEx>
        <w:trPr>
          <w:trHeight w:val="312" w:hRule="atLeast"/>
          <w:jc w:val="center"/>
        </w:trPr>
        <w:tc>
          <w:tcPr>
            <w:tcW w:w="1074" w:type="dxa"/>
            <w:vMerge w:val="continue"/>
            <w:tcBorders>
              <w:top w:val="nil"/>
              <w:left w:val="single" w:color="000000" w:sz="4" w:space="0"/>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0"/>
                <w:szCs w:val="20"/>
              </w:rPr>
            </w:pPr>
          </w:p>
        </w:tc>
        <w:tc>
          <w:tcPr>
            <w:tcW w:w="2200"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0"/>
                <w:szCs w:val="20"/>
              </w:rPr>
            </w:pPr>
          </w:p>
        </w:tc>
        <w:tc>
          <w:tcPr>
            <w:tcW w:w="1425"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0"/>
                <w:szCs w:val="20"/>
              </w:rPr>
            </w:pPr>
          </w:p>
        </w:tc>
        <w:tc>
          <w:tcPr>
            <w:tcW w:w="1100" w:type="dxa"/>
            <w:gridSpan w:val="2"/>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0"/>
                <w:szCs w:val="20"/>
              </w:rPr>
            </w:pPr>
          </w:p>
        </w:tc>
        <w:tc>
          <w:tcPr>
            <w:tcW w:w="2225"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0"/>
                <w:szCs w:val="20"/>
              </w:rPr>
            </w:pPr>
          </w:p>
        </w:tc>
        <w:tc>
          <w:tcPr>
            <w:tcW w:w="1250"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0"/>
                <w:szCs w:val="20"/>
              </w:rPr>
            </w:pPr>
          </w:p>
        </w:tc>
        <w:tc>
          <w:tcPr>
            <w:tcW w:w="1080"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0"/>
                <w:szCs w:val="20"/>
              </w:rPr>
            </w:pPr>
          </w:p>
        </w:tc>
        <w:tc>
          <w:tcPr>
            <w:tcW w:w="2222"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0"/>
                <w:szCs w:val="20"/>
              </w:rPr>
            </w:pPr>
          </w:p>
        </w:tc>
        <w:tc>
          <w:tcPr>
            <w:tcW w:w="998"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0"/>
                <w:szCs w:val="20"/>
              </w:rPr>
            </w:pP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工资福利支出</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833.10</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商品和服务支出</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180.10</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307</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债务利息及费用支出</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30101</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基本工资</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294.95</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30201</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办公费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5.02</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30701</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国内债务付息</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30102</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津贴补贴</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61.03</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30202</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印刷费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30702</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国外债务付息</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30103</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奖金</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30203</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咨询费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资本性支出</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30106</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伙食补助费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43.18</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30204</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手续费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31001</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房屋建筑物购建</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30107</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绩效工资</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182.45</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30205</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水费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3.61</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31002</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办公设备购置</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30108</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机关事业单位基本养老保险缴费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84.51</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30206</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电费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32.37</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31003</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专用设备购置</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30109</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职业年金缴费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30207</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邮电费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3.50</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31005</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基础设施建设</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30110</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职工基本医疗保险缴费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48.90</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30208</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取暖费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31006</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大型修缮</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30111</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公务员医疗补助缴费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30209</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物业管理费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24.03</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31007</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信息网络及软件购置更新</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30112</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其他社会保障缴费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2.29</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30211</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差旅费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4.88</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31008</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物资储备</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30113</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住房公积金</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92.75</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30212</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因公出国（境）费用</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31009</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土地补偿</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30114</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医疗费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0.37</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30213</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维修（护）费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13.75</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31010</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安置补助</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30199</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其他工资福利支出</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22.67</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30214</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租赁费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31011</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地上附着物和青苗补偿</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对个人和家庭的补助</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19.79</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30215</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会议费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31012</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拆迁补偿</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30301</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离休费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10.30</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30216</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培训费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0.50</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31013</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公务用车购置</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1.57</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30302</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退休费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30217</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公务接待费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4.89</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31019</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其他交通工具购置</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30303</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退职（役）费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30218</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专用材料费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31021</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文物和陈列品购置</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30304</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抚恤金</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8.41</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30224</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被装购置费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31022</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无形资产购置</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30305</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生活补助</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30225</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专用燃料费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31099</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其他资本性支出</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30306</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救济费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30226</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劳务费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14.41</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399</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其他支出</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30307</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医疗费补助</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30227</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委托业务费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39906</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赠与</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30308</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助学金</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30228</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工会经费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22.28</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39907</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国家赔偿费用支出</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30309</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奖励金</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30229</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福利费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23.30</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39908</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对民间非营利组织和群众性自治组织补贴</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30310</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个人农业生产补贴</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30231</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公务用车运行维护费</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19.54</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39999</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其他支出</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30311</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代缴社会保险费</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30239</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其他交通费用</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2.61</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30399</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spacing w:val="-8"/>
                <w:kern w:val="0"/>
                <w:sz w:val="20"/>
                <w:szCs w:val="20"/>
              </w:rPr>
            </w:pPr>
            <w:r>
              <w:rPr>
                <w:rFonts w:hint="eastAsia" w:ascii="宋体" w:hAnsi="宋体" w:eastAsia="宋体" w:cs="Arial"/>
                <w:color w:val="000000"/>
                <w:spacing w:val="-8"/>
                <w:kern w:val="0"/>
                <w:sz w:val="20"/>
                <w:szCs w:val="20"/>
              </w:rPr>
              <w:t>其他对个人和家庭的补助</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1.08</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30240</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税金及附加费用</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1074" w:type="dxa"/>
            <w:tcBorders>
              <w:top w:val="nil"/>
              <w:left w:val="single" w:color="000000" w:sz="4" w:space="0"/>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2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1100" w:type="dxa"/>
            <w:gridSpan w:val="2"/>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30299</w:t>
            </w:r>
          </w:p>
        </w:tc>
        <w:tc>
          <w:tcPr>
            <w:tcW w:w="2225"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其他商品和服务支出</w:t>
            </w:r>
          </w:p>
        </w:tc>
        <w:tc>
          <w:tcPr>
            <w:tcW w:w="1250"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5.42</w:t>
            </w:r>
          </w:p>
        </w:tc>
        <w:tc>
          <w:tcPr>
            <w:tcW w:w="1080"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c>
          <w:tcPr>
            <w:tcW w:w="2222" w:type="dxa"/>
            <w:tcBorders>
              <w:top w:val="nil"/>
              <w:left w:val="nil"/>
              <w:bottom w:val="single" w:color="000000" w:sz="4" w:space="0"/>
              <w:right w:val="single" w:color="000000" w:sz="4" w:space="0"/>
            </w:tcBorders>
            <w:shd w:val="clear" w:color="FFFFFF" w:fill="auto"/>
            <w:noWrap/>
            <w:vAlign w:val="center"/>
          </w:tcPr>
          <w:p>
            <w:pPr>
              <w:widowControl/>
              <w:jc w:val="left"/>
              <w:rPr>
                <w:rFonts w:ascii="宋体" w:hAnsi="宋体" w:eastAsia="宋体" w:cs="Arial"/>
                <w:color w:val="000000"/>
                <w:kern w:val="0"/>
                <w:sz w:val="20"/>
                <w:szCs w:val="20"/>
              </w:rPr>
            </w:pP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　</w:t>
            </w:r>
          </w:p>
        </w:tc>
      </w:tr>
      <w:tr>
        <w:tblPrEx>
          <w:tblCellMar>
            <w:top w:w="0" w:type="dxa"/>
            <w:left w:w="108" w:type="dxa"/>
            <w:bottom w:w="0" w:type="dxa"/>
            <w:right w:w="108" w:type="dxa"/>
          </w:tblCellMar>
        </w:tblPrEx>
        <w:trPr>
          <w:trHeight w:val="308" w:hRule="atLeast"/>
          <w:jc w:val="center"/>
        </w:trPr>
        <w:tc>
          <w:tcPr>
            <w:tcW w:w="3274" w:type="dxa"/>
            <w:gridSpan w:val="3"/>
            <w:tcBorders>
              <w:top w:val="nil"/>
              <w:left w:val="single" w:color="000000" w:sz="4" w:space="0"/>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人员经费合计</w:t>
            </w:r>
          </w:p>
        </w:tc>
        <w:tc>
          <w:tcPr>
            <w:tcW w:w="142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852.89</w:t>
            </w:r>
          </w:p>
        </w:tc>
        <w:tc>
          <w:tcPr>
            <w:tcW w:w="7877" w:type="dxa"/>
            <w:gridSpan w:val="6"/>
            <w:tcBorders>
              <w:top w:val="nil"/>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公用经费合计</w:t>
            </w:r>
          </w:p>
        </w:tc>
        <w:tc>
          <w:tcPr>
            <w:tcW w:w="998"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181.67</w:t>
            </w:r>
          </w:p>
        </w:tc>
      </w:tr>
      <w:tr>
        <w:tblPrEx>
          <w:tblCellMar>
            <w:top w:w="0" w:type="dxa"/>
            <w:left w:w="108" w:type="dxa"/>
            <w:bottom w:w="0" w:type="dxa"/>
            <w:right w:w="108" w:type="dxa"/>
          </w:tblCellMar>
        </w:tblPrEx>
        <w:trPr>
          <w:trHeight w:val="308" w:hRule="atLeast"/>
          <w:jc w:val="center"/>
        </w:trPr>
        <w:tc>
          <w:tcPr>
            <w:tcW w:w="13574" w:type="dxa"/>
            <w:gridSpan w:val="11"/>
            <w:tcBorders>
              <w:top w:val="nil"/>
              <w:left w:val="nil"/>
              <w:bottom w:val="nil"/>
              <w:right w:val="nil"/>
            </w:tcBorders>
            <w:shd w:val="clear" w:color="FFFFFF" w:fill="auto"/>
            <w:noWrap/>
            <w:vAlign w:val="center"/>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注：本表反映部门本年度一般公共预算财政拨款基本支出明细情况。</w:t>
            </w:r>
          </w:p>
        </w:tc>
      </w:tr>
    </w:tbl>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tbl>
      <w:tblPr>
        <w:tblStyle w:val="6"/>
        <w:tblW w:w="0" w:type="auto"/>
        <w:tblInd w:w="89" w:type="dxa"/>
        <w:tblLayout w:type="fixed"/>
        <w:tblCellMar>
          <w:top w:w="0" w:type="dxa"/>
          <w:left w:w="108" w:type="dxa"/>
          <w:bottom w:w="0" w:type="dxa"/>
          <w:right w:w="108" w:type="dxa"/>
        </w:tblCellMar>
      </w:tblPr>
      <w:tblGrid>
        <w:gridCol w:w="1106"/>
        <w:gridCol w:w="1020"/>
        <w:gridCol w:w="870"/>
        <w:gridCol w:w="1336"/>
        <w:gridCol w:w="1275"/>
        <w:gridCol w:w="1342"/>
        <w:gridCol w:w="1025"/>
        <w:gridCol w:w="1133"/>
        <w:gridCol w:w="1225"/>
        <w:gridCol w:w="1375"/>
        <w:gridCol w:w="1292"/>
        <w:gridCol w:w="1342"/>
      </w:tblGrid>
      <w:tr>
        <w:tblPrEx>
          <w:tblCellMar>
            <w:top w:w="0" w:type="dxa"/>
            <w:left w:w="108" w:type="dxa"/>
            <w:bottom w:w="0" w:type="dxa"/>
            <w:right w:w="108" w:type="dxa"/>
          </w:tblCellMar>
        </w:tblPrEx>
        <w:trPr>
          <w:trHeight w:val="390" w:hRule="atLeast"/>
        </w:trPr>
        <w:tc>
          <w:tcPr>
            <w:tcW w:w="14341" w:type="dxa"/>
            <w:gridSpan w:val="12"/>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30"/>
                <w:szCs w:val="30"/>
              </w:rPr>
            </w:pPr>
            <w:r>
              <w:rPr>
                <w:rFonts w:hint="eastAsia" w:ascii="宋体" w:hAnsi="宋体" w:eastAsia="宋体" w:cs="Arial"/>
                <w:color w:val="000000"/>
                <w:kern w:val="0"/>
                <w:sz w:val="30"/>
                <w:szCs w:val="30"/>
              </w:rPr>
              <w:t>一般公共预算财政拨款“三公”经费支出决算表</w:t>
            </w:r>
          </w:p>
        </w:tc>
      </w:tr>
      <w:tr>
        <w:tblPrEx>
          <w:tblCellMar>
            <w:top w:w="0" w:type="dxa"/>
            <w:left w:w="108" w:type="dxa"/>
            <w:bottom w:w="0" w:type="dxa"/>
            <w:right w:w="108" w:type="dxa"/>
          </w:tblCellMar>
        </w:tblPrEx>
        <w:trPr>
          <w:trHeight w:val="255" w:hRule="atLeast"/>
        </w:trPr>
        <w:tc>
          <w:tcPr>
            <w:tcW w:w="14341" w:type="dxa"/>
            <w:gridSpan w:val="12"/>
            <w:tcBorders>
              <w:top w:val="nil"/>
              <w:left w:val="nil"/>
              <w:bottom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公开07表</w:t>
            </w:r>
          </w:p>
        </w:tc>
      </w:tr>
      <w:tr>
        <w:tblPrEx>
          <w:tblCellMar>
            <w:top w:w="0" w:type="dxa"/>
            <w:left w:w="108" w:type="dxa"/>
            <w:bottom w:w="0" w:type="dxa"/>
            <w:right w:w="108" w:type="dxa"/>
          </w:tblCellMar>
        </w:tblPrEx>
        <w:trPr>
          <w:trHeight w:val="255" w:hRule="atLeast"/>
        </w:trPr>
        <w:tc>
          <w:tcPr>
            <w:tcW w:w="14341" w:type="dxa"/>
            <w:gridSpan w:val="12"/>
            <w:tcBorders>
              <w:top w:val="nil"/>
              <w:left w:val="nil"/>
              <w:bottom w:val="nil"/>
              <w:right w:val="nil"/>
            </w:tcBorders>
            <w:shd w:val="clear" w:color="auto" w:fill="auto"/>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部门：湖南省岳阳生态环境监测中心                                     </w:t>
            </w:r>
            <w:r>
              <w:rPr>
                <w:rFonts w:hint="eastAsia" w:ascii="宋体" w:hAnsi="宋体" w:eastAsia="宋体" w:cs="Arial"/>
                <w:color w:val="000000"/>
                <w:kern w:val="0"/>
                <w:sz w:val="20"/>
                <w:szCs w:val="20"/>
                <w:lang w:val="en-US" w:eastAsia="zh-CN"/>
              </w:rPr>
              <w:t xml:space="preserve">2021年度                            </w:t>
            </w:r>
            <w:r>
              <w:rPr>
                <w:rFonts w:hint="eastAsia" w:ascii="宋体" w:hAnsi="宋体" w:eastAsia="宋体" w:cs="Arial"/>
                <w:color w:val="000000"/>
                <w:kern w:val="0"/>
                <w:sz w:val="20"/>
                <w:szCs w:val="20"/>
              </w:rPr>
              <w:t xml:space="preserve">                     金额单位：万元</w:t>
            </w:r>
          </w:p>
        </w:tc>
      </w:tr>
      <w:tr>
        <w:tblPrEx>
          <w:tblCellMar>
            <w:top w:w="0" w:type="dxa"/>
            <w:left w:w="108" w:type="dxa"/>
            <w:bottom w:w="0" w:type="dxa"/>
            <w:right w:w="108" w:type="dxa"/>
          </w:tblCellMar>
        </w:tblPrEx>
        <w:trPr>
          <w:trHeight w:val="308" w:hRule="atLeast"/>
        </w:trPr>
        <w:tc>
          <w:tcPr>
            <w:tcW w:w="69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预算数</w:t>
            </w:r>
          </w:p>
        </w:tc>
        <w:tc>
          <w:tcPr>
            <w:tcW w:w="7392"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决算数</w:t>
            </w:r>
          </w:p>
        </w:tc>
      </w:tr>
      <w:tr>
        <w:tblPrEx>
          <w:tblCellMar>
            <w:top w:w="0" w:type="dxa"/>
            <w:left w:w="108" w:type="dxa"/>
            <w:bottom w:w="0" w:type="dxa"/>
            <w:right w:w="108" w:type="dxa"/>
          </w:tblCellMar>
        </w:tblPrEx>
        <w:trPr>
          <w:trHeight w:val="308" w:hRule="atLeast"/>
        </w:trPr>
        <w:tc>
          <w:tcPr>
            <w:tcW w:w="110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合计</w:t>
            </w:r>
          </w:p>
        </w:tc>
        <w:tc>
          <w:tcPr>
            <w:tcW w:w="1020"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因公出国（境）费</w:t>
            </w:r>
          </w:p>
        </w:tc>
        <w:tc>
          <w:tcPr>
            <w:tcW w:w="3481"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公务用车购置及运行费</w:t>
            </w:r>
          </w:p>
        </w:tc>
        <w:tc>
          <w:tcPr>
            <w:tcW w:w="1342"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公务接待费</w:t>
            </w:r>
          </w:p>
        </w:tc>
        <w:tc>
          <w:tcPr>
            <w:tcW w:w="1025"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合计</w:t>
            </w:r>
          </w:p>
        </w:tc>
        <w:tc>
          <w:tcPr>
            <w:tcW w:w="1133"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因公出国（境）费</w:t>
            </w:r>
          </w:p>
        </w:tc>
        <w:tc>
          <w:tcPr>
            <w:tcW w:w="3892" w:type="dxa"/>
            <w:gridSpan w:val="3"/>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公务用车购置及运行费</w:t>
            </w:r>
          </w:p>
        </w:tc>
        <w:tc>
          <w:tcPr>
            <w:tcW w:w="1342" w:type="dxa"/>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公务接待费</w:t>
            </w:r>
          </w:p>
        </w:tc>
      </w:tr>
      <w:tr>
        <w:tblPrEx>
          <w:tblCellMar>
            <w:top w:w="0" w:type="dxa"/>
            <w:left w:w="108" w:type="dxa"/>
            <w:bottom w:w="0" w:type="dxa"/>
            <w:right w:w="108" w:type="dxa"/>
          </w:tblCellMar>
        </w:tblPrEx>
        <w:trPr>
          <w:trHeight w:val="816" w:hRule="atLeast"/>
        </w:trPr>
        <w:tc>
          <w:tcPr>
            <w:tcW w:w="1106" w:type="dxa"/>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020" w:type="dxa"/>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87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小计</w:t>
            </w:r>
          </w:p>
        </w:tc>
        <w:tc>
          <w:tcPr>
            <w:tcW w:w="133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公务用车购置费</w:t>
            </w:r>
          </w:p>
        </w:tc>
        <w:tc>
          <w:tcPr>
            <w:tcW w:w="12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公务用车运行费</w:t>
            </w:r>
          </w:p>
        </w:tc>
        <w:tc>
          <w:tcPr>
            <w:tcW w:w="1342" w:type="dxa"/>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025" w:type="dxa"/>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133" w:type="dxa"/>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2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小计</w:t>
            </w:r>
          </w:p>
        </w:tc>
        <w:tc>
          <w:tcPr>
            <w:tcW w:w="13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公务用车购置费</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公务用车运行费</w:t>
            </w:r>
          </w:p>
        </w:tc>
        <w:tc>
          <w:tcPr>
            <w:tcW w:w="1342" w:type="dxa"/>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595" w:hRule="atLeast"/>
        </w:trPr>
        <w:tc>
          <w:tcPr>
            <w:tcW w:w="1106" w:type="dxa"/>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102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870"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c>
          <w:tcPr>
            <w:tcW w:w="1336"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w:t>
            </w:r>
          </w:p>
        </w:tc>
        <w:tc>
          <w:tcPr>
            <w:tcW w:w="12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w:t>
            </w:r>
          </w:p>
        </w:tc>
        <w:tc>
          <w:tcPr>
            <w:tcW w:w="134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w:t>
            </w:r>
          </w:p>
        </w:tc>
        <w:tc>
          <w:tcPr>
            <w:tcW w:w="10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7</w:t>
            </w:r>
          </w:p>
        </w:tc>
        <w:tc>
          <w:tcPr>
            <w:tcW w:w="1133"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8</w:t>
            </w:r>
          </w:p>
        </w:tc>
        <w:tc>
          <w:tcPr>
            <w:tcW w:w="122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9</w:t>
            </w:r>
          </w:p>
        </w:tc>
        <w:tc>
          <w:tcPr>
            <w:tcW w:w="1375"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10</w:t>
            </w:r>
          </w:p>
        </w:tc>
        <w:tc>
          <w:tcPr>
            <w:tcW w:w="129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11</w:t>
            </w:r>
          </w:p>
        </w:tc>
        <w:tc>
          <w:tcPr>
            <w:tcW w:w="1342" w:type="dxa"/>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12</w:t>
            </w:r>
          </w:p>
        </w:tc>
      </w:tr>
      <w:tr>
        <w:tblPrEx>
          <w:tblCellMar>
            <w:top w:w="0" w:type="dxa"/>
            <w:left w:w="108" w:type="dxa"/>
            <w:bottom w:w="0" w:type="dxa"/>
            <w:right w:w="108" w:type="dxa"/>
          </w:tblCellMar>
        </w:tblPrEx>
        <w:trPr>
          <w:trHeight w:val="703" w:hRule="atLeast"/>
        </w:trPr>
        <w:tc>
          <w:tcPr>
            <w:tcW w:w="1106" w:type="dxa"/>
            <w:tcBorders>
              <w:top w:val="nil"/>
              <w:left w:val="single" w:color="000000" w:sz="4" w:space="0"/>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44.00</w:t>
            </w:r>
          </w:p>
        </w:tc>
        <w:tc>
          <w:tcPr>
            <w:tcW w:w="102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870"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39.11</w:t>
            </w:r>
          </w:p>
        </w:tc>
        <w:tc>
          <w:tcPr>
            <w:tcW w:w="1336"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19.57</w:t>
            </w:r>
          </w:p>
        </w:tc>
        <w:tc>
          <w:tcPr>
            <w:tcW w:w="127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19.54</w:t>
            </w:r>
          </w:p>
        </w:tc>
        <w:tc>
          <w:tcPr>
            <w:tcW w:w="13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4.89</w:t>
            </w:r>
          </w:p>
        </w:tc>
        <w:tc>
          <w:tcPr>
            <w:tcW w:w="10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44.00</w:t>
            </w:r>
          </w:p>
        </w:tc>
        <w:tc>
          <w:tcPr>
            <w:tcW w:w="11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22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39.11</w:t>
            </w:r>
          </w:p>
        </w:tc>
        <w:tc>
          <w:tcPr>
            <w:tcW w:w="137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19.57</w:t>
            </w:r>
          </w:p>
        </w:tc>
        <w:tc>
          <w:tcPr>
            <w:tcW w:w="129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19.54</w:t>
            </w:r>
          </w:p>
        </w:tc>
        <w:tc>
          <w:tcPr>
            <w:tcW w:w="1342"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4.89</w:t>
            </w:r>
          </w:p>
        </w:tc>
      </w:tr>
      <w:tr>
        <w:tblPrEx>
          <w:tblCellMar>
            <w:top w:w="0" w:type="dxa"/>
            <w:left w:w="108" w:type="dxa"/>
            <w:bottom w:w="0" w:type="dxa"/>
            <w:right w:w="108" w:type="dxa"/>
          </w:tblCellMar>
        </w:tblPrEx>
        <w:trPr>
          <w:trHeight w:val="615" w:hRule="atLeast"/>
        </w:trPr>
        <w:tc>
          <w:tcPr>
            <w:tcW w:w="14341" w:type="dxa"/>
            <w:gridSpan w:val="12"/>
            <w:tcBorders>
              <w:top w:val="nil"/>
              <w:left w:val="nil"/>
              <w:bottom w:val="nil"/>
              <w:right w:val="nil"/>
            </w:tcBorders>
            <w:shd w:val="clear" w:color="auto" w:fill="auto"/>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tbl>
      <w:tblPr>
        <w:tblStyle w:val="6"/>
        <w:tblW w:w="14805" w:type="dxa"/>
        <w:tblInd w:w="813" w:type="dxa"/>
        <w:tblLayout w:type="fixed"/>
        <w:tblCellMar>
          <w:top w:w="0" w:type="dxa"/>
          <w:left w:w="108" w:type="dxa"/>
          <w:bottom w:w="0" w:type="dxa"/>
          <w:right w:w="108" w:type="dxa"/>
        </w:tblCellMar>
      </w:tblPr>
      <w:tblGrid>
        <w:gridCol w:w="236"/>
        <w:gridCol w:w="413"/>
        <w:gridCol w:w="834"/>
        <w:gridCol w:w="547"/>
        <w:gridCol w:w="1537"/>
        <w:gridCol w:w="547"/>
        <w:gridCol w:w="736"/>
        <w:gridCol w:w="547"/>
        <w:gridCol w:w="370"/>
        <w:gridCol w:w="547"/>
        <w:gridCol w:w="969"/>
        <w:gridCol w:w="547"/>
        <w:gridCol w:w="1303"/>
        <w:gridCol w:w="547"/>
        <w:gridCol w:w="1231"/>
        <w:gridCol w:w="547"/>
        <w:gridCol w:w="2800"/>
        <w:gridCol w:w="547"/>
      </w:tblGrid>
      <w:tr>
        <w:tblPrEx>
          <w:tblCellMar>
            <w:top w:w="0" w:type="dxa"/>
            <w:left w:w="108" w:type="dxa"/>
            <w:bottom w:w="0" w:type="dxa"/>
            <w:right w:w="108" w:type="dxa"/>
          </w:tblCellMar>
        </w:tblPrEx>
        <w:trPr>
          <w:gridAfter w:val="1"/>
          <w:wAfter w:w="547" w:type="dxa"/>
          <w:trHeight w:val="390" w:hRule="atLeast"/>
        </w:trPr>
        <w:tc>
          <w:tcPr>
            <w:tcW w:w="14258" w:type="dxa"/>
            <w:gridSpan w:val="17"/>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30"/>
                <w:szCs w:val="30"/>
              </w:rPr>
            </w:pPr>
            <w:r>
              <w:rPr>
                <w:rFonts w:hint="eastAsia" w:ascii="宋体" w:hAnsi="宋体" w:eastAsia="宋体" w:cs="Arial"/>
                <w:color w:val="000000"/>
                <w:kern w:val="0"/>
                <w:sz w:val="30"/>
                <w:szCs w:val="30"/>
              </w:rPr>
              <w:t>政府性基金预算财政拨款收入支出决算表</w:t>
            </w:r>
          </w:p>
        </w:tc>
      </w:tr>
      <w:tr>
        <w:tblPrEx>
          <w:tblCellMar>
            <w:top w:w="0" w:type="dxa"/>
            <w:left w:w="108" w:type="dxa"/>
            <w:bottom w:w="0" w:type="dxa"/>
            <w:right w:w="108" w:type="dxa"/>
          </w:tblCellMar>
        </w:tblPrEx>
        <w:trPr>
          <w:trHeight w:val="255" w:hRule="atLeast"/>
        </w:trPr>
        <w:tc>
          <w:tcPr>
            <w:tcW w:w="236"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413"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381"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2084"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283"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917"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516"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850"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778"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347" w:type="dxa"/>
            <w:gridSpan w:val="2"/>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公开08表</w:t>
            </w:r>
          </w:p>
        </w:tc>
      </w:tr>
      <w:tr>
        <w:tblPrEx>
          <w:tblCellMar>
            <w:top w:w="0" w:type="dxa"/>
            <w:left w:w="108" w:type="dxa"/>
            <w:bottom w:w="0" w:type="dxa"/>
            <w:right w:w="108" w:type="dxa"/>
          </w:tblCellMar>
        </w:tblPrEx>
        <w:trPr>
          <w:gridAfter w:val="1"/>
          <w:wAfter w:w="547" w:type="dxa"/>
          <w:trHeight w:val="255" w:hRule="atLeast"/>
        </w:trPr>
        <w:tc>
          <w:tcPr>
            <w:tcW w:w="3567" w:type="dxa"/>
            <w:gridSpan w:val="5"/>
            <w:tcBorders>
              <w:top w:val="nil"/>
              <w:left w:val="nil"/>
              <w:bottom w:val="nil"/>
              <w:right w:val="nil"/>
            </w:tcBorders>
            <w:shd w:val="clear" w:color="auto" w:fill="auto"/>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部门：湖南省岳阳生态环境监测中心</w:t>
            </w:r>
          </w:p>
        </w:tc>
        <w:tc>
          <w:tcPr>
            <w:tcW w:w="1283"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917"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516"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850"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778" w:type="dxa"/>
            <w:gridSpan w:val="2"/>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347" w:type="dxa"/>
            <w:gridSpan w:val="2"/>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gridAfter w:val="1"/>
          <w:wAfter w:w="547" w:type="dxa"/>
          <w:trHeight w:val="308" w:hRule="atLeast"/>
        </w:trPr>
        <w:tc>
          <w:tcPr>
            <w:tcW w:w="356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1283" w:type="dxa"/>
            <w:gridSpan w:val="2"/>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年初结转和结余</w:t>
            </w:r>
          </w:p>
        </w:tc>
        <w:tc>
          <w:tcPr>
            <w:tcW w:w="917" w:type="dxa"/>
            <w:gridSpan w:val="2"/>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本年收入</w:t>
            </w:r>
          </w:p>
        </w:tc>
        <w:tc>
          <w:tcPr>
            <w:tcW w:w="5144" w:type="dxa"/>
            <w:gridSpan w:val="6"/>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本年支出</w:t>
            </w:r>
          </w:p>
        </w:tc>
        <w:tc>
          <w:tcPr>
            <w:tcW w:w="3347" w:type="dxa"/>
            <w:gridSpan w:val="2"/>
            <w:vMerge w:val="restart"/>
            <w:tcBorders>
              <w:top w:val="single" w:color="000000" w:sz="4" w:space="0"/>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年末结转和结余</w:t>
            </w:r>
          </w:p>
        </w:tc>
      </w:tr>
      <w:tr>
        <w:tblPrEx>
          <w:tblCellMar>
            <w:top w:w="0" w:type="dxa"/>
            <w:left w:w="108" w:type="dxa"/>
            <w:bottom w:w="0" w:type="dxa"/>
            <w:right w:w="108" w:type="dxa"/>
          </w:tblCellMar>
        </w:tblPrEx>
        <w:trPr>
          <w:gridAfter w:val="1"/>
          <w:wAfter w:w="547" w:type="dxa"/>
          <w:trHeight w:val="312" w:hRule="atLeast"/>
        </w:trPr>
        <w:tc>
          <w:tcPr>
            <w:tcW w:w="1483"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功能分类科目编码</w:t>
            </w:r>
          </w:p>
        </w:tc>
        <w:tc>
          <w:tcPr>
            <w:tcW w:w="2084" w:type="dxa"/>
            <w:gridSpan w:val="2"/>
            <w:vMerge w:val="restart"/>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科目名称</w:t>
            </w:r>
          </w:p>
        </w:tc>
        <w:tc>
          <w:tcPr>
            <w:tcW w:w="1283"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917"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516"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小计</w:t>
            </w:r>
          </w:p>
        </w:tc>
        <w:tc>
          <w:tcPr>
            <w:tcW w:w="1850"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基本支出</w:t>
            </w:r>
          </w:p>
        </w:tc>
        <w:tc>
          <w:tcPr>
            <w:tcW w:w="1778"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项目支出</w:t>
            </w:r>
          </w:p>
        </w:tc>
        <w:tc>
          <w:tcPr>
            <w:tcW w:w="3347"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gridAfter w:val="1"/>
          <w:wAfter w:w="547" w:type="dxa"/>
          <w:trHeight w:val="312" w:hRule="atLeast"/>
        </w:trPr>
        <w:tc>
          <w:tcPr>
            <w:tcW w:w="1483"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2084" w:type="dxa"/>
            <w:gridSpan w:val="2"/>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283"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917"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516" w:type="dxa"/>
            <w:gridSpan w:val="2"/>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850" w:type="dxa"/>
            <w:gridSpan w:val="2"/>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778" w:type="dxa"/>
            <w:gridSpan w:val="2"/>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347"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gridAfter w:val="1"/>
          <w:wAfter w:w="547" w:type="dxa"/>
          <w:trHeight w:val="312" w:hRule="atLeast"/>
        </w:trPr>
        <w:tc>
          <w:tcPr>
            <w:tcW w:w="1483"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2084" w:type="dxa"/>
            <w:gridSpan w:val="2"/>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283"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917"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516" w:type="dxa"/>
            <w:gridSpan w:val="2"/>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850" w:type="dxa"/>
            <w:gridSpan w:val="2"/>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1778" w:type="dxa"/>
            <w:gridSpan w:val="2"/>
            <w:vMerge w:val="continue"/>
            <w:tcBorders>
              <w:top w:val="nil"/>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c>
          <w:tcPr>
            <w:tcW w:w="3347"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gridAfter w:val="1"/>
          <w:wAfter w:w="547" w:type="dxa"/>
          <w:trHeight w:val="308" w:hRule="atLeast"/>
        </w:trPr>
        <w:tc>
          <w:tcPr>
            <w:tcW w:w="3567" w:type="dxa"/>
            <w:gridSpan w:val="5"/>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1283" w:type="dxa"/>
            <w:gridSpan w:val="2"/>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917" w:type="dxa"/>
            <w:gridSpan w:val="2"/>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1516" w:type="dxa"/>
            <w:gridSpan w:val="2"/>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c>
          <w:tcPr>
            <w:tcW w:w="1850" w:type="dxa"/>
            <w:gridSpan w:val="2"/>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w:t>
            </w:r>
          </w:p>
        </w:tc>
        <w:tc>
          <w:tcPr>
            <w:tcW w:w="1778" w:type="dxa"/>
            <w:gridSpan w:val="2"/>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w:t>
            </w:r>
          </w:p>
        </w:tc>
        <w:tc>
          <w:tcPr>
            <w:tcW w:w="3347" w:type="dxa"/>
            <w:gridSpan w:val="2"/>
            <w:tcBorders>
              <w:top w:val="nil"/>
              <w:left w:val="nil"/>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w:t>
            </w:r>
          </w:p>
        </w:tc>
      </w:tr>
      <w:tr>
        <w:tblPrEx>
          <w:tblCellMar>
            <w:top w:w="0" w:type="dxa"/>
            <w:left w:w="108" w:type="dxa"/>
            <w:bottom w:w="0" w:type="dxa"/>
            <w:right w:w="108" w:type="dxa"/>
          </w:tblCellMar>
        </w:tblPrEx>
        <w:trPr>
          <w:gridAfter w:val="1"/>
          <w:wAfter w:w="547" w:type="dxa"/>
          <w:trHeight w:val="308" w:hRule="atLeast"/>
        </w:trPr>
        <w:tc>
          <w:tcPr>
            <w:tcW w:w="3567" w:type="dxa"/>
            <w:gridSpan w:val="5"/>
            <w:tcBorders>
              <w:top w:val="nil"/>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合计</w:t>
            </w:r>
          </w:p>
        </w:tc>
        <w:tc>
          <w:tcPr>
            <w:tcW w:w="1283"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91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151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185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1778"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334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r>
      <w:tr>
        <w:tblPrEx>
          <w:tblCellMar>
            <w:top w:w="0" w:type="dxa"/>
            <w:left w:w="108" w:type="dxa"/>
            <w:bottom w:w="0" w:type="dxa"/>
            <w:right w:w="108" w:type="dxa"/>
          </w:tblCellMar>
        </w:tblPrEx>
        <w:trPr>
          <w:gridAfter w:val="1"/>
          <w:wAfter w:w="547" w:type="dxa"/>
          <w:trHeight w:val="308" w:hRule="atLeast"/>
        </w:trPr>
        <w:tc>
          <w:tcPr>
            <w:tcW w:w="1483"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084"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1283"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91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51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5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778"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4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gridAfter w:val="1"/>
          <w:wAfter w:w="547" w:type="dxa"/>
          <w:trHeight w:val="308" w:hRule="atLeast"/>
        </w:trPr>
        <w:tc>
          <w:tcPr>
            <w:tcW w:w="1483"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084"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1283"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91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51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5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778"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4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gridAfter w:val="1"/>
          <w:wAfter w:w="547" w:type="dxa"/>
          <w:trHeight w:val="308" w:hRule="atLeast"/>
        </w:trPr>
        <w:tc>
          <w:tcPr>
            <w:tcW w:w="1483"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084"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1283"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91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51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5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778"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4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gridAfter w:val="1"/>
          <w:wAfter w:w="547" w:type="dxa"/>
          <w:trHeight w:val="308" w:hRule="atLeast"/>
        </w:trPr>
        <w:tc>
          <w:tcPr>
            <w:tcW w:w="1483"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084"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1283"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91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51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5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778"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4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gridAfter w:val="1"/>
          <w:wAfter w:w="547" w:type="dxa"/>
          <w:trHeight w:val="308" w:hRule="atLeast"/>
        </w:trPr>
        <w:tc>
          <w:tcPr>
            <w:tcW w:w="1483"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084"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1283"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91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51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5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778"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4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gridAfter w:val="1"/>
          <w:wAfter w:w="547" w:type="dxa"/>
          <w:trHeight w:val="308" w:hRule="atLeast"/>
        </w:trPr>
        <w:tc>
          <w:tcPr>
            <w:tcW w:w="1483"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084" w:type="dxa"/>
            <w:gridSpan w:val="2"/>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1283"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91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516"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50"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778"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47" w:type="dxa"/>
            <w:gridSpan w:val="2"/>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gridAfter w:val="1"/>
          <w:wAfter w:w="547" w:type="dxa"/>
          <w:trHeight w:val="308" w:hRule="atLeast"/>
        </w:trPr>
        <w:tc>
          <w:tcPr>
            <w:tcW w:w="14258" w:type="dxa"/>
            <w:gridSpan w:val="17"/>
            <w:tcBorders>
              <w:top w:val="nil"/>
              <w:left w:val="nil"/>
              <w:bottom w:val="nil"/>
              <w:right w:val="nil"/>
            </w:tcBorders>
            <w:shd w:val="clear" w:color="auto" w:fill="auto"/>
            <w:noWrap/>
            <w:vAlign w:val="center"/>
          </w:tcPr>
          <w:p>
            <w:pPr>
              <w:widowControl/>
              <w:jc w:val="left"/>
              <w:rPr>
                <w:rFonts w:hint="eastAsia" w:ascii="宋体" w:hAnsi="宋体" w:eastAsia="宋体" w:cs="Arial"/>
                <w:color w:val="000000"/>
                <w:kern w:val="0"/>
                <w:sz w:val="22"/>
              </w:rPr>
            </w:pPr>
            <w:r>
              <w:rPr>
                <w:rFonts w:hint="eastAsia" w:ascii="宋体" w:hAnsi="宋体" w:eastAsia="宋体" w:cs="Arial"/>
                <w:color w:val="000000"/>
                <w:kern w:val="0"/>
                <w:sz w:val="22"/>
              </w:rPr>
              <w:t>注：本表反映部门本年度政府性基金预算财政拨款收入、支出及结转和结余情况。</w:t>
            </w:r>
          </w:p>
          <w:p>
            <w:pPr>
              <w:widowControl/>
              <w:jc w:val="left"/>
              <w:rPr>
                <w:rFonts w:hint="default" w:ascii="宋体" w:hAnsi="宋体" w:eastAsia="宋体" w:cs="Arial"/>
                <w:color w:val="000000"/>
                <w:kern w:val="0"/>
                <w:sz w:val="22"/>
                <w:lang w:val="en-US" w:eastAsia="zh-CN"/>
              </w:rPr>
            </w:pPr>
            <w:r>
              <w:rPr>
                <w:rFonts w:hint="eastAsia" w:ascii="宋体" w:hAnsi="宋体" w:eastAsia="宋体" w:cs="Arial"/>
                <w:color w:val="000000"/>
                <w:kern w:val="0"/>
                <w:sz w:val="22"/>
                <w:lang w:val="en-US" w:eastAsia="zh-CN"/>
              </w:rPr>
              <w:t>本单位无政府性基金收入，也没有政府性基金安排的支出，故本表为空表。</w:t>
            </w:r>
          </w:p>
        </w:tc>
      </w:tr>
    </w:tbl>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tbl>
      <w:tblPr>
        <w:tblStyle w:val="6"/>
        <w:tblW w:w="14934" w:type="dxa"/>
        <w:tblInd w:w="89" w:type="dxa"/>
        <w:tblLayout w:type="fixed"/>
        <w:tblCellMar>
          <w:top w:w="0" w:type="dxa"/>
          <w:left w:w="108" w:type="dxa"/>
          <w:bottom w:w="0" w:type="dxa"/>
          <w:right w:w="108" w:type="dxa"/>
        </w:tblCellMar>
      </w:tblPr>
      <w:tblGrid>
        <w:gridCol w:w="418"/>
        <w:gridCol w:w="418"/>
        <w:gridCol w:w="1030"/>
        <w:gridCol w:w="3283"/>
        <w:gridCol w:w="2875"/>
        <w:gridCol w:w="3133"/>
        <w:gridCol w:w="3777"/>
      </w:tblGrid>
      <w:tr>
        <w:tblPrEx>
          <w:tblCellMar>
            <w:top w:w="0" w:type="dxa"/>
            <w:left w:w="108" w:type="dxa"/>
            <w:bottom w:w="0" w:type="dxa"/>
            <w:right w:w="108" w:type="dxa"/>
          </w:tblCellMar>
        </w:tblPrEx>
        <w:trPr>
          <w:trHeight w:val="457" w:hRule="atLeast"/>
        </w:trPr>
        <w:tc>
          <w:tcPr>
            <w:tcW w:w="14934" w:type="dxa"/>
            <w:gridSpan w:val="7"/>
            <w:tcBorders>
              <w:top w:val="nil"/>
              <w:left w:val="nil"/>
              <w:bottom w:val="nil"/>
              <w:right w:val="nil"/>
            </w:tcBorders>
            <w:shd w:val="clear" w:color="auto" w:fill="auto"/>
            <w:noWrap/>
            <w:vAlign w:val="bottom"/>
          </w:tcPr>
          <w:p>
            <w:pPr>
              <w:widowControl/>
              <w:jc w:val="center"/>
              <w:rPr>
                <w:rFonts w:ascii="宋体" w:hAnsi="宋体" w:eastAsia="宋体" w:cs="Arial"/>
                <w:color w:val="000000"/>
                <w:kern w:val="0"/>
                <w:sz w:val="30"/>
                <w:szCs w:val="30"/>
              </w:rPr>
            </w:pPr>
            <w:r>
              <w:rPr>
                <w:rFonts w:hint="eastAsia" w:ascii="宋体" w:hAnsi="宋体" w:eastAsia="宋体" w:cs="Arial"/>
                <w:color w:val="000000"/>
                <w:kern w:val="0"/>
                <w:sz w:val="30"/>
                <w:szCs w:val="30"/>
              </w:rPr>
              <w:t>国有资本经营预算财政拨款支出决算表</w:t>
            </w:r>
          </w:p>
        </w:tc>
      </w:tr>
      <w:tr>
        <w:tblPrEx>
          <w:tblCellMar>
            <w:top w:w="0" w:type="dxa"/>
            <w:left w:w="108" w:type="dxa"/>
            <w:bottom w:w="0" w:type="dxa"/>
            <w:right w:w="108" w:type="dxa"/>
          </w:tblCellMar>
        </w:tblPrEx>
        <w:trPr>
          <w:trHeight w:val="299" w:hRule="atLeast"/>
        </w:trPr>
        <w:tc>
          <w:tcPr>
            <w:tcW w:w="418"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418"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1030"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283"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2875"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133"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777" w:type="dxa"/>
            <w:tcBorders>
              <w:top w:val="nil"/>
              <w:left w:val="nil"/>
              <w:bottom w:val="nil"/>
              <w:right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公开09表</w:t>
            </w:r>
          </w:p>
        </w:tc>
      </w:tr>
      <w:tr>
        <w:tblPrEx>
          <w:tblCellMar>
            <w:top w:w="0" w:type="dxa"/>
            <w:left w:w="108" w:type="dxa"/>
            <w:bottom w:w="0" w:type="dxa"/>
            <w:right w:w="108" w:type="dxa"/>
          </w:tblCellMar>
        </w:tblPrEx>
        <w:trPr>
          <w:trHeight w:val="299" w:hRule="atLeast"/>
        </w:trPr>
        <w:tc>
          <w:tcPr>
            <w:tcW w:w="5149" w:type="dxa"/>
            <w:gridSpan w:val="4"/>
            <w:tcBorders>
              <w:top w:val="nil"/>
              <w:left w:val="nil"/>
              <w:bottom w:val="nil"/>
              <w:right w:val="nil"/>
            </w:tcBorders>
            <w:shd w:val="clear" w:color="auto" w:fill="auto"/>
            <w:noWrap/>
            <w:vAlign w:val="bottom"/>
          </w:tcPr>
          <w:p>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部门：湖南省岳阳生态环境监测中心</w:t>
            </w:r>
          </w:p>
        </w:tc>
        <w:tc>
          <w:tcPr>
            <w:tcW w:w="2875" w:type="dxa"/>
            <w:tcBorders>
              <w:top w:val="nil"/>
              <w:left w:val="nil"/>
              <w:bottom w:val="nil"/>
              <w:right w:val="nil"/>
            </w:tcBorders>
            <w:shd w:val="clear" w:color="auto" w:fill="auto"/>
            <w:noWrap/>
            <w:vAlign w:val="bottom"/>
          </w:tcPr>
          <w:p>
            <w:pPr>
              <w:widowControl/>
              <w:ind w:firstLine="1200" w:firstLineChars="600"/>
              <w:jc w:val="left"/>
              <w:rPr>
                <w:rFonts w:hint="default" w:ascii="Arial" w:hAnsi="Arial" w:eastAsia="宋体" w:cs="Arial"/>
                <w:color w:val="000000"/>
                <w:kern w:val="0"/>
                <w:sz w:val="20"/>
                <w:szCs w:val="20"/>
                <w:lang w:val="en-US" w:eastAsia="zh-CN"/>
              </w:rPr>
            </w:pPr>
            <w:r>
              <w:rPr>
                <w:rFonts w:hint="eastAsia" w:ascii="Arial" w:hAnsi="Arial" w:eastAsia="宋体" w:cs="Arial"/>
                <w:color w:val="000000"/>
                <w:kern w:val="0"/>
                <w:sz w:val="20"/>
                <w:szCs w:val="20"/>
                <w:lang w:val="en-US" w:eastAsia="zh-CN"/>
              </w:rPr>
              <w:t>2021年度</w:t>
            </w:r>
          </w:p>
        </w:tc>
        <w:tc>
          <w:tcPr>
            <w:tcW w:w="3133" w:type="dxa"/>
            <w:tcBorders>
              <w:top w:val="nil"/>
              <w:left w:val="nil"/>
              <w:bottom w:val="nil"/>
              <w:right w:val="nil"/>
            </w:tcBorders>
            <w:shd w:val="clear" w:color="auto" w:fill="auto"/>
            <w:noWrap/>
            <w:vAlign w:val="bottom"/>
          </w:tcPr>
          <w:p>
            <w:pPr>
              <w:widowControl/>
              <w:jc w:val="left"/>
              <w:rPr>
                <w:rFonts w:ascii="Arial" w:hAnsi="Arial" w:eastAsia="宋体" w:cs="Arial"/>
                <w:color w:val="000000"/>
                <w:kern w:val="0"/>
                <w:sz w:val="20"/>
                <w:szCs w:val="20"/>
              </w:rPr>
            </w:pPr>
          </w:p>
        </w:tc>
        <w:tc>
          <w:tcPr>
            <w:tcW w:w="3777" w:type="dxa"/>
            <w:tcBorders>
              <w:top w:val="nil"/>
              <w:left w:val="nil"/>
              <w:bottom w:val="nil"/>
              <w:right w:val="nil"/>
            </w:tcBorders>
            <w:shd w:val="clear" w:color="auto" w:fill="auto"/>
            <w:noWrap/>
            <w:vAlign w:val="bottom"/>
          </w:tcPr>
          <w:p>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tblPrEx>
          <w:tblCellMar>
            <w:top w:w="0" w:type="dxa"/>
            <w:left w:w="108" w:type="dxa"/>
            <w:bottom w:w="0" w:type="dxa"/>
            <w:right w:w="108" w:type="dxa"/>
          </w:tblCellMar>
        </w:tblPrEx>
        <w:trPr>
          <w:trHeight w:val="361" w:hRule="atLeast"/>
        </w:trPr>
        <w:tc>
          <w:tcPr>
            <w:tcW w:w="5149" w:type="dxa"/>
            <w:gridSpan w:val="4"/>
            <w:tcBorders>
              <w:top w:val="single" w:color="000000" w:sz="4" w:space="0"/>
              <w:left w:val="single" w:color="000000" w:sz="4" w:space="0"/>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9785" w:type="dxa"/>
            <w:gridSpan w:val="3"/>
            <w:tcBorders>
              <w:top w:val="single" w:color="000000" w:sz="4" w:space="0"/>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本年支出</w:t>
            </w:r>
          </w:p>
        </w:tc>
      </w:tr>
      <w:tr>
        <w:tblPrEx>
          <w:tblCellMar>
            <w:top w:w="0" w:type="dxa"/>
            <w:left w:w="108" w:type="dxa"/>
            <w:bottom w:w="0" w:type="dxa"/>
            <w:right w:w="108" w:type="dxa"/>
          </w:tblCellMar>
        </w:tblPrEx>
        <w:trPr>
          <w:trHeight w:val="366" w:hRule="atLeast"/>
        </w:trPr>
        <w:tc>
          <w:tcPr>
            <w:tcW w:w="1866" w:type="dxa"/>
            <w:gridSpan w:val="3"/>
            <w:vMerge w:val="restart"/>
            <w:tcBorders>
              <w:top w:val="nil"/>
              <w:left w:val="single" w:color="000000" w:sz="4" w:space="0"/>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功能分类科目编码</w:t>
            </w:r>
          </w:p>
        </w:tc>
        <w:tc>
          <w:tcPr>
            <w:tcW w:w="3283" w:type="dxa"/>
            <w:vMerge w:val="restart"/>
            <w:tcBorders>
              <w:top w:val="nil"/>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科目名称</w:t>
            </w:r>
          </w:p>
        </w:tc>
        <w:tc>
          <w:tcPr>
            <w:tcW w:w="2875" w:type="dxa"/>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合计</w:t>
            </w:r>
          </w:p>
        </w:tc>
        <w:tc>
          <w:tcPr>
            <w:tcW w:w="3133" w:type="dxa"/>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基本支出</w:t>
            </w:r>
          </w:p>
        </w:tc>
        <w:tc>
          <w:tcPr>
            <w:tcW w:w="3777" w:type="dxa"/>
            <w:vMerge w:val="restart"/>
            <w:tcBorders>
              <w:top w:val="nil"/>
              <w:left w:val="nil"/>
              <w:bottom w:val="single" w:color="000000" w:sz="4" w:space="0"/>
              <w:right w:val="single" w:color="000000" w:sz="4" w:space="0"/>
            </w:tcBorders>
            <w:shd w:val="clear" w:color="FFFFFF" w:fill="auto"/>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项目支出</w:t>
            </w:r>
          </w:p>
        </w:tc>
      </w:tr>
      <w:tr>
        <w:tblPrEx>
          <w:tblCellMar>
            <w:top w:w="0" w:type="dxa"/>
            <w:left w:w="108" w:type="dxa"/>
            <w:bottom w:w="0" w:type="dxa"/>
            <w:right w:w="108" w:type="dxa"/>
          </w:tblCellMar>
        </w:tblPrEx>
        <w:trPr>
          <w:trHeight w:val="366" w:hRule="atLeast"/>
        </w:trPr>
        <w:tc>
          <w:tcPr>
            <w:tcW w:w="1866" w:type="dxa"/>
            <w:gridSpan w:val="3"/>
            <w:vMerge w:val="continue"/>
            <w:tcBorders>
              <w:top w:val="nil"/>
              <w:left w:val="single" w:color="000000" w:sz="4" w:space="0"/>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3283"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2875"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3133"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3777"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66" w:hRule="atLeast"/>
        </w:trPr>
        <w:tc>
          <w:tcPr>
            <w:tcW w:w="1866" w:type="dxa"/>
            <w:gridSpan w:val="3"/>
            <w:vMerge w:val="continue"/>
            <w:tcBorders>
              <w:top w:val="nil"/>
              <w:left w:val="single" w:color="000000" w:sz="4" w:space="0"/>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3283"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2875"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3133"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c>
          <w:tcPr>
            <w:tcW w:w="3777" w:type="dxa"/>
            <w:vMerge w:val="continue"/>
            <w:tcBorders>
              <w:top w:val="nil"/>
              <w:left w:val="nil"/>
              <w:bottom w:val="single" w:color="000000" w:sz="4" w:space="0"/>
              <w:right w:val="single" w:color="000000" w:sz="4" w:space="0"/>
            </w:tcBorders>
            <w:shd w:val="clear" w:color="FFFFFF" w:fill="auto"/>
            <w:vAlign w:val="center"/>
          </w:tcPr>
          <w:p>
            <w:pPr>
              <w:widowControl/>
              <w:jc w:val="left"/>
              <w:rPr>
                <w:rFonts w:ascii="宋体" w:hAnsi="宋体" w:eastAsia="宋体" w:cs="Arial"/>
                <w:color w:val="000000"/>
                <w:kern w:val="0"/>
                <w:sz w:val="22"/>
              </w:rPr>
            </w:pPr>
          </w:p>
        </w:tc>
      </w:tr>
      <w:tr>
        <w:tblPrEx>
          <w:tblCellMar>
            <w:top w:w="0" w:type="dxa"/>
            <w:left w:w="108" w:type="dxa"/>
            <w:bottom w:w="0" w:type="dxa"/>
            <w:right w:w="108" w:type="dxa"/>
          </w:tblCellMar>
        </w:tblPrEx>
        <w:trPr>
          <w:trHeight w:val="361" w:hRule="atLeast"/>
        </w:trPr>
        <w:tc>
          <w:tcPr>
            <w:tcW w:w="5149" w:type="dxa"/>
            <w:gridSpan w:val="4"/>
            <w:tcBorders>
              <w:top w:val="nil"/>
              <w:left w:val="single" w:color="000000" w:sz="4" w:space="0"/>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2875" w:type="dxa"/>
            <w:tcBorders>
              <w:top w:val="nil"/>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3133" w:type="dxa"/>
            <w:tcBorders>
              <w:top w:val="nil"/>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3777" w:type="dxa"/>
            <w:tcBorders>
              <w:top w:val="nil"/>
              <w:left w:val="nil"/>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r>
      <w:tr>
        <w:tblPrEx>
          <w:tblCellMar>
            <w:top w:w="0" w:type="dxa"/>
            <w:left w:w="108" w:type="dxa"/>
            <w:bottom w:w="0" w:type="dxa"/>
            <w:right w:w="108" w:type="dxa"/>
          </w:tblCellMar>
        </w:tblPrEx>
        <w:trPr>
          <w:trHeight w:val="361" w:hRule="atLeast"/>
        </w:trPr>
        <w:tc>
          <w:tcPr>
            <w:tcW w:w="5149" w:type="dxa"/>
            <w:gridSpan w:val="4"/>
            <w:tcBorders>
              <w:top w:val="nil"/>
              <w:left w:val="single" w:color="000000" w:sz="4" w:space="0"/>
              <w:bottom w:val="single" w:color="000000" w:sz="4" w:space="0"/>
              <w:right w:val="single" w:color="000000" w:sz="4" w:space="0"/>
            </w:tcBorders>
            <w:shd w:val="clear" w:color="FFFFFF" w:fill="auto"/>
            <w:noWrap/>
            <w:vAlign w:val="center"/>
          </w:tcPr>
          <w:p>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合计</w:t>
            </w:r>
          </w:p>
        </w:tc>
        <w:tc>
          <w:tcPr>
            <w:tcW w:w="2875"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3133"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c>
          <w:tcPr>
            <w:tcW w:w="3777" w:type="dxa"/>
            <w:tcBorders>
              <w:top w:val="nil"/>
              <w:left w:val="nil"/>
              <w:bottom w:val="single" w:color="000000" w:sz="4" w:space="0"/>
              <w:right w:val="single" w:color="000000" w:sz="4" w:space="0"/>
            </w:tcBorders>
            <w:shd w:val="clear" w:color="FFFFFF" w:fill="auto"/>
            <w:noWrap/>
            <w:vAlign w:val="center"/>
          </w:tcPr>
          <w:p>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　</w:t>
            </w:r>
          </w:p>
        </w:tc>
      </w:tr>
      <w:tr>
        <w:tblPrEx>
          <w:tblCellMar>
            <w:top w:w="0" w:type="dxa"/>
            <w:left w:w="108" w:type="dxa"/>
            <w:bottom w:w="0" w:type="dxa"/>
            <w:right w:w="108" w:type="dxa"/>
          </w:tblCellMar>
        </w:tblPrEx>
        <w:trPr>
          <w:trHeight w:val="361" w:hRule="atLeast"/>
        </w:trPr>
        <w:tc>
          <w:tcPr>
            <w:tcW w:w="186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2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87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1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61" w:hRule="atLeast"/>
        </w:trPr>
        <w:tc>
          <w:tcPr>
            <w:tcW w:w="186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2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87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1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61" w:hRule="atLeast"/>
        </w:trPr>
        <w:tc>
          <w:tcPr>
            <w:tcW w:w="186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2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87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1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61" w:hRule="atLeast"/>
        </w:trPr>
        <w:tc>
          <w:tcPr>
            <w:tcW w:w="186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2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87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1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blPrEx>
          <w:tblCellMar>
            <w:top w:w="0" w:type="dxa"/>
            <w:left w:w="108" w:type="dxa"/>
            <w:bottom w:w="0" w:type="dxa"/>
            <w:right w:w="108" w:type="dxa"/>
          </w:tblCellMar>
        </w:tblPrEx>
        <w:trPr>
          <w:trHeight w:val="361" w:hRule="atLeast"/>
        </w:trPr>
        <w:tc>
          <w:tcPr>
            <w:tcW w:w="186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2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87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1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61" w:hRule="atLeast"/>
        </w:trPr>
        <w:tc>
          <w:tcPr>
            <w:tcW w:w="1866" w:type="dxa"/>
            <w:gridSpan w:val="3"/>
            <w:tcBorders>
              <w:top w:val="nil"/>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283" w:type="dxa"/>
            <w:tcBorders>
              <w:top w:val="nil"/>
              <w:left w:val="nil"/>
              <w:bottom w:val="single" w:color="000000" w:sz="4" w:space="0"/>
              <w:right w:val="single" w:color="000000" w:sz="4" w:space="0"/>
            </w:tcBorders>
            <w:shd w:val="clear" w:color="auto" w:fill="auto"/>
            <w:noWrap/>
            <w:vAlign w:val="center"/>
          </w:tcPr>
          <w:p>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2875"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133"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777" w:type="dxa"/>
            <w:tcBorders>
              <w:top w:val="nil"/>
              <w:left w:val="nil"/>
              <w:bottom w:val="single" w:color="000000" w:sz="4" w:space="0"/>
              <w:right w:val="single" w:color="000000" w:sz="4" w:space="0"/>
            </w:tcBorders>
            <w:shd w:val="clear" w:color="auto" w:fill="auto"/>
            <w:noWrap/>
            <w:vAlign w:val="center"/>
          </w:tcPr>
          <w:p>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trPr>
          <w:trHeight w:val="361" w:hRule="atLeast"/>
        </w:trPr>
        <w:tc>
          <w:tcPr>
            <w:tcW w:w="14934" w:type="dxa"/>
            <w:gridSpan w:val="7"/>
            <w:tcBorders>
              <w:top w:val="nil"/>
              <w:left w:val="nil"/>
              <w:bottom w:val="nil"/>
              <w:right w:val="nil"/>
            </w:tcBorders>
            <w:shd w:val="clear" w:color="auto" w:fill="auto"/>
            <w:noWrap/>
            <w:vAlign w:val="center"/>
          </w:tcPr>
          <w:p>
            <w:pPr>
              <w:widowControl/>
              <w:jc w:val="left"/>
              <w:rPr>
                <w:rFonts w:hint="eastAsia" w:ascii="宋体" w:hAnsi="宋体" w:eastAsia="宋体" w:cs="Arial"/>
                <w:color w:val="000000"/>
                <w:kern w:val="0"/>
                <w:sz w:val="22"/>
              </w:rPr>
            </w:pPr>
            <w:r>
              <w:rPr>
                <w:rFonts w:hint="eastAsia" w:ascii="宋体" w:hAnsi="宋体" w:eastAsia="宋体" w:cs="Arial"/>
                <w:color w:val="000000"/>
                <w:kern w:val="0"/>
                <w:sz w:val="22"/>
              </w:rPr>
              <w:t>注：本表反映部门本年度国有资本经营预算财政拨款支出情况。</w:t>
            </w:r>
          </w:p>
          <w:p>
            <w:pPr>
              <w:widowControl/>
              <w:jc w:val="left"/>
              <w:rPr>
                <w:rFonts w:hint="default" w:ascii="宋体" w:hAnsi="宋体" w:eastAsia="宋体" w:cs="Arial"/>
                <w:color w:val="000000"/>
                <w:kern w:val="0"/>
                <w:sz w:val="22"/>
                <w:lang w:val="en-US" w:eastAsia="zh-CN"/>
              </w:rPr>
            </w:pPr>
            <w:r>
              <w:rPr>
                <w:rFonts w:hint="eastAsia" w:ascii="宋体" w:hAnsi="宋体" w:eastAsia="宋体" w:cs="Arial"/>
                <w:color w:val="000000"/>
                <w:kern w:val="0"/>
                <w:sz w:val="22"/>
                <w:lang w:val="en-US" w:eastAsia="zh-CN"/>
              </w:rPr>
              <w:t>本单位无国有资本经营收入，也没有国有资本经营收入安排的支出，故本表为空表。</w:t>
            </w:r>
          </w:p>
        </w:tc>
      </w:tr>
    </w:tbl>
    <w:p>
      <w:pPr>
        <w:pStyle w:val="10"/>
        <w:rPr>
          <w:rFonts w:asciiTheme="minorEastAsia" w:hAnsiTheme="minorEastAsia" w:eastAsiaTheme="minorEastAsia"/>
          <w:sz w:val="32"/>
          <w:szCs w:val="32"/>
        </w:rPr>
      </w:pPr>
    </w:p>
    <w:p>
      <w:pPr>
        <w:rPr>
          <w:rFonts w:asciiTheme="minorEastAsia" w:hAnsiTheme="minorEastAsia" w:eastAsiaTheme="minorEastAsia"/>
          <w:sz w:val="32"/>
          <w:szCs w:val="32"/>
        </w:rPr>
      </w:pPr>
      <w:r>
        <w:rPr>
          <w:rFonts w:asciiTheme="minorEastAsia" w:hAnsiTheme="minorEastAsia" w:eastAsiaTheme="minorEastAsia"/>
          <w:sz w:val="32"/>
          <w:szCs w:val="32"/>
        </w:rPr>
        <w:br w:type="page"/>
      </w:r>
    </w:p>
    <w:p>
      <w:pPr>
        <w:pStyle w:val="10"/>
        <w:rPr>
          <w:rFonts w:asciiTheme="minorEastAsia" w:hAnsiTheme="minorEastAsia" w:eastAsiaTheme="minorEastAsia"/>
          <w:sz w:val="32"/>
          <w:szCs w:val="32"/>
        </w:rPr>
        <w:sectPr>
          <w:pgSz w:w="16838" w:h="11906" w:orient="landscape"/>
          <w:pgMar w:top="1803" w:right="720" w:bottom="1803" w:left="720" w:header="851" w:footer="992" w:gutter="0"/>
          <w:cols w:space="425" w:num="1"/>
          <w:docGrid w:type="linesAndChars" w:linePitch="312" w:charSpace="0"/>
        </w:sect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rPr>
          <w:rFonts w:asciiTheme="minorEastAsia" w:hAnsiTheme="minorEastAsia" w:eastAsiaTheme="minorEastAsia"/>
          <w:sz w:val="32"/>
          <w:szCs w:val="32"/>
        </w:rPr>
      </w:pPr>
    </w:p>
    <w:p>
      <w:pPr>
        <w:pStyle w:val="10"/>
        <w:jc w:val="center"/>
        <w:rPr>
          <w:sz w:val="72"/>
          <w:szCs w:val="72"/>
        </w:rPr>
      </w:pPr>
    </w:p>
    <w:p>
      <w:pPr>
        <w:pStyle w:val="10"/>
        <w:jc w:val="center"/>
        <w:rPr>
          <w:sz w:val="52"/>
          <w:szCs w:val="52"/>
        </w:rPr>
      </w:pPr>
      <w:r>
        <w:rPr>
          <w:rFonts w:hint="eastAsia"/>
          <w:sz w:val="52"/>
          <w:szCs w:val="52"/>
        </w:rPr>
        <w:t>第三部分</w:t>
      </w:r>
    </w:p>
    <w:p>
      <w:pPr>
        <w:pStyle w:val="10"/>
        <w:jc w:val="center"/>
        <w:rPr>
          <w:sz w:val="70"/>
          <w:szCs w:val="70"/>
        </w:rPr>
      </w:pPr>
    </w:p>
    <w:p>
      <w:pPr>
        <w:pStyle w:val="10"/>
        <w:jc w:val="center"/>
        <w:rPr>
          <w:rFonts w:asciiTheme="majorEastAsia" w:hAnsiTheme="majorEastAsia" w:eastAsiaTheme="majorEastAsia"/>
          <w:b/>
          <w:sz w:val="52"/>
          <w:szCs w:val="52"/>
        </w:rPr>
      </w:pPr>
      <w:r>
        <w:rPr>
          <w:rFonts w:asciiTheme="majorEastAsia" w:hAnsiTheme="majorEastAsia" w:eastAsiaTheme="majorEastAsia"/>
          <w:b/>
          <w:sz w:val="52"/>
          <w:szCs w:val="52"/>
        </w:rPr>
        <w:t>20</w:t>
      </w:r>
      <w:r>
        <w:rPr>
          <w:rFonts w:hint="eastAsia" w:asciiTheme="majorEastAsia" w:hAnsiTheme="majorEastAsia" w:eastAsiaTheme="majorEastAsia"/>
          <w:b/>
          <w:sz w:val="52"/>
          <w:szCs w:val="52"/>
        </w:rPr>
        <w:t>21年度部门决算情况说明</w:t>
      </w:r>
    </w:p>
    <w:p>
      <w:pPr>
        <w:pStyle w:val="10"/>
        <w:rPr>
          <w:rFonts w:asciiTheme="minorEastAsia" w:hAnsiTheme="minorEastAsia" w:eastAsiaTheme="minorEastAsia"/>
          <w:sz w:val="32"/>
          <w:szCs w:val="32"/>
        </w:rPr>
      </w:pPr>
      <w:r>
        <w:rPr>
          <w:sz w:val="70"/>
          <w:szCs w:val="70"/>
        </w:rPr>
        <w:br w:type="page"/>
      </w:r>
    </w:p>
    <w:p>
      <w:pPr>
        <w:pStyle w:val="10"/>
        <w:ind w:firstLine="560" w:firstLineChars="200"/>
        <w:rPr>
          <w:rFonts w:hAnsi="黑体"/>
          <w:b/>
          <w:sz w:val="28"/>
          <w:szCs w:val="28"/>
        </w:rPr>
      </w:pPr>
      <w:r>
        <w:rPr>
          <w:rFonts w:hint="eastAsia" w:hAnsi="黑体"/>
          <w:b/>
          <w:sz w:val="28"/>
          <w:szCs w:val="28"/>
        </w:rPr>
        <w:t>一、收入支出决算总体情况说明</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560" w:firstLineChars="200"/>
        <w:jc w:val="left"/>
        <w:rPr>
          <w:rFonts w:hint="eastAsia" w:ascii="仿宋" w:hAnsi="仿宋" w:eastAsia="仿宋"/>
          <w:sz w:val="28"/>
          <w:szCs w:val="28"/>
        </w:rPr>
      </w:pPr>
      <w:r>
        <w:rPr>
          <w:rFonts w:hint="eastAsia" w:ascii="仿宋" w:hAnsi="仿宋" w:eastAsia="仿宋"/>
          <w:sz w:val="28"/>
          <w:szCs w:val="28"/>
        </w:rPr>
        <w:t>2021年度收</w:t>
      </w:r>
      <w:r>
        <w:rPr>
          <w:rFonts w:hint="eastAsia" w:ascii="仿宋" w:hAnsi="仿宋" w:eastAsia="仿宋"/>
          <w:sz w:val="28"/>
          <w:szCs w:val="28"/>
          <w:lang w:val="en-US" w:eastAsia="zh-CN"/>
        </w:rPr>
        <w:t>入</w:t>
      </w:r>
      <w:r>
        <w:rPr>
          <w:rFonts w:hint="eastAsia" w:ascii="仿宋" w:hAnsi="仿宋" w:eastAsia="仿宋"/>
          <w:sz w:val="28"/>
          <w:szCs w:val="28"/>
        </w:rPr>
        <w:t>总计2966.88万元</w:t>
      </w:r>
      <w:r>
        <w:rPr>
          <w:rFonts w:hint="eastAsia" w:ascii="仿宋" w:hAnsi="仿宋" w:eastAsia="仿宋"/>
          <w:sz w:val="28"/>
          <w:szCs w:val="28"/>
          <w:highlight w:val="none"/>
        </w:rPr>
        <w:t>（含年初结转和结余资金</w:t>
      </w:r>
      <w:r>
        <w:rPr>
          <w:rFonts w:hint="eastAsia" w:ascii="仿宋" w:hAnsi="仿宋" w:eastAsia="仿宋"/>
          <w:sz w:val="28"/>
          <w:szCs w:val="28"/>
          <w:highlight w:val="none"/>
          <w:lang w:val="en-US" w:eastAsia="zh-CN"/>
        </w:rPr>
        <w:t>349.51</w:t>
      </w:r>
      <w:r>
        <w:rPr>
          <w:rFonts w:hint="eastAsia" w:ascii="仿宋" w:hAnsi="仿宋" w:eastAsia="仿宋"/>
          <w:sz w:val="28"/>
          <w:szCs w:val="28"/>
          <w:highlight w:val="none"/>
        </w:rPr>
        <w:t>万元）</w:t>
      </w:r>
      <w:r>
        <w:rPr>
          <w:rFonts w:hint="eastAsia" w:ascii="仿宋" w:hAnsi="仿宋" w:eastAsia="仿宋"/>
          <w:sz w:val="28"/>
          <w:szCs w:val="28"/>
        </w:rPr>
        <w:t>。与上年相比，增加976.88万元，增长</w:t>
      </w:r>
      <w:r>
        <w:rPr>
          <w:rFonts w:hint="eastAsia" w:ascii="仿宋" w:hAnsi="仿宋" w:eastAsia="仿宋"/>
          <w:sz w:val="28"/>
          <w:szCs w:val="28"/>
          <w:lang w:val="en-US" w:eastAsia="zh-CN"/>
        </w:rPr>
        <w:t>49.09</w:t>
      </w:r>
      <w:r>
        <w:rPr>
          <w:rFonts w:hint="eastAsia" w:ascii="仿宋" w:hAnsi="仿宋" w:eastAsia="仿宋"/>
          <w:sz w:val="28"/>
          <w:szCs w:val="28"/>
        </w:rPr>
        <w:t>%，主要是因为项目经费</w:t>
      </w:r>
      <w:r>
        <w:rPr>
          <w:rFonts w:hint="eastAsia" w:ascii="仿宋" w:hAnsi="仿宋" w:eastAsia="仿宋"/>
          <w:sz w:val="28"/>
          <w:szCs w:val="28"/>
          <w:lang w:val="en-US" w:eastAsia="zh-CN"/>
        </w:rPr>
        <w:t>拨款</w:t>
      </w:r>
      <w:r>
        <w:rPr>
          <w:rFonts w:hint="eastAsia" w:ascii="仿宋" w:hAnsi="仿宋" w:eastAsia="仿宋"/>
          <w:sz w:val="28"/>
          <w:szCs w:val="28"/>
        </w:rPr>
        <w:t>有所增加。</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560" w:firstLineChars="200"/>
        <w:jc w:val="left"/>
        <w:rPr>
          <w:rFonts w:hint="eastAsia" w:ascii="仿宋" w:hAnsi="仿宋" w:eastAsia="仿宋"/>
          <w:sz w:val="28"/>
          <w:szCs w:val="28"/>
        </w:rPr>
      </w:pPr>
      <w:r>
        <w:rPr>
          <w:rFonts w:hint="eastAsia" w:ascii="仿宋" w:hAnsi="仿宋" w:eastAsia="仿宋"/>
          <w:sz w:val="28"/>
          <w:szCs w:val="28"/>
        </w:rPr>
        <w:t>2021年度</w:t>
      </w:r>
      <w:r>
        <w:rPr>
          <w:rFonts w:hint="eastAsia" w:ascii="仿宋" w:hAnsi="仿宋" w:eastAsia="仿宋"/>
          <w:sz w:val="28"/>
          <w:szCs w:val="28"/>
          <w:lang w:val="en-US" w:eastAsia="zh-CN"/>
        </w:rPr>
        <w:t>支出</w:t>
      </w:r>
      <w:r>
        <w:rPr>
          <w:rFonts w:hint="eastAsia" w:ascii="仿宋" w:hAnsi="仿宋" w:eastAsia="仿宋"/>
          <w:sz w:val="28"/>
          <w:szCs w:val="28"/>
        </w:rPr>
        <w:t>总计2966.88万元（含年</w:t>
      </w:r>
      <w:r>
        <w:rPr>
          <w:rFonts w:hint="eastAsia" w:ascii="仿宋" w:hAnsi="仿宋" w:eastAsia="仿宋"/>
          <w:sz w:val="28"/>
          <w:szCs w:val="28"/>
          <w:lang w:val="en-US" w:eastAsia="zh-CN"/>
        </w:rPr>
        <w:t>末</w:t>
      </w:r>
      <w:r>
        <w:rPr>
          <w:rFonts w:hint="eastAsia" w:ascii="仿宋" w:hAnsi="仿宋" w:eastAsia="仿宋"/>
          <w:sz w:val="28"/>
          <w:szCs w:val="28"/>
        </w:rPr>
        <w:t>结转和结余资金</w:t>
      </w:r>
      <w:r>
        <w:rPr>
          <w:rFonts w:hint="eastAsia" w:ascii="仿宋" w:hAnsi="仿宋" w:eastAsia="仿宋"/>
          <w:sz w:val="28"/>
          <w:szCs w:val="28"/>
          <w:lang w:val="en-US" w:eastAsia="zh-CN"/>
        </w:rPr>
        <w:t>882.84</w:t>
      </w:r>
      <w:r>
        <w:rPr>
          <w:rFonts w:hint="eastAsia" w:ascii="仿宋" w:hAnsi="仿宋" w:eastAsia="仿宋"/>
          <w:sz w:val="28"/>
          <w:szCs w:val="28"/>
        </w:rPr>
        <w:t>万元）。与上年相比，增加976.88万元，增长</w:t>
      </w:r>
      <w:r>
        <w:rPr>
          <w:rFonts w:hint="eastAsia" w:ascii="仿宋" w:hAnsi="仿宋" w:eastAsia="仿宋"/>
          <w:sz w:val="28"/>
          <w:szCs w:val="28"/>
          <w:lang w:val="en-US" w:eastAsia="zh-CN"/>
        </w:rPr>
        <w:t>49.09</w:t>
      </w:r>
      <w:r>
        <w:rPr>
          <w:rFonts w:hint="eastAsia" w:ascii="仿宋" w:hAnsi="仿宋" w:eastAsia="仿宋"/>
          <w:sz w:val="28"/>
          <w:szCs w:val="28"/>
        </w:rPr>
        <w:t>%，主要是因为项目经费</w:t>
      </w:r>
      <w:r>
        <w:rPr>
          <w:rFonts w:hint="eastAsia" w:ascii="仿宋" w:hAnsi="仿宋" w:eastAsia="仿宋"/>
          <w:sz w:val="28"/>
          <w:szCs w:val="28"/>
          <w:lang w:val="en-US" w:eastAsia="zh-CN"/>
        </w:rPr>
        <w:t>支出</w:t>
      </w:r>
      <w:r>
        <w:rPr>
          <w:rFonts w:hint="eastAsia" w:ascii="仿宋" w:hAnsi="仿宋" w:eastAsia="仿宋"/>
          <w:sz w:val="28"/>
          <w:szCs w:val="28"/>
        </w:rPr>
        <w:t>有所增加。</w:t>
      </w:r>
    </w:p>
    <w:p>
      <w:pPr>
        <w:pStyle w:val="10"/>
        <w:ind w:firstLine="560" w:firstLineChars="200"/>
        <w:rPr>
          <w:rFonts w:hAnsi="黑体"/>
          <w:b/>
          <w:sz w:val="28"/>
          <w:szCs w:val="28"/>
        </w:rPr>
      </w:pPr>
      <w:r>
        <w:rPr>
          <w:rFonts w:hint="eastAsia" w:hAnsi="黑体"/>
          <w:b/>
          <w:sz w:val="28"/>
          <w:szCs w:val="28"/>
        </w:rPr>
        <w:t>二、收入决算情况说明</w:t>
      </w:r>
    </w:p>
    <w:p>
      <w:pPr>
        <w:ind w:firstLine="560" w:firstLineChars="200"/>
        <w:jc w:val="left"/>
        <w:rPr>
          <w:rFonts w:ascii="仿宋" w:hAnsi="仿宋" w:eastAsia="仿宋"/>
          <w:sz w:val="28"/>
          <w:szCs w:val="28"/>
        </w:rPr>
      </w:pPr>
      <w:r>
        <w:rPr>
          <w:rFonts w:hint="eastAsia" w:ascii="仿宋" w:hAnsi="仿宋" w:eastAsia="仿宋"/>
          <w:sz w:val="28"/>
          <w:szCs w:val="28"/>
        </w:rPr>
        <w:t>2021年度收入合计2617.36万元</w:t>
      </w:r>
      <w:r>
        <w:rPr>
          <w:rFonts w:hint="eastAsia" w:ascii="仿宋" w:hAnsi="仿宋" w:eastAsia="仿宋"/>
          <w:sz w:val="28"/>
          <w:szCs w:val="28"/>
          <w:highlight w:val="none"/>
        </w:rPr>
        <w:t>（不含年初结转和结余资金）</w:t>
      </w:r>
      <w:r>
        <w:rPr>
          <w:rFonts w:hint="eastAsia" w:ascii="仿宋" w:hAnsi="仿宋" w:eastAsia="仿宋"/>
          <w:sz w:val="28"/>
          <w:szCs w:val="28"/>
        </w:rPr>
        <w:t>，其中：财政拨款收入1765.69万元，占67</w:t>
      </w:r>
      <w:r>
        <w:rPr>
          <w:rFonts w:hint="eastAsia" w:ascii="仿宋" w:hAnsi="仿宋" w:eastAsia="仿宋"/>
          <w:sz w:val="28"/>
          <w:szCs w:val="28"/>
          <w:lang w:val="en-US" w:eastAsia="zh-CN"/>
        </w:rPr>
        <w:t>.46</w:t>
      </w:r>
      <w:r>
        <w:rPr>
          <w:rFonts w:hint="eastAsia" w:ascii="仿宋" w:hAnsi="仿宋" w:eastAsia="仿宋"/>
          <w:sz w:val="28"/>
          <w:szCs w:val="28"/>
        </w:rPr>
        <w:t>%；上级补助收入23.44万元，占</w:t>
      </w:r>
      <w:r>
        <w:rPr>
          <w:rFonts w:hint="eastAsia" w:ascii="仿宋" w:hAnsi="仿宋" w:eastAsia="仿宋"/>
          <w:sz w:val="28"/>
          <w:szCs w:val="28"/>
          <w:lang w:val="en-US" w:eastAsia="zh-CN"/>
        </w:rPr>
        <w:t>0.09</w:t>
      </w:r>
      <w:r>
        <w:rPr>
          <w:rFonts w:hint="eastAsia" w:ascii="仿宋" w:hAnsi="仿宋" w:eastAsia="仿宋"/>
          <w:sz w:val="28"/>
          <w:szCs w:val="28"/>
        </w:rPr>
        <w:t>%；</w:t>
      </w:r>
      <w:r>
        <w:rPr>
          <w:rFonts w:hint="eastAsia" w:ascii="宋体" w:hAnsi="宋体" w:eastAsia="宋体" w:cs="宋体"/>
          <w:i w:val="0"/>
          <w:iCs w:val="0"/>
          <w:caps w:val="0"/>
          <w:color w:val="000000"/>
          <w:spacing w:val="0"/>
          <w:kern w:val="0"/>
          <w:sz w:val="24"/>
          <w:szCs w:val="24"/>
          <w:shd w:val="clear" w:fill="FFFFFF"/>
          <w:lang w:val="en-US" w:eastAsia="zh-CN" w:bidi="ar"/>
        </w:rPr>
        <w:t>事业收入0万元，占0%；经营收入0万元，占0%；附属单位上缴收入0万元，占0%；</w:t>
      </w:r>
      <w:r>
        <w:rPr>
          <w:rFonts w:hint="eastAsia" w:ascii="仿宋" w:hAnsi="仿宋" w:eastAsia="仿宋"/>
          <w:sz w:val="28"/>
          <w:szCs w:val="28"/>
        </w:rPr>
        <w:t>其他收入828.23万元，占3</w:t>
      </w:r>
      <w:r>
        <w:rPr>
          <w:rFonts w:hint="eastAsia" w:ascii="仿宋" w:hAnsi="仿宋" w:eastAsia="仿宋"/>
          <w:sz w:val="28"/>
          <w:szCs w:val="28"/>
          <w:lang w:val="en-US" w:eastAsia="zh-CN"/>
        </w:rPr>
        <w:t>1.64</w:t>
      </w:r>
      <w:r>
        <w:rPr>
          <w:rFonts w:hint="eastAsia" w:ascii="仿宋" w:hAnsi="仿宋" w:eastAsia="仿宋"/>
          <w:sz w:val="28"/>
          <w:szCs w:val="28"/>
        </w:rPr>
        <w:t>%。</w:t>
      </w:r>
    </w:p>
    <w:p>
      <w:pPr>
        <w:pStyle w:val="10"/>
        <w:ind w:firstLine="560" w:firstLineChars="200"/>
        <w:rPr>
          <w:rFonts w:hAnsi="黑体"/>
          <w:b/>
          <w:sz w:val="28"/>
          <w:szCs w:val="28"/>
        </w:rPr>
      </w:pPr>
      <w:r>
        <w:rPr>
          <w:rFonts w:hint="eastAsia" w:hAnsi="黑体"/>
          <w:b/>
          <w:sz w:val="28"/>
          <w:szCs w:val="28"/>
        </w:rPr>
        <w:t>三、支出决算情况说明</w:t>
      </w:r>
    </w:p>
    <w:p>
      <w:pPr>
        <w:ind w:firstLine="560" w:firstLineChars="200"/>
        <w:jc w:val="left"/>
        <w:rPr>
          <w:rFonts w:ascii="仿宋" w:hAnsi="仿宋" w:eastAsia="仿宋"/>
          <w:sz w:val="28"/>
          <w:szCs w:val="28"/>
        </w:rPr>
      </w:pPr>
      <w:r>
        <w:rPr>
          <w:rFonts w:hint="eastAsia" w:ascii="仿宋" w:hAnsi="仿宋" w:eastAsia="仿宋"/>
          <w:sz w:val="28"/>
          <w:szCs w:val="28"/>
        </w:rPr>
        <w:t>2021年度支出合计2084.04万元</w:t>
      </w:r>
      <w:r>
        <w:rPr>
          <w:rFonts w:hint="eastAsia" w:ascii="仿宋" w:hAnsi="仿宋" w:eastAsia="仿宋"/>
          <w:sz w:val="28"/>
          <w:szCs w:val="28"/>
          <w:highlight w:val="none"/>
        </w:rPr>
        <w:t>（不含年</w:t>
      </w:r>
      <w:r>
        <w:rPr>
          <w:rFonts w:hint="eastAsia" w:ascii="仿宋" w:hAnsi="仿宋" w:eastAsia="仿宋"/>
          <w:sz w:val="28"/>
          <w:szCs w:val="28"/>
          <w:highlight w:val="none"/>
          <w:lang w:val="en-US" w:eastAsia="zh-CN"/>
        </w:rPr>
        <w:t>末</w:t>
      </w:r>
      <w:r>
        <w:rPr>
          <w:rFonts w:hint="eastAsia" w:ascii="仿宋" w:hAnsi="仿宋" w:eastAsia="仿宋"/>
          <w:sz w:val="28"/>
          <w:szCs w:val="28"/>
          <w:highlight w:val="none"/>
        </w:rPr>
        <w:t>结转和结余资金）</w:t>
      </w:r>
      <w:r>
        <w:rPr>
          <w:rFonts w:hint="eastAsia" w:ascii="仿宋" w:hAnsi="仿宋" w:eastAsia="仿宋"/>
          <w:sz w:val="28"/>
          <w:szCs w:val="28"/>
        </w:rPr>
        <w:t>，其中：基本支出1454.4万元，占</w:t>
      </w:r>
      <w:r>
        <w:rPr>
          <w:rFonts w:hint="eastAsia" w:ascii="仿宋" w:hAnsi="仿宋" w:eastAsia="仿宋"/>
          <w:sz w:val="28"/>
          <w:szCs w:val="28"/>
          <w:lang w:val="en-US" w:eastAsia="zh-CN"/>
        </w:rPr>
        <w:t>69.79</w:t>
      </w:r>
      <w:r>
        <w:rPr>
          <w:rFonts w:hint="eastAsia" w:ascii="仿宋" w:hAnsi="仿宋" w:eastAsia="仿宋"/>
          <w:sz w:val="28"/>
          <w:szCs w:val="28"/>
        </w:rPr>
        <w:t>%；项目支出629.64万元，占30</w:t>
      </w:r>
      <w:r>
        <w:rPr>
          <w:rFonts w:hint="eastAsia" w:ascii="仿宋" w:hAnsi="仿宋" w:eastAsia="仿宋"/>
          <w:sz w:val="28"/>
          <w:szCs w:val="28"/>
          <w:lang w:val="en-US" w:eastAsia="zh-CN"/>
        </w:rPr>
        <w:t>.21</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cstheme="minorBidi"/>
          <w:i w:val="0"/>
          <w:iCs w:val="0"/>
          <w:caps w:val="0"/>
          <w:color w:val="auto"/>
          <w:spacing w:val="0"/>
          <w:kern w:val="2"/>
          <w:sz w:val="28"/>
          <w:szCs w:val="28"/>
          <w:shd w:val="clear" w:fill="auto"/>
          <w:lang w:val="en-US" w:eastAsia="zh-CN" w:bidi="ar"/>
        </w:rPr>
        <w:t>上缴上级支出0万元，占0%；经营支出0万元，占0%；对附属单位补助支出0万元，占0%。</w:t>
      </w:r>
      <w:r>
        <w:rPr>
          <w:rFonts w:ascii="仿宋" w:hAnsi="仿宋" w:eastAsia="仿宋"/>
          <w:sz w:val="28"/>
          <w:szCs w:val="28"/>
        </w:rPr>
        <w:t xml:space="preserve"> </w:t>
      </w:r>
    </w:p>
    <w:p>
      <w:pPr>
        <w:pStyle w:val="10"/>
        <w:ind w:firstLine="560" w:firstLineChars="200"/>
        <w:rPr>
          <w:rFonts w:hAnsi="黑体"/>
          <w:b/>
          <w:sz w:val="28"/>
          <w:szCs w:val="28"/>
        </w:rPr>
      </w:pPr>
      <w:r>
        <w:rPr>
          <w:rFonts w:hint="eastAsia" w:hAnsi="黑体"/>
          <w:b/>
          <w:sz w:val="28"/>
          <w:szCs w:val="28"/>
        </w:rPr>
        <w:t>四、财政拨款收入支出决算总体情况说明</w:t>
      </w:r>
    </w:p>
    <w:p>
      <w:pPr>
        <w:pStyle w:val="5"/>
        <w:widowControl/>
        <w:pBdr>
          <w:top w:val="none" w:color="auto" w:sz="0" w:space="0"/>
          <w:left w:val="none" w:color="auto" w:sz="0" w:space="0"/>
          <w:bottom w:val="none" w:color="auto" w:sz="0" w:space="0"/>
          <w:right w:val="none" w:color="auto" w:sz="0" w:space="0"/>
        </w:pBdr>
        <w:spacing w:before="158" w:after="158" w:line="460" w:lineRule="atLeast"/>
        <w:ind w:firstLine="560" w:firstLineChars="200"/>
        <w:rPr>
          <w:rFonts w:hint="eastAsia" w:ascii="仿宋" w:hAnsi="仿宋" w:eastAsia="仿宋" w:cstheme="minorBidi"/>
          <w:b w:val="0"/>
          <w:bCs w:val="0"/>
          <w:color w:val="auto"/>
          <w:kern w:val="2"/>
          <w:sz w:val="28"/>
          <w:szCs w:val="28"/>
          <w:lang w:val="en-US" w:eastAsia="zh-CN"/>
        </w:rPr>
      </w:pPr>
      <w:r>
        <w:rPr>
          <w:rFonts w:hint="eastAsia" w:ascii="仿宋" w:hAnsi="仿宋" w:eastAsia="仿宋" w:cstheme="minorBidi"/>
          <w:color w:val="auto"/>
          <w:kern w:val="2"/>
          <w:sz w:val="28"/>
          <w:szCs w:val="28"/>
        </w:rPr>
        <w:t>202</w:t>
      </w:r>
      <w:r>
        <w:rPr>
          <w:rFonts w:hint="eastAsia" w:ascii="仿宋" w:hAnsi="仿宋" w:eastAsia="仿宋" w:cstheme="minorBidi"/>
          <w:color w:val="auto"/>
          <w:kern w:val="2"/>
          <w:sz w:val="28"/>
          <w:szCs w:val="28"/>
          <w:lang w:val="en-US" w:eastAsia="zh-CN"/>
        </w:rPr>
        <w:t>1</w:t>
      </w:r>
      <w:r>
        <w:rPr>
          <w:rFonts w:hint="eastAsia" w:ascii="仿宋" w:hAnsi="仿宋" w:eastAsia="仿宋" w:cstheme="minorBidi"/>
          <w:color w:val="auto"/>
          <w:kern w:val="2"/>
          <w:sz w:val="28"/>
          <w:szCs w:val="28"/>
        </w:rPr>
        <w:t>年度财政拨款收入合计</w:t>
      </w:r>
      <w:r>
        <w:rPr>
          <w:rFonts w:hint="eastAsia" w:ascii="仿宋" w:hAnsi="仿宋" w:eastAsia="仿宋"/>
          <w:sz w:val="28"/>
          <w:szCs w:val="28"/>
        </w:rPr>
        <w:t>1765.69</w:t>
      </w:r>
      <w:r>
        <w:rPr>
          <w:rFonts w:hint="eastAsia" w:ascii="仿宋" w:hAnsi="仿宋" w:eastAsia="仿宋" w:cstheme="minorBidi"/>
          <w:color w:val="auto"/>
          <w:kern w:val="2"/>
          <w:sz w:val="28"/>
          <w:szCs w:val="28"/>
        </w:rPr>
        <w:t>万元</w:t>
      </w:r>
      <w:r>
        <w:rPr>
          <w:rFonts w:hint="eastAsia" w:ascii="仿宋" w:hAnsi="仿宋" w:eastAsia="仿宋"/>
          <w:color w:val="auto"/>
          <w:kern w:val="2"/>
          <w:sz w:val="28"/>
          <w:szCs w:val="28"/>
          <w:highlight w:val="none"/>
        </w:rPr>
        <w:t>（不含</w:t>
      </w:r>
      <w:r>
        <w:rPr>
          <w:rFonts w:hint="eastAsia" w:ascii="仿宋" w:hAnsi="仿宋" w:eastAsia="仿宋"/>
          <w:color w:val="auto"/>
          <w:kern w:val="2"/>
          <w:sz w:val="28"/>
          <w:szCs w:val="28"/>
          <w:highlight w:val="none"/>
          <w:lang w:val="en-US" w:eastAsia="zh-CN"/>
        </w:rPr>
        <w:t>财政拨款</w:t>
      </w:r>
      <w:r>
        <w:rPr>
          <w:rFonts w:hint="eastAsia" w:ascii="仿宋" w:hAnsi="仿宋" w:eastAsia="仿宋"/>
          <w:color w:val="auto"/>
          <w:kern w:val="2"/>
          <w:sz w:val="28"/>
          <w:szCs w:val="28"/>
          <w:highlight w:val="none"/>
        </w:rPr>
        <w:t>年初结转和结余资金）</w:t>
      </w:r>
      <w:r>
        <w:rPr>
          <w:rFonts w:hint="eastAsia" w:ascii="仿宋" w:hAnsi="仿宋" w:eastAsia="仿宋" w:cstheme="minorBidi"/>
          <w:color w:val="auto"/>
          <w:kern w:val="2"/>
          <w:sz w:val="28"/>
          <w:szCs w:val="28"/>
        </w:rPr>
        <w:t>，与上年728.71</w:t>
      </w:r>
      <w:r>
        <w:rPr>
          <w:rFonts w:hint="eastAsia" w:ascii="仿宋" w:hAnsi="仿宋" w:eastAsia="仿宋" w:cstheme="minorBidi"/>
          <w:color w:val="auto"/>
          <w:kern w:val="2"/>
          <w:sz w:val="28"/>
          <w:szCs w:val="28"/>
          <w:lang w:val="en-US" w:eastAsia="zh-CN"/>
        </w:rPr>
        <w:t>万</w:t>
      </w:r>
      <w:r>
        <w:rPr>
          <w:rFonts w:hint="eastAsia" w:ascii="仿宋" w:hAnsi="仿宋" w:eastAsia="仿宋" w:cstheme="minorBidi"/>
          <w:color w:val="auto"/>
          <w:kern w:val="2"/>
          <w:sz w:val="28"/>
          <w:szCs w:val="28"/>
        </w:rPr>
        <w:t>相比，增加</w:t>
      </w:r>
      <w:r>
        <w:rPr>
          <w:rFonts w:hint="eastAsia" w:ascii="仿宋" w:hAnsi="仿宋" w:eastAsia="仿宋" w:cstheme="minorBidi"/>
          <w:color w:val="auto"/>
          <w:kern w:val="2"/>
          <w:sz w:val="28"/>
          <w:szCs w:val="28"/>
          <w:lang w:val="en-US" w:eastAsia="zh-CN"/>
        </w:rPr>
        <w:t>1036.98</w:t>
      </w:r>
      <w:r>
        <w:rPr>
          <w:rFonts w:hint="eastAsia" w:ascii="仿宋" w:hAnsi="仿宋" w:eastAsia="仿宋" w:cstheme="minorBidi"/>
          <w:color w:val="auto"/>
          <w:kern w:val="2"/>
          <w:sz w:val="28"/>
          <w:szCs w:val="28"/>
        </w:rPr>
        <w:t>万元,增长</w:t>
      </w:r>
      <w:r>
        <w:rPr>
          <w:rFonts w:hint="eastAsia" w:ascii="仿宋" w:hAnsi="仿宋" w:eastAsia="仿宋" w:cstheme="minorBidi"/>
          <w:color w:val="auto"/>
          <w:kern w:val="2"/>
          <w:sz w:val="28"/>
          <w:szCs w:val="28"/>
          <w:lang w:eastAsia="zh-CN"/>
        </w:rPr>
        <w:t>1</w:t>
      </w:r>
      <w:r>
        <w:rPr>
          <w:rFonts w:hint="eastAsia" w:ascii="仿宋" w:hAnsi="仿宋" w:eastAsia="仿宋" w:cstheme="minorBidi"/>
          <w:color w:val="auto"/>
          <w:kern w:val="2"/>
          <w:sz w:val="28"/>
          <w:szCs w:val="28"/>
          <w:lang w:val="en-US" w:eastAsia="zh-CN"/>
        </w:rPr>
        <w:t>42.30</w:t>
      </w:r>
      <w:r>
        <w:rPr>
          <w:rFonts w:hint="eastAsia" w:ascii="仿宋" w:hAnsi="仿宋" w:eastAsia="仿宋" w:cstheme="minorBidi"/>
          <w:color w:val="auto"/>
          <w:kern w:val="2"/>
          <w:sz w:val="28"/>
          <w:szCs w:val="28"/>
        </w:rPr>
        <w:t>%，主要是因为</w:t>
      </w:r>
      <w:r>
        <w:rPr>
          <w:rFonts w:hint="eastAsia" w:ascii="仿宋" w:hAnsi="仿宋" w:eastAsia="仿宋"/>
          <w:sz w:val="28"/>
          <w:szCs w:val="28"/>
        </w:rPr>
        <w:t>2020年上划岳阳市级财政垫付资金的收入未纳入财政拨款收入，另2021年项目经费收入有所增加。</w:t>
      </w:r>
    </w:p>
    <w:p>
      <w:pPr>
        <w:ind w:left="279" w:leftChars="133" w:firstLine="280" w:firstLineChars="100"/>
        <w:jc w:val="left"/>
        <w:rPr>
          <w:rFonts w:ascii="仿宋" w:hAnsi="仿宋" w:eastAsia="仿宋"/>
          <w:sz w:val="28"/>
          <w:szCs w:val="28"/>
        </w:rPr>
      </w:pPr>
      <w:r>
        <w:rPr>
          <w:rFonts w:hint="eastAsia" w:ascii="仿宋" w:hAnsi="仿宋" w:eastAsia="仿宋"/>
          <w:color w:val="auto"/>
          <w:sz w:val="28"/>
          <w:szCs w:val="28"/>
        </w:rPr>
        <w:t>202</w:t>
      </w:r>
      <w:r>
        <w:rPr>
          <w:rFonts w:hint="eastAsia" w:ascii="仿宋" w:hAnsi="仿宋" w:eastAsia="仿宋"/>
          <w:color w:val="auto"/>
          <w:sz w:val="28"/>
          <w:szCs w:val="28"/>
          <w:lang w:val="en-US" w:eastAsia="zh-CN"/>
        </w:rPr>
        <w:t>1</w:t>
      </w:r>
      <w:r>
        <w:rPr>
          <w:rFonts w:hint="eastAsia" w:ascii="仿宋" w:hAnsi="仿宋" w:eastAsia="仿宋"/>
          <w:color w:val="auto"/>
          <w:sz w:val="28"/>
          <w:szCs w:val="28"/>
        </w:rPr>
        <w:t>年度财政拨款支出合计</w:t>
      </w:r>
      <w:r>
        <w:rPr>
          <w:rFonts w:hint="eastAsia" w:ascii="仿宋" w:hAnsi="仿宋" w:eastAsia="仿宋" w:cstheme="minorBidi"/>
          <w:color w:val="auto"/>
          <w:kern w:val="2"/>
          <w:sz w:val="28"/>
          <w:szCs w:val="28"/>
          <w:lang w:val="en-US" w:eastAsia="zh-CN"/>
        </w:rPr>
        <w:t>1624.43</w:t>
      </w:r>
      <w:r>
        <w:rPr>
          <w:rFonts w:hint="eastAsia" w:ascii="仿宋" w:hAnsi="仿宋" w:eastAsia="仿宋"/>
          <w:color w:val="auto"/>
          <w:sz w:val="28"/>
          <w:szCs w:val="28"/>
        </w:rPr>
        <w:t>万元</w:t>
      </w:r>
      <w:r>
        <w:rPr>
          <w:rFonts w:hint="eastAsia" w:ascii="仿宋" w:hAnsi="仿宋" w:eastAsia="仿宋"/>
          <w:color w:val="auto"/>
          <w:kern w:val="2"/>
          <w:sz w:val="28"/>
          <w:szCs w:val="28"/>
        </w:rPr>
        <w:t>（不含</w:t>
      </w:r>
      <w:r>
        <w:rPr>
          <w:rFonts w:hint="eastAsia" w:ascii="仿宋" w:hAnsi="仿宋" w:eastAsia="仿宋"/>
          <w:color w:val="auto"/>
          <w:kern w:val="2"/>
          <w:sz w:val="28"/>
          <w:szCs w:val="28"/>
          <w:lang w:val="en-US" w:eastAsia="zh-CN"/>
        </w:rPr>
        <w:t>财政拨款</w:t>
      </w:r>
      <w:r>
        <w:rPr>
          <w:rFonts w:hint="eastAsia" w:ascii="仿宋" w:hAnsi="仿宋" w:eastAsia="仿宋"/>
          <w:color w:val="auto"/>
          <w:kern w:val="2"/>
          <w:sz w:val="28"/>
          <w:szCs w:val="28"/>
        </w:rPr>
        <w:t>年</w:t>
      </w:r>
      <w:r>
        <w:rPr>
          <w:rFonts w:hint="eastAsia" w:ascii="仿宋" w:hAnsi="仿宋" w:eastAsia="仿宋"/>
          <w:color w:val="auto"/>
          <w:kern w:val="2"/>
          <w:sz w:val="28"/>
          <w:szCs w:val="28"/>
          <w:lang w:val="en-US" w:eastAsia="zh-CN"/>
        </w:rPr>
        <w:t>末</w:t>
      </w:r>
      <w:r>
        <w:rPr>
          <w:rFonts w:hint="eastAsia" w:ascii="仿宋" w:hAnsi="仿宋" w:eastAsia="仿宋"/>
          <w:color w:val="auto"/>
          <w:kern w:val="2"/>
          <w:sz w:val="28"/>
          <w:szCs w:val="28"/>
        </w:rPr>
        <w:t>结转和结余资金）</w:t>
      </w:r>
      <w:r>
        <w:rPr>
          <w:rFonts w:hint="eastAsia" w:ascii="仿宋" w:hAnsi="仿宋" w:eastAsia="仿宋"/>
          <w:color w:val="auto"/>
          <w:sz w:val="28"/>
          <w:szCs w:val="28"/>
        </w:rPr>
        <w:t>，与上年455.02</w:t>
      </w:r>
      <w:r>
        <w:rPr>
          <w:rFonts w:hint="eastAsia" w:ascii="仿宋" w:hAnsi="仿宋" w:eastAsia="仿宋" w:cstheme="minorBidi"/>
          <w:color w:val="auto"/>
          <w:kern w:val="2"/>
          <w:sz w:val="28"/>
          <w:szCs w:val="28"/>
          <w:lang w:val="en-US" w:eastAsia="zh-CN"/>
        </w:rPr>
        <w:t>万</w:t>
      </w:r>
      <w:r>
        <w:rPr>
          <w:rFonts w:hint="eastAsia" w:ascii="仿宋" w:hAnsi="仿宋" w:eastAsia="仿宋"/>
          <w:color w:val="auto"/>
          <w:sz w:val="28"/>
          <w:szCs w:val="28"/>
        </w:rPr>
        <w:t>相比，增加</w:t>
      </w:r>
      <w:r>
        <w:rPr>
          <w:rFonts w:hint="eastAsia" w:ascii="仿宋" w:hAnsi="仿宋" w:eastAsia="仿宋" w:cstheme="minorBidi"/>
          <w:color w:val="auto"/>
          <w:kern w:val="2"/>
          <w:sz w:val="28"/>
          <w:szCs w:val="28"/>
          <w:lang w:val="en-US" w:eastAsia="zh-CN"/>
        </w:rPr>
        <w:t>1169.41</w:t>
      </w:r>
      <w:r>
        <w:rPr>
          <w:rFonts w:hint="eastAsia" w:ascii="仿宋" w:hAnsi="仿宋" w:eastAsia="仿宋"/>
          <w:color w:val="auto"/>
          <w:sz w:val="28"/>
          <w:szCs w:val="28"/>
        </w:rPr>
        <w:t>万元,增长</w:t>
      </w:r>
      <w:r>
        <w:rPr>
          <w:rFonts w:hint="eastAsia" w:ascii="仿宋" w:hAnsi="仿宋" w:eastAsia="仿宋" w:cstheme="minorBidi"/>
          <w:color w:val="auto"/>
          <w:kern w:val="2"/>
          <w:sz w:val="28"/>
          <w:szCs w:val="28"/>
          <w:lang w:eastAsia="zh-CN"/>
        </w:rPr>
        <w:t>2</w:t>
      </w:r>
      <w:r>
        <w:rPr>
          <w:rFonts w:hint="eastAsia" w:ascii="仿宋" w:hAnsi="仿宋" w:eastAsia="仿宋" w:cstheme="minorBidi"/>
          <w:color w:val="auto"/>
          <w:kern w:val="2"/>
          <w:sz w:val="28"/>
          <w:szCs w:val="28"/>
          <w:lang w:val="en-US" w:eastAsia="zh-CN"/>
        </w:rPr>
        <w:t>57</w:t>
      </w:r>
      <w:r>
        <w:rPr>
          <w:rFonts w:hint="eastAsia" w:ascii="仿宋" w:hAnsi="仿宋" w:eastAsia="仿宋"/>
          <w:color w:val="auto"/>
          <w:sz w:val="28"/>
          <w:szCs w:val="28"/>
        </w:rPr>
        <w:t>%，主要是因为</w:t>
      </w:r>
      <w:r>
        <w:rPr>
          <w:rFonts w:hint="eastAsia" w:ascii="仿宋" w:hAnsi="仿宋" w:eastAsia="仿宋"/>
          <w:sz w:val="28"/>
          <w:szCs w:val="28"/>
        </w:rPr>
        <w:t>2020年上划岳阳市级财政垫付资金的支出未纳入财政拨款支出，另2021年项目经费支出有所增加。</w:t>
      </w:r>
    </w:p>
    <w:p>
      <w:pPr>
        <w:pStyle w:val="10"/>
        <w:ind w:firstLine="560" w:firstLineChars="200"/>
        <w:rPr>
          <w:rFonts w:hAnsi="黑体"/>
          <w:b/>
          <w:sz w:val="28"/>
          <w:szCs w:val="28"/>
        </w:rPr>
      </w:pPr>
      <w:r>
        <w:rPr>
          <w:rFonts w:hint="eastAsia" w:hAnsi="黑体"/>
          <w:b/>
          <w:sz w:val="28"/>
          <w:szCs w:val="28"/>
        </w:rPr>
        <w:t>五、一般公共预算财政拨款支出决算情况说明</w:t>
      </w:r>
    </w:p>
    <w:p>
      <w:pPr>
        <w:pStyle w:val="10"/>
        <w:ind w:firstLine="560" w:firstLineChars="200"/>
        <w:rPr>
          <w:rFonts w:ascii="仿宋" w:hAnsi="仿宋" w:eastAsia="仿宋"/>
          <w:b/>
          <w:sz w:val="28"/>
          <w:szCs w:val="28"/>
        </w:rPr>
      </w:pPr>
      <w:r>
        <w:rPr>
          <w:rFonts w:hint="eastAsia" w:ascii="仿宋" w:hAnsi="仿宋" w:eastAsia="仿宋"/>
          <w:b/>
          <w:sz w:val="28"/>
          <w:szCs w:val="28"/>
        </w:rPr>
        <w:t>（一）财政拨款支出决算总体情况</w:t>
      </w:r>
    </w:p>
    <w:p>
      <w:pPr>
        <w:ind w:firstLine="560" w:firstLineChars="200"/>
        <w:jc w:val="left"/>
        <w:rPr>
          <w:rFonts w:ascii="仿宋" w:hAnsi="仿宋" w:eastAsia="仿宋"/>
          <w:sz w:val="28"/>
          <w:szCs w:val="28"/>
        </w:rPr>
      </w:pPr>
      <w:r>
        <w:rPr>
          <w:rFonts w:hint="eastAsia" w:ascii="仿宋" w:hAnsi="仿宋" w:eastAsia="仿宋"/>
          <w:sz w:val="28"/>
          <w:szCs w:val="28"/>
        </w:rPr>
        <w:t>2021年度财政拨款支出1624.43万元，占本年支出合计的7</w:t>
      </w:r>
      <w:r>
        <w:rPr>
          <w:rFonts w:hint="eastAsia" w:ascii="仿宋" w:hAnsi="仿宋" w:eastAsia="仿宋"/>
          <w:sz w:val="28"/>
          <w:szCs w:val="28"/>
          <w:lang w:val="en-US" w:eastAsia="zh-CN"/>
        </w:rPr>
        <w:t>7.95</w:t>
      </w:r>
      <w:r>
        <w:rPr>
          <w:rFonts w:hint="eastAsia" w:ascii="仿宋" w:hAnsi="仿宋" w:eastAsia="仿宋"/>
          <w:sz w:val="28"/>
          <w:szCs w:val="28"/>
        </w:rPr>
        <w:t>%，与上年相比，财政拨款支出增加1169.41万元，增长</w:t>
      </w:r>
      <w:r>
        <w:rPr>
          <w:rFonts w:hint="eastAsia" w:ascii="仿宋" w:hAnsi="仿宋" w:eastAsia="仿宋" w:cstheme="minorBidi"/>
          <w:color w:val="auto"/>
          <w:kern w:val="2"/>
          <w:sz w:val="28"/>
          <w:szCs w:val="28"/>
          <w:lang w:eastAsia="zh-CN"/>
        </w:rPr>
        <w:t>2</w:t>
      </w:r>
      <w:r>
        <w:rPr>
          <w:rFonts w:hint="eastAsia" w:ascii="仿宋" w:hAnsi="仿宋" w:eastAsia="仿宋" w:cstheme="minorBidi"/>
          <w:color w:val="auto"/>
          <w:kern w:val="2"/>
          <w:sz w:val="28"/>
          <w:szCs w:val="28"/>
          <w:lang w:val="en-US" w:eastAsia="zh-CN"/>
        </w:rPr>
        <w:t>57</w:t>
      </w:r>
      <w:r>
        <w:rPr>
          <w:rFonts w:hint="eastAsia" w:ascii="仿宋" w:hAnsi="仿宋" w:eastAsia="仿宋"/>
          <w:sz w:val="28"/>
          <w:szCs w:val="28"/>
        </w:rPr>
        <w:t>%，主要是因为2020年上划岳阳市级财政垫付资金的支出未纳入财政拨款支出，另2021年项目经费支出有所增加。</w:t>
      </w:r>
    </w:p>
    <w:p>
      <w:pPr>
        <w:pStyle w:val="10"/>
        <w:ind w:firstLine="560" w:firstLineChars="200"/>
        <w:rPr>
          <w:rFonts w:ascii="仿宋" w:hAnsi="仿宋" w:eastAsia="仿宋"/>
          <w:b/>
          <w:sz w:val="28"/>
          <w:szCs w:val="28"/>
        </w:rPr>
      </w:pPr>
      <w:r>
        <w:rPr>
          <w:rFonts w:hint="eastAsia" w:ascii="仿宋" w:hAnsi="仿宋" w:eastAsia="仿宋"/>
          <w:b/>
          <w:sz w:val="28"/>
          <w:szCs w:val="28"/>
        </w:rPr>
        <w:t>（二）财政拨款支出决算结构情况</w:t>
      </w:r>
    </w:p>
    <w:p>
      <w:pPr>
        <w:ind w:firstLine="560" w:firstLineChars="200"/>
        <w:jc w:val="left"/>
        <w:rPr>
          <w:rFonts w:ascii="仿宋" w:hAnsi="仿宋" w:eastAsia="仿宋"/>
          <w:sz w:val="28"/>
          <w:szCs w:val="28"/>
        </w:rPr>
      </w:pPr>
      <w:r>
        <w:rPr>
          <w:rFonts w:hint="eastAsia" w:ascii="仿宋" w:hAnsi="仿宋" w:eastAsia="仿宋"/>
          <w:sz w:val="28"/>
          <w:szCs w:val="28"/>
        </w:rPr>
        <w:t>2021年度财政拨款支出1624.43万元，主要用于以下方面：主要用于以下方面：</w:t>
      </w:r>
      <w:r>
        <w:rPr>
          <w:rFonts w:hint="eastAsia" w:ascii="仿宋" w:hAnsi="仿宋" w:eastAsia="仿宋" w:cstheme="minorBidi"/>
          <w:color w:val="auto"/>
          <w:kern w:val="2"/>
          <w:sz w:val="28"/>
          <w:szCs w:val="28"/>
        </w:rPr>
        <w:t>社会保障和就业支出102.97</w:t>
      </w:r>
      <w:r>
        <w:rPr>
          <w:rFonts w:hint="eastAsia" w:ascii="仿宋" w:hAnsi="仿宋" w:eastAsia="仿宋"/>
          <w:sz w:val="28"/>
          <w:szCs w:val="28"/>
        </w:rPr>
        <w:t>万元，占</w:t>
      </w:r>
      <w:r>
        <w:rPr>
          <w:rFonts w:hint="eastAsia" w:ascii="仿宋" w:hAnsi="仿宋" w:eastAsia="仿宋"/>
          <w:sz w:val="28"/>
          <w:szCs w:val="28"/>
          <w:lang w:val="en-US" w:eastAsia="zh-CN"/>
        </w:rPr>
        <w:t>6.34</w:t>
      </w:r>
      <w:r>
        <w:rPr>
          <w:rFonts w:hint="eastAsia" w:ascii="仿宋" w:hAnsi="仿宋" w:eastAsia="仿宋"/>
          <w:sz w:val="28"/>
          <w:szCs w:val="28"/>
        </w:rPr>
        <w:t>%；</w:t>
      </w:r>
      <w:r>
        <w:rPr>
          <w:rFonts w:hint="eastAsia" w:ascii="仿宋" w:hAnsi="仿宋" w:eastAsia="仿宋" w:cstheme="minorBidi"/>
          <w:color w:val="auto"/>
          <w:kern w:val="2"/>
          <w:sz w:val="28"/>
          <w:szCs w:val="28"/>
        </w:rPr>
        <w:t>卫生健康支出36.92</w:t>
      </w:r>
      <w:r>
        <w:rPr>
          <w:rFonts w:hint="eastAsia" w:ascii="仿宋" w:hAnsi="仿宋" w:eastAsia="仿宋"/>
          <w:sz w:val="28"/>
          <w:szCs w:val="28"/>
        </w:rPr>
        <w:t>万元，占</w:t>
      </w:r>
      <w:r>
        <w:rPr>
          <w:rFonts w:hint="eastAsia" w:ascii="仿宋" w:hAnsi="仿宋" w:eastAsia="仿宋"/>
          <w:sz w:val="28"/>
          <w:szCs w:val="28"/>
          <w:lang w:val="en-US" w:eastAsia="zh-CN"/>
        </w:rPr>
        <w:t>2.27</w:t>
      </w:r>
      <w:r>
        <w:rPr>
          <w:rFonts w:hint="eastAsia" w:ascii="仿宋" w:hAnsi="仿宋" w:eastAsia="仿宋"/>
          <w:sz w:val="28"/>
          <w:szCs w:val="28"/>
        </w:rPr>
        <w:t>%；</w:t>
      </w:r>
      <w:r>
        <w:rPr>
          <w:rFonts w:hint="eastAsia" w:ascii="仿宋" w:hAnsi="仿宋" w:eastAsia="仿宋" w:cstheme="minorBidi"/>
          <w:color w:val="auto"/>
          <w:kern w:val="2"/>
          <w:sz w:val="28"/>
          <w:szCs w:val="28"/>
        </w:rPr>
        <w:t>节能环保支出1,391.79</w:t>
      </w:r>
      <w:r>
        <w:rPr>
          <w:rFonts w:hint="eastAsia" w:ascii="仿宋" w:hAnsi="仿宋" w:eastAsia="仿宋"/>
          <w:sz w:val="28"/>
          <w:szCs w:val="28"/>
        </w:rPr>
        <w:t>万元，占</w:t>
      </w:r>
      <w:r>
        <w:rPr>
          <w:rFonts w:hint="eastAsia" w:ascii="仿宋" w:hAnsi="仿宋" w:eastAsia="仿宋"/>
          <w:sz w:val="28"/>
          <w:szCs w:val="28"/>
          <w:lang w:val="en-US" w:eastAsia="zh-CN"/>
        </w:rPr>
        <w:t>85.68</w:t>
      </w:r>
      <w:r>
        <w:rPr>
          <w:rFonts w:hint="eastAsia" w:ascii="仿宋" w:hAnsi="仿宋" w:eastAsia="仿宋"/>
          <w:sz w:val="28"/>
          <w:szCs w:val="28"/>
        </w:rPr>
        <w:t>%；</w:t>
      </w:r>
      <w:r>
        <w:rPr>
          <w:rFonts w:hint="eastAsia" w:ascii="仿宋" w:hAnsi="仿宋" w:eastAsia="仿宋" w:cstheme="minorBidi"/>
          <w:color w:val="auto"/>
          <w:kern w:val="2"/>
          <w:sz w:val="28"/>
          <w:szCs w:val="28"/>
        </w:rPr>
        <w:t>住房保障支出92.75</w:t>
      </w:r>
      <w:r>
        <w:rPr>
          <w:rFonts w:hint="eastAsia" w:ascii="仿宋" w:hAnsi="仿宋" w:eastAsia="仿宋"/>
          <w:sz w:val="28"/>
          <w:szCs w:val="28"/>
        </w:rPr>
        <w:t>万元，占</w:t>
      </w:r>
      <w:r>
        <w:rPr>
          <w:rFonts w:hint="eastAsia" w:ascii="仿宋" w:hAnsi="仿宋" w:eastAsia="仿宋"/>
          <w:sz w:val="28"/>
          <w:szCs w:val="28"/>
          <w:lang w:val="en-US" w:eastAsia="zh-CN"/>
        </w:rPr>
        <w:t>5.71</w:t>
      </w:r>
      <w:r>
        <w:rPr>
          <w:rFonts w:hint="eastAsia" w:ascii="仿宋" w:hAnsi="仿宋" w:eastAsia="仿宋"/>
          <w:sz w:val="28"/>
          <w:szCs w:val="28"/>
        </w:rPr>
        <w:t>%。</w:t>
      </w:r>
    </w:p>
    <w:p>
      <w:pPr>
        <w:pStyle w:val="10"/>
        <w:ind w:firstLine="560" w:firstLineChars="200"/>
        <w:rPr>
          <w:rFonts w:ascii="仿宋" w:hAnsi="仿宋" w:eastAsia="仿宋"/>
          <w:b/>
          <w:sz w:val="28"/>
          <w:szCs w:val="28"/>
        </w:rPr>
      </w:pPr>
      <w:r>
        <w:rPr>
          <w:rFonts w:hint="eastAsia" w:ascii="仿宋" w:hAnsi="仿宋" w:eastAsia="仿宋"/>
          <w:b/>
          <w:sz w:val="28"/>
          <w:szCs w:val="28"/>
        </w:rPr>
        <w:t>（三）财政拨款支出决算具体情况</w:t>
      </w:r>
    </w:p>
    <w:p>
      <w:pPr>
        <w:ind w:firstLine="560" w:firstLineChars="200"/>
        <w:jc w:val="left"/>
        <w:rPr>
          <w:rFonts w:ascii="仿宋" w:hAnsi="仿宋" w:eastAsia="仿宋"/>
          <w:sz w:val="28"/>
          <w:szCs w:val="28"/>
        </w:rPr>
      </w:pPr>
      <w:r>
        <w:rPr>
          <w:rFonts w:hint="eastAsia" w:ascii="仿宋" w:hAnsi="仿宋" w:eastAsia="仿宋"/>
          <w:sz w:val="28"/>
          <w:szCs w:val="28"/>
        </w:rPr>
        <w:t>2021年度财政拨款支出年初预算数为1601.52万元，支出决算数为1624.43万元，完成年初预算的</w:t>
      </w:r>
      <w:r>
        <w:rPr>
          <w:rFonts w:hint="eastAsia" w:ascii="仿宋" w:hAnsi="仿宋" w:eastAsia="仿宋"/>
          <w:sz w:val="28"/>
          <w:szCs w:val="28"/>
          <w:lang w:val="en-US" w:eastAsia="zh-CN"/>
        </w:rPr>
        <w:t>101.43</w:t>
      </w:r>
      <w:r>
        <w:rPr>
          <w:rFonts w:hint="eastAsia" w:ascii="仿宋" w:hAnsi="仿宋" w:eastAsia="仿宋"/>
          <w:sz w:val="28"/>
          <w:szCs w:val="28"/>
        </w:rPr>
        <w:t>%，其中：</w:t>
      </w:r>
    </w:p>
    <w:p>
      <w:pPr>
        <w:ind w:firstLine="560" w:firstLineChars="200"/>
        <w:jc w:val="left"/>
        <w:rPr>
          <w:rFonts w:ascii="仿宋" w:hAnsi="仿宋" w:eastAsia="仿宋"/>
          <w:sz w:val="28"/>
          <w:szCs w:val="28"/>
        </w:rPr>
      </w:pPr>
      <w:r>
        <w:rPr>
          <w:rFonts w:hint="eastAsia" w:ascii="仿宋" w:hAnsi="仿宋" w:eastAsia="仿宋"/>
          <w:sz w:val="28"/>
          <w:szCs w:val="28"/>
        </w:rPr>
        <w:t>1、社会保障和就业支出（类）行政事业单位养老支出（款）事业单位离退休（项）。</w:t>
      </w:r>
    </w:p>
    <w:p>
      <w:pPr>
        <w:ind w:firstLine="560" w:firstLineChars="200"/>
        <w:jc w:val="left"/>
        <w:rPr>
          <w:rFonts w:ascii="仿宋" w:hAnsi="仿宋" w:eastAsia="仿宋"/>
          <w:sz w:val="28"/>
          <w:szCs w:val="28"/>
        </w:rPr>
      </w:pPr>
      <w:r>
        <w:rPr>
          <w:rFonts w:hint="eastAsia" w:ascii="仿宋" w:hAnsi="仿宋" w:eastAsia="仿宋"/>
          <w:sz w:val="28"/>
          <w:szCs w:val="28"/>
        </w:rPr>
        <w:t>年初预算为12.21万元，支出决算为12.21万元，完成年初预算的100%</w:t>
      </w:r>
      <w:r>
        <w:rPr>
          <w:rFonts w:hint="eastAsia" w:ascii="仿宋" w:hAnsi="仿宋" w:eastAsia="仿宋"/>
          <w:sz w:val="28"/>
          <w:szCs w:val="28"/>
          <w:lang w:eastAsia="zh-CN"/>
        </w:rPr>
        <w:t>，</w:t>
      </w:r>
      <w:r>
        <w:rPr>
          <w:rFonts w:hint="eastAsia" w:ascii="仿宋" w:hAnsi="仿宋" w:eastAsia="仿宋"/>
          <w:sz w:val="28"/>
          <w:szCs w:val="28"/>
          <w:lang w:val="en-US" w:eastAsia="zh-CN"/>
        </w:rPr>
        <w:t>决算数与预算数一致，是因为我单位人员没有变化 ，严格按预算执行</w:t>
      </w:r>
      <w:r>
        <w:rPr>
          <w:rFonts w:hint="eastAsia" w:ascii="仿宋" w:hAnsi="仿宋" w:eastAsia="仿宋"/>
          <w:sz w:val="28"/>
          <w:szCs w:val="28"/>
        </w:rPr>
        <w:t>。</w:t>
      </w:r>
    </w:p>
    <w:p>
      <w:pPr>
        <w:ind w:firstLine="560" w:firstLineChars="200"/>
        <w:jc w:val="left"/>
        <w:rPr>
          <w:rFonts w:ascii="仿宋" w:hAnsi="仿宋" w:eastAsia="仿宋"/>
          <w:sz w:val="28"/>
          <w:szCs w:val="28"/>
        </w:rPr>
      </w:pPr>
      <w:r>
        <w:rPr>
          <w:rFonts w:hint="eastAsia" w:ascii="仿宋" w:hAnsi="仿宋" w:eastAsia="仿宋"/>
          <w:sz w:val="28"/>
          <w:szCs w:val="28"/>
        </w:rPr>
        <w:t>2、社会保障和就业支出（类）行政事业单位养老支出（款）机关事业单位基本养老保险缴费支出（项）。</w:t>
      </w:r>
    </w:p>
    <w:p>
      <w:pPr>
        <w:ind w:firstLine="560" w:firstLineChars="200"/>
        <w:jc w:val="left"/>
        <w:rPr>
          <w:rFonts w:ascii="仿宋" w:hAnsi="仿宋" w:eastAsia="仿宋"/>
          <w:sz w:val="28"/>
          <w:szCs w:val="28"/>
        </w:rPr>
      </w:pPr>
      <w:r>
        <w:rPr>
          <w:rFonts w:hint="eastAsia" w:ascii="仿宋" w:hAnsi="仿宋" w:eastAsia="仿宋"/>
          <w:sz w:val="28"/>
          <w:szCs w:val="28"/>
        </w:rPr>
        <w:t>年初预算为90.76万元，支出决算为90.76万元，完成年初预算的100%</w:t>
      </w:r>
      <w:r>
        <w:rPr>
          <w:rFonts w:hint="eastAsia" w:ascii="仿宋" w:hAnsi="仿宋" w:eastAsia="仿宋"/>
          <w:sz w:val="28"/>
          <w:szCs w:val="28"/>
          <w:lang w:eastAsia="zh-CN"/>
        </w:rPr>
        <w:t>，</w:t>
      </w:r>
      <w:r>
        <w:rPr>
          <w:rFonts w:hint="eastAsia" w:ascii="仿宋" w:hAnsi="仿宋" w:eastAsia="仿宋"/>
          <w:sz w:val="28"/>
          <w:szCs w:val="28"/>
          <w:lang w:val="en-US" w:eastAsia="zh-CN"/>
        </w:rPr>
        <w:t>决算数与预算数一致，是因为我单位人员没有变化 ，严格按预算执行</w:t>
      </w:r>
      <w:r>
        <w:rPr>
          <w:rFonts w:hint="eastAsia" w:ascii="仿宋" w:hAnsi="仿宋" w:eastAsia="仿宋"/>
          <w:sz w:val="28"/>
          <w:szCs w:val="28"/>
        </w:rPr>
        <w:t>。</w:t>
      </w:r>
    </w:p>
    <w:p>
      <w:pPr>
        <w:ind w:firstLine="560" w:firstLineChars="200"/>
        <w:jc w:val="left"/>
        <w:rPr>
          <w:rFonts w:ascii="仿宋" w:hAnsi="仿宋" w:eastAsia="仿宋"/>
          <w:sz w:val="28"/>
          <w:szCs w:val="28"/>
        </w:rPr>
      </w:pPr>
      <w:r>
        <w:rPr>
          <w:rFonts w:hint="eastAsia" w:ascii="仿宋" w:hAnsi="仿宋" w:eastAsia="仿宋"/>
          <w:sz w:val="28"/>
          <w:szCs w:val="28"/>
        </w:rPr>
        <w:t>3、卫生健康支出（类）行政事业单位医疗（款）事业单位医疗（项）。</w:t>
      </w:r>
    </w:p>
    <w:p>
      <w:pPr>
        <w:ind w:firstLine="560" w:firstLineChars="200"/>
        <w:jc w:val="left"/>
        <w:rPr>
          <w:rFonts w:ascii="仿宋" w:hAnsi="仿宋" w:eastAsia="仿宋"/>
          <w:sz w:val="28"/>
          <w:szCs w:val="28"/>
        </w:rPr>
      </w:pPr>
      <w:r>
        <w:rPr>
          <w:rFonts w:hint="eastAsia" w:ascii="仿宋" w:hAnsi="仿宋" w:eastAsia="仿宋"/>
          <w:sz w:val="28"/>
          <w:szCs w:val="28"/>
        </w:rPr>
        <w:t>年初预算为36.92万元，支出决算为36.92万元，完成年初预算的100%</w:t>
      </w:r>
      <w:r>
        <w:rPr>
          <w:rFonts w:hint="eastAsia" w:ascii="仿宋" w:hAnsi="仿宋" w:eastAsia="仿宋"/>
          <w:sz w:val="28"/>
          <w:szCs w:val="28"/>
          <w:lang w:eastAsia="zh-CN"/>
        </w:rPr>
        <w:t>，</w:t>
      </w:r>
      <w:r>
        <w:rPr>
          <w:rFonts w:hint="eastAsia" w:ascii="仿宋" w:hAnsi="仿宋" w:eastAsia="仿宋"/>
          <w:sz w:val="28"/>
          <w:szCs w:val="28"/>
          <w:lang w:val="en-US" w:eastAsia="zh-CN"/>
        </w:rPr>
        <w:t>决算数与预算数一致，是因为我单位人员没有变化 ，严格按预算执行</w:t>
      </w:r>
      <w:r>
        <w:rPr>
          <w:rFonts w:hint="eastAsia" w:ascii="仿宋" w:hAnsi="仿宋" w:eastAsia="仿宋"/>
          <w:sz w:val="28"/>
          <w:szCs w:val="28"/>
        </w:rPr>
        <w:t xml:space="preserve">。 </w:t>
      </w:r>
    </w:p>
    <w:p>
      <w:pPr>
        <w:ind w:firstLine="560" w:firstLineChars="200"/>
        <w:jc w:val="left"/>
        <w:rPr>
          <w:rFonts w:ascii="仿宋" w:hAnsi="仿宋" w:eastAsia="仿宋"/>
          <w:sz w:val="28"/>
          <w:szCs w:val="28"/>
        </w:rPr>
      </w:pPr>
      <w:r>
        <w:rPr>
          <w:rFonts w:hint="eastAsia" w:ascii="仿宋" w:hAnsi="仿宋" w:eastAsia="仿宋"/>
          <w:sz w:val="28"/>
          <w:szCs w:val="28"/>
        </w:rPr>
        <w:t>4、节能环保支出（类）环境保护管理事务（款）行政运行（项）。</w:t>
      </w:r>
    </w:p>
    <w:p>
      <w:pPr>
        <w:ind w:firstLine="560" w:firstLineChars="200"/>
        <w:jc w:val="left"/>
        <w:rPr>
          <w:rFonts w:hint="default" w:ascii="仿宋" w:hAnsi="仿宋" w:eastAsia="仿宋"/>
          <w:sz w:val="28"/>
          <w:szCs w:val="28"/>
          <w:lang w:val="en-US" w:eastAsia="zh-CN"/>
        </w:rPr>
      </w:pPr>
      <w:r>
        <w:rPr>
          <w:rFonts w:hint="eastAsia" w:ascii="仿宋" w:hAnsi="仿宋" w:eastAsia="仿宋"/>
          <w:sz w:val="28"/>
          <w:szCs w:val="28"/>
        </w:rPr>
        <w:t>年初预算为795.25万元，支出决算为801.92万元，完成年初预算的100</w:t>
      </w:r>
      <w:r>
        <w:rPr>
          <w:rFonts w:hint="eastAsia" w:ascii="仿宋" w:hAnsi="仿宋" w:eastAsia="仿宋"/>
          <w:sz w:val="28"/>
          <w:szCs w:val="28"/>
          <w:lang w:val="en-US" w:eastAsia="zh-CN"/>
        </w:rPr>
        <w:t>.84</w:t>
      </w:r>
      <w:r>
        <w:rPr>
          <w:rFonts w:hint="eastAsia" w:ascii="仿宋" w:hAnsi="仿宋" w:eastAsia="仿宋"/>
          <w:sz w:val="28"/>
          <w:szCs w:val="28"/>
        </w:rPr>
        <w:t>%。</w:t>
      </w:r>
      <w:r>
        <w:rPr>
          <w:rFonts w:hint="eastAsia" w:ascii="仿宋" w:hAnsi="仿宋" w:eastAsia="仿宋"/>
          <w:sz w:val="28"/>
          <w:szCs w:val="28"/>
          <w:lang w:val="en-US" w:eastAsia="zh-CN"/>
        </w:rPr>
        <w:t>决算数大于年初预算数，主要原因是追加的项目管理经费。</w:t>
      </w:r>
    </w:p>
    <w:p>
      <w:pPr>
        <w:ind w:firstLine="560" w:firstLineChars="200"/>
        <w:jc w:val="left"/>
        <w:rPr>
          <w:rFonts w:ascii="仿宋" w:hAnsi="仿宋" w:eastAsia="仿宋"/>
          <w:sz w:val="28"/>
          <w:szCs w:val="28"/>
        </w:rPr>
      </w:pPr>
      <w:r>
        <w:rPr>
          <w:rFonts w:hint="eastAsia" w:ascii="仿宋" w:hAnsi="仿宋" w:eastAsia="仿宋"/>
          <w:sz w:val="28"/>
          <w:szCs w:val="28"/>
        </w:rPr>
        <w:t>5、节能环保支出（类）环境监测与监察（款）其他环境监测与监察支出（项）。</w:t>
      </w:r>
    </w:p>
    <w:p>
      <w:pPr>
        <w:ind w:firstLine="560" w:firstLineChars="200"/>
        <w:jc w:val="left"/>
        <w:rPr>
          <w:rFonts w:hint="default" w:ascii="仿宋" w:hAnsi="仿宋" w:eastAsia="仿宋"/>
          <w:sz w:val="28"/>
          <w:szCs w:val="28"/>
          <w:lang w:val="en-US" w:eastAsia="zh-CN"/>
        </w:rPr>
      </w:pPr>
      <w:r>
        <w:rPr>
          <w:rFonts w:hint="eastAsia" w:ascii="仿宋" w:hAnsi="仿宋" w:eastAsia="仿宋"/>
          <w:sz w:val="28"/>
          <w:szCs w:val="28"/>
        </w:rPr>
        <w:t>年初预算为</w:t>
      </w:r>
      <w:r>
        <w:rPr>
          <w:rFonts w:hint="eastAsia" w:ascii="仿宋" w:hAnsi="仿宋" w:eastAsia="仿宋"/>
          <w:sz w:val="28"/>
          <w:szCs w:val="28"/>
          <w:lang w:val="en-US" w:eastAsia="zh-CN"/>
        </w:rPr>
        <w:t>0</w:t>
      </w:r>
      <w:r>
        <w:rPr>
          <w:rFonts w:hint="eastAsia" w:ascii="仿宋" w:hAnsi="仿宋" w:eastAsia="仿宋"/>
          <w:sz w:val="28"/>
          <w:szCs w:val="28"/>
        </w:rPr>
        <w:t>万元，支出决算为18万元，</w:t>
      </w:r>
      <w:r>
        <w:rPr>
          <w:rFonts w:hint="eastAsia" w:ascii="仿宋" w:hAnsi="仿宋" w:eastAsia="仿宋"/>
          <w:sz w:val="28"/>
          <w:szCs w:val="28"/>
          <w:lang w:val="en-US" w:eastAsia="zh-CN"/>
        </w:rPr>
        <w:t>决算数大于年初预算数，主要原因是年中追加项目预算。</w:t>
      </w:r>
    </w:p>
    <w:p>
      <w:pPr>
        <w:ind w:firstLine="560" w:firstLineChars="200"/>
        <w:jc w:val="left"/>
        <w:rPr>
          <w:rFonts w:ascii="仿宋" w:hAnsi="仿宋" w:eastAsia="仿宋"/>
          <w:sz w:val="28"/>
          <w:szCs w:val="28"/>
        </w:rPr>
      </w:pPr>
      <w:r>
        <w:rPr>
          <w:rFonts w:hint="eastAsia" w:ascii="仿宋" w:hAnsi="仿宋" w:eastAsia="仿宋"/>
          <w:sz w:val="28"/>
          <w:szCs w:val="28"/>
        </w:rPr>
        <w:t>6、节能环保支出（类）污染防治（款）土壤（项）。</w:t>
      </w:r>
    </w:p>
    <w:p>
      <w:pPr>
        <w:ind w:firstLine="560" w:firstLineChars="200"/>
        <w:jc w:val="left"/>
        <w:rPr>
          <w:rFonts w:hint="eastAsia" w:ascii="仿宋" w:hAnsi="仿宋" w:eastAsia="仿宋"/>
          <w:sz w:val="28"/>
          <w:szCs w:val="28"/>
        </w:rPr>
      </w:pPr>
      <w:r>
        <w:rPr>
          <w:rFonts w:hint="eastAsia" w:ascii="仿宋" w:hAnsi="仿宋" w:eastAsia="仿宋"/>
          <w:sz w:val="28"/>
          <w:szCs w:val="28"/>
        </w:rPr>
        <w:t>年初预算为</w:t>
      </w:r>
      <w:r>
        <w:rPr>
          <w:rFonts w:hint="eastAsia" w:ascii="仿宋" w:hAnsi="仿宋" w:eastAsia="仿宋"/>
          <w:sz w:val="28"/>
          <w:szCs w:val="28"/>
          <w:lang w:val="en-US" w:eastAsia="zh-CN"/>
        </w:rPr>
        <w:t>0</w:t>
      </w:r>
      <w:r>
        <w:rPr>
          <w:rFonts w:hint="eastAsia" w:ascii="仿宋" w:hAnsi="仿宋" w:eastAsia="仿宋"/>
          <w:sz w:val="28"/>
          <w:szCs w:val="28"/>
        </w:rPr>
        <w:t>万元，支出决算为176.18万元，</w:t>
      </w:r>
      <w:r>
        <w:rPr>
          <w:rFonts w:hint="eastAsia" w:ascii="仿宋" w:hAnsi="仿宋" w:eastAsia="仿宋"/>
          <w:sz w:val="28"/>
          <w:szCs w:val="28"/>
          <w:lang w:val="en-US" w:eastAsia="zh-CN"/>
        </w:rPr>
        <w:t>决算数大于年初预算数，主要原因是年中追加项目预算。</w:t>
      </w:r>
    </w:p>
    <w:p>
      <w:pPr>
        <w:ind w:firstLine="560" w:firstLineChars="200"/>
        <w:jc w:val="left"/>
        <w:rPr>
          <w:rFonts w:ascii="仿宋" w:hAnsi="仿宋" w:eastAsia="仿宋"/>
          <w:sz w:val="28"/>
          <w:szCs w:val="28"/>
        </w:rPr>
      </w:pPr>
      <w:r>
        <w:rPr>
          <w:rFonts w:hint="eastAsia" w:ascii="仿宋" w:hAnsi="仿宋" w:eastAsia="仿宋"/>
          <w:sz w:val="28"/>
          <w:szCs w:val="28"/>
        </w:rPr>
        <w:t>7、节能环保支出（类）污染防治（款）其他污染防治支出（项）。</w:t>
      </w:r>
    </w:p>
    <w:p>
      <w:pPr>
        <w:ind w:firstLine="560" w:firstLineChars="200"/>
        <w:jc w:val="left"/>
        <w:rPr>
          <w:rFonts w:ascii="仿宋" w:hAnsi="仿宋" w:eastAsia="仿宋"/>
          <w:sz w:val="28"/>
          <w:szCs w:val="28"/>
        </w:rPr>
      </w:pPr>
      <w:r>
        <w:rPr>
          <w:rFonts w:hint="eastAsia" w:ascii="仿宋" w:hAnsi="仿宋" w:eastAsia="仿宋"/>
          <w:sz w:val="28"/>
          <w:szCs w:val="28"/>
        </w:rPr>
        <w:t>年初预算为30万元，支出决算为30万元，完成年初预算的100%</w:t>
      </w:r>
      <w:r>
        <w:rPr>
          <w:rFonts w:hint="eastAsia" w:ascii="仿宋" w:hAnsi="仿宋" w:eastAsia="仿宋"/>
          <w:sz w:val="28"/>
          <w:szCs w:val="28"/>
          <w:lang w:eastAsia="zh-CN"/>
        </w:rPr>
        <w:t>。</w:t>
      </w:r>
      <w:r>
        <w:rPr>
          <w:rFonts w:hint="eastAsia" w:ascii="仿宋" w:hAnsi="仿宋" w:eastAsia="仿宋"/>
          <w:sz w:val="28"/>
          <w:szCs w:val="28"/>
          <w:lang w:val="en-US" w:eastAsia="zh-CN"/>
        </w:rPr>
        <w:t>决算数与预算数一致</w:t>
      </w:r>
      <w:r>
        <w:rPr>
          <w:rFonts w:hint="eastAsia" w:ascii="仿宋" w:hAnsi="仿宋" w:eastAsia="仿宋"/>
          <w:sz w:val="28"/>
          <w:szCs w:val="28"/>
        </w:rPr>
        <w:t>。</w:t>
      </w:r>
    </w:p>
    <w:p>
      <w:pPr>
        <w:ind w:firstLine="560" w:firstLineChars="200"/>
        <w:jc w:val="left"/>
        <w:rPr>
          <w:rFonts w:ascii="仿宋" w:hAnsi="仿宋" w:eastAsia="仿宋"/>
          <w:sz w:val="28"/>
          <w:szCs w:val="28"/>
        </w:rPr>
      </w:pPr>
      <w:r>
        <w:rPr>
          <w:rFonts w:hint="eastAsia" w:ascii="仿宋" w:hAnsi="仿宋" w:eastAsia="仿宋"/>
          <w:sz w:val="28"/>
          <w:szCs w:val="28"/>
        </w:rPr>
        <w:t>8、节能环保支出（类）污染减排（款）生态环境监测与信息（项）。</w:t>
      </w:r>
    </w:p>
    <w:p>
      <w:pPr>
        <w:ind w:firstLine="560" w:firstLineChars="200"/>
        <w:jc w:val="left"/>
        <w:rPr>
          <w:rFonts w:ascii="仿宋" w:hAnsi="仿宋" w:eastAsia="仿宋"/>
          <w:sz w:val="28"/>
          <w:szCs w:val="28"/>
        </w:rPr>
      </w:pPr>
      <w:r>
        <w:rPr>
          <w:rFonts w:hint="eastAsia" w:ascii="仿宋" w:hAnsi="仿宋" w:eastAsia="仿宋"/>
          <w:sz w:val="28"/>
          <w:szCs w:val="28"/>
        </w:rPr>
        <w:t>年初预算为543.63万元，支出决算为365.69万元，完成年初预算的</w:t>
      </w:r>
      <w:r>
        <w:rPr>
          <w:rFonts w:hint="eastAsia" w:ascii="仿宋" w:hAnsi="仿宋" w:eastAsia="仿宋"/>
          <w:sz w:val="28"/>
          <w:szCs w:val="28"/>
          <w:lang w:val="en-US" w:eastAsia="zh-CN"/>
        </w:rPr>
        <w:t>67.27%，</w:t>
      </w:r>
      <w:r>
        <w:rPr>
          <w:rFonts w:hint="eastAsia" w:ascii="仿宋" w:hAnsi="仿宋" w:eastAsia="仿宋"/>
          <w:sz w:val="28"/>
          <w:szCs w:val="28"/>
        </w:rPr>
        <w:t>决算数</w:t>
      </w:r>
      <w:r>
        <w:rPr>
          <w:rFonts w:hint="eastAsia" w:ascii="仿宋" w:hAnsi="仿宋" w:eastAsia="仿宋"/>
          <w:sz w:val="28"/>
          <w:szCs w:val="28"/>
          <w:lang w:val="en-US" w:eastAsia="zh-CN"/>
        </w:rPr>
        <w:t>小</w:t>
      </w:r>
      <w:r>
        <w:rPr>
          <w:rFonts w:hint="eastAsia" w:ascii="仿宋" w:hAnsi="仿宋" w:eastAsia="仿宋"/>
          <w:sz w:val="28"/>
          <w:szCs w:val="28"/>
        </w:rPr>
        <w:t>于年初预算数的主要原因是：因为</w:t>
      </w:r>
      <w:r>
        <w:rPr>
          <w:rFonts w:hint="eastAsia" w:ascii="仿宋" w:hAnsi="仿宋" w:eastAsia="仿宋"/>
          <w:sz w:val="28"/>
          <w:szCs w:val="28"/>
          <w:lang w:val="en-US" w:eastAsia="zh-CN"/>
        </w:rPr>
        <w:t>项目支出未支付完毕</w:t>
      </w:r>
      <w:r>
        <w:rPr>
          <w:rFonts w:hint="eastAsia" w:ascii="仿宋" w:hAnsi="仿宋" w:eastAsia="仿宋"/>
          <w:sz w:val="28"/>
          <w:szCs w:val="28"/>
        </w:rPr>
        <w:t>。</w:t>
      </w:r>
    </w:p>
    <w:p>
      <w:pPr>
        <w:ind w:firstLine="560" w:firstLineChars="200"/>
        <w:jc w:val="left"/>
        <w:rPr>
          <w:rFonts w:ascii="仿宋" w:hAnsi="仿宋" w:eastAsia="仿宋"/>
          <w:sz w:val="28"/>
          <w:szCs w:val="28"/>
        </w:rPr>
      </w:pPr>
      <w:r>
        <w:rPr>
          <w:rFonts w:hint="eastAsia" w:ascii="仿宋" w:hAnsi="仿宋" w:eastAsia="仿宋"/>
          <w:sz w:val="28"/>
          <w:szCs w:val="28"/>
        </w:rPr>
        <w:t>9、住房保障支出（类）住房改革支出（款）住房公积金（项）。</w:t>
      </w:r>
    </w:p>
    <w:p>
      <w:pPr>
        <w:ind w:firstLine="560" w:firstLineChars="200"/>
        <w:jc w:val="left"/>
        <w:rPr>
          <w:rFonts w:ascii="仿宋" w:hAnsi="仿宋" w:eastAsia="仿宋"/>
          <w:sz w:val="28"/>
          <w:szCs w:val="28"/>
        </w:rPr>
      </w:pPr>
      <w:r>
        <w:rPr>
          <w:rFonts w:hint="eastAsia" w:ascii="仿宋" w:hAnsi="仿宋" w:eastAsia="仿宋"/>
          <w:sz w:val="28"/>
          <w:szCs w:val="28"/>
        </w:rPr>
        <w:t>年初预算为92.75万元，支出决算为92.75万元，完成年初预算的100%</w:t>
      </w:r>
      <w:r>
        <w:rPr>
          <w:rFonts w:hint="eastAsia" w:ascii="仿宋" w:hAnsi="仿宋" w:eastAsia="仿宋"/>
          <w:sz w:val="28"/>
          <w:szCs w:val="28"/>
          <w:lang w:eastAsia="zh-CN"/>
        </w:rPr>
        <w:t>，</w:t>
      </w:r>
      <w:r>
        <w:rPr>
          <w:rFonts w:hint="eastAsia" w:ascii="仿宋" w:hAnsi="仿宋" w:eastAsia="仿宋"/>
          <w:sz w:val="28"/>
          <w:szCs w:val="28"/>
          <w:lang w:val="en-US" w:eastAsia="zh-CN"/>
        </w:rPr>
        <w:t>决算数与预算数一致，是因为我单位人员没有变化 ，严格按预算执行</w:t>
      </w:r>
      <w:r>
        <w:rPr>
          <w:rFonts w:hint="eastAsia" w:ascii="仿宋" w:hAnsi="仿宋" w:eastAsia="仿宋"/>
          <w:sz w:val="28"/>
          <w:szCs w:val="28"/>
        </w:rPr>
        <w:t>。</w:t>
      </w:r>
    </w:p>
    <w:p>
      <w:pPr>
        <w:pStyle w:val="10"/>
        <w:ind w:firstLine="560" w:firstLineChars="200"/>
        <w:rPr>
          <w:rFonts w:hAnsi="黑体"/>
          <w:b/>
          <w:sz w:val="28"/>
          <w:szCs w:val="28"/>
        </w:rPr>
      </w:pPr>
      <w:r>
        <w:rPr>
          <w:rFonts w:hint="eastAsia" w:hAnsi="黑体"/>
          <w:b/>
          <w:sz w:val="28"/>
          <w:szCs w:val="28"/>
        </w:rPr>
        <w:t>六、一般公共预算财政拨款基本支出决算情况说明</w:t>
      </w:r>
    </w:p>
    <w:p>
      <w:pPr>
        <w:ind w:firstLine="560" w:firstLineChars="200"/>
        <w:jc w:val="left"/>
        <w:rPr>
          <w:rFonts w:ascii="仿宋" w:hAnsi="仿宋" w:eastAsia="仿宋"/>
          <w:sz w:val="28"/>
          <w:szCs w:val="28"/>
        </w:rPr>
      </w:pPr>
      <w:r>
        <w:rPr>
          <w:rFonts w:hint="eastAsia" w:ascii="仿宋" w:hAnsi="仿宋" w:eastAsia="仿宋"/>
          <w:sz w:val="28"/>
          <w:szCs w:val="28"/>
        </w:rPr>
        <w:t>2021年度财政拨款基本支出1034.56万元，其中：人员经费852.89万元，占基本支出的82</w:t>
      </w:r>
      <w:r>
        <w:rPr>
          <w:rFonts w:hint="eastAsia" w:ascii="仿宋" w:hAnsi="仿宋" w:eastAsia="仿宋"/>
          <w:sz w:val="28"/>
          <w:szCs w:val="28"/>
          <w:lang w:val="en-US" w:eastAsia="zh-CN"/>
        </w:rPr>
        <w:t>.44</w:t>
      </w:r>
      <w:r>
        <w:rPr>
          <w:rFonts w:hint="eastAsia" w:ascii="仿宋" w:hAnsi="仿宋" w:eastAsia="仿宋"/>
          <w:sz w:val="28"/>
          <w:szCs w:val="28"/>
        </w:rPr>
        <w:t>%,主要包括基本工资、津贴补贴、伙食补助费、绩效工资、机关事业单位基本养老保险缴费、职工基本医疗保险缴费、其他社会保障缴费、住房公积金、离休费、退休费；公用经费181.67万元，占基本支出的1</w:t>
      </w:r>
      <w:r>
        <w:rPr>
          <w:rFonts w:hint="eastAsia" w:ascii="仿宋" w:hAnsi="仿宋" w:eastAsia="仿宋"/>
          <w:sz w:val="28"/>
          <w:szCs w:val="28"/>
          <w:lang w:val="en-US" w:eastAsia="zh-CN"/>
        </w:rPr>
        <w:t>7.56</w:t>
      </w:r>
      <w:r>
        <w:rPr>
          <w:rFonts w:hint="eastAsia" w:ascii="仿宋" w:hAnsi="仿宋" w:eastAsia="仿宋"/>
          <w:sz w:val="28"/>
          <w:szCs w:val="28"/>
        </w:rPr>
        <w:t>%，主要包括办公费、咨询费、水费、电费、邮电费、物业管理费、差旅费、维修（护）费、培训费、公务接待费、劳务费、工会经费、福利费、公务用车运行维护费、其他交通费、其他商品和服务支出。</w:t>
      </w:r>
    </w:p>
    <w:p>
      <w:pPr>
        <w:pStyle w:val="10"/>
        <w:ind w:firstLine="560" w:firstLineChars="200"/>
        <w:rPr>
          <w:rFonts w:hAnsi="黑体"/>
          <w:b/>
          <w:sz w:val="28"/>
          <w:szCs w:val="28"/>
        </w:rPr>
      </w:pPr>
      <w:r>
        <w:rPr>
          <w:rFonts w:hint="eastAsia" w:hAnsi="黑体"/>
          <w:b/>
          <w:sz w:val="28"/>
          <w:szCs w:val="28"/>
        </w:rPr>
        <w:t>七、一般公共预算财政拨款“三公”经费支出决算情况说明</w:t>
      </w:r>
    </w:p>
    <w:p>
      <w:pPr>
        <w:pStyle w:val="10"/>
        <w:ind w:firstLine="560" w:firstLineChars="200"/>
        <w:rPr>
          <w:rFonts w:ascii="仿宋" w:hAnsi="仿宋" w:eastAsia="仿宋"/>
          <w:b/>
          <w:sz w:val="28"/>
          <w:szCs w:val="28"/>
        </w:rPr>
      </w:pPr>
      <w:r>
        <w:rPr>
          <w:rFonts w:hint="eastAsia" w:ascii="仿宋" w:hAnsi="仿宋" w:eastAsia="仿宋"/>
          <w:b/>
          <w:sz w:val="28"/>
          <w:szCs w:val="28"/>
        </w:rPr>
        <w:t>（一）“三公”经费财政拨款支出决算总体情况说明</w:t>
      </w:r>
    </w:p>
    <w:p>
      <w:pPr>
        <w:ind w:firstLine="560" w:firstLineChars="200"/>
        <w:jc w:val="left"/>
        <w:rPr>
          <w:rFonts w:ascii="仿宋" w:hAnsi="仿宋" w:eastAsia="仿宋"/>
          <w:sz w:val="28"/>
          <w:szCs w:val="28"/>
        </w:rPr>
      </w:pPr>
      <w:r>
        <w:rPr>
          <w:rFonts w:hint="eastAsia" w:ascii="仿宋" w:hAnsi="仿宋" w:eastAsia="仿宋"/>
          <w:sz w:val="28"/>
          <w:szCs w:val="28"/>
        </w:rPr>
        <w:t>2021年度“三公”经费财政拨款支出预算为44万元，支出决算为44万元，完成预算的100%，其中：</w:t>
      </w:r>
    </w:p>
    <w:p>
      <w:pPr>
        <w:ind w:firstLine="560" w:firstLineChars="200"/>
        <w:jc w:val="left"/>
        <w:rPr>
          <w:rFonts w:ascii="仿宋" w:hAnsi="仿宋" w:eastAsia="仿宋"/>
          <w:sz w:val="28"/>
          <w:szCs w:val="28"/>
        </w:rPr>
      </w:pPr>
      <w:r>
        <w:rPr>
          <w:rFonts w:hint="eastAsia" w:ascii="仿宋" w:hAnsi="仿宋" w:eastAsia="仿宋"/>
          <w:sz w:val="28"/>
          <w:szCs w:val="28"/>
        </w:rPr>
        <w:t>公务接待费支出预算为4.89万元，支出决算为4.89万元，完成预算的100%，</w:t>
      </w:r>
      <w:r>
        <w:rPr>
          <w:rFonts w:hint="eastAsia" w:ascii="仿宋" w:hAnsi="仿宋" w:eastAsia="仿宋"/>
          <w:sz w:val="28"/>
          <w:szCs w:val="28"/>
          <w:lang w:val="en-US" w:eastAsia="zh-CN"/>
        </w:rPr>
        <w:t>决算数与预算数一致，是因为我单位严格按预算执行决算。</w:t>
      </w:r>
      <w:r>
        <w:rPr>
          <w:rFonts w:hint="eastAsia" w:ascii="仿宋" w:hAnsi="仿宋" w:eastAsia="仿宋"/>
          <w:sz w:val="28"/>
          <w:szCs w:val="28"/>
        </w:rPr>
        <w:t>与上年相比增加3.31万元，增长</w:t>
      </w:r>
      <w:r>
        <w:rPr>
          <w:rFonts w:hint="eastAsia" w:ascii="仿宋" w:hAnsi="仿宋" w:eastAsia="仿宋"/>
          <w:sz w:val="28"/>
          <w:szCs w:val="28"/>
          <w:lang w:val="en-US" w:eastAsia="zh-CN"/>
        </w:rPr>
        <w:t>209.49</w:t>
      </w:r>
      <w:r>
        <w:rPr>
          <w:rFonts w:hint="eastAsia" w:ascii="仿宋" w:hAnsi="仿宋" w:eastAsia="仿宋"/>
          <w:sz w:val="28"/>
          <w:szCs w:val="28"/>
        </w:rPr>
        <w:t>%,增长的主要原因是2020年单位上收过渡期市级财政垫付资金所产生的招待费未纳入公共预算。</w:t>
      </w:r>
    </w:p>
    <w:p>
      <w:pPr>
        <w:ind w:firstLine="560" w:firstLineChars="200"/>
        <w:jc w:val="left"/>
        <w:rPr>
          <w:rFonts w:ascii="仿宋" w:hAnsi="仿宋" w:eastAsia="仿宋"/>
          <w:sz w:val="28"/>
          <w:szCs w:val="28"/>
        </w:rPr>
      </w:pPr>
      <w:r>
        <w:rPr>
          <w:rFonts w:hint="eastAsia" w:ascii="仿宋" w:hAnsi="仿宋" w:eastAsia="仿宋"/>
          <w:sz w:val="28"/>
          <w:szCs w:val="28"/>
        </w:rPr>
        <w:t>公务用车购置费支出预算为19.57万元，支出决算为19.57万元，完成预算的100%，与上年相比增加19.57万元，增长100%,增长的主要原因是2021年购置新车一台。</w:t>
      </w:r>
    </w:p>
    <w:p>
      <w:pPr>
        <w:ind w:firstLine="560" w:firstLineChars="200"/>
        <w:jc w:val="left"/>
        <w:rPr>
          <w:rFonts w:ascii="仿宋" w:hAnsi="仿宋" w:eastAsia="仿宋"/>
          <w:sz w:val="28"/>
          <w:szCs w:val="28"/>
        </w:rPr>
      </w:pPr>
      <w:r>
        <w:rPr>
          <w:rFonts w:hint="eastAsia" w:ascii="仿宋" w:hAnsi="仿宋" w:eastAsia="仿宋"/>
          <w:sz w:val="28"/>
          <w:szCs w:val="28"/>
        </w:rPr>
        <w:t>公务用车运行维护费支出预算为19.54万元，支出决算为19.54万元，完成预算的100%，</w:t>
      </w:r>
      <w:r>
        <w:rPr>
          <w:rFonts w:hint="eastAsia" w:ascii="仿宋" w:hAnsi="仿宋" w:eastAsia="仿宋"/>
          <w:sz w:val="28"/>
          <w:szCs w:val="28"/>
          <w:lang w:val="en-US" w:eastAsia="zh-CN"/>
        </w:rPr>
        <w:t>决算数与预算数一致，是因为我单位严格按预算执行决算。</w:t>
      </w:r>
      <w:r>
        <w:rPr>
          <w:rFonts w:hint="eastAsia" w:ascii="仿宋" w:hAnsi="仿宋" w:eastAsia="仿宋"/>
          <w:sz w:val="28"/>
          <w:szCs w:val="28"/>
        </w:rPr>
        <w:t>与上年相比增加11.54万元，增长</w:t>
      </w:r>
      <w:r>
        <w:rPr>
          <w:rFonts w:hint="eastAsia" w:ascii="仿宋" w:hAnsi="仿宋" w:eastAsia="仿宋"/>
          <w:sz w:val="28"/>
          <w:szCs w:val="28"/>
          <w:lang w:val="en-US" w:eastAsia="zh-CN"/>
        </w:rPr>
        <w:t>144.25</w:t>
      </w:r>
      <w:r>
        <w:rPr>
          <w:rFonts w:hint="eastAsia" w:ascii="仿宋" w:hAnsi="仿宋" w:eastAsia="仿宋"/>
          <w:sz w:val="28"/>
          <w:szCs w:val="28"/>
        </w:rPr>
        <w:t>%,增长的主要原因是单位上收过渡期市级财政垫付资金所产生的车辆运行维护费未纳入公共预算。</w:t>
      </w:r>
    </w:p>
    <w:p>
      <w:pPr>
        <w:pStyle w:val="10"/>
        <w:ind w:firstLine="560" w:firstLineChars="200"/>
        <w:rPr>
          <w:rFonts w:ascii="仿宋" w:hAnsi="仿宋" w:eastAsia="仿宋"/>
          <w:b/>
          <w:sz w:val="28"/>
          <w:szCs w:val="28"/>
        </w:rPr>
      </w:pPr>
      <w:r>
        <w:rPr>
          <w:rFonts w:hint="eastAsia" w:ascii="仿宋" w:hAnsi="仿宋" w:eastAsia="仿宋"/>
          <w:b/>
          <w:sz w:val="28"/>
          <w:szCs w:val="28"/>
        </w:rPr>
        <w:t>（二）“三公”经费财政拨款支出决算具体情况说明</w:t>
      </w:r>
    </w:p>
    <w:p>
      <w:pPr>
        <w:ind w:firstLine="560" w:firstLineChars="200"/>
        <w:jc w:val="left"/>
        <w:rPr>
          <w:rFonts w:hint="eastAsia" w:ascii="仿宋" w:hAnsi="仿宋" w:eastAsia="仿宋"/>
          <w:sz w:val="28"/>
          <w:szCs w:val="28"/>
        </w:rPr>
      </w:pPr>
      <w:r>
        <w:rPr>
          <w:rFonts w:hint="eastAsia" w:ascii="仿宋" w:hAnsi="仿宋" w:eastAsia="仿宋"/>
          <w:sz w:val="28"/>
          <w:szCs w:val="28"/>
        </w:rPr>
        <w:t>2021年度“三公”经费财政拨款支出决算中，公务接待费支出决算4.89万元，占11</w:t>
      </w:r>
      <w:r>
        <w:rPr>
          <w:rFonts w:hint="eastAsia" w:ascii="仿宋" w:hAnsi="仿宋" w:eastAsia="仿宋"/>
          <w:sz w:val="28"/>
          <w:szCs w:val="28"/>
          <w:lang w:val="en-US" w:eastAsia="zh-CN"/>
        </w:rPr>
        <w:t>.11</w:t>
      </w:r>
      <w:r>
        <w:rPr>
          <w:rFonts w:hint="eastAsia" w:ascii="仿宋" w:hAnsi="仿宋" w:eastAsia="仿宋"/>
          <w:sz w:val="28"/>
          <w:szCs w:val="28"/>
        </w:rPr>
        <w:t>%</w:t>
      </w:r>
      <w:r>
        <w:rPr>
          <w:rFonts w:hint="eastAsia" w:ascii="仿宋" w:hAnsi="仿宋" w:eastAsia="仿宋"/>
          <w:sz w:val="28"/>
          <w:szCs w:val="28"/>
          <w:lang w:val="en-US" w:eastAsia="zh-CN"/>
        </w:rPr>
        <w:t>;</w:t>
      </w:r>
      <w:r>
        <w:rPr>
          <w:rFonts w:hint="eastAsia" w:ascii="仿宋" w:hAnsi="仿宋" w:eastAsia="仿宋"/>
          <w:sz w:val="28"/>
          <w:szCs w:val="28"/>
        </w:rPr>
        <w:t>因公出国（境）费支出决算</w:t>
      </w:r>
      <w:r>
        <w:rPr>
          <w:rFonts w:hint="eastAsia" w:ascii="仿宋" w:hAnsi="仿宋" w:eastAsia="仿宋"/>
          <w:sz w:val="28"/>
          <w:szCs w:val="28"/>
          <w:lang w:val="en-US" w:eastAsia="zh-CN"/>
        </w:rPr>
        <w:t>0</w:t>
      </w:r>
      <w:r>
        <w:rPr>
          <w:rFonts w:hint="eastAsia" w:ascii="仿宋" w:hAnsi="仿宋" w:eastAsia="仿宋"/>
          <w:sz w:val="28"/>
          <w:szCs w:val="28"/>
        </w:rPr>
        <w:t>万元，占</w:t>
      </w:r>
      <w:r>
        <w:rPr>
          <w:rFonts w:hint="eastAsia" w:ascii="仿宋" w:hAnsi="仿宋" w:eastAsia="仿宋"/>
          <w:sz w:val="28"/>
          <w:szCs w:val="28"/>
          <w:lang w:val="en-US" w:eastAsia="zh-CN"/>
        </w:rPr>
        <w:t>0</w:t>
      </w:r>
      <w:r>
        <w:rPr>
          <w:rFonts w:hint="eastAsia" w:ascii="仿宋" w:hAnsi="仿宋" w:eastAsia="仿宋"/>
          <w:sz w:val="28"/>
          <w:szCs w:val="28"/>
        </w:rPr>
        <w:t>%</w:t>
      </w:r>
      <w:r>
        <w:rPr>
          <w:rFonts w:hint="eastAsia" w:ascii="宋体" w:hAnsi="宋体" w:eastAsia="宋体"/>
          <w:sz w:val="24"/>
          <w:szCs w:val="24"/>
          <w:lang w:val="en-US" w:eastAsia="zh-CN"/>
        </w:rPr>
        <w:t>;</w:t>
      </w:r>
      <w:r>
        <w:rPr>
          <w:rFonts w:hint="eastAsia" w:ascii="仿宋" w:hAnsi="仿宋" w:eastAsia="仿宋"/>
          <w:sz w:val="28"/>
          <w:szCs w:val="28"/>
        </w:rPr>
        <w:t>公务用车购置费及运行维护费支出决算39.11万元，占</w:t>
      </w:r>
      <w:r>
        <w:rPr>
          <w:rFonts w:hint="eastAsia" w:ascii="仿宋" w:hAnsi="仿宋" w:eastAsia="仿宋"/>
          <w:sz w:val="28"/>
          <w:szCs w:val="28"/>
          <w:lang w:val="en-US" w:eastAsia="zh-CN"/>
        </w:rPr>
        <w:t>88.</w:t>
      </w:r>
      <w:r>
        <w:rPr>
          <w:rFonts w:hint="eastAsia" w:ascii="仿宋" w:hAnsi="仿宋" w:eastAsia="仿宋"/>
          <w:sz w:val="28"/>
          <w:szCs w:val="28"/>
        </w:rPr>
        <w:t>89%。其中：</w:t>
      </w:r>
    </w:p>
    <w:p>
      <w:pPr>
        <w:ind w:firstLine="560" w:firstLineChars="200"/>
        <w:jc w:val="left"/>
        <w:rPr>
          <w:rFonts w:hint="eastAsia" w:ascii="仿宋" w:hAnsi="仿宋" w:eastAsia="仿宋"/>
          <w:sz w:val="28"/>
          <w:szCs w:val="28"/>
          <w:lang w:val="en-US" w:eastAsia="zh-CN"/>
        </w:rPr>
      </w:pPr>
      <w:r>
        <w:rPr>
          <w:rFonts w:hint="eastAsia" w:ascii="仿宋" w:hAnsi="仿宋" w:eastAsia="仿宋"/>
          <w:sz w:val="28"/>
          <w:szCs w:val="28"/>
          <w:lang w:val="en-US" w:eastAsia="zh-CN"/>
        </w:rPr>
        <w:t>1、</w:t>
      </w:r>
      <w:r>
        <w:rPr>
          <w:rFonts w:hint="eastAsia" w:ascii="仿宋" w:hAnsi="仿宋" w:eastAsia="仿宋"/>
          <w:color w:val="auto"/>
          <w:sz w:val="28"/>
          <w:szCs w:val="28"/>
        </w:rPr>
        <w:t>因公出国（境）费支出决算为0万元，全年安排因公出国（境）团组0个，累计0人次</w:t>
      </w:r>
      <w:r>
        <w:rPr>
          <w:rFonts w:hint="eastAsia" w:ascii="仿宋" w:hAnsi="仿宋" w:eastAsia="仿宋"/>
          <w:color w:val="auto"/>
          <w:sz w:val="28"/>
          <w:szCs w:val="28"/>
          <w:lang w:eastAsia="zh-CN"/>
        </w:rPr>
        <w:t>。</w:t>
      </w:r>
    </w:p>
    <w:p>
      <w:pPr>
        <w:ind w:firstLine="560" w:firstLineChars="200"/>
        <w:jc w:val="left"/>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、公务接待费支出决算为4.89万元，全年共接待来访团组48个、来宾350人，主要是接待省市兄弟单位及其他业务单位来岳公务活动发生的接待支出。</w:t>
      </w:r>
    </w:p>
    <w:p>
      <w:pPr>
        <w:ind w:firstLine="560" w:firstLineChars="200"/>
        <w:jc w:val="left"/>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公务用车购置费及运行维护费支出决算为39.11万元，其中：公务用车购置费19.57万元，湖南省岳阳生态环境监测中心单位本级更新监测用车1辆。公务用车运行维护费19.54万元，主要是用于车辆加油、保险、高速通行费、运行维护等支出</w:t>
      </w:r>
      <w:r>
        <w:rPr>
          <w:rFonts w:hint="eastAsia" w:ascii="仿宋" w:hAnsi="仿宋" w:eastAsia="仿宋"/>
          <w:sz w:val="28"/>
          <w:szCs w:val="28"/>
          <w:lang w:eastAsia="zh-CN"/>
        </w:rPr>
        <w:t>。</w:t>
      </w:r>
      <w:r>
        <w:rPr>
          <w:rFonts w:hint="eastAsia" w:ascii="仿宋" w:hAnsi="仿宋" w:eastAsia="仿宋"/>
          <w:sz w:val="28"/>
          <w:szCs w:val="28"/>
        </w:rPr>
        <w:t>截止2021年12月31日，我单位开支财政拨款的公务用车保有量为6辆（其中一辆监测用车待拍卖中）。</w:t>
      </w:r>
    </w:p>
    <w:p>
      <w:pPr>
        <w:pStyle w:val="10"/>
        <w:ind w:firstLine="560" w:firstLineChars="200"/>
        <w:rPr>
          <w:rFonts w:hAnsi="黑体"/>
          <w:b/>
          <w:sz w:val="28"/>
          <w:szCs w:val="28"/>
        </w:rPr>
      </w:pPr>
      <w:r>
        <w:rPr>
          <w:rFonts w:hint="eastAsia" w:hAnsi="黑体"/>
          <w:b/>
          <w:sz w:val="28"/>
          <w:szCs w:val="28"/>
        </w:rPr>
        <w:t>八、政府性基金预算收入支出决算情况</w:t>
      </w:r>
    </w:p>
    <w:p>
      <w:pPr>
        <w:ind w:firstLine="560" w:firstLineChars="200"/>
        <w:jc w:val="left"/>
        <w:rPr>
          <w:rFonts w:hint="eastAsia" w:ascii="仿宋" w:hAnsi="仿宋" w:eastAsia="仿宋"/>
          <w:sz w:val="28"/>
          <w:szCs w:val="28"/>
        </w:rPr>
      </w:pPr>
      <w:r>
        <w:rPr>
          <w:rFonts w:hint="eastAsia" w:ascii="仿宋" w:hAnsi="仿宋" w:eastAsia="仿宋"/>
          <w:sz w:val="28"/>
          <w:szCs w:val="28"/>
        </w:rPr>
        <w:t xml:space="preserve"> 2021年度无政府性基金预算收入支出。</w:t>
      </w:r>
    </w:p>
    <w:p>
      <w:pPr>
        <w:pStyle w:val="10"/>
        <w:ind w:firstLine="627" w:firstLineChars="196"/>
        <w:rPr>
          <w:rFonts w:hAnsi="黑体"/>
          <w:b/>
          <w:sz w:val="32"/>
          <w:szCs w:val="32"/>
        </w:rPr>
      </w:pPr>
      <w:r>
        <w:rPr>
          <w:rFonts w:hint="eastAsia" w:hAnsi="黑体"/>
          <w:b/>
          <w:sz w:val="32"/>
          <w:szCs w:val="32"/>
        </w:rPr>
        <w:t>九、机关运行经费支出说明</w:t>
      </w:r>
    </w:p>
    <w:p>
      <w:pPr>
        <w:ind w:firstLine="560" w:firstLineChars="200"/>
        <w:jc w:val="left"/>
        <w:rPr>
          <w:rFonts w:hint="eastAsia" w:ascii="仿宋" w:hAnsi="仿宋" w:eastAsia="仿宋" w:cstheme="minorBidi"/>
          <w:kern w:val="2"/>
          <w:sz w:val="28"/>
          <w:szCs w:val="28"/>
        </w:rPr>
      </w:pPr>
      <w:r>
        <w:rPr>
          <w:rFonts w:hint="eastAsia" w:ascii="仿宋" w:hAnsi="仿宋" w:eastAsia="仿宋" w:cstheme="minorBidi"/>
          <w:color w:val="auto"/>
          <w:kern w:val="2"/>
          <w:sz w:val="28"/>
          <w:szCs w:val="28"/>
          <w:highlight w:val="none"/>
        </w:rPr>
        <w:t>本部门2021年度机关运行经费支出</w:t>
      </w:r>
      <w:r>
        <w:rPr>
          <w:rFonts w:hint="eastAsia" w:ascii="仿宋" w:hAnsi="仿宋" w:eastAsia="仿宋" w:cstheme="minorBidi"/>
          <w:kern w:val="2"/>
          <w:sz w:val="28"/>
          <w:szCs w:val="28"/>
          <w:lang w:eastAsia="zh-CN"/>
        </w:rPr>
        <w:t>1</w:t>
      </w:r>
      <w:r>
        <w:rPr>
          <w:rFonts w:hint="eastAsia" w:ascii="仿宋" w:hAnsi="仿宋" w:eastAsia="仿宋" w:cstheme="minorBidi"/>
          <w:kern w:val="2"/>
          <w:sz w:val="28"/>
          <w:szCs w:val="28"/>
          <w:lang w:val="en-US" w:eastAsia="zh-CN"/>
        </w:rPr>
        <w:t>81</w:t>
      </w:r>
      <w:r>
        <w:rPr>
          <w:rFonts w:hint="eastAsia" w:ascii="仿宋" w:hAnsi="仿宋" w:eastAsia="仿宋" w:cstheme="minorBidi"/>
          <w:color w:val="auto"/>
          <w:kern w:val="2"/>
          <w:sz w:val="28"/>
          <w:szCs w:val="28"/>
          <w:highlight w:val="none"/>
          <w:lang w:val="en-US" w:eastAsia="zh-CN"/>
        </w:rPr>
        <w:t>.</w:t>
      </w:r>
      <w:r>
        <w:rPr>
          <w:rFonts w:hint="eastAsia" w:ascii="仿宋" w:hAnsi="仿宋" w:eastAsia="仿宋" w:cstheme="minorBidi"/>
          <w:kern w:val="2"/>
          <w:sz w:val="28"/>
          <w:szCs w:val="28"/>
          <w:lang w:eastAsia="zh-CN"/>
        </w:rPr>
        <w:t>6</w:t>
      </w:r>
      <w:r>
        <w:rPr>
          <w:rFonts w:hint="eastAsia" w:ascii="仿宋" w:hAnsi="仿宋" w:eastAsia="仿宋" w:cstheme="minorBidi"/>
          <w:kern w:val="2"/>
          <w:sz w:val="28"/>
          <w:szCs w:val="28"/>
          <w:lang w:val="en-US" w:eastAsia="zh-CN"/>
        </w:rPr>
        <w:t>7</w:t>
      </w:r>
      <w:r>
        <w:rPr>
          <w:rFonts w:hint="eastAsia" w:ascii="仿宋" w:hAnsi="仿宋" w:eastAsia="仿宋" w:cstheme="minorBidi"/>
          <w:color w:val="auto"/>
          <w:kern w:val="2"/>
          <w:sz w:val="28"/>
          <w:szCs w:val="28"/>
          <w:highlight w:val="none"/>
        </w:rPr>
        <w:t>万元</w:t>
      </w:r>
      <w:r>
        <w:rPr>
          <w:rFonts w:hint="eastAsia" w:ascii="仿宋" w:hAnsi="仿宋" w:eastAsia="仿宋" w:cstheme="minorBidi"/>
          <w:color w:val="auto"/>
          <w:kern w:val="2"/>
          <w:sz w:val="28"/>
          <w:szCs w:val="28"/>
          <w:highlight w:val="none"/>
          <w:lang w:val="en-US" w:eastAsia="zh-CN"/>
        </w:rPr>
        <w:t>,</w:t>
      </w:r>
      <w:r>
        <w:rPr>
          <w:rFonts w:hint="eastAsia" w:ascii="仿宋" w:hAnsi="仿宋" w:eastAsia="仿宋" w:cstheme="minorBidi"/>
          <w:color w:val="auto"/>
          <w:kern w:val="2"/>
          <w:sz w:val="28"/>
          <w:szCs w:val="28"/>
          <w:highlight w:val="none"/>
        </w:rPr>
        <w:t>比上年决算数</w:t>
      </w:r>
      <w:r>
        <w:rPr>
          <w:rFonts w:hint="eastAsia" w:ascii="仿宋" w:hAnsi="仿宋" w:eastAsia="仿宋" w:cstheme="minorBidi"/>
          <w:kern w:val="2"/>
          <w:sz w:val="28"/>
          <w:szCs w:val="28"/>
          <w:lang w:val="en-US" w:eastAsia="zh-CN"/>
        </w:rPr>
        <w:t>增加76</w:t>
      </w:r>
      <w:r>
        <w:rPr>
          <w:rFonts w:hint="eastAsia" w:ascii="仿宋" w:hAnsi="仿宋" w:eastAsia="仿宋" w:cstheme="minorBidi"/>
          <w:color w:val="auto"/>
          <w:kern w:val="2"/>
          <w:sz w:val="28"/>
          <w:szCs w:val="28"/>
          <w:highlight w:val="none"/>
          <w:lang w:val="en-US" w:eastAsia="zh-CN"/>
        </w:rPr>
        <w:t>.2</w:t>
      </w:r>
      <w:r>
        <w:rPr>
          <w:rFonts w:hint="eastAsia" w:ascii="仿宋" w:hAnsi="仿宋" w:eastAsia="仿宋" w:cstheme="minorBidi"/>
          <w:kern w:val="2"/>
          <w:sz w:val="28"/>
          <w:szCs w:val="28"/>
          <w:lang w:val="en-US" w:eastAsia="zh-CN"/>
        </w:rPr>
        <w:t>1</w:t>
      </w:r>
      <w:r>
        <w:rPr>
          <w:rFonts w:hint="eastAsia" w:ascii="仿宋" w:hAnsi="仿宋" w:eastAsia="仿宋" w:cstheme="minorBidi"/>
          <w:color w:val="auto"/>
          <w:kern w:val="2"/>
          <w:sz w:val="28"/>
          <w:szCs w:val="28"/>
          <w:highlight w:val="none"/>
        </w:rPr>
        <w:t>万元，</w:t>
      </w:r>
      <w:r>
        <w:rPr>
          <w:rFonts w:hint="eastAsia" w:ascii="仿宋" w:hAnsi="仿宋" w:eastAsia="仿宋" w:cstheme="minorBidi"/>
          <w:kern w:val="2"/>
          <w:sz w:val="28"/>
          <w:szCs w:val="28"/>
          <w:lang w:val="en-US" w:eastAsia="zh-CN"/>
        </w:rPr>
        <w:t>增加</w:t>
      </w:r>
      <w:r>
        <w:rPr>
          <w:rFonts w:hint="eastAsia" w:ascii="仿宋" w:hAnsi="仿宋" w:eastAsia="仿宋" w:cstheme="minorBidi"/>
          <w:color w:val="auto"/>
          <w:kern w:val="2"/>
          <w:sz w:val="28"/>
          <w:szCs w:val="28"/>
          <w:highlight w:val="none"/>
          <w:lang w:val="en-US" w:eastAsia="zh-CN"/>
        </w:rPr>
        <w:t>7</w:t>
      </w:r>
      <w:r>
        <w:rPr>
          <w:rFonts w:hint="eastAsia" w:ascii="仿宋" w:hAnsi="仿宋" w:eastAsia="仿宋" w:cstheme="minorBidi"/>
          <w:kern w:val="2"/>
          <w:sz w:val="28"/>
          <w:szCs w:val="28"/>
          <w:lang w:val="en-US" w:eastAsia="zh-CN"/>
        </w:rPr>
        <w:t>2.26</w:t>
      </w:r>
      <w:r>
        <w:rPr>
          <w:rFonts w:hint="eastAsia" w:ascii="仿宋" w:hAnsi="仿宋" w:eastAsia="仿宋" w:cstheme="minorBidi"/>
          <w:color w:val="auto"/>
          <w:kern w:val="2"/>
          <w:sz w:val="28"/>
          <w:szCs w:val="28"/>
          <w:highlight w:val="none"/>
        </w:rPr>
        <w:t>%。主要原因是：</w:t>
      </w:r>
      <w:r>
        <w:rPr>
          <w:rFonts w:hint="eastAsia" w:ascii="仿宋" w:hAnsi="仿宋" w:eastAsia="仿宋" w:cstheme="minorBidi"/>
          <w:kern w:val="2"/>
          <w:sz w:val="28"/>
          <w:szCs w:val="28"/>
          <w:lang w:val="en-US" w:eastAsia="zh-CN"/>
        </w:rPr>
        <w:t>机构改革后业务增加，公用经费随之增加</w:t>
      </w:r>
      <w:r>
        <w:rPr>
          <w:rFonts w:hint="eastAsia" w:ascii="仿宋" w:hAnsi="仿宋" w:eastAsia="仿宋" w:cstheme="minorBidi"/>
          <w:color w:val="auto"/>
          <w:kern w:val="2"/>
          <w:sz w:val="28"/>
          <w:szCs w:val="28"/>
          <w:highlight w:val="none"/>
        </w:rPr>
        <w:t>。</w:t>
      </w:r>
    </w:p>
    <w:p>
      <w:pPr>
        <w:pStyle w:val="10"/>
        <w:ind w:firstLine="560" w:firstLineChars="200"/>
        <w:rPr>
          <w:rFonts w:hAnsi="黑体"/>
          <w:b/>
          <w:sz w:val="28"/>
          <w:szCs w:val="28"/>
        </w:rPr>
      </w:pPr>
      <w:r>
        <w:rPr>
          <w:rFonts w:hint="eastAsia" w:hAnsi="黑体"/>
          <w:b/>
          <w:sz w:val="28"/>
          <w:szCs w:val="28"/>
        </w:rPr>
        <w:t>十、一般性支出情况说明</w:t>
      </w:r>
    </w:p>
    <w:p>
      <w:pPr>
        <w:ind w:firstLine="560" w:firstLineChars="200"/>
        <w:jc w:val="left"/>
        <w:rPr>
          <w:rFonts w:hint="eastAsia" w:ascii="仿宋" w:hAnsi="仿宋" w:eastAsia="仿宋"/>
          <w:sz w:val="28"/>
          <w:szCs w:val="28"/>
        </w:rPr>
      </w:pPr>
      <w:r>
        <w:rPr>
          <w:rFonts w:hint="eastAsia" w:ascii="仿宋" w:hAnsi="仿宋" w:eastAsia="仿宋"/>
          <w:sz w:val="28"/>
          <w:szCs w:val="28"/>
        </w:rPr>
        <w:t>2021年本部门开支</w:t>
      </w:r>
      <w:r>
        <w:rPr>
          <w:rFonts w:hint="eastAsia" w:ascii="仿宋" w:hAnsi="仿宋" w:eastAsia="仿宋"/>
          <w:sz w:val="28"/>
          <w:szCs w:val="28"/>
          <w:lang w:val="en-US" w:eastAsia="zh-CN"/>
        </w:rPr>
        <w:t>会议费0万元，无会议支出；开支</w:t>
      </w:r>
      <w:r>
        <w:rPr>
          <w:rFonts w:hint="eastAsia" w:ascii="仿宋" w:hAnsi="仿宋" w:eastAsia="仿宋"/>
          <w:sz w:val="28"/>
          <w:szCs w:val="28"/>
        </w:rPr>
        <w:t>培训费</w:t>
      </w:r>
      <w:r>
        <w:rPr>
          <w:rFonts w:hint="eastAsia" w:ascii="仿宋" w:hAnsi="仿宋" w:eastAsia="仿宋"/>
          <w:sz w:val="28"/>
          <w:szCs w:val="28"/>
          <w:lang w:val="en-US" w:eastAsia="zh-CN"/>
        </w:rPr>
        <w:t>0</w:t>
      </w:r>
      <w:r>
        <w:rPr>
          <w:rFonts w:hint="eastAsia" w:ascii="仿宋" w:hAnsi="仿宋" w:eastAsia="仿宋"/>
          <w:sz w:val="28"/>
          <w:szCs w:val="28"/>
        </w:rPr>
        <w:t>.</w:t>
      </w:r>
      <w:r>
        <w:rPr>
          <w:rFonts w:hint="eastAsia" w:ascii="仿宋" w:hAnsi="仿宋" w:eastAsia="仿宋"/>
          <w:sz w:val="28"/>
          <w:szCs w:val="28"/>
          <w:lang w:val="en-US" w:eastAsia="zh-CN"/>
        </w:rPr>
        <w:t>5</w:t>
      </w:r>
      <w:r>
        <w:rPr>
          <w:rFonts w:hint="eastAsia" w:ascii="仿宋" w:hAnsi="仿宋" w:eastAsia="仿宋"/>
          <w:sz w:val="28"/>
          <w:szCs w:val="28"/>
        </w:rPr>
        <w:t>万元，用于开展专业技术指导培训，人数300人，内容为：2021年度全国恶臭污染物监测技术培训、2020年岳阳市危化企业反恐治安防范知识培训。</w:t>
      </w:r>
    </w:p>
    <w:p>
      <w:pPr>
        <w:ind w:firstLine="560" w:firstLineChars="200"/>
        <w:jc w:val="left"/>
        <w:rPr>
          <w:rFonts w:hint="eastAsia" w:ascii="仿宋" w:hAnsi="仿宋" w:eastAsia="仿宋"/>
          <w:sz w:val="28"/>
          <w:szCs w:val="28"/>
        </w:rPr>
      </w:pPr>
      <w:r>
        <w:rPr>
          <w:rFonts w:hint="eastAsia" w:ascii="仿宋" w:hAnsi="仿宋" w:eastAsia="仿宋" w:cstheme="minorBidi"/>
          <w:i w:val="0"/>
          <w:iCs w:val="0"/>
          <w:caps w:val="0"/>
          <w:color w:val="auto"/>
          <w:spacing w:val="0"/>
          <w:kern w:val="2"/>
          <w:sz w:val="28"/>
          <w:szCs w:val="28"/>
          <w:shd w:val="clear" w:fill="auto"/>
          <w:lang w:val="en-US" w:eastAsia="zh-CN" w:bidi="ar"/>
        </w:rPr>
        <w:t>2021年度本部门未举办节庆、晚会、论坛、赛事等活动。</w:t>
      </w:r>
    </w:p>
    <w:p>
      <w:pPr>
        <w:pStyle w:val="10"/>
        <w:ind w:firstLine="560" w:firstLineChars="200"/>
        <w:rPr>
          <w:rFonts w:hAnsi="黑体"/>
          <w:b/>
          <w:sz w:val="28"/>
          <w:szCs w:val="28"/>
        </w:rPr>
      </w:pPr>
      <w:r>
        <w:rPr>
          <w:rFonts w:hint="eastAsia" w:hAnsi="黑体"/>
          <w:b/>
          <w:sz w:val="28"/>
          <w:szCs w:val="28"/>
        </w:rPr>
        <w:t>十一、政府采购支出说明</w:t>
      </w:r>
    </w:p>
    <w:p>
      <w:pPr>
        <w:ind w:firstLine="560" w:firstLineChars="200"/>
        <w:jc w:val="left"/>
        <w:rPr>
          <w:rFonts w:ascii="仿宋" w:hAnsi="仿宋" w:eastAsia="仿宋"/>
          <w:sz w:val="28"/>
          <w:szCs w:val="28"/>
        </w:rPr>
      </w:pPr>
      <w:r>
        <w:rPr>
          <w:rFonts w:hint="eastAsia" w:ascii="仿宋" w:hAnsi="仿宋" w:eastAsia="仿宋"/>
          <w:sz w:val="28"/>
          <w:szCs w:val="28"/>
        </w:rPr>
        <w:t>本部门2021年度政府采购支出总额387.61万元，其中：政府采购货物支出361.36万元、政府采购工程支出0 万元、政府采购服务支出26.25万元。授予中小企业合同金额387.61万元，占政府采购支出总额的100%，其中：授予小微企业合同金额56.38万元，占政府采购支出总额的14.55%。</w:t>
      </w:r>
    </w:p>
    <w:p>
      <w:pPr>
        <w:pStyle w:val="10"/>
        <w:ind w:firstLine="560" w:firstLineChars="200"/>
        <w:rPr>
          <w:rFonts w:hAnsi="黑体"/>
          <w:b/>
          <w:sz w:val="28"/>
          <w:szCs w:val="28"/>
        </w:rPr>
      </w:pPr>
      <w:r>
        <w:rPr>
          <w:rFonts w:hint="eastAsia" w:hAnsi="黑体"/>
          <w:b/>
          <w:sz w:val="28"/>
          <w:szCs w:val="28"/>
        </w:rPr>
        <w:t>十二、国有资产占用情况说明</w:t>
      </w:r>
    </w:p>
    <w:p>
      <w:pPr>
        <w:ind w:firstLine="560" w:firstLineChars="200"/>
        <w:jc w:val="left"/>
        <w:rPr>
          <w:rFonts w:ascii="仿宋" w:hAnsi="仿宋" w:eastAsia="仿宋"/>
          <w:color w:val="FF0000"/>
          <w:sz w:val="28"/>
          <w:szCs w:val="28"/>
        </w:rPr>
      </w:pPr>
      <w:r>
        <w:rPr>
          <w:rFonts w:hint="eastAsia" w:ascii="仿宋" w:hAnsi="仿宋" w:eastAsia="仿宋"/>
          <w:sz w:val="28"/>
          <w:szCs w:val="28"/>
        </w:rPr>
        <w:t>截至2021年12月31日，部门（单位）共有车辆为6辆（其中一辆监测用车待拍卖中）</w:t>
      </w:r>
      <w:r>
        <w:rPr>
          <w:rFonts w:hint="eastAsia" w:ascii="仿宋" w:hAnsi="仿宋" w:eastAsia="仿宋"/>
          <w:sz w:val="28"/>
          <w:szCs w:val="28"/>
          <w:lang w:eastAsia="zh-CN"/>
        </w:rPr>
        <w:t>，</w:t>
      </w:r>
      <w:r>
        <w:rPr>
          <w:rFonts w:hint="eastAsia" w:ascii="仿宋" w:hAnsi="仿宋" w:eastAsia="仿宋"/>
          <w:sz w:val="28"/>
          <w:szCs w:val="28"/>
          <w:lang w:val="en-US" w:eastAsia="zh-CN"/>
        </w:rPr>
        <w:t>实有可用车辆</w:t>
      </w:r>
      <w:r>
        <w:rPr>
          <w:rFonts w:hint="eastAsia" w:ascii="仿宋" w:hAnsi="仿宋" w:eastAsia="仿宋"/>
          <w:sz w:val="28"/>
          <w:szCs w:val="28"/>
        </w:rPr>
        <w:t>5辆，</w:t>
      </w:r>
      <w:r>
        <w:rPr>
          <w:rFonts w:hint="eastAsia" w:ascii="仿宋" w:hAnsi="仿宋" w:eastAsia="仿宋" w:cstheme="minorBidi"/>
          <w:kern w:val="2"/>
          <w:sz w:val="28"/>
          <w:szCs w:val="28"/>
          <w:lang w:val="en-US" w:eastAsia="zh-CN"/>
        </w:rPr>
        <w:t>其中：</w:t>
      </w:r>
      <w:r>
        <w:rPr>
          <w:rFonts w:hint="eastAsia" w:ascii="仿宋" w:hAnsi="仿宋" w:eastAsia="仿宋" w:cstheme="minorBidi"/>
          <w:kern w:val="2"/>
          <w:sz w:val="28"/>
          <w:szCs w:val="28"/>
        </w:rPr>
        <w:t>领导干部用车</w:t>
      </w:r>
      <w:r>
        <w:rPr>
          <w:rFonts w:hint="eastAsia" w:ascii="仿宋" w:hAnsi="仿宋" w:eastAsia="仿宋" w:cstheme="minorBidi"/>
          <w:kern w:val="2"/>
          <w:sz w:val="28"/>
          <w:szCs w:val="28"/>
          <w:lang w:val="en-US" w:eastAsia="zh-CN"/>
        </w:rPr>
        <w:t>0</w:t>
      </w:r>
      <w:r>
        <w:rPr>
          <w:rFonts w:hint="eastAsia" w:ascii="仿宋" w:hAnsi="仿宋" w:eastAsia="仿宋" w:cstheme="minorBidi"/>
          <w:kern w:val="2"/>
          <w:sz w:val="28"/>
          <w:szCs w:val="28"/>
        </w:rPr>
        <w:t>辆、一般公务用车</w:t>
      </w:r>
      <w:r>
        <w:rPr>
          <w:rFonts w:hint="eastAsia" w:ascii="仿宋" w:hAnsi="仿宋" w:eastAsia="仿宋" w:cstheme="minorBidi"/>
          <w:kern w:val="2"/>
          <w:sz w:val="28"/>
          <w:szCs w:val="28"/>
          <w:lang w:val="en-US" w:eastAsia="zh-CN"/>
        </w:rPr>
        <w:t>0</w:t>
      </w:r>
      <w:r>
        <w:rPr>
          <w:rFonts w:hint="eastAsia" w:ascii="仿宋" w:hAnsi="仿宋" w:eastAsia="仿宋" w:cstheme="minorBidi"/>
          <w:kern w:val="2"/>
          <w:sz w:val="28"/>
          <w:szCs w:val="28"/>
        </w:rPr>
        <w:t>辆、一般执法执勤用车</w:t>
      </w:r>
      <w:r>
        <w:rPr>
          <w:rFonts w:hint="eastAsia" w:ascii="仿宋" w:hAnsi="仿宋" w:eastAsia="仿宋" w:cstheme="minorBidi"/>
          <w:kern w:val="2"/>
          <w:sz w:val="28"/>
          <w:szCs w:val="28"/>
          <w:lang w:val="en-US" w:eastAsia="zh-CN"/>
        </w:rPr>
        <w:t>0</w:t>
      </w:r>
      <w:r>
        <w:rPr>
          <w:rFonts w:hint="eastAsia" w:ascii="仿宋" w:hAnsi="仿宋" w:eastAsia="仿宋" w:cstheme="minorBidi"/>
          <w:kern w:val="2"/>
          <w:sz w:val="28"/>
          <w:szCs w:val="28"/>
        </w:rPr>
        <w:t>辆、</w:t>
      </w:r>
      <w:r>
        <w:rPr>
          <w:rFonts w:hint="eastAsia" w:ascii="仿宋" w:hAnsi="仿宋" w:eastAsia="仿宋"/>
          <w:sz w:val="28"/>
          <w:szCs w:val="28"/>
        </w:rPr>
        <w:t>监测用车</w:t>
      </w:r>
      <w:r>
        <w:rPr>
          <w:rFonts w:hint="eastAsia" w:ascii="仿宋" w:hAnsi="仿宋" w:eastAsia="仿宋"/>
          <w:sz w:val="28"/>
          <w:szCs w:val="28"/>
          <w:lang w:val="en-US" w:eastAsia="zh-CN"/>
        </w:rPr>
        <w:t>5辆、</w:t>
      </w:r>
      <w:r>
        <w:rPr>
          <w:rFonts w:hint="eastAsia" w:ascii="仿宋" w:hAnsi="仿宋" w:eastAsia="仿宋" w:cstheme="minorBidi"/>
          <w:kern w:val="2"/>
          <w:sz w:val="28"/>
          <w:szCs w:val="28"/>
        </w:rPr>
        <w:t>特种专业技术用车</w:t>
      </w:r>
      <w:r>
        <w:rPr>
          <w:rFonts w:hint="eastAsia" w:ascii="仿宋" w:hAnsi="仿宋" w:eastAsia="仿宋" w:cstheme="minorBidi"/>
          <w:kern w:val="2"/>
          <w:sz w:val="28"/>
          <w:szCs w:val="28"/>
          <w:lang w:val="en-US" w:eastAsia="zh-CN"/>
        </w:rPr>
        <w:t>0</w:t>
      </w:r>
      <w:r>
        <w:rPr>
          <w:rFonts w:hint="eastAsia" w:ascii="仿宋" w:hAnsi="仿宋" w:eastAsia="仿宋" w:cstheme="minorBidi"/>
          <w:kern w:val="2"/>
          <w:sz w:val="28"/>
          <w:szCs w:val="28"/>
        </w:rPr>
        <w:t xml:space="preserve"> 辆、其他用车</w:t>
      </w:r>
      <w:r>
        <w:rPr>
          <w:rFonts w:hint="eastAsia" w:ascii="仿宋" w:hAnsi="仿宋" w:eastAsia="仿宋" w:cstheme="minorBidi"/>
          <w:kern w:val="2"/>
          <w:sz w:val="28"/>
          <w:szCs w:val="28"/>
          <w:lang w:val="en-US" w:eastAsia="zh-CN"/>
        </w:rPr>
        <w:t>0</w:t>
      </w:r>
      <w:r>
        <w:rPr>
          <w:rFonts w:hint="eastAsia" w:ascii="仿宋" w:hAnsi="仿宋" w:eastAsia="仿宋" w:cstheme="minorBidi"/>
          <w:kern w:val="2"/>
          <w:sz w:val="28"/>
          <w:szCs w:val="28"/>
        </w:rPr>
        <w:t xml:space="preserve"> 辆</w:t>
      </w:r>
      <w:r>
        <w:rPr>
          <w:rFonts w:hint="eastAsia" w:ascii="仿宋" w:hAnsi="仿宋" w:eastAsia="仿宋"/>
          <w:sz w:val="28"/>
          <w:szCs w:val="28"/>
        </w:rPr>
        <w:t>；单位价值50万元以上通用设备0台（套）；</w:t>
      </w:r>
      <w:r>
        <w:rPr>
          <w:rFonts w:hint="eastAsia" w:ascii="仿宋" w:hAnsi="仿宋" w:eastAsia="仿宋"/>
          <w:color w:val="000000" w:themeColor="text1"/>
          <w:sz w:val="28"/>
          <w:szCs w:val="28"/>
          <w14:textFill>
            <w14:solidFill>
              <w14:schemeClr w14:val="tx1"/>
            </w14:solidFill>
          </w14:textFill>
        </w:rPr>
        <w:t>单位价值100万元以上专用设备3台（套）。</w:t>
      </w:r>
    </w:p>
    <w:p>
      <w:pPr>
        <w:pStyle w:val="10"/>
        <w:ind w:firstLine="560" w:firstLineChars="200"/>
        <w:rPr>
          <w:rFonts w:hAnsi="黑体"/>
          <w:b/>
          <w:sz w:val="28"/>
          <w:szCs w:val="28"/>
        </w:rPr>
      </w:pPr>
      <w:r>
        <w:rPr>
          <w:rFonts w:hint="eastAsia" w:hAnsi="黑体"/>
          <w:b/>
          <w:sz w:val="28"/>
          <w:szCs w:val="28"/>
        </w:rPr>
        <w:t>十三、2021年度预算绩效情况说明</w:t>
      </w:r>
    </w:p>
    <w:p>
      <w:pPr>
        <w:pStyle w:val="10"/>
        <w:ind w:firstLine="560" w:firstLineChars="200"/>
        <w:rPr>
          <w:rFonts w:hint="eastAsia" w:ascii="仿宋" w:hAnsi="仿宋" w:eastAsia="仿宋" w:cstheme="minorBidi"/>
          <w:color w:val="auto"/>
          <w:kern w:val="2"/>
          <w:sz w:val="28"/>
          <w:szCs w:val="28"/>
          <w:highlight w:val="none"/>
        </w:rPr>
      </w:pPr>
      <w:r>
        <w:rPr>
          <w:rFonts w:hint="eastAsia" w:ascii="仿宋" w:hAnsi="仿宋" w:eastAsia="仿宋" w:cstheme="minorBidi"/>
          <w:color w:val="auto"/>
          <w:kern w:val="2"/>
          <w:sz w:val="28"/>
          <w:szCs w:val="28"/>
          <w:highlight w:val="none"/>
        </w:rPr>
        <w:t>为进一步规范财政资金管理，强化绩效和责任意识，切实提高财政资金使用效益，</w:t>
      </w:r>
      <w:r>
        <w:rPr>
          <w:rFonts w:hint="eastAsia" w:ascii="仿宋" w:hAnsi="仿宋" w:eastAsia="仿宋" w:cstheme="minorBidi"/>
          <w:i w:val="0"/>
          <w:iCs w:val="0"/>
          <w:caps w:val="0"/>
          <w:color w:val="auto"/>
          <w:spacing w:val="0"/>
          <w:kern w:val="2"/>
          <w:sz w:val="28"/>
          <w:szCs w:val="28"/>
          <w:highlight w:val="none"/>
          <w:shd w:val="clear" w:fill="auto"/>
          <w:lang w:val="en-US" w:eastAsia="zh-CN"/>
        </w:rPr>
        <w:t>我部门组织对2021年部门整体支出进行绩效自评，涉及财政资金</w:t>
      </w:r>
      <w:r>
        <w:rPr>
          <w:rFonts w:hint="eastAsia" w:ascii="仿宋" w:hAnsi="仿宋" w:eastAsia="仿宋" w:cstheme="minorBidi"/>
          <w:b w:val="0"/>
          <w:bCs w:val="0"/>
          <w:color w:val="auto"/>
          <w:kern w:val="2"/>
          <w:sz w:val="28"/>
          <w:szCs w:val="28"/>
        </w:rPr>
        <w:t>2,084.04</w:t>
      </w:r>
      <w:r>
        <w:rPr>
          <w:rFonts w:hint="eastAsia" w:ascii="仿宋" w:hAnsi="仿宋" w:eastAsia="仿宋" w:cstheme="minorBidi"/>
          <w:i w:val="0"/>
          <w:iCs w:val="0"/>
          <w:caps w:val="0"/>
          <w:color w:val="auto"/>
          <w:spacing w:val="0"/>
          <w:kern w:val="2"/>
          <w:sz w:val="28"/>
          <w:szCs w:val="28"/>
          <w:highlight w:val="none"/>
          <w:shd w:val="clear" w:fill="auto"/>
          <w:lang w:val="en-US" w:eastAsia="zh-CN"/>
        </w:rPr>
        <w:t>万元，其中：基本支出</w:t>
      </w:r>
      <w:r>
        <w:rPr>
          <w:rFonts w:hint="eastAsia" w:ascii="仿宋" w:hAnsi="仿宋" w:eastAsia="仿宋" w:cstheme="minorBidi"/>
          <w:b w:val="0"/>
          <w:bCs w:val="0"/>
          <w:color w:val="auto"/>
          <w:kern w:val="2"/>
          <w:sz w:val="28"/>
          <w:szCs w:val="28"/>
        </w:rPr>
        <w:t>1,454.40</w:t>
      </w:r>
      <w:r>
        <w:rPr>
          <w:rFonts w:hint="eastAsia" w:ascii="仿宋" w:hAnsi="仿宋" w:eastAsia="仿宋" w:cstheme="minorBidi"/>
          <w:i w:val="0"/>
          <w:iCs w:val="0"/>
          <w:caps w:val="0"/>
          <w:color w:val="auto"/>
          <w:spacing w:val="0"/>
          <w:kern w:val="2"/>
          <w:sz w:val="28"/>
          <w:szCs w:val="28"/>
          <w:highlight w:val="none"/>
          <w:shd w:val="clear" w:fill="auto"/>
          <w:lang w:val="en-US" w:eastAsia="zh-CN"/>
        </w:rPr>
        <w:t>万元，项目支出</w:t>
      </w:r>
      <w:r>
        <w:rPr>
          <w:rFonts w:hint="eastAsia" w:ascii="仿宋" w:hAnsi="仿宋" w:eastAsia="仿宋" w:cstheme="minorBidi"/>
          <w:b w:val="0"/>
          <w:bCs w:val="0"/>
          <w:color w:val="auto"/>
          <w:kern w:val="2"/>
          <w:sz w:val="28"/>
          <w:szCs w:val="28"/>
        </w:rPr>
        <w:t>629.64</w:t>
      </w:r>
      <w:r>
        <w:rPr>
          <w:rFonts w:hint="eastAsia" w:ascii="仿宋" w:hAnsi="仿宋" w:eastAsia="仿宋" w:cstheme="minorBidi"/>
          <w:i w:val="0"/>
          <w:iCs w:val="0"/>
          <w:caps w:val="0"/>
          <w:color w:val="auto"/>
          <w:spacing w:val="0"/>
          <w:kern w:val="2"/>
          <w:sz w:val="28"/>
          <w:szCs w:val="28"/>
          <w:highlight w:val="none"/>
          <w:shd w:val="clear" w:fill="auto"/>
          <w:lang w:val="en-US" w:eastAsia="zh-CN"/>
        </w:rPr>
        <w:t>万元。从评价结果看，资金使用效益较好，</w:t>
      </w:r>
      <w:r>
        <w:rPr>
          <w:rFonts w:hint="eastAsia" w:ascii="仿宋" w:hAnsi="仿宋" w:eastAsia="仿宋" w:cstheme="minorBidi"/>
          <w:i w:val="0"/>
          <w:iCs w:val="0"/>
          <w:caps w:val="0"/>
          <w:color w:val="auto"/>
          <w:spacing w:val="0"/>
          <w:kern w:val="2"/>
          <w:sz w:val="28"/>
          <w:szCs w:val="28"/>
          <w:highlight w:val="none"/>
          <w:shd w:val="clear" w:fill="auto"/>
        </w:rPr>
        <w:t>达到了预期绩效目标。</w:t>
      </w:r>
    </w:p>
    <w:p>
      <w:pPr>
        <w:pStyle w:val="10"/>
        <w:ind w:firstLine="560" w:firstLineChars="200"/>
        <w:rPr>
          <w:rFonts w:hint="eastAsia" w:ascii="仿宋" w:hAnsi="仿宋" w:eastAsia="仿宋" w:cstheme="minorBidi"/>
          <w:b w:val="0"/>
          <w:color w:val="auto"/>
          <w:kern w:val="2"/>
          <w:sz w:val="28"/>
          <w:szCs w:val="28"/>
        </w:rPr>
      </w:pPr>
      <w:r>
        <w:rPr>
          <w:rFonts w:hint="eastAsia" w:ascii="仿宋" w:hAnsi="仿宋" w:eastAsia="仿宋" w:cstheme="minorBidi"/>
          <w:color w:val="auto"/>
          <w:kern w:val="2"/>
          <w:sz w:val="28"/>
          <w:szCs w:val="28"/>
          <w:highlight w:val="none"/>
        </w:rPr>
        <w:t>本部门预算绩效管理开展情况、绩效目标和绩效评价报告等详见附件</w:t>
      </w:r>
      <w:r>
        <w:rPr>
          <w:rFonts w:hint="eastAsia" w:ascii="仿宋" w:hAnsi="仿宋" w:eastAsia="仿宋" w:cstheme="minorBidi"/>
          <w:color w:val="auto"/>
          <w:kern w:val="2"/>
          <w:sz w:val="28"/>
          <w:szCs w:val="28"/>
          <w:highlight w:val="none"/>
          <w:lang w:eastAsia="zh-CN"/>
        </w:rPr>
        <w:t>。</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52"/>
          <w:szCs w:val="52"/>
        </w:rPr>
      </w:pPr>
      <w:r>
        <w:rPr>
          <w:rFonts w:hint="eastAsia"/>
          <w:sz w:val="52"/>
          <w:szCs w:val="52"/>
        </w:rPr>
        <w:t>第四部分</w:t>
      </w:r>
    </w:p>
    <w:p>
      <w:pPr>
        <w:jc w:val="center"/>
        <w:rPr>
          <w:rFonts w:ascii="黑体" w:eastAsia="黑体" w:cs="黑体"/>
          <w:color w:val="000000"/>
          <w:kern w:val="0"/>
          <w:sz w:val="70"/>
          <w:szCs w:val="70"/>
        </w:rPr>
      </w:pPr>
    </w:p>
    <w:p>
      <w:pPr>
        <w:pStyle w:val="10"/>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autoSpaceDE w:val="0"/>
        <w:autoSpaceDN w:val="0"/>
        <w:adjustRightInd w:val="0"/>
        <w:ind w:firstLine="560" w:firstLineChars="200"/>
        <w:jc w:val="left"/>
        <w:rPr>
          <w:rFonts w:ascii="仿宋" w:hAnsi="仿宋" w:eastAsia="仿宋"/>
          <w:sz w:val="28"/>
          <w:szCs w:val="28"/>
        </w:rPr>
      </w:pPr>
      <w:r>
        <w:rPr>
          <w:rFonts w:hint="eastAsia" w:ascii="黑体" w:hAnsi="黑体" w:eastAsia="黑体"/>
          <w:b/>
          <w:sz w:val="28"/>
          <w:szCs w:val="28"/>
        </w:rPr>
        <w:t>一、基本支出：</w:t>
      </w:r>
      <w:r>
        <w:rPr>
          <w:rFonts w:hint="eastAsia" w:ascii="仿宋" w:hAnsi="仿宋" w:eastAsia="仿宋"/>
          <w:sz w:val="28"/>
          <w:szCs w:val="28"/>
        </w:rPr>
        <w:t>指为保障机构正常运转、完成日常工作任务而发生的各项支出，包括人员支出和公用支出。</w:t>
      </w:r>
    </w:p>
    <w:p>
      <w:pPr>
        <w:autoSpaceDE w:val="0"/>
        <w:autoSpaceDN w:val="0"/>
        <w:adjustRightInd w:val="0"/>
        <w:ind w:firstLine="560" w:firstLineChars="200"/>
        <w:jc w:val="left"/>
        <w:rPr>
          <w:rFonts w:ascii="仿宋" w:hAnsi="仿宋" w:eastAsia="仿宋"/>
          <w:sz w:val="28"/>
          <w:szCs w:val="28"/>
        </w:rPr>
      </w:pPr>
      <w:r>
        <w:rPr>
          <w:rFonts w:hint="eastAsia" w:ascii="黑体" w:hAnsi="黑体" w:eastAsia="黑体"/>
          <w:b/>
          <w:sz w:val="28"/>
          <w:szCs w:val="28"/>
        </w:rPr>
        <w:t>二、项目支出：</w:t>
      </w:r>
      <w:r>
        <w:rPr>
          <w:rFonts w:hint="eastAsia" w:ascii="仿宋" w:hAnsi="仿宋" w:eastAsia="仿宋"/>
          <w:sz w:val="28"/>
          <w:szCs w:val="28"/>
        </w:rPr>
        <w:t>指在基本支出以外为完成环保事业发展目标所发生的各项支出。</w:t>
      </w:r>
    </w:p>
    <w:p>
      <w:pPr>
        <w:autoSpaceDE w:val="0"/>
        <w:autoSpaceDN w:val="0"/>
        <w:adjustRightInd w:val="0"/>
        <w:ind w:firstLine="560" w:firstLineChars="200"/>
        <w:jc w:val="left"/>
        <w:rPr>
          <w:rFonts w:ascii="仿宋" w:hAnsi="仿宋" w:eastAsia="仿宋"/>
          <w:sz w:val="28"/>
          <w:szCs w:val="28"/>
        </w:rPr>
      </w:pPr>
      <w:r>
        <w:rPr>
          <w:rFonts w:hint="eastAsia" w:ascii="黑体" w:hAnsi="黑体" w:eastAsia="黑体"/>
          <w:b/>
          <w:sz w:val="28"/>
          <w:szCs w:val="28"/>
        </w:rPr>
        <w:t>三、“三公”经费：</w:t>
      </w:r>
      <w:r>
        <w:rPr>
          <w:rFonts w:hint="eastAsia" w:ascii="仿宋" w:hAnsi="仿宋" w:eastAsia="仿宋"/>
          <w:sz w:val="28"/>
          <w:szCs w:val="28"/>
        </w:rPr>
        <w:t>指通过财政拨款资金安排的公务用车运行维护费和公务接待费支出。</w:t>
      </w:r>
    </w:p>
    <w:p>
      <w:pPr>
        <w:ind w:firstLine="560" w:firstLineChars="200"/>
        <w:jc w:val="left"/>
        <w:rPr>
          <w:rFonts w:ascii="仿宋" w:hAnsi="仿宋" w:eastAsia="仿宋"/>
          <w:sz w:val="28"/>
          <w:szCs w:val="28"/>
        </w:rPr>
      </w:pPr>
      <w:r>
        <w:rPr>
          <w:rFonts w:hint="eastAsia" w:ascii="仿宋" w:hAnsi="仿宋" w:eastAsia="仿宋"/>
          <w:sz w:val="28"/>
          <w:szCs w:val="28"/>
        </w:rPr>
        <w:t>运行经费：是指各部门的公用经费，包括办公及印刷费、邮寄费、差旅费、会议费、福利费、日常维修费、专用材料及一般设备购置费、办公用房水电费、办公用房物业管理费、公务用车运行维护费以及其他费用。</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52"/>
          <w:szCs w:val="52"/>
        </w:rPr>
      </w:pPr>
      <w:r>
        <w:rPr>
          <w:rFonts w:hint="eastAsia"/>
          <w:sz w:val="52"/>
          <w:szCs w:val="52"/>
        </w:rPr>
        <w:t>第五部分</w:t>
      </w:r>
    </w:p>
    <w:p>
      <w:pPr>
        <w:jc w:val="center"/>
        <w:rPr>
          <w:rFonts w:ascii="黑体" w:eastAsia="黑体" w:cs="黑体"/>
          <w:color w:val="000000"/>
          <w:kern w:val="0"/>
          <w:sz w:val="70"/>
          <w:szCs w:val="70"/>
        </w:rPr>
      </w:pPr>
    </w:p>
    <w:p>
      <w:pPr>
        <w:pStyle w:val="10"/>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附  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jc w:val="center"/>
        <w:rPr>
          <w:rFonts w:cs="黑体" w:asciiTheme="minorEastAsia" w:hAnsiTheme="minorEastAsia"/>
          <w:b/>
          <w:color w:val="000000"/>
          <w:kern w:val="0"/>
          <w:sz w:val="44"/>
          <w:szCs w:val="44"/>
        </w:rPr>
      </w:pPr>
      <w:r>
        <w:rPr>
          <w:rFonts w:hint="eastAsia" w:cs="黑体" w:asciiTheme="minorEastAsia" w:hAnsiTheme="minorEastAsia"/>
          <w:b/>
          <w:color w:val="000000"/>
          <w:kern w:val="0"/>
          <w:sz w:val="44"/>
          <w:szCs w:val="44"/>
        </w:rPr>
        <w:t>2021年度部门整体支出绩效自评报告</w:t>
      </w: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ind w:firstLine="640" w:firstLineChars="200"/>
        <w:jc w:val="center"/>
        <w:rPr>
          <w:rFonts w:cs="黑体" w:asciiTheme="minorEastAsia" w:hAnsiTheme="minorEastAsia"/>
          <w:b/>
          <w:color w:val="000000"/>
          <w:kern w:val="0"/>
          <w:sz w:val="32"/>
          <w:szCs w:val="32"/>
        </w:rPr>
      </w:pPr>
    </w:p>
    <w:p>
      <w:pPr>
        <w:rPr>
          <w:rFonts w:cs="黑体" w:asciiTheme="minorEastAsia" w:hAnsiTheme="minorEastAsia"/>
          <w:b/>
          <w:color w:val="000000"/>
          <w:kern w:val="0"/>
          <w:sz w:val="32"/>
          <w:szCs w:val="32"/>
        </w:rPr>
      </w:pPr>
    </w:p>
    <w:p>
      <w:pPr>
        <w:jc w:val="center"/>
        <w:rPr>
          <w:rFonts w:ascii="楷体" w:hAnsi="楷体" w:eastAsia="楷体" w:cs="黑体"/>
          <w:color w:val="000000"/>
          <w:kern w:val="0"/>
          <w:sz w:val="36"/>
          <w:szCs w:val="36"/>
        </w:rPr>
      </w:pPr>
      <w:r>
        <w:rPr>
          <w:rFonts w:hint="eastAsia" w:ascii="楷体" w:hAnsi="楷体" w:eastAsia="楷体" w:cs="黑体"/>
          <w:color w:val="000000"/>
          <w:kern w:val="0"/>
          <w:sz w:val="36"/>
          <w:szCs w:val="36"/>
        </w:rPr>
        <w:t>湖南省岳阳生态环境监测中心</w:t>
      </w:r>
    </w:p>
    <w:p>
      <w:pPr>
        <w:jc w:val="center"/>
        <w:rPr>
          <w:rFonts w:ascii="黑体" w:eastAsia="黑体"/>
          <w:sz w:val="32"/>
          <w:szCs w:val="32"/>
        </w:rPr>
      </w:pPr>
    </w:p>
    <w:p>
      <w:pPr>
        <w:jc w:val="center"/>
        <w:rPr>
          <w:rFonts w:ascii="黑体" w:eastAsia="黑体"/>
          <w:sz w:val="32"/>
          <w:szCs w:val="32"/>
        </w:rPr>
      </w:pPr>
    </w:p>
    <w:p>
      <w:pPr>
        <w:jc w:val="center"/>
        <w:rPr>
          <w:rFonts w:ascii="黑体" w:eastAsia="黑体"/>
          <w:sz w:val="32"/>
          <w:szCs w:val="32"/>
        </w:rPr>
      </w:pPr>
    </w:p>
    <w:p>
      <w:pPr>
        <w:jc w:val="center"/>
        <w:rPr>
          <w:rFonts w:ascii="黑体" w:hAnsi="Calibri" w:eastAsia="黑体" w:cs="Times New Roman"/>
          <w:sz w:val="32"/>
          <w:szCs w:val="32"/>
        </w:rPr>
      </w:pPr>
    </w:p>
    <w:p>
      <w:pPr>
        <w:ind w:firstLine="560" w:firstLineChars="200"/>
        <w:rPr>
          <w:rFonts w:ascii="黑体" w:hAnsi="黑体" w:eastAsia="黑体" w:cs="黑体"/>
          <w:b/>
          <w:color w:val="000000"/>
          <w:kern w:val="0"/>
          <w:sz w:val="28"/>
          <w:szCs w:val="28"/>
        </w:rPr>
      </w:pPr>
      <w:r>
        <w:rPr>
          <w:rFonts w:hint="eastAsia" w:ascii="黑体" w:hAnsi="黑体" w:eastAsia="黑体" w:cs="黑体"/>
          <w:b/>
          <w:color w:val="000000"/>
          <w:kern w:val="0"/>
          <w:sz w:val="28"/>
          <w:szCs w:val="28"/>
        </w:rPr>
        <w:t>一、部门、单位基本情况</w:t>
      </w:r>
    </w:p>
    <w:p>
      <w:pPr>
        <w:ind w:firstLine="560" w:firstLineChars="200"/>
        <w:rPr>
          <w:rFonts w:ascii="仿宋" w:hAnsi="仿宋" w:eastAsia="仿宋"/>
          <w:sz w:val="28"/>
          <w:szCs w:val="28"/>
        </w:rPr>
      </w:pPr>
      <w:r>
        <w:rPr>
          <w:rFonts w:hint="eastAsia" w:ascii="仿宋" w:hAnsi="仿宋" w:eastAsia="仿宋"/>
          <w:sz w:val="28"/>
          <w:szCs w:val="28"/>
        </w:rPr>
        <w:t>湖南省岳阳生态环境监测中心作为湖南省生态环境厅管理的副处级公益一类事业单位。中心全面贯彻落实党中央、国务院，省委省政府以及生态环境厅党组关于生态环境保护的各项决策部署，坚持“支撑、引领、服务”三个职能定位，全力打造“网络、技术、质控、数据（信息）和培训”五个中心，加快建成科学、独立、权威、高效的生态环境监测体系。主要职责是：负责派驻行政区域内生态环境质量监测、分析评价工作;负责派驻行政区域内环境质量监测网络和信息系统的维护管理;负责指导和协助市州生态环境局开展生态环境应急监测、执法监测、污染源监测等工作;负责对县级环境监测机构开展技术和业务指导;负责承办上级部门交办的其他环境监测工作。本中心内设机构为9个科室：分别为办公室、人事科、财务科、资产管理科、综合技术科、质量控制科、分析技术科、现场监测科、污染源与应急监测科。</w:t>
      </w:r>
    </w:p>
    <w:p>
      <w:pPr>
        <w:ind w:firstLine="560" w:firstLineChars="200"/>
        <w:rPr>
          <w:rFonts w:ascii="黑体" w:hAnsi="黑体" w:eastAsia="黑体" w:cs="黑体"/>
          <w:b/>
          <w:color w:val="000000"/>
          <w:kern w:val="0"/>
          <w:sz w:val="28"/>
          <w:szCs w:val="28"/>
        </w:rPr>
      </w:pPr>
      <w:r>
        <w:rPr>
          <w:rFonts w:hint="eastAsia" w:ascii="黑体" w:hAnsi="黑体" w:eastAsia="黑体" w:cs="黑体"/>
          <w:b/>
          <w:color w:val="000000"/>
          <w:kern w:val="0"/>
          <w:sz w:val="28"/>
          <w:szCs w:val="28"/>
        </w:rPr>
        <w:t>二、基本支出情况</w:t>
      </w:r>
    </w:p>
    <w:p>
      <w:pPr>
        <w:ind w:firstLine="560" w:firstLineChars="200"/>
        <w:rPr>
          <w:rFonts w:ascii="仿宋" w:hAnsi="仿宋" w:eastAsia="仿宋"/>
          <w:sz w:val="28"/>
          <w:szCs w:val="28"/>
        </w:rPr>
      </w:pPr>
      <w:r>
        <w:rPr>
          <w:rFonts w:hint="eastAsia" w:ascii="仿宋" w:hAnsi="仿宋" w:eastAsia="仿宋"/>
          <w:sz w:val="28"/>
          <w:szCs w:val="28"/>
        </w:rPr>
        <w:t>基本支出</w:t>
      </w:r>
      <w:r>
        <w:rPr>
          <w:rFonts w:ascii="仿宋" w:hAnsi="仿宋" w:eastAsia="仿宋"/>
          <w:sz w:val="28"/>
          <w:szCs w:val="28"/>
        </w:rPr>
        <w:t>的主要用途</w:t>
      </w:r>
      <w:r>
        <w:rPr>
          <w:rFonts w:hint="eastAsia" w:ascii="仿宋" w:hAnsi="仿宋" w:eastAsia="仿宋"/>
          <w:sz w:val="28"/>
          <w:szCs w:val="28"/>
        </w:rPr>
        <w:t>是为保障机构正常运转、完成日常工作任务而编制的年度基本支出计划，内容包括人员经费和日常公用经费两部分。我中心本着贯彻落实厉行节约，降低一般运行经费，严控“三公经费”的原则，2021年度开支人员经费833.1万元，日常公用经费180.1万元，其中三公经费开支44万元。</w:t>
      </w:r>
    </w:p>
    <w:p>
      <w:pPr>
        <w:ind w:firstLine="560" w:firstLineChars="200"/>
        <w:rPr>
          <w:rFonts w:ascii="黑体" w:hAnsi="黑体" w:eastAsia="黑体" w:cs="黑体"/>
          <w:b/>
          <w:color w:val="000000"/>
          <w:kern w:val="0"/>
          <w:sz w:val="28"/>
          <w:szCs w:val="28"/>
        </w:rPr>
      </w:pPr>
      <w:r>
        <w:rPr>
          <w:rFonts w:hint="eastAsia" w:ascii="黑体" w:hAnsi="黑体" w:eastAsia="黑体" w:cs="黑体"/>
          <w:b/>
          <w:color w:val="000000"/>
          <w:kern w:val="0"/>
          <w:sz w:val="28"/>
          <w:szCs w:val="28"/>
        </w:rPr>
        <w:t>三、项目支出情况</w:t>
      </w:r>
    </w:p>
    <w:p>
      <w:pPr>
        <w:ind w:firstLine="560" w:firstLineChars="200"/>
        <w:rPr>
          <w:rFonts w:ascii="仿宋" w:hAnsi="仿宋" w:eastAsia="仿宋"/>
          <w:sz w:val="28"/>
          <w:szCs w:val="28"/>
        </w:rPr>
      </w:pPr>
      <w:r>
        <w:rPr>
          <w:rFonts w:hint="eastAsia" w:ascii="仿宋" w:hAnsi="仿宋" w:eastAsia="仿宋"/>
          <w:sz w:val="28"/>
          <w:szCs w:val="28"/>
        </w:rPr>
        <w:t>2021年度业务专项资金分配安排和使用管理情况。</w:t>
      </w:r>
    </w:p>
    <w:p>
      <w:pPr>
        <w:ind w:firstLine="560" w:firstLineChars="200"/>
        <w:rPr>
          <w:rFonts w:ascii="仿宋" w:hAnsi="仿宋" w:eastAsia="仿宋"/>
          <w:sz w:val="28"/>
          <w:szCs w:val="28"/>
        </w:rPr>
      </w:pPr>
      <w:r>
        <w:rPr>
          <w:rFonts w:hint="eastAsia" w:ascii="仿宋" w:hAnsi="仿宋" w:eastAsia="仿宋"/>
          <w:sz w:val="28"/>
          <w:szCs w:val="28"/>
        </w:rPr>
        <w:t>我中心专项资金均为财政资金。2021年度财政预算共安排专项资金199.13万元。其中党建文化12万元、环境质量监测125.09万元、三供一业15万元、资本性支出47.04万元。我中心专项资金使用规范，均实行国库集中支付，并且做到了专款专用。</w:t>
      </w:r>
    </w:p>
    <w:p>
      <w:pPr>
        <w:ind w:firstLine="560" w:firstLineChars="200"/>
        <w:jc w:val="left"/>
        <w:rPr>
          <w:rFonts w:ascii="仿宋" w:hAnsi="仿宋" w:eastAsia="仿宋" w:cs="黑体"/>
          <w:b/>
          <w:color w:val="000000"/>
          <w:kern w:val="0"/>
          <w:sz w:val="28"/>
          <w:szCs w:val="28"/>
        </w:rPr>
      </w:pPr>
      <w:r>
        <w:rPr>
          <w:rFonts w:hint="eastAsia" w:ascii="仿宋" w:hAnsi="仿宋" w:eastAsia="仿宋" w:cs="黑体"/>
          <w:b/>
          <w:color w:val="000000"/>
          <w:kern w:val="0"/>
          <w:sz w:val="28"/>
          <w:szCs w:val="28"/>
        </w:rPr>
        <w:t>（一）党建文化项目支出情况</w:t>
      </w:r>
    </w:p>
    <w:p>
      <w:pPr>
        <w:ind w:firstLine="560" w:firstLineChars="200"/>
        <w:rPr>
          <w:rFonts w:ascii="仿宋" w:hAnsi="仿宋" w:eastAsia="仿宋"/>
          <w:sz w:val="28"/>
          <w:szCs w:val="28"/>
        </w:rPr>
      </w:pPr>
      <w:r>
        <w:rPr>
          <w:rFonts w:hint="eastAsia" w:ascii="仿宋" w:hAnsi="仿宋" w:eastAsia="仿宋"/>
          <w:sz w:val="28"/>
          <w:szCs w:val="28"/>
        </w:rPr>
        <w:t>2021年党建文化专项资金支出为12万元。均为日常商品服务支出12万元，其办公费1万元、印刷费0.1万元、差旅费4.38万元、其他交通费0.14万元、其他商品服务支出6.38万元。</w:t>
      </w:r>
    </w:p>
    <w:p>
      <w:pPr>
        <w:ind w:firstLine="560" w:firstLineChars="200"/>
        <w:jc w:val="left"/>
        <w:rPr>
          <w:rFonts w:ascii="仿宋" w:hAnsi="仿宋" w:eastAsia="仿宋" w:cs="黑体"/>
          <w:b/>
          <w:color w:val="000000"/>
          <w:kern w:val="0"/>
          <w:sz w:val="28"/>
          <w:szCs w:val="28"/>
        </w:rPr>
      </w:pPr>
      <w:r>
        <w:rPr>
          <w:rFonts w:hint="eastAsia" w:ascii="仿宋" w:hAnsi="仿宋" w:eastAsia="仿宋" w:cs="黑体"/>
          <w:b/>
          <w:color w:val="000000"/>
          <w:kern w:val="0"/>
          <w:sz w:val="28"/>
          <w:szCs w:val="28"/>
        </w:rPr>
        <w:t>（二）环境质量监测项目支出情况</w:t>
      </w:r>
    </w:p>
    <w:p>
      <w:pPr>
        <w:ind w:firstLine="560" w:firstLineChars="200"/>
        <w:rPr>
          <w:rFonts w:ascii="仿宋" w:hAnsi="仿宋" w:eastAsia="仿宋"/>
          <w:sz w:val="28"/>
          <w:szCs w:val="28"/>
        </w:rPr>
      </w:pPr>
      <w:r>
        <w:rPr>
          <w:rFonts w:hint="eastAsia" w:ascii="仿宋" w:hAnsi="仿宋" w:eastAsia="仿宋"/>
          <w:sz w:val="28"/>
          <w:szCs w:val="28"/>
        </w:rPr>
        <w:t>2021年环境质量监测专项资金支出为104.7万元。均为日常商品服务支出104.7万元，其办公费2.96万元、印刷费0.41万元、差旅费8.43万元、维修（护）费21.02万元、会议费0.53万元、培训费4.57万元、专用材料费11.17万元、劳务费38.24万元、其他交通费5.61万元、其他商品服务支出11.76万元。</w:t>
      </w:r>
    </w:p>
    <w:p>
      <w:pPr>
        <w:ind w:firstLine="560" w:firstLineChars="200"/>
        <w:jc w:val="left"/>
        <w:rPr>
          <w:rFonts w:ascii="仿宋" w:hAnsi="仿宋" w:eastAsia="仿宋" w:cs="黑体"/>
          <w:b/>
          <w:color w:val="000000"/>
          <w:kern w:val="0"/>
          <w:sz w:val="28"/>
          <w:szCs w:val="28"/>
        </w:rPr>
      </w:pPr>
      <w:r>
        <w:rPr>
          <w:rFonts w:hint="eastAsia" w:ascii="仿宋" w:hAnsi="仿宋" w:eastAsia="仿宋" w:cs="黑体"/>
          <w:b/>
          <w:color w:val="000000"/>
          <w:kern w:val="0"/>
          <w:sz w:val="28"/>
          <w:szCs w:val="28"/>
        </w:rPr>
        <w:t>（三</w:t>
      </w:r>
      <w:r>
        <w:rPr>
          <w:rFonts w:ascii="仿宋" w:hAnsi="仿宋" w:eastAsia="仿宋" w:cs="黑体"/>
          <w:b/>
          <w:color w:val="000000"/>
          <w:kern w:val="0"/>
          <w:sz w:val="28"/>
          <w:szCs w:val="28"/>
        </w:rPr>
        <w:t>）</w:t>
      </w:r>
      <w:r>
        <w:rPr>
          <w:rFonts w:hint="eastAsia" w:ascii="仿宋" w:hAnsi="仿宋" w:eastAsia="仿宋" w:cs="黑体"/>
          <w:b/>
          <w:color w:val="000000"/>
          <w:kern w:val="0"/>
          <w:sz w:val="28"/>
          <w:szCs w:val="28"/>
        </w:rPr>
        <w:t>三供一业项目支出情况</w:t>
      </w:r>
    </w:p>
    <w:p>
      <w:pPr>
        <w:ind w:firstLine="560" w:firstLineChars="200"/>
        <w:rPr>
          <w:rFonts w:ascii="仿宋" w:hAnsi="仿宋" w:eastAsia="仿宋"/>
          <w:sz w:val="28"/>
          <w:szCs w:val="28"/>
        </w:rPr>
      </w:pPr>
      <w:r>
        <w:rPr>
          <w:rFonts w:hint="eastAsia" w:ascii="仿宋" w:hAnsi="仿宋" w:eastAsia="仿宋"/>
          <w:sz w:val="28"/>
          <w:szCs w:val="28"/>
        </w:rPr>
        <w:t>2021年三供一业专项资金支出为15万元。用于日常商品服务支出中维修（护）费15万元。</w:t>
      </w:r>
    </w:p>
    <w:p>
      <w:pPr>
        <w:ind w:firstLine="560" w:firstLineChars="200"/>
        <w:jc w:val="left"/>
        <w:rPr>
          <w:rFonts w:ascii="仿宋" w:hAnsi="仿宋" w:eastAsia="仿宋" w:cs="黑体"/>
          <w:b/>
          <w:color w:val="000000"/>
          <w:kern w:val="0"/>
          <w:sz w:val="28"/>
          <w:szCs w:val="28"/>
        </w:rPr>
      </w:pPr>
      <w:r>
        <w:rPr>
          <w:rFonts w:hint="eastAsia" w:ascii="仿宋" w:hAnsi="仿宋" w:eastAsia="仿宋" w:cs="黑体"/>
          <w:b/>
          <w:color w:val="000000"/>
          <w:kern w:val="0"/>
          <w:sz w:val="28"/>
          <w:szCs w:val="28"/>
        </w:rPr>
        <w:t>（四）资本性支出项目支出情况</w:t>
      </w:r>
    </w:p>
    <w:p>
      <w:pPr>
        <w:ind w:firstLine="560" w:firstLineChars="200"/>
        <w:rPr>
          <w:rFonts w:ascii="仿宋" w:hAnsi="仿宋" w:eastAsia="仿宋"/>
          <w:sz w:val="28"/>
          <w:szCs w:val="28"/>
        </w:rPr>
      </w:pPr>
      <w:r>
        <w:rPr>
          <w:rFonts w:hint="eastAsia" w:ascii="仿宋" w:hAnsi="仿宋" w:eastAsia="仿宋"/>
          <w:sz w:val="28"/>
          <w:szCs w:val="28"/>
        </w:rPr>
        <w:t>2021年资本性支出专项资金支出为47.04万元。均为事业单位资本性支出，其办公设备购置23.2万元，仪器设备购置23.84万元。</w:t>
      </w:r>
    </w:p>
    <w:p>
      <w:pPr>
        <w:ind w:firstLine="560" w:firstLineChars="200"/>
        <w:rPr>
          <w:rFonts w:ascii="仿宋" w:hAnsi="仿宋" w:eastAsia="仿宋"/>
          <w:sz w:val="28"/>
          <w:szCs w:val="28"/>
        </w:rPr>
      </w:pPr>
      <w:r>
        <w:rPr>
          <w:rFonts w:hint="eastAsia" w:ascii="仿宋" w:hAnsi="仿宋" w:eastAsia="仿宋"/>
          <w:sz w:val="28"/>
          <w:szCs w:val="28"/>
        </w:rPr>
        <w:t>专项资金管理情况分析，主要包括管理制度、办法的制订及执行情况。</w:t>
      </w:r>
    </w:p>
    <w:p>
      <w:pPr>
        <w:ind w:firstLine="560" w:firstLineChars="200"/>
        <w:rPr>
          <w:rFonts w:ascii="仿宋" w:hAnsi="仿宋" w:eastAsia="仿宋"/>
          <w:sz w:val="28"/>
          <w:szCs w:val="28"/>
        </w:rPr>
      </w:pPr>
      <w:r>
        <w:rPr>
          <w:rFonts w:hint="eastAsia" w:ascii="仿宋" w:hAnsi="仿宋" w:eastAsia="仿宋"/>
          <w:sz w:val="28"/>
          <w:szCs w:val="28"/>
        </w:rPr>
        <w:t>专项资金做到了专款专用。有效保证了专项资金运行的合理支出，同时也促进了中心能力建设的提高，充分发挥了专项资金的使用效益。项目单位财务管理制度健全，严格按照环保专项资金的使用和管理办法执行，实行独立核算、专款专用，财务收支信息准确，符合专项预算批复，在运行过程中没有截留、挤占、挪用、虚列支出等情况，充分发挥了专项资金的使用效益。</w:t>
      </w:r>
    </w:p>
    <w:p>
      <w:pPr>
        <w:ind w:firstLine="560" w:firstLineChars="200"/>
        <w:rPr>
          <w:rFonts w:ascii="黑体" w:hAnsi="黑体" w:eastAsia="黑体" w:cs="黑体"/>
          <w:b/>
          <w:color w:val="000000"/>
          <w:kern w:val="0"/>
          <w:sz w:val="28"/>
          <w:szCs w:val="28"/>
        </w:rPr>
      </w:pPr>
      <w:r>
        <w:rPr>
          <w:rFonts w:ascii="黑体" w:hAnsi="黑体" w:eastAsia="黑体" w:cs="黑体"/>
          <w:b/>
          <w:color w:val="000000"/>
          <w:kern w:val="0"/>
          <w:sz w:val="28"/>
          <w:szCs w:val="28"/>
        </w:rPr>
        <w:t>四、部门</w:t>
      </w:r>
      <w:r>
        <w:rPr>
          <w:rFonts w:hint="eastAsia" w:ascii="黑体" w:hAnsi="黑体" w:eastAsia="黑体" w:cs="黑体"/>
          <w:b/>
          <w:color w:val="000000"/>
          <w:kern w:val="0"/>
          <w:sz w:val="28"/>
          <w:szCs w:val="28"/>
        </w:rPr>
        <w:t>整体支出绩效情况</w:t>
      </w:r>
    </w:p>
    <w:p>
      <w:pPr>
        <w:ind w:firstLine="560" w:firstLineChars="200"/>
        <w:rPr>
          <w:rFonts w:ascii="仿宋" w:hAnsi="仿宋" w:eastAsia="仿宋"/>
          <w:sz w:val="28"/>
          <w:szCs w:val="28"/>
        </w:rPr>
      </w:pPr>
      <w:r>
        <w:rPr>
          <w:rFonts w:hint="eastAsia" w:ascii="仿宋" w:hAnsi="仿宋" w:eastAsia="仿宋"/>
          <w:sz w:val="28"/>
          <w:szCs w:val="28"/>
        </w:rPr>
        <w:t>2021年度我中心在工作中较好的完成了以下四个项目年度绩效目标</w:t>
      </w:r>
    </w:p>
    <w:p>
      <w:pPr>
        <w:ind w:firstLine="560" w:firstLineChars="200"/>
        <w:jc w:val="left"/>
        <w:rPr>
          <w:rFonts w:ascii="仿宋" w:hAnsi="仿宋" w:eastAsia="仿宋" w:cs="黑体"/>
          <w:b/>
          <w:color w:val="000000"/>
          <w:kern w:val="0"/>
          <w:sz w:val="28"/>
          <w:szCs w:val="28"/>
        </w:rPr>
      </w:pPr>
      <w:r>
        <w:rPr>
          <w:rFonts w:hint="eastAsia" w:ascii="仿宋" w:hAnsi="仿宋" w:eastAsia="仿宋" w:cs="黑体"/>
          <w:b/>
          <w:color w:val="000000"/>
          <w:kern w:val="0"/>
          <w:sz w:val="28"/>
          <w:szCs w:val="28"/>
        </w:rPr>
        <w:t>（一）党建文化项目绩效目标完成情况</w:t>
      </w:r>
    </w:p>
    <w:p>
      <w:pPr>
        <w:ind w:firstLine="560" w:firstLineChars="200"/>
        <w:rPr>
          <w:rFonts w:ascii="仿宋" w:hAnsi="仿宋" w:eastAsia="仿宋"/>
          <w:sz w:val="28"/>
          <w:szCs w:val="28"/>
        </w:rPr>
      </w:pPr>
      <w:r>
        <w:rPr>
          <w:rFonts w:hint="eastAsia" w:ascii="仿宋" w:hAnsi="仿宋" w:eastAsia="仿宋"/>
          <w:sz w:val="28"/>
          <w:szCs w:val="28"/>
        </w:rPr>
        <w:t>湖南省岳阳生态环境监测中心党总支在省厅、省中心的坚强领导下，在岳阳市直机关工委的正确指导下，以习近平新时代中国特色社会主义思想为指导，立足新发展阶段，贯彻新发展理念，构建新发展格局，紧扣全面从严治党要求，为推动完成中心监测工作目标提供坚强的思想、政治和组织保证。</w:t>
      </w:r>
    </w:p>
    <w:p>
      <w:pPr>
        <w:ind w:firstLine="560" w:firstLineChars="200"/>
        <w:rPr>
          <w:rFonts w:ascii="仿宋" w:hAnsi="仿宋" w:eastAsia="仿宋"/>
          <w:sz w:val="28"/>
          <w:szCs w:val="28"/>
        </w:rPr>
      </w:pPr>
      <w:r>
        <w:rPr>
          <w:rFonts w:hint="eastAsia" w:ascii="仿宋" w:hAnsi="仿宋" w:eastAsia="仿宋"/>
          <w:sz w:val="28"/>
          <w:szCs w:val="28"/>
        </w:rPr>
        <w:t>岳阳中心认真落实《</w:t>
      </w:r>
      <w:r>
        <w:rPr>
          <w:rFonts w:hint="eastAsia" w:ascii="仿宋" w:hAnsi="仿宋" w:eastAsia="仿宋"/>
          <w:sz w:val="28"/>
          <w:szCs w:val="28"/>
          <w:lang w:eastAsia="zh-CN"/>
        </w:rPr>
        <w:t>中国共产党党和国家机关基层组织工作条例</w:t>
      </w:r>
      <w:r>
        <w:rPr>
          <w:rFonts w:hint="eastAsia" w:ascii="仿宋" w:hAnsi="仿宋" w:eastAsia="仿宋"/>
          <w:sz w:val="28"/>
          <w:szCs w:val="28"/>
        </w:rPr>
        <w:t>》要求，完成了党建文化墙与党建活动学习阵地的建设。党建阵地以“红色党建”为基调，主题有社会主义核心价值观、习近平语录、党风廉政建设、党建知识、三表率一模范、党员权利和义务、红色口号、党员风采等内容；我中心圆满完成联点平江县桂林村扶贫工作；购买党史学习书籍《论中国共产党历史》、《毛泽东 邓小平 江泽民 胡锦涛关于中国共产党历史论述摘编》、《习近平新时代中国特色社会主义思想学习问答》、《中国共产党简史》等共计208册；制作《中共党史精编知识100题应知应会》60册；表彰优秀共产党员与优秀党务工作共计9人，慰问困难党员2人；组织党员干部赴汩罗任弼时纪念馆开展“学党史 践初心，传承骆驼精神”主题党日活动。重温了入党誓词。在任弼时文物馆会议室，邀请专家在纪念馆上主题为《学习骆驼精神，汲取前行力量》的党课；组织党员干部观看大型史诗歌舞电影《大地颂歌》，以“光影铸魂”电影党课活动带领大家回顾近年来中国共产党团结全国人民决战决胜脱贫攻坚的光辉历程。</w:t>
      </w:r>
    </w:p>
    <w:p>
      <w:pPr>
        <w:ind w:firstLine="560" w:firstLineChars="200"/>
        <w:rPr>
          <w:rFonts w:ascii="仿宋" w:hAnsi="仿宋" w:eastAsia="仿宋"/>
          <w:sz w:val="28"/>
          <w:szCs w:val="28"/>
        </w:rPr>
      </w:pPr>
      <w:r>
        <w:rPr>
          <w:rFonts w:hint="eastAsia" w:ascii="仿宋" w:hAnsi="仿宋" w:eastAsia="仿宋"/>
          <w:sz w:val="28"/>
          <w:szCs w:val="28"/>
        </w:rPr>
        <w:t>岳阳中心加强对意识形态工作的政治导向，在思想上政治上行动上与党中央保持高度一致，全年共计在省中心微信公众号发表信息37篇；完成党总支换届选举工作。按规定程序选举产生了党总支新一届委员会委员；优化党员管理结构，将原有3个支部调整为4个支部； 4名同志被吸收为预备党员，3名同志确定为发展对象，发展了1名入党积极分子；树立先进榜样。黄博同志被市直机关追授为优秀共产党</w:t>
      </w:r>
      <w:r>
        <w:rPr>
          <w:rFonts w:hint="eastAsia" w:ascii="仿宋" w:hAnsi="仿宋" w:eastAsia="仿宋"/>
          <w:sz w:val="28"/>
          <w:szCs w:val="28"/>
          <w:lang w:val="en-US" w:eastAsia="zh-CN"/>
        </w:rPr>
        <w:t>员</w:t>
      </w:r>
      <w:bookmarkStart w:id="0" w:name="_GoBack"/>
      <w:bookmarkEnd w:id="0"/>
      <w:r>
        <w:rPr>
          <w:rFonts w:hint="eastAsia" w:ascii="仿宋" w:hAnsi="仿宋" w:eastAsia="仿宋"/>
          <w:sz w:val="28"/>
          <w:szCs w:val="28"/>
        </w:rPr>
        <w:t>，黄卫同志被评为市直优秀党员，中心表彰优秀共产党员7名、优秀党务工作者2名，并为3名“光荣在党50年”老党员代表颁发纪念章，制定了《“主任开放日”活动实施方案》与《</w:t>
      </w:r>
      <w:r>
        <w:rPr>
          <w:rFonts w:ascii="仿宋" w:hAnsi="仿宋" w:eastAsia="仿宋"/>
          <w:sz w:val="28"/>
          <w:szCs w:val="28"/>
        </w:rPr>
        <w:t>岳阳市县级站监测能力提升精准技术帮扶方案</w:t>
      </w:r>
      <w:r>
        <w:rPr>
          <w:rFonts w:hint="eastAsia" w:ascii="仿宋" w:hAnsi="仿宋" w:eastAsia="仿宋"/>
          <w:sz w:val="28"/>
          <w:szCs w:val="28"/>
        </w:rPr>
        <w:t>》，“主任开放日”实行中心班子成员轮流坐班制，每月一次，每次一天，听民声、汇民意、暖民心；精准技术帮扶明确了目标，成立了领导小组，以各县级站最迫切需要与</w:t>
      </w:r>
      <w:r>
        <w:rPr>
          <w:rFonts w:ascii="仿宋" w:hAnsi="仿宋" w:eastAsia="仿宋"/>
          <w:sz w:val="28"/>
          <w:szCs w:val="28"/>
        </w:rPr>
        <w:t>最突出的问题</w:t>
      </w:r>
      <w:r>
        <w:rPr>
          <w:rFonts w:hint="eastAsia" w:ascii="仿宋" w:hAnsi="仿宋" w:eastAsia="仿宋"/>
          <w:sz w:val="28"/>
          <w:szCs w:val="28"/>
        </w:rPr>
        <w:t>为导向，是</w:t>
      </w:r>
      <w:r>
        <w:rPr>
          <w:rFonts w:ascii="仿宋" w:hAnsi="仿宋" w:eastAsia="仿宋"/>
          <w:sz w:val="28"/>
          <w:szCs w:val="28"/>
        </w:rPr>
        <w:t>精准对接</w:t>
      </w:r>
      <w:r>
        <w:rPr>
          <w:rFonts w:hint="eastAsia" w:ascii="仿宋" w:hAnsi="仿宋" w:eastAsia="仿宋"/>
          <w:sz w:val="28"/>
          <w:szCs w:val="28"/>
        </w:rPr>
        <w:t>监测</w:t>
      </w:r>
      <w:r>
        <w:rPr>
          <w:rFonts w:ascii="仿宋" w:hAnsi="仿宋" w:eastAsia="仿宋"/>
          <w:sz w:val="28"/>
          <w:szCs w:val="28"/>
        </w:rPr>
        <w:t>发展所需、基层所盼、民心所向</w:t>
      </w:r>
      <w:r>
        <w:rPr>
          <w:rFonts w:hint="eastAsia" w:ascii="仿宋" w:hAnsi="仿宋" w:eastAsia="仿宋"/>
          <w:sz w:val="28"/>
          <w:szCs w:val="28"/>
        </w:rPr>
        <w:t>。</w:t>
      </w:r>
    </w:p>
    <w:p>
      <w:pPr>
        <w:ind w:firstLine="560" w:firstLineChars="200"/>
        <w:rPr>
          <w:rFonts w:ascii="仿宋" w:hAnsi="仿宋" w:eastAsia="仿宋"/>
          <w:sz w:val="28"/>
          <w:szCs w:val="28"/>
        </w:rPr>
      </w:pPr>
      <w:r>
        <w:rPr>
          <w:rFonts w:hint="eastAsia" w:ascii="仿宋" w:hAnsi="仿宋" w:eastAsia="仿宋"/>
          <w:sz w:val="28"/>
          <w:szCs w:val="28"/>
        </w:rPr>
        <w:t>岳阳中心以“党要治党，全面从严治党”为准则，扎实推进党史学习教育常态化制度化，强化党建工作责任制，加强党风廉政建设和反腐工作，严格落实中央八项规定及党的组织生活，促进作风好转。制订多项制度，加强党员理想信念教育、强化党性修养，促使党员在推动发展、服务群众、凝聚人心、促进和谐发挥带头引领作用，达到项目预期目标。</w:t>
      </w:r>
    </w:p>
    <w:p>
      <w:pPr>
        <w:ind w:firstLine="560" w:firstLineChars="200"/>
        <w:jc w:val="left"/>
        <w:rPr>
          <w:rFonts w:ascii="仿宋" w:hAnsi="仿宋" w:eastAsia="仿宋" w:cs="黑体"/>
          <w:b/>
          <w:color w:val="000000"/>
          <w:kern w:val="0"/>
          <w:sz w:val="28"/>
          <w:szCs w:val="28"/>
        </w:rPr>
      </w:pPr>
      <w:r>
        <w:rPr>
          <w:rFonts w:hint="eastAsia" w:ascii="仿宋" w:hAnsi="仿宋" w:eastAsia="仿宋" w:cs="黑体"/>
          <w:b/>
          <w:color w:val="000000"/>
          <w:kern w:val="0"/>
          <w:sz w:val="28"/>
          <w:szCs w:val="28"/>
        </w:rPr>
        <w:t>（二）环境质量监测项目绩效目标完成情况</w:t>
      </w:r>
    </w:p>
    <w:p>
      <w:pPr>
        <w:ind w:firstLine="560" w:firstLineChars="200"/>
        <w:rPr>
          <w:rFonts w:ascii="仿宋" w:hAnsi="仿宋" w:eastAsia="仿宋"/>
          <w:sz w:val="28"/>
          <w:szCs w:val="28"/>
        </w:rPr>
      </w:pPr>
      <w:r>
        <w:rPr>
          <w:rFonts w:hint="eastAsia" w:ascii="仿宋" w:hAnsi="仿宋" w:eastAsia="仿宋"/>
          <w:sz w:val="28"/>
          <w:szCs w:val="28"/>
        </w:rPr>
        <w:t>2021年岳阳地区环境质量明显改善。综合技术科完成环境质量监测项目工作的调度与数据的汇总，完成了年初下发的工作目标，为环境管理、环境质量的改善与可持续发展提供了技术支持与政府考核的依据。从以下几个方面阐叙：1、空气自动监测:我市12个环境空气质量自动监测站（国控点6个和省控点6个）总体运行良好，各仪器工作正常。截止目前,按省站要求每日按时按质按量完成日报数据复审、预报数据上报，在市政府、市局网站实时发布岳阳市及城区6个国控点空气质量自动监测日报信息，联合气象局周一三五会商开展7天预报工作365份，已完成岳阳市环境空气质量周报50期（含未来一周预报）、10个月月报及公众号推送、12个月岳阳日报发布每月空气质量研判会商结果、4个季度的省控点的现场巡检、监测设备维护和质量控制工作、4个季度季报的数据录入、统计和分析。</w:t>
      </w:r>
    </w:p>
    <w:p>
      <w:pPr>
        <w:ind w:firstLine="560" w:firstLineChars="200"/>
        <w:rPr>
          <w:rFonts w:ascii="仿宋" w:hAnsi="仿宋" w:eastAsia="仿宋"/>
          <w:sz w:val="28"/>
          <w:szCs w:val="28"/>
        </w:rPr>
      </w:pPr>
      <w:r>
        <w:rPr>
          <w:rFonts w:hint="eastAsia" w:ascii="仿宋" w:hAnsi="仿宋" w:eastAsia="仿宋"/>
          <w:sz w:val="28"/>
          <w:szCs w:val="28"/>
        </w:rPr>
        <w:t>按湖南省环境空气质量考评与核查技术规定，大气室每天开展岳阳地区省控自动监测数据的复审，已审核县级空气自动站数据315360个；岳阳市空气自动站由国家直管，自动监测科每天查看数据，发现数据异常时与国家直管站河南鑫属公司运维人员进行沟通，并及时向市局汇报；每日（含周末以及节假日）严格按规范进行数据审核，对异常数据按规范进行修正，全年无一天延误确认日报数据确保了数据的“真、准、全”。2</w:t>
      </w:r>
      <w:r>
        <w:rPr>
          <w:rFonts w:ascii="仿宋" w:hAnsi="仿宋" w:eastAsia="仿宋"/>
          <w:sz w:val="28"/>
          <w:szCs w:val="28"/>
        </w:rPr>
        <w:t>021</w:t>
      </w:r>
      <w:r>
        <w:rPr>
          <w:rFonts w:hint="eastAsia" w:ascii="仿宋" w:hAnsi="仿宋" w:eastAsia="仿宋"/>
          <w:sz w:val="28"/>
          <w:szCs w:val="28"/>
        </w:rPr>
        <w:t>年协同省站或受省站委托及独立对省控县级空气自动站开展空气质量现场和专项核查26次； 2</w:t>
      </w:r>
      <w:r>
        <w:rPr>
          <w:rFonts w:ascii="仿宋" w:hAnsi="仿宋" w:eastAsia="仿宋"/>
          <w:sz w:val="28"/>
          <w:szCs w:val="28"/>
        </w:rPr>
        <w:t>021</w:t>
      </w:r>
      <w:r>
        <w:rPr>
          <w:rFonts w:hint="eastAsia" w:ascii="仿宋" w:hAnsi="仿宋" w:eastAsia="仿宋"/>
          <w:sz w:val="28"/>
          <w:szCs w:val="28"/>
        </w:rPr>
        <w:t>年5月完成了臭氧校准仪送省站臭氧传递；2</w:t>
      </w:r>
      <w:r>
        <w:rPr>
          <w:rFonts w:ascii="仿宋" w:hAnsi="仿宋" w:eastAsia="仿宋"/>
          <w:sz w:val="28"/>
          <w:szCs w:val="28"/>
        </w:rPr>
        <w:t>021</w:t>
      </w:r>
      <w:r>
        <w:rPr>
          <w:rFonts w:hint="eastAsia" w:ascii="仿宋" w:hAnsi="仿宋" w:eastAsia="仿宋"/>
          <w:sz w:val="28"/>
          <w:szCs w:val="28"/>
        </w:rPr>
        <w:t>年9月开展了岳阳地区县级空气自动站的臭氧传递；依据省站、市局和中心的要求，提供了大量数据统计资料和汇报材料。另配合省中心大气部完成了2</w:t>
      </w:r>
      <w:r>
        <w:rPr>
          <w:rFonts w:ascii="仿宋" w:hAnsi="仿宋" w:eastAsia="仿宋"/>
          <w:sz w:val="28"/>
          <w:szCs w:val="28"/>
        </w:rPr>
        <w:t>021</w:t>
      </w:r>
      <w:r>
        <w:rPr>
          <w:rFonts w:hint="eastAsia" w:ascii="仿宋" w:hAnsi="仿宋" w:eastAsia="仿宋"/>
          <w:sz w:val="28"/>
          <w:szCs w:val="28"/>
        </w:rPr>
        <w:t>年6、7月份省控环境空气自动监测运维交叉检查，参加了省中心组织的全省组分网质控、评价技术及空气质量预报培训班学习，联合市气象局在市气象局办公楼举办岳阳市“环境气象预报预警业务”培训会，配合市局组织完成了国控点仪器设备验收，配合市局做好国控点、省控点运维交接工作。</w:t>
      </w:r>
    </w:p>
    <w:p>
      <w:pPr>
        <w:ind w:firstLine="560" w:firstLineChars="200"/>
        <w:rPr>
          <w:rFonts w:ascii="仿宋" w:hAnsi="仿宋" w:eastAsia="仿宋"/>
          <w:sz w:val="28"/>
          <w:szCs w:val="28"/>
        </w:rPr>
      </w:pPr>
      <w:r>
        <w:rPr>
          <w:rFonts w:hint="eastAsia" w:ascii="仿宋" w:hAnsi="仿宋" w:eastAsia="仿宋"/>
          <w:sz w:val="28"/>
          <w:szCs w:val="28"/>
        </w:rPr>
        <w:t>2、生态及农村环境监测:及时完善生态环境统计点位范围信息，统计标准方法；按标准要求统计和审核上报全市农村生态环境监测数据（农村千吨万人饮用水水源地水质监测、农田灌溉水质监测、农村生活污水处理设施出水水质监测、农村生活污水处理设施出水水质监测、重点生态功能区县域环境质量监测）；根据国家和省生态环境部门要求开展2019年和2020年农村生态环境监测数据的迁移补录；指导各县市区开展农村生态环境监测及数据上报工作；完成了岳阳市2021野外核查土地利用土地覆盖类型及边界核查；参加了省中心组织的全省培训班学习。</w:t>
      </w:r>
    </w:p>
    <w:p>
      <w:pPr>
        <w:ind w:firstLine="560" w:firstLineChars="200"/>
        <w:rPr>
          <w:rFonts w:ascii="仿宋" w:hAnsi="仿宋" w:eastAsia="仿宋"/>
          <w:sz w:val="28"/>
          <w:szCs w:val="28"/>
        </w:rPr>
      </w:pPr>
      <w:r>
        <w:rPr>
          <w:rFonts w:hint="eastAsia" w:ascii="仿宋" w:hAnsi="仿宋" w:eastAsia="仿宋"/>
          <w:sz w:val="28"/>
          <w:szCs w:val="28"/>
        </w:rPr>
        <w:t>3、地表水环境质量:（1）整理、填报、审核水环境质量数据并上报两个系统：①省考断面（</w:t>
      </w:r>
      <w:r>
        <w:rPr>
          <w:rFonts w:ascii="仿宋" w:hAnsi="仿宋" w:eastAsia="仿宋"/>
          <w:sz w:val="28"/>
          <w:szCs w:val="28"/>
        </w:rPr>
        <w:t>33</w:t>
      </w:r>
      <w:r>
        <w:rPr>
          <w:rFonts w:hint="eastAsia" w:ascii="仿宋" w:hAnsi="仿宋" w:eastAsia="仿宋"/>
          <w:sz w:val="28"/>
          <w:szCs w:val="28"/>
        </w:rPr>
        <w:t>个）、市控断面（2个）和市饮用水（</w:t>
      </w:r>
      <w:r>
        <w:rPr>
          <w:rFonts w:ascii="仿宋" w:hAnsi="仿宋" w:eastAsia="仿宋"/>
          <w:sz w:val="28"/>
          <w:szCs w:val="28"/>
        </w:rPr>
        <w:t>15</w:t>
      </w:r>
      <w:r>
        <w:rPr>
          <w:rFonts w:hint="eastAsia" w:ascii="仿宋" w:hAnsi="仿宋" w:eastAsia="仿宋"/>
          <w:sz w:val="28"/>
          <w:szCs w:val="28"/>
        </w:rPr>
        <w:t>个）、内湖专项（</w:t>
      </w:r>
      <w:r>
        <w:rPr>
          <w:rFonts w:ascii="仿宋" w:hAnsi="仿宋" w:eastAsia="仿宋"/>
          <w:sz w:val="28"/>
          <w:szCs w:val="28"/>
        </w:rPr>
        <w:t>12</w:t>
      </w:r>
      <w:r>
        <w:rPr>
          <w:rFonts w:hint="eastAsia" w:ascii="仿宋" w:hAnsi="仿宋" w:eastAsia="仿宋"/>
          <w:sz w:val="28"/>
          <w:szCs w:val="28"/>
        </w:rPr>
        <w:t>个）和重金属专项（7个断面）数据</w:t>
      </w:r>
      <w:r>
        <w:rPr>
          <w:rFonts w:ascii="仿宋" w:hAnsi="仿宋" w:eastAsia="仿宋"/>
          <w:sz w:val="28"/>
          <w:szCs w:val="28"/>
        </w:rPr>
        <w:t>37571</w:t>
      </w:r>
      <w:r>
        <w:rPr>
          <w:rFonts w:hint="eastAsia" w:ascii="仿宋" w:hAnsi="仿宋" w:eastAsia="仿宋"/>
          <w:sz w:val="28"/>
          <w:szCs w:val="28"/>
        </w:rPr>
        <w:t>个；②填报、审核、上报（两个系统）重点断面加密监测2</w:t>
      </w:r>
      <w:r>
        <w:rPr>
          <w:rFonts w:ascii="仿宋" w:hAnsi="仿宋" w:eastAsia="仿宋"/>
          <w:sz w:val="28"/>
          <w:szCs w:val="28"/>
        </w:rPr>
        <w:t>8</w:t>
      </w:r>
      <w:r>
        <w:rPr>
          <w:rFonts w:hint="eastAsia" w:ascii="仿宋" w:hAnsi="仿宋" w:eastAsia="仿宋"/>
          <w:sz w:val="28"/>
          <w:szCs w:val="28"/>
        </w:rPr>
        <w:t>次、饮用水(</w:t>
      </w:r>
      <w:r>
        <w:rPr>
          <w:rFonts w:ascii="仿宋" w:hAnsi="仿宋" w:eastAsia="仿宋"/>
          <w:sz w:val="28"/>
          <w:szCs w:val="28"/>
        </w:rPr>
        <w:t>12</w:t>
      </w:r>
      <w:r>
        <w:rPr>
          <w:rFonts w:hint="eastAsia" w:ascii="仿宋" w:hAnsi="仿宋" w:eastAsia="仿宋"/>
          <w:sz w:val="28"/>
          <w:szCs w:val="28"/>
        </w:rPr>
        <w:t>个断面</w:t>
      </w:r>
      <w:r>
        <w:rPr>
          <w:rFonts w:ascii="仿宋" w:hAnsi="仿宋" w:eastAsia="仿宋"/>
          <w:sz w:val="28"/>
          <w:szCs w:val="28"/>
        </w:rPr>
        <w:t>)</w:t>
      </w:r>
      <w:r>
        <w:rPr>
          <w:rFonts w:hint="eastAsia" w:ascii="仿宋" w:hAnsi="仿宋" w:eastAsia="仿宋"/>
          <w:sz w:val="28"/>
          <w:szCs w:val="28"/>
        </w:rPr>
        <w:t>加密监测1</w:t>
      </w:r>
      <w:r>
        <w:rPr>
          <w:rFonts w:ascii="仿宋" w:hAnsi="仿宋" w:eastAsia="仿宋"/>
          <w:sz w:val="28"/>
          <w:szCs w:val="28"/>
        </w:rPr>
        <w:t>6</w:t>
      </w:r>
      <w:r>
        <w:rPr>
          <w:rFonts w:hint="eastAsia" w:ascii="仿宋" w:hAnsi="仿宋" w:eastAsia="仿宋"/>
          <w:sz w:val="28"/>
          <w:szCs w:val="28"/>
        </w:rPr>
        <w:t>次、涉铊重点断面加密1</w:t>
      </w:r>
      <w:r>
        <w:rPr>
          <w:rFonts w:ascii="仿宋" w:hAnsi="仿宋" w:eastAsia="仿宋"/>
          <w:sz w:val="28"/>
          <w:szCs w:val="28"/>
        </w:rPr>
        <w:t>8</w:t>
      </w:r>
      <w:r>
        <w:rPr>
          <w:rFonts w:hint="eastAsia" w:ascii="仿宋" w:hAnsi="仿宋" w:eastAsia="仿宋"/>
          <w:sz w:val="28"/>
          <w:szCs w:val="28"/>
        </w:rPr>
        <w:t>次，共计1</w:t>
      </w:r>
      <w:r>
        <w:rPr>
          <w:rFonts w:ascii="仿宋" w:hAnsi="仿宋" w:eastAsia="仿宋"/>
          <w:sz w:val="28"/>
          <w:szCs w:val="28"/>
        </w:rPr>
        <w:t>458</w:t>
      </w:r>
      <w:r>
        <w:rPr>
          <w:rFonts w:hint="eastAsia" w:ascii="仿宋" w:hAnsi="仿宋" w:eastAsia="仿宋"/>
          <w:sz w:val="28"/>
          <w:szCs w:val="28"/>
        </w:rPr>
        <w:t>个数据；（2）审核采测分离数据4</w:t>
      </w:r>
      <w:r>
        <w:rPr>
          <w:rFonts w:ascii="仿宋" w:hAnsi="仿宋" w:eastAsia="仿宋"/>
          <w:sz w:val="28"/>
          <w:szCs w:val="28"/>
        </w:rPr>
        <w:t>809</w:t>
      </w:r>
      <w:r>
        <w:rPr>
          <w:rFonts w:hint="eastAsia" w:ascii="仿宋" w:hAnsi="仿宋" w:eastAsia="仿宋"/>
          <w:sz w:val="28"/>
          <w:szCs w:val="28"/>
        </w:rPr>
        <w:t>个；（3）协助市生态环境局完成长江经济带水站、双花水库水质自动站验收工作，协助开展新建、改造水质自动站建设与验收工作；审核国省控、流量水质自动站监测数据</w:t>
      </w:r>
      <w:r>
        <w:rPr>
          <w:rFonts w:ascii="仿宋" w:hAnsi="仿宋" w:eastAsia="仿宋"/>
          <w:sz w:val="28"/>
          <w:szCs w:val="28"/>
        </w:rPr>
        <w:t>365</w:t>
      </w:r>
      <w:r>
        <w:rPr>
          <w:rFonts w:hint="eastAsia" w:ascii="仿宋" w:hAnsi="仿宋" w:eastAsia="仿宋"/>
          <w:sz w:val="28"/>
          <w:szCs w:val="28"/>
        </w:rPr>
        <w:t>天，审核数据约8</w:t>
      </w:r>
      <w:r>
        <w:rPr>
          <w:rFonts w:ascii="仿宋" w:hAnsi="仿宋" w:eastAsia="仿宋"/>
          <w:sz w:val="28"/>
          <w:szCs w:val="28"/>
        </w:rPr>
        <w:t>3.2</w:t>
      </w:r>
      <w:r>
        <w:rPr>
          <w:rFonts w:hint="eastAsia" w:ascii="仿宋" w:hAnsi="仿宋" w:eastAsia="仿宋"/>
          <w:sz w:val="28"/>
          <w:szCs w:val="28"/>
        </w:rPr>
        <w:t>万个。</w:t>
      </w:r>
    </w:p>
    <w:p>
      <w:pPr>
        <w:ind w:firstLine="560" w:firstLineChars="200"/>
        <w:rPr>
          <w:rFonts w:ascii="仿宋" w:hAnsi="仿宋" w:eastAsia="仿宋"/>
          <w:sz w:val="28"/>
          <w:szCs w:val="28"/>
        </w:rPr>
      </w:pPr>
      <w:r>
        <w:rPr>
          <w:rFonts w:hint="eastAsia" w:ascii="仿宋" w:hAnsi="仿宋" w:eastAsia="仿宋"/>
          <w:sz w:val="28"/>
          <w:szCs w:val="28"/>
        </w:rPr>
        <w:t>4、土壤和地下水（1）完成4</w:t>
      </w:r>
      <w:r>
        <w:rPr>
          <w:rFonts w:ascii="仿宋" w:hAnsi="仿宋" w:eastAsia="仿宋"/>
          <w:sz w:val="28"/>
          <w:szCs w:val="28"/>
        </w:rPr>
        <w:t>6</w:t>
      </w:r>
      <w:r>
        <w:rPr>
          <w:rFonts w:hint="eastAsia" w:ascii="仿宋" w:hAnsi="仿宋" w:eastAsia="仿宋"/>
          <w:sz w:val="28"/>
          <w:szCs w:val="28"/>
        </w:rPr>
        <w:t>个国控风险点、省网及底泥中无机和有机样品的监测数据填报、审核工作；（2）完成地下水试点监测工作。</w:t>
      </w:r>
    </w:p>
    <w:p>
      <w:pPr>
        <w:ind w:firstLine="560" w:firstLineChars="200"/>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、报告编制:（1）组织编写了《2</w:t>
      </w:r>
      <w:r>
        <w:rPr>
          <w:rFonts w:ascii="仿宋" w:hAnsi="仿宋" w:eastAsia="仿宋"/>
          <w:sz w:val="28"/>
          <w:szCs w:val="28"/>
        </w:rPr>
        <w:t>020</w:t>
      </w:r>
      <w:r>
        <w:rPr>
          <w:rFonts w:hint="eastAsia" w:ascii="仿宋" w:hAnsi="仿宋" w:eastAsia="仿宋"/>
          <w:sz w:val="28"/>
          <w:szCs w:val="28"/>
        </w:rPr>
        <w:t>年岳阳市环境质量报告书》、《岳阳市十三五环境质量报告书》；（2）编写了《岳阳市2</w:t>
      </w:r>
      <w:r>
        <w:rPr>
          <w:rFonts w:ascii="仿宋" w:hAnsi="仿宋" w:eastAsia="仿宋"/>
          <w:sz w:val="28"/>
          <w:szCs w:val="28"/>
        </w:rPr>
        <w:t>020</w:t>
      </w:r>
      <w:r>
        <w:rPr>
          <w:rFonts w:hint="eastAsia" w:ascii="仿宋" w:hAnsi="仿宋" w:eastAsia="仿宋"/>
          <w:sz w:val="28"/>
          <w:szCs w:val="28"/>
        </w:rPr>
        <w:t>年水环境承载力评价报告》、《2</w:t>
      </w:r>
      <w:r>
        <w:rPr>
          <w:rFonts w:ascii="仿宋" w:hAnsi="仿宋" w:eastAsia="仿宋"/>
          <w:sz w:val="28"/>
          <w:szCs w:val="28"/>
        </w:rPr>
        <w:t>020</w:t>
      </w:r>
      <w:r>
        <w:rPr>
          <w:rFonts w:hint="eastAsia" w:ascii="仿宋" w:hAnsi="仿宋" w:eastAsia="仿宋"/>
          <w:sz w:val="28"/>
          <w:szCs w:val="28"/>
        </w:rPr>
        <w:t>年金凤水库集中式饮用水水源地环境保护状况评估报告》等。</w:t>
      </w:r>
    </w:p>
    <w:p>
      <w:pPr>
        <w:ind w:firstLine="560" w:firstLineChars="200"/>
        <w:rPr>
          <w:rFonts w:ascii="仿宋" w:hAnsi="仿宋" w:eastAsia="仿宋"/>
          <w:sz w:val="28"/>
          <w:szCs w:val="28"/>
        </w:rPr>
      </w:pPr>
      <w:r>
        <w:rPr>
          <w:rFonts w:hint="eastAsia" w:ascii="仿宋" w:hAnsi="仿宋" w:eastAsia="仿宋"/>
          <w:sz w:val="28"/>
          <w:szCs w:val="28"/>
        </w:rPr>
        <w:t>6、环境质量会商:参加了1</w:t>
      </w:r>
      <w:r>
        <w:rPr>
          <w:rFonts w:ascii="仿宋" w:hAnsi="仿宋" w:eastAsia="仿宋"/>
          <w:sz w:val="28"/>
          <w:szCs w:val="28"/>
        </w:rPr>
        <w:t>2</w:t>
      </w:r>
      <w:r>
        <w:rPr>
          <w:rFonts w:hint="eastAsia" w:ascii="仿宋" w:hAnsi="仿宋" w:eastAsia="仿宋"/>
          <w:sz w:val="28"/>
          <w:szCs w:val="28"/>
        </w:rPr>
        <w:t>次环境质量会商，编写汇报材料1</w:t>
      </w:r>
      <w:r>
        <w:rPr>
          <w:rFonts w:ascii="仿宋" w:hAnsi="仿宋" w:eastAsia="仿宋"/>
          <w:sz w:val="28"/>
          <w:szCs w:val="28"/>
        </w:rPr>
        <w:t>2</w:t>
      </w:r>
      <w:r>
        <w:rPr>
          <w:rFonts w:hint="eastAsia" w:ascii="仿宋" w:hAnsi="仿宋" w:eastAsia="仿宋"/>
          <w:sz w:val="28"/>
          <w:szCs w:val="28"/>
        </w:rPr>
        <w:t>份，对2</w:t>
      </w:r>
      <w:r>
        <w:rPr>
          <w:rFonts w:ascii="仿宋" w:hAnsi="仿宋" w:eastAsia="仿宋"/>
          <w:sz w:val="28"/>
          <w:szCs w:val="28"/>
        </w:rPr>
        <w:t>020</w:t>
      </w:r>
      <w:r>
        <w:rPr>
          <w:rFonts w:hint="eastAsia" w:ascii="仿宋" w:hAnsi="仿宋" w:eastAsia="仿宋"/>
          <w:sz w:val="28"/>
          <w:szCs w:val="28"/>
        </w:rPr>
        <w:t>年及2</w:t>
      </w:r>
      <w:r>
        <w:rPr>
          <w:rFonts w:ascii="仿宋" w:hAnsi="仿宋" w:eastAsia="仿宋"/>
          <w:sz w:val="28"/>
          <w:szCs w:val="28"/>
        </w:rPr>
        <w:t>021</w:t>
      </w:r>
      <w:r>
        <w:rPr>
          <w:rFonts w:hint="eastAsia" w:ascii="仿宋" w:hAnsi="仿宋" w:eastAsia="仿宋"/>
          <w:sz w:val="28"/>
          <w:szCs w:val="28"/>
        </w:rPr>
        <w:t>年前1</w:t>
      </w:r>
      <w:r>
        <w:rPr>
          <w:rFonts w:ascii="仿宋" w:hAnsi="仿宋" w:eastAsia="仿宋"/>
          <w:sz w:val="28"/>
          <w:szCs w:val="28"/>
        </w:rPr>
        <w:t>1</w:t>
      </w:r>
      <w:r>
        <w:rPr>
          <w:rFonts w:hint="eastAsia" w:ascii="仿宋" w:hAnsi="仿宋" w:eastAsia="仿宋"/>
          <w:sz w:val="28"/>
          <w:szCs w:val="28"/>
        </w:rPr>
        <w:t>个月岳阳市环境质量状况进行了原因分析，并提出了整改措施建议。</w:t>
      </w:r>
    </w:p>
    <w:p>
      <w:pPr>
        <w:ind w:firstLine="560" w:firstLineChars="200"/>
        <w:rPr>
          <w:rFonts w:ascii="仿宋" w:hAnsi="仿宋" w:eastAsia="仿宋"/>
          <w:sz w:val="28"/>
          <w:szCs w:val="28"/>
        </w:rPr>
      </w:pPr>
      <w:r>
        <w:rPr>
          <w:rFonts w:ascii="仿宋" w:hAnsi="仿宋" w:eastAsia="仿宋"/>
          <w:sz w:val="28"/>
          <w:szCs w:val="28"/>
        </w:rPr>
        <w:t>7</w:t>
      </w:r>
      <w:r>
        <w:rPr>
          <w:rFonts w:hint="eastAsia" w:ascii="仿宋" w:hAnsi="仿宋" w:eastAsia="仿宋"/>
          <w:sz w:val="28"/>
          <w:szCs w:val="28"/>
        </w:rPr>
        <w:t>、其他工作:（1）已下达监测工作调度令1</w:t>
      </w:r>
      <w:r>
        <w:rPr>
          <w:rFonts w:ascii="仿宋" w:hAnsi="仿宋" w:eastAsia="仿宋"/>
          <w:sz w:val="28"/>
          <w:szCs w:val="28"/>
        </w:rPr>
        <w:t>98</w:t>
      </w:r>
      <w:r>
        <w:rPr>
          <w:rFonts w:hint="eastAsia" w:ascii="仿宋" w:hAnsi="仿宋" w:eastAsia="仿宋"/>
          <w:sz w:val="28"/>
          <w:szCs w:val="28"/>
        </w:rPr>
        <w:t>份；（2）为市局、县环保分局、县站以及环保督查、专项调查、研究项目和课题等提供水环境质量报表1</w:t>
      </w:r>
      <w:r>
        <w:rPr>
          <w:rFonts w:ascii="仿宋" w:hAnsi="仿宋" w:eastAsia="仿宋"/>
          <w:sz w:val="28"/>
          <w:szCs w:val="28"/>
        </w:rPr>
        <w:t>66</w:t>
      </w:r>
      <w:r>
        <w:rPr>
          <w:rFonts w:hint="eastAsia" w:ascii="仿宋" w:hAnsi="仿宋" w:eastAsia="仿宋"/>
          <w:sz w:val="28"/>
          <w:szCs w:val="28"/>
        </w:rPr>
        <w:t>份；（3）完成科室报告、资料的归档工作。</w:t>
      </w:r>
    </w:p>
    <w:p>
      <w:pPr>
        <w:ind w:firstLine="560" w:firstLineChars="200"/>
        <w:jc w:val="left"/>
        <w:rPr>
          <w:rFonts w:ascii="仿宋" w:hAnsi="仿宋" w:eastAsia="仿宋" w:cs="黑体"/>
          <w:b/>
          <w:color w:val="000000"/>
          <w:kern w:val="0"/>
          <w:sz w:val="28"/>
          <w:szCs w:val="28"/>
        </w:rPr>
      </w:pPr>
      <w:r>
        <w:rPr>
          <w:rFonts w:hint="eastAsia" w:ascii="仿宋" w:hAnsi="仿宋" w:eastAsia="仿宋" w:cs="黑体"/>
          <w:b/>
          <w:color w:val="000000"/>
          <w:kern w:val="0"/>
          <w:sz w:val="28"/>
          <w:szCs w:val="28"/>
        </w:rPr>
        <w:t>（三）资本性支出项目绩效目标完成情况</w:t>
      </w:r>
    </w:p>
    <w:p>
      <w:pPr>
        <w:ind w:firstLine="560" w:firstLineChars="200"/>
        <w:rPr>
          <w:rFonts w:ascii="仿宋" w:hAnsi="仿宋" w:eastAsia="仿宋"/>
          <w:sz w:val="28"/>
          <w:szCs w:val="28"/>
        </w:rPr>
      </w:pPr>
      <w:r>
        <w:rPr>
          <w:rFonts w:hint="eastAsia" w:ascii="仿宋" w:hAnsi="仿宋" w:eastAsia="仿宋"/>
          <w:sz w:val="28"/>
          <w:szCs w:val="28"/>
        </w:rPr>
        <w:t>本中心2021年资本性支出全年根据实际工作需求共配置通用设备127台套、专用设备37台套。为各科室提供了优质高效的硬件支撑，切实保障监测工作的顺利开展。严格规范所有设备的购置流程手续，合法合规的为各科室提供服务。</w:t>
      </w:r>
    </w:p>
    <w:p>
      <w:pPr>
        <w:ind w:firstLine="560" w:firstLineChars="200"/>
        <w:jc w:val="left"/>
        <w:rPr>
          <w:rFonts w:ascii="仿宋" w:hAnsi="仿宋" w:eastAsia="仿宋" w:cs="黑体"/>
          <w:b/>
          <w:color w:val="000000"/>
          <w:kern w:val="0"/>
          <w:sz w:val="28"/>
          <w:szCs w:val="28"/>
        </w:rPr>
      </w:pPr>
      <w:r>
        <w:rPr>
          <w:rFonts w:hint="eastAsia" w:ascii="仿宋" w:hAnsi="仿宋" w:eastAsia="仿宋" w:cs="黑体"/>
          <w:b/>
          <w:color w:val="000000"/>
          <w:kern w:val="0"/>
          <w:sz w:val="28"/>
          <w:szCs w:val="28"/>
        </w:rPr>
        <w:t>（四）三供一业项目绩效目标完成情况</w:t>
      </w:r>
    </w:p>
    <w:p>
      <w:pPr>
        <w:ind w:firstLine="560" w:firstLineChars="200"/>
        <w:rPr>
          <w:rFonts w:ascii="仿宋" w:hAnsi="仿宋" w:eastAsia="仿宋"/>
          <w:sz w:val="28"/>
          <w:szCs w:val="28"/>
        </w:rPr>
      </w:pPr>
      <w:r>
        <w:rPr>
          <w:rFonts w:hint="eastAsia" w:ascii="仿宋" w:hAnsi="仿宋" w:eastAsia="仿宋"/>
          <w:sz w:val="28"/>
          <w:szCs w:val="28"/>
        </w:rPr>
        <w:t>我单位原办公大楼及家属区大院（位置：南湖夏万街）纳入主城区“三供一业”分离改革范围，公产部分已移交市场监督管理局，但存在3栋房改房46户要进行水、电及物业分离改革。按照2020年8月岳阳市生态环境局“三供一业”分离改革实施方案，经协商由我单位出资，市场监督管理局负责改造，岳阳市生态环境局负责总协调。</w:t>
      </w:r>
    </w:p>
    <w:p>
      <w:pPr>
        <w:ind w:firstLine="560" w:firstLineChars="200"/>
        <w:rPr>
          <w:rFonts w:ascii="仿宋" w:hAnsi="仿宋" w:eastAsia="仿宋"/>
          <w:sz w:val="28"/>
          <w:szCs w:val="28"/>
        </w:rPr>
      </w:pPr>
      <w:r>
        <w:rPr>
          <w:rFonts w:hint="eastAsia" w:ascii="仿宋" w:hAnsi="仿宋" w:eastAsia="仿宋"/>
          <w:sz w:val="28"/>
          <w:szCs w:val="28"/>
        </w:rPr>
        <w:t>对于原办公大楼及家属区大院居民而言，“三供一业”的改造是一项关乎到单位大院居民幸福指数的民生工程，不仅可以让辖区旧貌换新颜，居民再也不用担心突然停水停电，晚上都可以在院内散步锻炼身体，使居民住着更方便、更舒服，整个单位家属区居民居住环境得到很大改善。居民对“三供一业”改造后的成果非常满意。</w:t>
      </w:r>
    </w:p>
    <w:p>
      <w:pPr>
        <w:ind w:firstLine="560" w:firstLineChars="200"/>
        <w:rPr>
          <w:rFonts w:ascii="黑体" w:hAnsi="黑体" w:eastAsia="黑体" w:cs="Times New Roman"/>
          <w:sz w:val="32"/>
          <w:szCs w:val="32"/>
        </w:rPr>
      </w:pPr>
      <w:r>
        <w:rPr>
          <w:rFonts w:hint="eastAsia" w:ascii="黑体" w:hAnsi="黑体" w:eastAsia="黑体" w:cs="黑体"/>
          <w:b/>
          <w:color w:val="000000"/>
          <w:kern w:val="0"/>
          <w:sz w:val="28"/>
          <w:szCs w:val="28"/>
        </w:rPr>
        <w:t>五、存在的主要问题及下一步改进措施</w:t>
      </w:r>
    </w:p>
    <w:p>
      <w:pPr>
        <w:ind w:firstLine="560" w:firstLineChars="200"/>
        <w:rPr>
          <w:rFonts w:ascii="仿宋" w:hAnsi="仿宋" w:eastAsia="仿宋"/>
          <w:sz w:val="28"/>
          <w:szCs w:val="28"/>
        </w:rPr>
      </w:pPr>
      <w:r>
        <w:rPr>
          <w:rFonts w:hint="eastAsia" w:ascii="仿宋" w:hAnsi="仿宋" w:eastAsia="仿宋"/>
          <w:sz w:val="28"/>
          <w:szCs w:val="28"/>
        </w:rPr>
        <w:t>在项目支出预算执行过程中，我中心的项目支出存在预算执行进度和效率有待加强的问题。主要原因为是2021年1月至9月，我中心所有项目支出大部分都在上年结转资金中列支，影响了2021年部门预算中项目资金的使用进度。针对绩效自评发现的问题，下一步改进措施是根据省财政厅预算执行进度的相关要求，我中心将督促相关部门加快项目实施及资金支付进度，切实加大预算执行率，提高预算资金使用效率。</w:t>
      </w:r>
    </w:p>
    <w:p>
      <w:pPr>
        <w:ind w:firstLine="560" w:firstLineChars="200"/>
        <w:rPr>
          <w:rFonts w:ascii="黑体" w:hAnsi="黑体" w:eastAsia="黑体" w:cs="黑体"/>
          <w:b/>
          <w:color w:val="000000"/>
          <w:kern w:val="0"/>
          <w:sz w:val="28"/>
          <w:szCs w:val="28"/>
        </w:rPr>
      </w:pPr>
      <w:r>
        <w:rPr>
          <w:rFonts w:hint="eastAsia" w:ascii="黑体" w:hAnsi="黑体" w:eastAsia="黑体" w:cs="黑体"/>
          <w:b/>
          <w:color w:val="000000"/>
          <w:kern w:val="0"/>
          <w:sz w:val="28"/>
          <w:szCs w:val="28"/>
        </w:rPr>
        <w:t>六、绩效自评结果拟应用和公开情况</w:t>
      </w:r>
    </w:p>
    <w:p>
      <w:pPr>
        <w:ind w:firstLine="560" w:firstLineChars="200"/>
        <w:rPr>
          <w:rFonts w:ascii="仿宋" w:hAnsi="仿宋" w:eastAsia="仿宋"/>
          <w:sz w:val="28"/>
          <w:szCs w:val="28"/>
        </w:rPr>
      </w:pPr>
      <w:r>
        <w:rPr>
          <w:rFonts w:hint="eastAsia" w:ascii="仿宋" w:hAnsi="仿宋" w:eastAsia="仿宋"/>
          <w:sz w:val="28"/>
          <w:szCs w:val="28"/>
        </w:rPr>
        <w:t>通过绩效自评，我中心进一步掌握了部门整体支出使用情况和取得的效果，发现了工作中存在的问题和不足，为下一年提高资金的使用效益，加强财政支出的规范化管理、健全和完善项目支出和资金使用管理办法、完善预算编制、加强绩效目标管理和绩效考核工作提供重要的参考依据。</w:t>
      </w: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ind w:firstLine="420" w:firstLineChars="150"/>
        <w:jc w:val="left"/>
        <w:rPr>
          <w:rFonts w:ascii="仿宋" w:hAnsi="仿宋" w:eastAsia="仿宋" w:cs="Times New Roman"/>
          <w:bCs/>
          <w:sz w:val="28"/>
          <w:szCs w:val="28"/>
        </w:rPr>
      </w:pPr>
    </w:p>
    <w:p>
      <w:pPr>
        <w:widowControl/>
        <w:spacing w:line="600" w:lineRule="exact"/>
        <w:jc w:val="left"/>
        <w:rPr>
          <w:rFonts w:ascii="仿宋" w:hAnsi="仿宋" w:eastAsia="仿宋"/>
          <w:bCs/>
          <w:sz w:val="28"/>
          <w:szCs w:val="28"/>
        </w:rPr>
      </w:pPr>
    </w:p>
    <w:p>
      <w:pPr>
        <w:widowControl/>
        <w:spacing w:line="600" w:lineRule="exact"/>
        <w:jc w:val="left"/>
        <w:rPr>
          <w:rFonts w:ascii="仿宋" w:hAnsi="仿宋" w:eastAsia="仿宋"/>
          <w:bCs/>
          <w:sz w:val="28"/>
          <w:szCs w:val="28"/>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zMzljZWIyZGFiNTM0ZTVlMmI1M2M2MGE0Yjk4NzcifQ=="/>
    <w:docVar w:name="KSO_WPS_MARK_KEY" w:val="94ecea26-553f-4dd8-bc5d-2b4caed48600"/>
  </w:docVars>
  <w:rsids>
    <w:rsidRoot w:val="004506F9"/>
    <w:rsid w:val="00006096"/>
    <w:rsid w:val="000179A4"/>
    <w:rsid w:val="0002229B"/>
    <w:rsid w:val="000273BD"/>
    <w:rsid w:val="0003395A"/>
    <w:rsid w:val="000415B7"/>
    <w:rsid w:val="00041E3F"/>
    <w:rsid w:val="00052010"/>
    <w:rsid w:val="00053DC0"/>
    <w:rsid w:val="00055DAA"/>
    <w:rsid w:val="00061F7B"/>
    <w:rsid w:val="000658A3"/>
    <w:rsid w:val="00067E9F"/>
    <w:rsid w:val="00074155"/>
    <w:rsid w:val="000873EF"/>
    <w:rsid w:val="000A3F69"/>
    <w:rsid w:val="000C2424"/>
    <w:rsid w:val="000C459F"/>
    <w:rsid w:val="000E7BEA"/>
    <w:rsid w:val="00101F6E"/>
    <w:rsid w:val="00103957"/>
    <w:rsid w:val="00117964"/>
    <w:rsid w:val="001208A9"/>
    <w:rsid w:val="00122CC5"/>
    <w:rsid w:val="00124A1F"/>
    <w:rsid w:val="001256DD"/>
    <w:rsid w:val="00152C6D"/>
    <w:rsid w:val="00162D39"/>
    <w:rsid w:val="001636D9"/>
    <w:rsid w:val="001678BD"/>
    <w:rsid w:val="0017217E"/>
    <w:rsid w:val="00182373"/>
    <w:rsid w:val="00185CDF"/>
    <w:rsid w:val="00191438"/>
    <w:rsid w:val="001A3363"/>
    <w:rsid w:val="001A621D"/>
    <w:rsid w:val="001A67DB"/>
    <w:rsid w:val="001C3C29"/>
    <w:rsid w:val="001D1759"/>
    <w:rsid w:val="001D51E5"/>
    <w:rsid w:val="001E080D"/>
    <w:rsid w:val="001E53D0"/>
    <w:rsid w:val="001E707C"/>
    <w:rsid w:val="001F0C3B"/>
    <w:rsid w:val="001F5570"/>
    <w:rsid w:val="00202C14"/>
    <w:rsid w:val="00202C82"/>
    <w:rsid w:val="00214427"/>
    <w:rsid w:val="0022105B"/>
    <w:rsid w:val="0022465B"/>
    <w:rsid w:val="00226CB7"/>
    <w:rsid w:val="00264552"/>
    <w:rsid w:val="00264EF9"/>
    <w:rsid w:val="00265724"/>
    <w:rsid w:val="00271E34"/>
    <w:rsid w:val="0027426B"/>
    <w:rsid w:val="00275C59"/>
    <w:rsid w:val="002806CD"/>
    <w:rsid w:val="00295DDA"/>
    <w:rsid w:val="002D6334"/>
    <w:rsid w:val="002E0A30"/>
    <w:rsid w:val="003130C4"/>
    <w:rsid w:val="00316C4B"/>
    <w:rsid w:val="0032192B"/>
    <w:rsid w:val="00332049"/>
    <w:rsid w:val="003479BD"/>
    <w:rsid w:val="00347EB5"/>
    <w:rsid w:val="00367A10"/>
    <w:rsid w:val="0037197D"/>
    <w:rsid w:val="003768D5"/>
    <w:rsid w:val="003C1921"/>
    <w:rsid w:val="003C1C52"/>
    <w:rsid w:val="003C4197"/>
    <w:rsid w:val="003C47E6"/>
    <w:rsid w:val="003C4FC2"/>
    <w:rsid w:val="003D3876"/>
    <w:rsid w:val="003D466F"/>
    <w:rsid w:val="003D4DF0"/>
    <w:rsid w:val="003E2331"/>
    <w:rsid w:val="003E4D39"/>
    <w:rsid w:val="00403517"/>
    <w:rsid w:val="00416E61"/>
    <w:rsid w:val="0042188A"/>
    <w:rsid w:val="0042790C"/>
    <w:rsid w:val="004322A3"/>
    <w:rsid w:val="004506F9"/>
    <w:rsid w:val="00463EC9"/>
    <w:rsid w:val="00465CA3"/>
    <w:rsid w:val="004717A2"/>
    <w:rsid w:val="00473DF3"/>
    <w:rsid w:val="0048740A"/>
    <w:rsid w:val="00487911"/>
    <w:rsid w:val="00491741"/>
    <w:rsid w:val="00495426"/>
    <w:rsid w:val="004B0CEE"/>
    <w:rsid w:val="004C05FB"/>
    <w:rsid w:val="004C4308"/>
    <w:rsid w:val="00500E5F"/>
    <w:rsid w:val="005122EF"/>
    <w:rsid w:val="0051441A"/>
    <w:rsid w:val="00517C33"/>
    <w:rsid w:val="00517D5F"/>
    <w:rsid w:val="00521AF2"/>
    <w:rsid w:val="00523644"/>
    <w:rsid w:val="0054069E"/>
    <w:rsid w:val="00544866"/>
    <w:rsid w:val="00557758"/>
    <w:rsid w:val="005612A4"/>
    <w:rsid w:val="005639F5"/>
    <w:rsid w:val="005767CC"/>
    <w:rsid w:val="00590D9F"/>
    <w:rsid w:val="00595D26"/>
    <w:rsid w:val="005A6718"/>
    <w:rsid w:val="005A74E6"/>
    <w:rsid w:val="005B404E"/>
    <w:rsid w:val="005C3295"/>
    <w:rsid w:val="005D4D55"/>
    <w:rsid w:val="005E2CFB"/>
    <w:rsid w:val="005E382D"/>
    <w:rsid w:val="005F2103"/>
    <w:rsid w:val="005F3D1C"/>
    <w:rsid w:val="0062378F"/>
    <w:rsid w:val="006277B5"/>
    <w:rsid w:val="00641842"/>
    <w:rsid w:val="00644350"/>
    <w:rsid w:val="00651EEC"/>
    <w:rsid w:val="00677448"/>
    <w:rsid w:val="00686673"/>
    <w:rsid w:val="00691B50"/>
    <w:rsid w:val="00691E8C"/>
    <w:rsid w:val="006A22C4"/>
    <w:rsid w:val="006A348B"/>
    <w:rsid w:val="006A351B"/>
    <w:rsid w:val="006A5D86"/>
    <w:rsid w:val="006B0422"/>
    <w:rsid w:val="006C1B53"/>
    <w:rsid w:val="006D7730"/>
    <w:rsid w:val="006E5284"/>
    <w:rsid w:val="006F3EB5"/>
    <w:rsid w:val="00702E34"/>
    <w:rsid w:val="00704395"/>
    <w:rsid w:val="00710FE7"/>
    <w:rsid w:val="00712110"/>
    <w:rsid w:val="00717621"/>
    <w:rsid w:val="00720FF1"/>
    <w:rsid w:val="0072109B"/>
    <w:rsid w:val="00727A53"/>
    <w:rsid w:val="00731305"/>
    <w:rsid w:val="00743AB6"/>
    <w:rsid w:val="00745EC8"/>
    <w:rsid w:val="00787B42"/>
    <w:rsid w:val="007A56D7"/>
    <w:rsid w:val="007C4539"/>
    <w:rsid w:val="007E593F"/>
    <w:rsid w:val="007F3657"/>
    <w:rsid w:val="008114E2"/>
    <w:rsid w:val="00812ED5"/>
    <w:rsid w:val="00823752"/>
    <w:rsid w:val="008277D9"/>
    <w:rsid w:val="0084478C"/>
    <w:rsid w:val="008624A6"/>
    <w:rsid w:val="0086638C"/>
    <w:rsid w:val="008846C3"/>
    <w:rsid w:val="008867E3"/>
    <w:rsid w:val="00892C88"/>
    <w:rsid w:val="00894770"/>
    <w:rsid w:val="008A00E8"/>
    <w:rsid w:val="008A2BEE"/>
    <w:rsid w:val="008A3E8D"/>
    <w:rsid w:val="008C7641"/>
    <w:rsid w:val="008D0BC1"/>
    <w:rsid w:val="008E7C31"/>
    <w:rsid w:val="008E7FA2"/>
    <w:rsid w:val="00901846"/>
    <w:rsid w:val="009237C4"/>
    <w:rsid w:val="009419BD"/>
    <w:rsid w:val="00944C48"/>
    <w:rsid w:val="00950252"/>
    <w:rsid w:val="00967F5D"/>
    <w:rsid w:val="009A0F95"/>
    <w:rsid w:val="009B33CE"/>
    <w:rsid w:val="009B3ADF"/>
    <w:rsid w:val="009C3B52"/>
    <w:rsid w:val="009E639F"/>
    <w:rsid w:val="009E6817"/>
    <w:rsid w:val="009E6E9A"/>
    <w:rsid w:val="00A01D2B"/>
    <w:rsid w:val="00A049D0"/>
    <w:rsid w:val="00A42218"/>
    <w:rsid w:val="00A70249"/>
    <w:rsid w:val="00A70B02"/>
    <w:rsid w:val="00A71D9F"/>
    <w:rsid w:val="00A92E9F"/>
    <w:rsid w:val="00AC089E"/>
    <w:rsid w:val="00AD1255"/>
    <w:rsid w:val="00AE5395"/>
    <w:rsid w:val="00AF3E41"/>
    <w:rsid w:val="00B06C79"/>
    <w:rsid w:val="00B06F19"/>
    <w:rsid w:val="00B33BEA"/>
    <w:rsid w:val="00B57C9F"/>
    <w:rsid w:val="00B63572"/>
    <w:rsid w:val="00B7309D"/>
    <w:rsid w:val="00B845B3"/>
    <w:rsid w:val="00B85D8B"/>
    <w:rsid w:val="00BA4995"/>
    <w:rsid w:val="00BA6CA8"/>
    <w:rsid w:val="00BB4A40"/>
    <w:rsid w:val="00BD6C3E"/>
    <w:rsid w:val="00BE1474"/>
    <w:rsid w:val="00BE3674"/>
    <w:rsid w:val="00BF3880"/>
    <w:rsid w:val="00C10681"/>
    <w:rsid w:val="00C10D28"/>
    <w:rsid w:val="00C3049A"/>
    <w:rsid w:val="00C31B1E"/>
    <w:rsid w:val="00C34993"/>
    <w:rsid w:val="00C404F1"/>
    <w:rsid w:val="00C77645"/>
    <w:rsid w:val="00C81C39"/>
    <w:rsid w:val="00CD612D"/>
    <w:rsid w:val="00CE04C3"/>
    <w:rsid w:val="00CE1023"/>
    <w:rsid w:val="00CE76A0"/>
    <w:rsid w:val="00D074B3"/>
    <w:rsid w:val="00D110D6"/>
    <w:rsid w:val="00D148C6"/>
    <w:rsid w:val="00D17A8A"/>
    <w:rsid w:val="00D22B89"/>
    <w:rsid w:val="00D415BA"/>
    <w:rsid w:val="00D42C06"/>
    <w:rsid w:val="00D63780"/>
    <w:rsid w:val="00D644EE"/>
    <w:rsid w:val="00D732A0"/>
    <w:rsid w:val="00D74FB8"/>
    <w:rsid w:val="00D75489"/>
    <w:rsid w:val="00DB532B"/>
    <w:rsid w:val="00DC43D6"/>
    <w:rsid w:val="00DD06FF"/>
    <w:rsid w:val="00DD5FE9"/>
    <w:rsid w:val="00DF4C14"/>
    <w:rsid w:val="00DF6755"/>
    <w:rsid w:val="00E00C7A"/>
    <w:rsid w:val="00E209CF"/>
    <w:rsid w:val="00E27AD7"/>
    <w:rsid w:val="00E328BB"/>
    <w:rsid w:val="00E37081"/>
    <w:rsid w:val="00E37B0F"/>
    <w:rsid w:val="00E37D6C"/>
    <w:rsid w:val="00E55B68"/>
    <w:rsid w:val="00E56F6F"/>
    <w:rsid w:val="00E67BE6"/>
    <w:rsid w:val="00E77CF5"/>
    <w:rsid w:val="00E8683C"/>
    <w:rsid w:val="00EA2B72"/>
    <w:rsid w:val="00EF070A"/>
    <w:rsid w:val="00F018EC"/>
    <w:rsid w:val="00F52938"/>
    <w:rsid w:val="00F664A6"/>
    <w:rsid w:val="00F74360"/>
    <w:rsid w:val="00F936E5"/>
    <w:rsid w:val="00FB462F"/>
    <w:rsid w:val="00FD6169"/>
    <w:rsid w:val="00FE16FA"/>
    <w:rsid w:val="00FE328A"/>
    <w:rsid w:val="00FE6269"/>
    <w:rsid w:val="00FF5CD6"/>
    <w:rsid w:val="04420502"/>
    <w:rsid w:val="046A7D12"/>
    <w:rsid w:val="09883270"/>
    <w:rsid w:val="0B377D71"/>
    <w:rsid w:val="11AB4DC1"/>
    <w:rsid w:val="147A357D"/>
    <w:rsid w:val="14D507B4"/>
    <w:rsid w:val="1BC3580A"/>
    <w:rsid w:val="1DC835AB"/>
    <w:rsid w:val="230048F3"/>
    <w:rsid w:val="285F1704"/>
    <w:rsid w:val="2A603E9E"/>
    <w:rsid w:val="2DB651CE"/>
    <w:rsid w:val="2DE75388"/>
    <w:rsid w:val="2E514EF7"/>
    <w:rsid w:val="2F680B2D"/>
    <w:rsid w:val="351729F7"/>
    <w:rsid w:val="3FB47094"/>
    <w:rsid w:val="430B346F"/>
    <w:rsid w:val="44FF0DB1"/>
    <w:rsid w:val="471A1ED2"/>
    <w:rsid w:val="4C687B84"/>
    <w:rsid w:val="4CEA66E7"/>
    <w:rsid w:val="4D71660A"/>
    <w:rsid w:val="51165E00"/>
    <w:rsid w:val="519A07DF"/>
    <w:rsid w:val="53D31D87"/>
    <w:rsid w:val="55142657"/>
    <w:rsid w:val="586B6A32"/>
    <w:rsid w:val="5D92705C"/>
    <w:rsid w:val="60E23609"/>
    <w:rsid w:val="64155AA4"/>
    <w:rsid w:val="664714F0"/>
    <w:rsid w:val="6A98468E"/>
    <w:rsid w:val="739F28C0"/>
    <w:rsid w:val="75926115"/>
    <w:rsid w:val="7F3E13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semiHidden/>
    <w:qFormat/>
    <w:uiPriority w:val="99"/>
    <w:rPr>
      <w:sz w:val="18"/>
      <w:szCs w:val="18"/>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BBE53-208A-4D43-A84B-75B317C139C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12804</Words>
  <Characters>15637</Characters>
  <Lines>127</Lines>
  <Paragraphs>35</Paragraphs>
  <TotalTime>55</TotalTime>
  <ScaleCrop>false</ScaleCrop>
  <LinksUpToDate>false</LinksUpToDate>
  <CharactersWithSpaces>16588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2022-08-23T07:39:00Z</dcterms:created>
  <dc:creator>李航 null</dc:creator>
  <cp:lastModifiedBy>就这</cp:lastModifiedBy>
  <cp:lastPrinted>2022-09-14T06:40:00Z</cp:lastPrinted>
  <dcterms:modified xsi:type="dcterms:W3CDTF">2024-03-13T08:51:42Z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3C6B4B29868D4CBC9CCAD01AC8F8334B_13</vt:lpwstr>
  </property>
</Properties>
</file>