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sz w:val="84"/>
          <w:szCs w:val="84"/>
        </w:rPr>
      </w:pPr>
      <w:r>
        <w:rPr>
          <w:rFonts w:hint="eastAsia"/>
          <w:sz w:val="84"/>
          <w:szCs w:val="84"/>
        </w:rPr>
        <w:t>2021年度</w:t>
      </w:r>
    </w:p>
    <w:p>
      <w:pPr>
        <w:pStyle w:val="10"/>
        <w:jc w:val="center"/>
        <w:rPr>
          <w:sz w:val="84"/>
          <w:szCs w:val="84"/>
        </w:rPr>
      </w:pPr>
      <w:r>
        <w:rPr>
          <w:rFonts w:hint="eastAsia"/>
          <w:sz w:val="84"/>
          <w:szCs w:val="84"/>
        </w:rPr>
        <w:t>湖南省永州生态环境监测</w:t>
      </w:r>
    </w:p>
    <w:p>
      <w:pPr>
        <w:pStyle w:val="10"/>
        <w:jc w:val="center"/>
        <w:rPr>
          <w:sz w:val="84"/>
          <w:szCs w:val="84"/>
        </w:rPr>
      </w:pPr>
      <w:r>
        <w:rPr>
          <w:rFonts w:hint="eastAsia"/>
          <w:sz w:val="84"/>
          <w:szCs w:val="84"/>
        </w:rPr>
        <w:t>中心部门决算</w:t>
      </w: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00" w:lineRule="exact"/>
        <w:rPr>
          <w:sz w:val="32"/>
          <w:szCs w:val="32"/>
        </w:rPr>
      </w:pPr>
    </w:p>
    <w:p>
      <w:pPr>
        <w:pStyle w:val="10"/>
        <w:spacing w:line="500" w:lineRule="exact"/>
        <w:rPr>
          <w:b/>
          <w:sz w:val="36"/>
          <w:szCs w:val="28"/>
        </w:rPr>
      </w:pPr>
    </w:p>
    <w:p>
      <w:pPr>
        <w:pStyle w:val="10"/>
        <w:spacing w:line="500" w:lineRule="exact"/>
        <w:jc w:val="center"/>
        <w:rPr>
          <w:b/>
          <w:sz w:val="36"/>
          <w:szCs w:val="28"/>
        </w:rPr>
      </w:pPr>
      <w:r>
        <w:rPr>
          <w:rFonts w:hint="eastAsia"/>
          <w:b/>
          <w:sz w:val="36"/>
          <w:szCs w:val="28"/>
        </w:rPr>
        <w:t>目录</w:t>
      </w:r>
    </w:p>
    <w:p>
      <w:pPr>
        <w:pStyle w:val="10"/>
        <w:spacing w:line="500" w:lineRule="exact"/>
        <w:rPr>
          <w:rFonts w:ascii="仿宋_GB2312" w:hAnsi="仿宋_GB2312" w:cs="仿宋_GB2312"/>
          <w:b/>
          <w:sz w:val="28"/>
          <w:szCs w:val="28"/>
        </w:rPr>
      </w:pPr>
      <w:r>
        <w:rPr>
          <w:rFonts w:hint="eastAsia"/>
          <w:b/>
          <w:sz w:val="28"/>
          <w:szCs w:val="28"/>
        </w:rPr>
        <w:t>第一部分XX单位概况</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0"/>
        <w:spacing w:line="500" w:lineRule="exact"/>
        <w:ind w:firstLine="700" w:firstLineChars="250"/>
        <w:rPr>
          <w:rFonts w:hint="default" w:cs="仿宋_GB2312" w:asciiTheme="minorEastAsia" w:hAnsiTheme="minorEastAsia" w:eastAsiaTheme="minorEastAsia"/>
          <w:sz w:val="28"/>
          <w:szCs w:val="28"/>
          <w:lang w:val="en-US" w:eastAsia="zh-CN"/>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pPr>
        <w:pStyle w:val="10"/>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21年度部门决算表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0"/>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21年度部门决算情况说明</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0"/>
        <w:jc w:val="center"/>
        <w:rPr>
          <w:sz w:val="84"/>
          <w:szCs w:val="84"/>
        </w:rPr>
      </w:pPr>
      <w:r>
        <w:rPr>
          <w:rFonts w:hint="eastAsia"/>
          <w:sz w:val="84"/>
          <w:szCs w:val="84"/>
        </w:rPr>
        <w:t>第一部分</w:t>
      </w:r>
      <w:r>
        <w:rPr>
          <w:sz w:val="84"/>
          <w:szCs w:val="84"/>
        </w:rPr>
        <w:t xml:space="preserve"> </w:t>
      </w:r>
    </w:p>
    <w:p>
      <w:pPr>
        <w:pStyle w:val="10"/>
        <w:jc w:val="center"/>
        <w:rPr>
          <w:sz w:val="84"/>
          <w:szCs w:val="84"/>
        </w:rPr>
      </w:pPr>
    </w:p>
    <w:p>
      <w:pPr>
        <w:pStyle w:val="10"/>
        <w:jc w:val="center"/>
        <w:rPr>
          <w:sz w:val="84"/>
          <w:szCs w:val="84"/>
        </w:rPr>
      </w:pPr>
      <w:r>
        <w:rPr>
          <w:rFonts w:hint="eastAsia"/>
          <w:sz w:val="84"/>
          <w:szCs w:val="84"/>
        </w:rPr>
        <w:t>湖南省永州生态环境监测</w:t>
      </w:r>
    </w:p>
    <w:p>
      <w:pPr>
        <w:pStyle w:val="10"/>
        <w:jc w:val="center"/>
        <w:rPr>
          <w:sz w:val="84"/>
          <w:szCs w:val="84"/>
        </w:rPr>
      </w:pPr>
      <w:r>
        <w:rPr>
          <w:rFonts w:hint="eastAsia"/>
          <w:sz w:val="84"/>
          <w:szCs w:val="84"/>
        </w:rPr>
        <w:t>中心单位概况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ind w:firstLine="640" w:firstLineChars="200"/>
        <w:jc w:val="left"/>
        <w:rPr>
          <w:rFonts w:asciiTheme="minorEastAsia" w:hAnsiTheme="minorEastAsia"/>
          <w:sz w:val="32"/>
          <w:szCs w:val="32"/>
        </w:rPr>
      </w:pPr>
      <w:r>
        <w:rPr>
          <w:rFonts w:hint="eastAsia" w:asciiTheme="minorEastAsia" w:hAnsiTheme="minorEastAsia"/>
          <w:sz w:val="32"/>
          <w:szCs w:val="32"/>
        </w:rPr>
        <w:t>主要负责永州市生态环境质量监测、分析评价工作；负责永州市环境质量网络和信息系统的维护管理；指导和协助永州市生态环境局开展生态环境应急监测、执法监测、污染源监测等工作；负责对县级环境监测机构开展技术和业务指导；负责承办上级部门交办的其他环境监测工作。</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0" w:firstLineChars="200"/>
        <w:rPr>
          <w:rFonts w:ascii="黑体" w:hAnsi="黑体" w:eastAsia="黑体"/>
          <w:bCs/>
          <w:kern w:val="0"/>
          <w:sz w:val="32"/>
          <w:szCs w:val="32"/>
        </w:rPr>
      </w:pPr>
      <w:r>
        <w:rPr>
          <w:rFonts w:hint="eastAsia" w:asciiTheme="minorEastAsia" w:hAnsiTheme="minorEastAsia"/>
          <w:bCs/>
          <w:kern w:val="0"/>
          <w:sz w:val="32"/>
          <w:szCs w:val="32"/>
        </w:rPr>
        <w:t>（一）机构设置。</w:t>
      </w:r>
    </w:p>
    <w:p>
      <w:pPr>
        <w:widowControl/>
        <w:spacing w:line="60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湖南省永州生态环境监测中心是副处级公益性一类事业单位，内设科室7个，分别是办公财务科、党建人事科、综合研究科、分析技术科、现场监测科、自动监测科、质量与资产管理科。核定编制数为35人，现有在编在岗36人，退休人员13人，临聘人员15人。</w:t>
      </w:r>
    </w:p>
    <w:p>
      <w:pPr>
        <w:widowControl/>
        <w:spacing w:line="60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（二）决算单位构成。</w:t>
      </w:r>
    </w:p>
    <w:p>
      <w:pPr>
        <w:ind w:firstLine="648"/>
        <w:jc w:val="center"/>
        <w:rPr>
          <w:rFonts w:asciiTheme="minorEastAsia" w:hAnsiTheme="minorEastAsia"/>
          <w:bCs/>
          <w:kern w:val="0"/>
          <w:sz w:val="32"/>
          <w:szCs w:val="32"/>
        </w:rPr>
      </w:pPr>
      <w:r>
        <w:rPr>
          <w:rFonts w:hint="eastAsia" w:asciiTheme="minorEastAsia" w:hAnsiTheme="minorEastAsia"/>
          <w:bCs/>
          <w:kern w:val="0"/>
          <w:sz w:val="32"/>
          <w:szCs w:val="32"/>
        </w:rPr>
        <w:t>我中心无二级预算单位，因此，湖南省永州生态环境监测中心2021年</w:t>
      </w:r>
    </w:p>
    <w:p>
      <w:pPr>
        <w:rPr>
          <w:rFonts w:asciiTheme="minorEastAsia" w:hAnsiTheme="minorEastAsia"/>
          <w:bCs/>
          <w:kern w:val="0"/>
          <w:sz w:val="32"/>
          <w:szCs w:val="32"/>
        </w:rPr>
      </w:pPr>
      <w:r>
        <w:rPr>
          <w:rFonts w:hint="eastAsia" w:asciiTheme="minorEastAsia" w:hAnsiTheme="minorEastAsia"/>
          <w:bCs/>
          <w:kern w:val="0"/>
          <w:sz w:val="32"/>
          <w:szCs w:val="32"/>
        </w:rPr>
        <w:t>部门</w:t>
      </w:r>
      <w:r>
        <w:rPr>
          <w:rFonts w:hint="eastAsia" w:asciiTheme="minorEastAsia" w:hAnsiTheme="minorEastAsia"/>
          <w:bCs/>
          <w:kern w:val="0"/>
          <w:sz w:val="32"/>
          <w:szCs w:val="32"/>
          <w:lang w:val="en-US" w:eastAsia="zh-CN"/>
        </w:rPr>
        <w:t>汇总</w:t>
      </w:r>
      <w:r>
        <w:rPr>
          <w:rFonts w:hint="eastAsia" w:asciiTheme="minorEastAsia" w:hAnsiTheme="minorEastAsia"/>
          <w:bCs/>
          <w:kern w:val="0"/>
          <w:sz w:val="32"/>
          <w:szCs w:val="32"/>
        </w:rPr>
        <w:t>决算</w:t>
      </w:r>
      <w:r>
        <w:rPr>
          <w:rFonts w:hint="eastAsia" w:asciiTheme="minorEastAsia" w:hAnsiTheme="minorEastAsia"/>
          <w:bCs/>
          <w:kern w:val="0"/>
          <w:sz w:val="32"/>
          <w:szCs w:val="32"/>
          <w:lang w:val="en-US" w:eastAsia="zh-CN"/>
        </w:rPr>
        <w:t>单位构成仅为</w:t>
      </w:r>
      <w:r>
        <w:rPr>
          <w:rFonts w:hint="eastAsia" w:asciiTheme="minorEastAsia" w:hAnsiTheme="minorEastAsia"/>
          <w:bCs/>
          <w:kern w:val="0"/>
          <w:sz w:val="32"/>
          <w:szCs w:val="32"/>
        </w:rPr>
        <w:t>湖南省永州生态环境中心本级。</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6"/>
        <w:tblW w:w="14081" w:type="dxa"/>
        <w:tblInd w:w="93" w:type="dxa"/>
        <w:tblLayout w:type="autofit"/>
        <w:tblCellMar>
          <w:top w:w="0" w:type="dxa"/>
          <w:left w:w="108" w:type="dxa"/>
          <w:bottom w:w="0" w:type="dxa"/>
          <w:right w:w="108" w:type="dxa"/>
        </w:tblCellMar>
      </w:tblPr>
      <w:tblGrid>
        <w:gridCol w:w="4126"/>
        <w:gridCol w:w="449"/>
        <w:gridCol w:w="631"/>
        <w:gridCol w:w="599"/>
        <w:gridCol w:w="98"/>
        <w:gridCol w:w="232"/>
        <w:gridCol w:w="3468"/>
        <w:gridCol w:w="845"/>
        <w:gridCol w:w="1460"/>
        <w:gridCol w:w="657"/>
        <w:gridCol w:w="1516"/>
      </w:tblGrid>
      <w:tr>
        <w:tblPrEx>
          <w:tblCellMar>
            <w:top w:w="0" w:type="dxa"/>
            <w:left w:w="108" w:type="dxa"/>
            <w:bottom w:w="0" w:type="dxa"/>
            <w:right w:w="108" w:type="dxa"/>
          </w:tblCellMar>
        </w:tblPrEx>
        <w:trPr>
          <w:trHeight w:val="360" w:hRule="atLeast"/>
        </w:trPr>
        <w:tc>
          <w:tcPr>
            <w:tcW w:w="1408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r>
      <w:tr>
        <w:tblPrEx>
          <w:tblCellMar>
            <w:top w:w="0" w:type="dxa"/>
            <w:left w:w="108" w:type="dxa"/>
            <w:bottom w:w="0" w:type="dxa"/>
            <w:right w:w="108" w:type="dxa"/>
          </w:tblCellMar>
        </w:tblPrEx>
        <w:trPr>
          <w:trHeight w:val="199" w:hRule="atLeast"/>
        </w:trPr>
        <w:tc>
          <w:tcPr>
            <w:tcW w:w="5206"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97"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r>
      <w:tr>
        <w:tblPrEx>
          <w:tblCellMar>
            <w:top w:w="0" w:type="dxa"/>
            <w:left w:w="108" w:type="dxa"/>
            <w:bottom w:w="0" w:type="dxa"/>
            <w:right w:w="108" w:type="dxa"/>
          </w:tblCellMar>
        </w:tblPrEx>
        <w:trPr>
          <w:trHeight w:val="300" w:hRule="atLeast"/>
        </w:trPr>
        <w:tc>
          <w:tcPr>
            <w:tcW w:w="5206" w:type="dxa"/>
            <w:gridSpan w:val="3"/>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r>
              <w:rPr>
                <w:rFonts w:ascii="宋体" w:hAnsi="宋体" w:eastAsia="宋体" w:cs="宋体"/>
                <w:color w:val="000000"/>
                <w:kern w:val="0"/>
                <w:sz w:val="20"/>
                <w:szCs w:val="20"/>
              </w:rPr>
              <w:t xml:space="preserve"> </w:t>
            </w:r>
            <w:r>
              <w:rPr>
                <w:rFonts w:hint="eastAsia" w:ascii="宋体" w:hAnsi="宋体" w:eastAsia="宋体" w:cs="宋体"/>
                <w:bCs w:val="0"/>
                <w:kern w:val="0"/>
                <w:sz w:val="22"/>
                <w:szCs w:val="22"/>
              </w:rPr>
              <w:t>湖南省永州生态环境监测中心</w:t>
            </w:r>
          </w:p>
        </w:tc>
        <w:tc>
          <w:tcPr>
            <w:tcW w:w="697"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2021年度</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340" w:hRule="atLeast"/>
        </w:trPr>
        <w:tc>
          <w:tcPr>
            <w:tcW w:w="5805"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8276" w:type="dxa"/>
            <w:gridSpan w:val="7"/>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23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23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997.85</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四、上级补助收入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4"/>
                <w:szCs w:val="24"/>
              </w:rPr>
              <w:t>八、社会保障和就业支出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48.95</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五、事业收入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九、卫生健康支出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19.55</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六、经营收入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ascii="宋体" w:hAnsi="宋体" w:eastAsia="宋体" w:cs="宋体"/>
                <w:kern w:val="0"/>
                <w:sz w:val="22"/>
              </w:rPr>
              <w:t>十</w:t>
            </w:r>
            <w:r>
              <w:rPr>
                <w:rFonts w:hint="eastAsia" w:ascii="宋体" w:hAnsi="宋体" w:eastAsia="宋体" w:cs="宋体"/>
                <w:kern w:val="0"/>
                <w:sz w:val="22"/>
              </w:rPr>
              <w:t>、</w:t>
            </w:r>
            <w:r>
              <w:rPr>
                <w:rFonts w:ascii="宋体" w:hAnsi="宋体" w:eastAsia="宋体" w:cs="宋体"/>
                <w:kern w:val="0"/>
                <w:sz w:val="22"/>
              </w:rPr>
              <w:t>节能环保支出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1105.52</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七、附属单位上缴收入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十九</w:t>
            </w:r>
            <w:r>
              <w:rPr>
                <w:rFonts w:hint="eastAsia" w:ascii="宋体" w:hAnsi="宋体" w:eastAsia="宋体" w:cs="宋体"/>
                <w:kern w:val="0"/>
                <w:sz w:val="24"/>
                <w:szCs w:val="24"/>
              </w:rPr>
              <w:t>、</w:t>
            </w:r>
            <w:r>
              <w:rPr>
                <w:rFonts w:ascii="宋体" w:hAnsi="宋体" w:eastAsia="宋体" w:cs="宋体"/>
                <w:kern w:val="0"/>
                <w:sz w:val="24"/>
                <w:szCs w:val="24"/>
              </w:rPr>
              <w:t>住房保障支出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28.55</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八、其他收入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189.88</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ascii="宋体" w:hAnsi="宋体" w:eastAsia="宋体" w:cs="宋体"/>
                <w:kern w:val="0"/>
                <w:sz w:val="22"/>
              </w:rPr>
              <w:t>二十三</w:t>
            </w:r>
            <w:r>
              <w:rPr>
                <w:rFonts w:hint="eastAsia" w:ascii="宋体" w:hAnsi="宋体" w:eastAsia="宋体" w:cs="宋体"/>
                <w:kern w:val="0"/>
                <w:sz w:val="22"/>
              </w:rPr>
              <w:t>、</w:t>
            </w:r>
            <w:r>
              <w:rPr>
                <w:rFonts w:ascii="宋体" w:hAnsi="宋体" w:eastAsia="宋体" w:cs="宋体"/>
                <w:kern w:val="0"/>
                <w:sz w:val="22"/>
              </w:rPr>
              <w:t>其他支出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37.04</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1187.73</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1239.61</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使用非财政拨款结余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结余分配</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ind w:firstLine="1540" w:firstLineChars="700"/>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年初结转和结余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116.91</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年末结转和结余</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65.03</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1304.63</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1304.63</w:t>
            </w:r>
          </w:p>
        </w:tc>
      </w:tr>
      <w:tr>
        <w:tblPrEx>
          <w:tblCellMar>
            <w:top w:w="0" w:type="dxa"/>
            <w:left w:w="108" w:type="dxa"/>
            <w:bottom w:w="0" w:type="dxa"/>
            <w:right w:w="108" w:type="dxa"/>
          </w:tblCellMar>
        </w:tblPrEx>
        <w:trPr>
          <w:trHeight w:val="1020" w:hRule="atLeast"/>
        </w:trPr>
        <w:tc>
          <w:tcPr>
            <w:tcW w:w="1408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注：1.本表反映部门本年度的总收支和年末结转结余情况。</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xml:space="preserve"> 2.本套报表金额单位转换时可能存在尾数误差。</w:t>
            </w:r>
          </w:p>
        </w:tc>
      </w:tr>
    </w:tbl>
    <w:p>
      <w:pPr>
        <w:jc w:val="center"/>
        <w:rPr>
          <w:rFonts w:ascii="黑体" w:hAnsi="黑体" w:eastAsia="黑体"/>
          <w:sz w:val="28"/>
          <w:szCs w:val="28"/>
        </w:rPr>
        <w:sectPr>
          <w:pgSz w:w="16838" w:h="11906" w:orient="landscape"/>
          <w:pgMar w:top="1797" w:right="1440" w:bottom="1797" w:left="1440" w:header="851" w:footer="992" w:gutter="0"/>
          <w:cols w:space="425" w:num="1"/>
          <w:docGrid w:type="linesAndChars" w:linePitch="312" w:charSpace="0"/>
        </w:sectPr>
      </w:pPr>
    </w:p>
    <w:tbl>
      <w:tblPr>
        <w:tblStyle w:val="6"/>
        <w:tblW w:w="15428" w:type="dxa"/>
        <w:jc w:val="center"/>
        <w:tblLayout w:type="autofit"/>
        <w:tblCellMar>
          <w:top w:w="0" w:type="dxa"/>
          <w:left w:w="0" w:type="dxa"/>
          <w:bottom w:w="0" w:type="dxa"/>
          <w:right w:w="0" w:type="dxa"/>
        </w:tblCellMar>
      </w:tblPr>
      <w:tblGrid>
        <w:gridCol w:w="977"/>
        <w:gridCol w:w="977"/>
        <w:gridCol w:w="3874"/>
        <w:gridCol w:w="1474"/>
        <w:gridCol w:w="1474"/>
        <w:gridCol w:w="1474"/>
        <w:gridCol w:w="994"/>
        <w:gridCol w:w="994"/>
        <w:gridCol w:w="1955"/>
        <w:gridCol w:w="1235"/>
      </w:tblGrid>
      <w:tr>
        <w:tblPrEx>
          <w:tblCellMar>
            <w:top w:w="0" w:type="dxa"/>
            <w:left w:w="0" w:type="dxa"/>
            <w:bottom w:w="0" w:type="dxa"/>
            <w:right w:w="0" w:type="dxa"/>
          </w:tblCellMar>
        </w:tblPrEx>
        <w:trPr>
          <w:jc w:val="center"/>
        </w:trPr>
        <w:tc>
          <w:tcPr>
            <w:tcW w:w="0" w:type="auto"/>
            <w:gridSpan w:val="10"/>
            <w:tcBorders>
              <w:top w:val="nil"/>
              <w:left w:val="nil"/>
              <w:bottom w:val="nil"/>
              <w:right w:val="nil"/>
            </w:tcBorders>
            <w:shd w:val="clear" w:color="auto" w:fill="auto"/>
            <w:noWrap/>
            <w:tcMar>
              <w:top w:w="15" w:type="dxa"/>
              <w:left w:w="15" w:type="dxa"/>
              <w:bottom w:w="0" w:type="dxa"/>
              <w:right w:w="15" w:type="dxa"/>
            </w:tcMar>
            <w:vAlign w:val="center"/>
          </w:tcPr>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CellMar>
            <w:top w:w="0" w:type="dxa"/>
            <w:left w:w="0" w:type="dxa"/>
            <w:bottom w:w="0" w:type="dxa"/>
            <w:right w:w="0" w:type="dxa"/>
          </w:tblCellMar>
        </w:tblPrEx>
        <w:trPr>
          <w:jc w:val="center"/>
        </w:trPr>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adjustRightInd w:val="0"/>
              <w:snapToGrid w:val="0"/>
              <w:spacing w:line="240" w:lineRule="exact"/>
              <w:jc w:val="right"/>
              <w:rPr>
                <w:rFonts w:ascii="宋体" w:hAnsi="宋体" w:eastAsia="宋体" w:cs="宋体"/>
                <w:szCs w:val="21"/>
              </w:rPr>
            </w:pPr>
            <w:r>
              <w:rPr>
                <w:rFonts w:hint="eastAsia"/>
                <w:szCs w:val="21"/>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adjustRightInd w:val="0"/>
              <w:snapToGrid w:val="0"/>
              <w:spacing w:line="240" w:lineRule="exact"/>
              <w:jc w:val="right"/>
              <w:rPr>
                <w:rFonts w:ascii="宋体" w:hAnsi="宋体" w:eastAsia="宋体" w:cs="宋体"/>
                <w:szCs w:val="21"/>
              </w:rPr>
            </w:pPr>
            <w:r>
              <w:rPr>
                <w:rFonts w:hint="eastAsia"/>
                <w:szCs w:val="21"/>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adjustRightInd w:val="0"/>
              <w:snapToGrid w:val="0"/>
              <w:spacing w:line="240" w:lineRule="exact"/>
              <w:jc w:val="right"/>
              <w:rPr>
                <w:rFonts w:ascii="宋体" w:hAnsi="宋体" w:eastAsia="宋体" w:cs="宋体"/>
                <w:szCs w:val="21"/>
              </w:rPr>
            </w:pPr>
            <w:r>
              <w:rPr>
                <w:rFonts w:hint="eastAsia"/>
                <w:szCs w:val="21"/>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adjustRightInd w:val="0"/>
              <w:snapToGrid w:val="0"/>
              <w:spacing w:line="240" w:lineRule="exact"/>
              <w:jc w:val="right"/>
              <w:rPr>
                <w:rFonts w:ascii="宋体" w:hAnsi="宋体" w:eastAsia="宋体" w:cs="宋体"/>
                <w:szCs w:val="21"/>
              </w:rPr>
            </w:pPr>
            <w:r>
              <w:rPr>
                <w:rFonts w:hint="eastAsia"/>
                <w:szCs w:val="21"/>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adjustRightInd w:val="0"/>
              <w:snapToGrid w:val="0"/>
              <w:spacing w:line="240" w:lineRule="exact"/>
              <w:jc w:val="right"/>
              <w:rPr>
                <w:rFonts w:ascii="宋体" w:hAnsi="宋体" w:eastAsia="宋体" w:cs="宋体"/>
                <w:szCs w:val="21"/>
              </w:rPr>
            </w:pPr>
            <w:r>
              <w:rPr>
                <w:rFonts w:hint="eastAsia"/>
                <w:szCs w:val="21"/>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adjustRightInd w:val="0"/>
              <w:snapToGrid w:val="0"/>
              <w:spacing w:line="240" w:lineRule="exact"/>
              <w:jc w:val="right"/>
              <w:rPr>
                <w:rFonts w:ascii="宋体" w:hAnsi="宋体" w:eastAsia="宋体" w:cs="宋体"/>
                <w:szCs w:val="21"/>
              </w:rPr>
            </w:pPr>
            <w:r>
              <w:rPr>
                <w:rFonts w:hint="eastAsia"/>
                <w:szCs w:val="21"/>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adjustRightInd w:val="0"/>
              <w:snapToGrid w:val="0"/>
              <w:spacing w:line="240" w:lineRule="exact"/>
              <w:jc w:val="right"/>
              <w:rPr>
                <w:rFonts w:ascii="宋体" w:hAnsi="宋体" w:eastAsia="宋体" w:cs="宋体"/>
                <w:szCs w:val="21"/>
              </w:rPr>
            </w:pPr>
            <w:r>
              <w:rPr>
                <w:rFonts w:hint="eastAsia"/>
                <w:szCs w:val="21"/>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adjustRightInd w:val="0"/>
              <w:snapToGrid w:val="0"/>
              <w:spacing w:line="240" w:lineRule="exact"/>
              <w:jc w:val="right"/>
              <w:rPr>
                <w:rFonts w:ascii="宋体" w:hAnsi="宋体" w:eastAsia="宋体" w:cs="宋体"/>
                <w:szCs w:val="21"/>
              </w:rPr>
            </w:pPr>
            <w:r>
              <w:rPr>
                <w:rFonts w:hint="eastAsia"/>
                <w:szCs w:val="21"/>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adjustRightInd w:val="0"/>
              <w:snapToGrid w:val="0"/>
              <w:spacing w:line="240" w:lineRule="exact"/>
              <w:jc w:val="right"/>
              <w:rPr>
                <w:rFonts w:ascii="宋体" w:hAnsi="宋体" w:eastAsia="宋体" w:cs="宋体"/>
                <w:szCs w:val="21"/>
              </w:rPr>
            </w:pPr>
            <w:r>
              <w:rPr>
                <w:rFonts w:hint="eastAsia"/>
                <w:szCs w:val="21"/>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adjustRightInd w:val="0"/>
              <w:snapToGrid w:val="0"/>
              <w:spacing w:line="240" w:lineRule="exact"/>
              <w:jc w:val="right"/>
              <w:rPr>
                <w:rFonts w:ascii="宋体" w:hAnsi="宋体" w:eastAsia="宋体" w:cs="宋体"/>
                <w:color w:val="000000"/>
                <w:szCs w:val="21"/>
              </w:rPr>
            </w:pPr>
            <w:r>
              <w:rPr>
                <w:rFonts w:hint="eastAsia"/>
                <w:color w:val="000000"/>
                <w:szCs w:val="21"/>
              </w:rPr>
              <w:t>公开02表</w:t>
            </w:r>
          </w:p>
        </w:tc>
      </w:tr>
      <w:tr>
        <w:tblPrEx>
          <w:tblCellMar>
            <w:top w:w="0" w:type="dxa"/>
            <w:left w:w="0" w:type="dxa"/>
            <w:bottom w:w="0" w:type="dxa"/>
            <w:right w:w="0" w:type="dxa"/>
          </w:tblCellMar>
        </w:tblPrEx>
        <w:trPr>
          <w:jc w:val="center"/>
        </w:trPr>
        <w:tc>
          <w:tcPr>
            <w:tcW w:w="0" w:type="auto"/>
            <w:gridSpan w:val="2"/>
            <w:tcBorders>
              <w:top w:val="nil"/>
              <w:left w:val="nil"/>
              <w:bottom w:val="nil"/>
              <w:right w:val="nil"/>
            </w:tcBorders>
            <w:shd w:val="clear" w:color="000000" w:fill="FFFFFF"/>
            <w:noWrap/>
            <w:tcMar>
              <w:top w:w="15" w:type="dxa"/>
              <w:left w:w="15" w:type="dxa"/>
              <w:bottom w:w="0" w:type="dxa"/>
              <w:right w:w="15" w:type="dxa"/>
            </w:tcMar>
            <w:vAlign w:val="center"/>
          </w:tcPr>
          <w:p>
            <w:pPr>
              <w:adjustRightInd w:val="0"/>
              <w:snapToGrid w:val="0"/>
              <w:spacing w:line="240" w:lineRule="exact"/>
              <w:rPr>
                <w:rFonts w:ascii="宋体" w:hAnsi="宋体" w:eastAsia="宋体" w:cs="宋体"/>
                <w:color w:val="000000"/>
                <w:szCs w:val="21"/>
              </w:rPr>
            </w:pPr>
            <w:r>
              <w:rPr>
                <w:rFonts w:hint="eastAsia"/>
                <w:color w:val="000000"/>
                <w:szCs w:val="21"/>
              </w:rPr>
              <w:t>部门：</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adjustRightInd w:val="0"/>
              <w:snapToGrid w:val="0"/>
              <w:spacing w:line="240" w:lineRule="exact"/>
              <w:jc w:val="left"/>
              <w:rPr>
                <w:rFonts w:ascii="宋体" w:hAnsi="宋体" w:eastAsia="宋体" w:cs="宋体"/>
                <w:szCs w:val="21"/>
              </w:rPr>
            </w:pPr>
            <w:r>
              <w:rPr>
                <w:rFonts w:hint="eastAsia" w:ascii="宋体" w:hAnsi="宋体" w:eastAsia="宋体" w:cs="宋体"/>
                <w:bCs w:val="0"/>
                <w:kern w:val="0"/>
                <w:sz w:val="22"/>
                <w:szCs w:val="22"/>
              </w:rPr>
              <w:t>湖南省永州生态环境监测中心</w:t>
            </w:r>
            <w:r>
              <w:rPr>
                <w:rFonts w:hint="eastAsia"/>
                <w:szCs w:val="21"/>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adjustRightInd w:val="0"/>
              <w:snapToGrid w:val="0"/>
              <w:spacing w:line="240" w:lineRule="exact"/>
              <w:jc w:val="right"/>
              <w:rPr>
                <w:rFonts w:ascii="宋体" w:hAnsi="宋体" w:eastAsia="宋体" w:cs="宋体"/>
                <w:szCs w:val="21"/>
              </w:rPr>
            </w:pPr>
            <w:r>
              <w:rPr>
                <w:rFonts w:hint="eastAsia"/>
                <w:szCs w:val="21"/>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adjustRightInd w:val="0"/>
              <w:snapToGrid w:val="0"/>
              <w:spacing w:line="240" w:lineRule="exact"/>
              <w:jc w:val="right"/>
              <w:rPr>
                <w:rFonts w:ascii="宋体" w:hAnsi="宋体" w:eastAsia="宋体" w:cs="宋体"/>
                <w:szCs w:val="21"/>
              </w:rPr>
            </w:pPr>
            <w:r>
              <w:rPr>
                <w:rFonts w:hint="eastAsia"/>
                <w:szCs w:val="21"/>
                <w:lang w:val="en-US" w:eastAsia="zh-CN"/>
              </w:rPr>
              <w:t>2021年度</w:t>
            </w:r>
            <w:r>
              <w:rPr>
                <w:rFonts w:hint="eastAsia"/>
                <w:szCs w:val="21"/>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color w:val="000000"/>
                <w:szCs w:val="21"/>
              </w:rPr>
            </w:pPr>
            <w:r>
              <w:rPr>
                <w:rFonts w:hint="eastAsia"/>
                <w:color w:val="000000"/>
                <w:szCs w:val="21"/>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adjustRightInd w:val="0"/>
              <w:snapToGrid w:val="0"/>
              <w:spacing w:line="240" w:lineRule="exact"/>
              <w:jc w:val="right"/>
              <w:rPr>
                <w:rFonts w:ascii="宋体" w:hAnsi="宋体" w:eastAsia="宋体" w:cs="宋体"/>
                <w:szCs w:val="21"/>
              </w:rPr>
            </w:pPr>
            <w:r>
              <w:rPr>
                <w:rFonts w:hint="eastAsia"/>
                <w:szCs w:val="21"/>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adjustRightInd w:val="0"/>
              <w:snapToGrid w:val="0"/>
              <w:spacing w:line="240" w:lineRule="exact"/>
              <w:jc w:val="right"/>
              <w:rPr>
                <w:rFonts w:ascii="宋体" w:hAnsi="宋体" w:eastAsia="宋体" w:cs="宋体"/>
                <w:szCs w:val="21"/>
              </w:rPr>
            </w:pPr>
            <w:r>
              <w:rPr>
                <w:rFonts w:hint="eastAsia"/>
                <w:szCs w:val="21"/>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adjustRightInd w:val="0"/>
              <w:snapToGrid w:val="0"/>
              <w:spacing w:line="240" w:lineRule="exact"/>
              <w:jc w:val="right"/>
              <w:rPr>
                <w:rFonts w:ascii="宋体" w:hAnsi="宋体" w:eastAsia="宋体" w:cs="宋体"/>
                <w:szCs w:val="21"/>
              </w:rPr>
            </w:pPr>
            <w:r>
              <w:rPr>
                <w:rFonts w:hint="eastAsia"/>
                <w:szCs w:val="21"/>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adjustRightInd w:val="0"/>
              <w:snapToGrid w:val="0"/>
              <w:spacing w:line="240" w:lineRule="exact"/>
              <w:jc w:val="right"/>
              <w:rPr>
                <w:rFonts w:ascii="宋体" w:hAnsi="宋体" w:eastAsia="宋体" w:cs="宋体"/>
                <w:color w:val="000000"/>
                <w:szCs w:val="21"/>
              </w:rPr>
            </w:pPr>
            <w:r>
              <w:rPr>
                <w:rFonts w:hint="eastAsia"/>
                <w:color w:val="000000"/>
                <w:szCs w:val="21"/>
              </w:rPr>
              <w:t>单位：万元</w:t>
            </w:r>
          </w:p>
        </w:tc>
      </w:tr>
      <w:tr>
        <w:tblPrEx>
          <w:tblCellMar>
            <w:top w:w="0" w:type="dxa"/>
            <w:left w:w="0" w:type="dxa"/>
            <w:bottom w:w="0" w:type="dxa"/>
            <w:right w:w="0" w:type="dxa"/>
          </w:tblCellMar>
        </w:tblPrEx>
        <w:trPr>
          <w:jc w:val="center"/>
        </w:trPr>
        <w:tc>
          <w:tcPr>
            <w:tcW w:w="0" w:type="auto"/>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项    目</w:t>
            </w:r>
          </w:p>
        </w:tc>
        <w:tc>
          <w:tcPr>
            <w:tcW w:w="0" w:type="auto"/>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本年收入合计</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财政拨款收入</w:t>
            </w:r>
          </w:p>
        </w:tc>
        <w:tc>
          <w:tcPr>
            <w:tcW w:w="0" w:type="auto"/>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上级补助收入</w:t>
            </w:r>
          </w:p>
        </w:tc>
        <w:tc>
          <w:tcPr>
            <w:tcW w:w="0" w:type="auto"/>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事业收入</w:t>
            </w:r>
          </w:p>
        </w:tc>
        <w:tc>
          <w:tcPr>
            <w:tcW w:w="0" w:type="auto"/>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经营收入</w:t>
            </w:r>
          </w:p>
        </w:tc>
        <w:tc>
          <w:tcPr>
            <w:tcW w:w="0" w:type="auto"/>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附属单位上缴收入</w:t>
            </w:r>
          </w:p>
        </w:tc>
        <w:tc>
          <w:tcPr>
            <w:tcW w:w="0" w:type="auto"/>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其他收入</w:t>
            </w:r>
          </w:p>
        </w:tc>
      </w:tr>
      <w:tr>
        <w:tblPrEx>
          <w:tblCellMar>
            <w:top w:w="0" w:type="dxa"/>
            <w:left w:w="0" w:type="dxa"/>
            <w:bottom w:w="0" w:type="dxa"/>
            <w:right w:w="0" w:type="dxa"/>
          </w:tblCellMar>
        </w:tblPrEx>
        <w:trPr>
          <w:trHeight w:val="312"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功能分类科目编码</w:t>
            </w:r>
          </w:p>
        </w:tc>
        <w:tc>
          <w:tcPr>
            <w:tcW w:w="0" w:type="auto"/>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科目名称</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eastAsia="宋体" w:cs="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eastAsia="宋体" w:cs="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eastAsia="宋体" w:cs="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eastAsia="宋体" w:cs="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eastAsia="宋体" w:cs="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eastAsia="宋体" w:cs="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eastAsia="宋体" w:cs="宋体"/>
                <w:szCs w:val="21"/>
              </w:rPr>
            </w:pPr>
          </w:p>
        </w:tc>
      </w:tr>
      <w:tr>
        <w:tblPrEx>
          <w:tblCellMar>
            <w:top w:w="0" w:type="dxa"/>
            <w:left w:w="0" w:type="dxa"/>
            <w:bottom w:w="0" w:type="dxa"/>
            <w:right w:w="0" w:type="dxa"/>
          </w:tblCellMar>
        </w:tblPrEx>
        <w:trPr>
          <w:trHeight w:val="31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eastAsia="宋体" w:cs="宋体"/>
                <w:szCs w:val="21"/>
              </w:rPr>
            </w:pPr>
          </w:p>
        </w:tc>
        <w:tc>
          <w:tcPr>
            <w:tcW w:w="0" w:type="auto"/>
            <w:vMerge w:val="continue"/>
            <w:tcBorders>
              <w:top w:val="nil"/>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eastAsia="宋体" w:cs="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eastAsia="宋体" w:cs="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eastAsia="宋体" w:cs="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eastAsia="宋体" w:cs="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eastAsia="宋体" w:cs="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eastAsia="宋体" w:cs="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eastAsia="宋体" w:cs="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eastAsia="宋体" w:cs="宋体"/>
                <w:szCs w:val="21"/>
              </w:rPr>
            </w:pPr>
          </w:p>
        </w:tc>
      </w:tr>
      <w:tr>
        <w:tblPrEx>
          <w:tblCellMar>
            <w:top w:w="0" w:type="dxa"/>
            <w:left w:w="0" w:type="dxa"/>
            <w:bottom w:w="0" w:type="dxa"/>
            <w:right w:w="0" w:type="dxa"/>
          </w:tblCellMar>
        </w:tblPrEx>
        <w:trPr>
          <w:jc w:val="center"/>
        </w:trPr>
        <w:tc>
          <w:tcPr>
            <w:tcW w:w="0" w:type="auto"/>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栏次</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1</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2</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3</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4</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5</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6</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7</w:t>
            </w:r>
          </w:p>
        </w:tc>
      </w:tr>
      <w:tr>
        <w:tblPrEx>
          <w:tblCellMar>
            <w:top w:w="0" w:type="dxa"/>
            <w:left w:w="0" w:type="dxa"/>
            <w:bottom w:w="0" w:type="dxa"/>
            <w:right w:w="0" w:type="dxa"/>
          </w:tblCellMar>
        </w:tblPrEx>
        <w:trPr>
          <w:jc w:val="center"/>
        </w:trPr>
        <w:tc>
          <w:tcPr>
            <w:tcW w:w="0" w:type="auto"/>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合计</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1,187.73</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997.85</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189.88</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rFonts w:ascii="宋体" w:hAnsi="宋体" w:eastAsia="宋体" w:cs="宋体"/>
                <w:szCs w:val="21"/>
              </w:rPr>
            </w:pPr>
            <w:r>
              <w:rPr>
                <w:rFonts w:hint="eastAsia"/>
                <w:szCs w:val="21"/>
              </w:rPr>
              <w:t>　208</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rFonts w:ascii="宋体" w:hAnsi="宋体" w:eastAsia="宋体" w:cs="宋体"/>
                <w:szCs w:val="21"/>
              </w:rPr>
            </w:pPr>
            <w:r>
              <w:rPr>
                <w:rFonts w:hint="eastAsia"/>
                <w:szCs w:val="21"/>
              </w:rPr>
              <w:t>社会保障和就业支出</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48.95</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adjustRightInd w:val="0"/>
              <w:snapToGrid w:val="0"/>
              <w:spacing w:line="240" w:lineRule="exact"/>
              <w:jc w:val="center"/>
              <w:rPr>
                <w:szCs w:val="21"/>
              </w:rPr>
            </w:pPr>
            <w:r>
              <w:rPr>
                <w:szCs w:val="21"/>
              </w:rPr>
              <w:t>42.52</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6.43</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rFonts w:ascii="宋体" w:hAnsi="宋体" w:eastAsia="宋体" w:cs="宋体"/>
                <w:szCs w:val="21"/>
              </w:rPr>
            </w:pPr>
            <w:r>
              <w:rPr>
                <w:rFonts w:hint="eastAsia"/>
                <w:szCs w:val="21"/>
              </w:rPr>
              <w:t>　20805</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rFonts w:ascii="宋体" w:hAnsi="宋体" w:eastAsia="宋体" w:cs="宋体"/>
                <w:szCs w:val="21"/>
              </w:rPr>
            </w:pPr>
            <w:r>
              <w:rPr>
                <w:rFonts w:hint="eastAsia"/>
                <w:szCs w:val="21"/>
              </w:rPr>
              <w:t>行政事业单位养老支出</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华文中宋" w:hAnsi="华文中宋" w:eastAsia="华文中宋" w:cs="宋体"/>
                <w:szCs w:val="21"/>
              </w:rPr>
            </w:pPr>
            <w:r>
              <w:rPr>
                <w:rFonts w:hint="eastAsia" w:ascii="华文中宋" w:hAnsi="华文中宋" w:eastAsia="华文中宋"/>
                <w:szCs w:val="21"/>
              </w:rPr>
              <w:t>42.52</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adjustRightInd w:val="0"/>
              <w:snapToGrid w:val="0"/>
              <w:spacing w:line="240" w:lineRule="exact"/>
              <w:jc w:val="center"/>
              <w:rPr>
                <w:szCs w:val="21"/>
              </w:rPr>
            </w:pPr>
            <w:r>
              <w:rPr>
                <w:szCs w:val="21"/>
              </w:rPr>
              <w:t>42.52</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2080505</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机关事业单位基本养老保险缴费支出</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华文中宋" w:hAnsi="华文中宋" w:eastAsia="华文中宋"/>
                <w:szCs w:val="21"/>
              </w:rPr>
            </w:pPr>
            <w:r>
              <w:rPr>
                <w:rFonts w:hint="eastAsia" w:ascii="华文中宋" w:hAnsi="华文中宋" w:eastAsia="华文中宋"/>
                <w:szCs w:val="21"/>
              </w:rPr>
              <w:t>42.52</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adjustRightInd w:val="0"/>
              <w:snapToGrid w:val="0"/>
              <w:spacing w:line="240" w:lineRule="exact"/>
              <w:jc w:val="center"/>
              <w:rPr>
                <w:szCs w:val="21"/>
              </w:rPr>
            </w:pPr>
            <w:r>
              <w:rPr>
                <w:szCs w:val="21"/>
              </w:rPr>
              <w:t>42.52</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rFonts w:ascii="宋体" w:hAnsi="宋体" w:eastAsia="宋体" w:cs="宋体"/>
                <w:szCs w:val="21"/>
              </w:rPr>
            </w:pPr>
            <w:r>
              <w:rPr>
                <w:rFonts w:hint="eastAsia"/>
                <w:szCs w:val="21"/>
              </w:rPr>
              <w:t>　20808</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rFonts w:ascii="宋体" w:hAnsi="宋体" w:eastAsia="宋体" w:cs="宋体"/>
                <w:szCs w:val="21"/>
              </w:rPr>
            </w:pPr>
            <w:r>
              <w:rPr>
                <w:rFonts w:hint="eastAsia"/>
                <w:szCs w:val="21"/>
              </w:rPr>
              <w:t>抚恤</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6.43</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6.43</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adjustRightInd w:val="0"/>
              <w:snapToGrid w:val="0"/>
              <w:spacing w:line="240" w:lineRule="exact"/>
              <w:rPr>
                <w:szCs w:val="21"/>
              </w:rPr>
            </w:pPr>
            <w:r>
              <w:rPr>
                <w:rFonts w:hint="eastAsia"/>
                <w:szCs w:val="21"/>
              </w:rPr>
              <w:t>2080801</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adjustRightInd w:val="0"/>
              <w:snapToGrid w:val="0"/>
              <w:spacing w:line="240" w:lineRule="exact"/>
              <w:rPr>
                <w:szCs w:val="21"/>
              </w:rPr>
            </w:pPr>
            <w:r>
              <w:rPr>
                <w:rFonts w:hint="eastAsia"/>
                <w:szCs w:val="21"/>
              </w:rPr>
              <w:t>死亡抚恤</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6.43</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rFonts w:hint="eastAsia"/>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6.43</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rFonts w:ascii="宋体" w:hAnsi="宋体" w:eastAsia="宋体" w:cs="宋体"/>
                <w:szCs w:val="21"/>
              </w:rPr>
            </w:pPr>
            <w:r>
              <w:rPr>
                <w:rFonts w:hint="eastAsia"/>
                <w:szCs w:val="21"/>
              </w:rPr>
              <w:t>　</w:t>
            </w:r>
            <w:r>
              <w:rPr>
                <w:szCs w:val="21"/>
              </w:rPr>
              <w:t>210</w:t>
            </w:r>
            <w:r>
              <w:rPr>
                <w:szCs w:val="21"/>
              </w:rPr>
              <w:tab/>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rFonts w:ascii="宋体" w:hAnsi="宋体" w:eastAsia="宋体" w:cs="宋体"/>
                <w:szCs w:val="21"/>
              </w:rPr>
            </w:pPr>
            <w:r>
              <w:rPr>
                <w:rFonts w:hint="eastAsia"/>
                <w:szCs w:val="21"/>
              </w:rPr>
              <w:t>卫生健康支出</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19.55</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19.55</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rFonts w:ascii="宋体" w:hAnsi="宋体" w:eastAsia="宋体" w:cs="宋体"/>
                <w:szCs w:val="21"/>
              </w:rPr>
            </w:pPr>
            <w:r>
              <w:rPr>
                <w:rFonts w:hint="eastAsia"/>
                <w:szCs w:val="21"/>
              </w:rPr>
              <w:t>　</w:t>
            </w:r>
            <w:r>
              <w:rPr>
                <w:szCs w:val="21"/>
              </w:rPr>
              <w:t>21011</w:t>
            </w:r>
            <w:r>
              <w:rPr>
                <w:szCs w:val="21"/>
              </w:rPr>
              <w:tab/>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rFonts w:ascii="宋体" w:hAnsi="宋体" w:eastAsia="宋体" w:cs="宋体"/>
                <w:szCs w:val="21"/>
              </w:rPr>
            </w:pPr>
            <w:r>
              <w:rPr>
                <w:rFonts w:hint="eastAsia"/>
                <w:szCs w:val="21"/>
              </w:rPr>
              <w:t>行政事业单位医疗</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19.55</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19.55</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rFonts w:ascii="宋体" w:hAnsi="宋体" w:eastAsia="宋体" w:cs="宋体"/>
                <w:szCs w:val="21"/>
              </w:rPr>
            </w:pPr>
            <w:r>
              <w:rPr>
                <w:szCs w:val="21"/>
              </w:rPr>
              <w:t>0.00</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szCs w:val="21"/>
              </w:rPr>
              <w:t>2101102</w:t>
            </w:r>
            <w:r>
              <w:rPr>
                <w:szCs w:val="21"/>
              </w:rPr>
              <w:tab/>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事业单位医疗</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19.55</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19.55</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rFonts w:hint="eastAsia"/>
                <w:szCs w:val="21"/>
              </w:rPr>
              <w:t>0.00</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211</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节能环保支出</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1,029.83</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907.23</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rFonts w:hint="eastAsia"/>
                <w:szCs w:val="21"/>
              </w:rPr>
              <w:t>122.60</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szCs w:val="21"/>
              </w:rPr>
              <w:t>21101</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环境保护管理事务</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352.75</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352.75</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2110101</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行政运行</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352.75</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352.75</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rFonts w:hint="eastAsia"/>
                <w:szCs w:val="21"/>
              </w:rPr>
              <w:t>0.00</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21102</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环境监测与监察</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494.18</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371.58</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122.60</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2110299</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其他环境监测与监察支出</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494.18</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371.58</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rFonts w:hint="eastAsia"/>
                <w:szCs w:val="21"/>
              </w:rPr>
              <w:t>122.60</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21103</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污染防治</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165.10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165.10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2110307</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土壤</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165.10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165.10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21111</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污染减排</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17.80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17.80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2111101</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生态环境监测与信息</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17.80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17.80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221</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住房保障支出</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28.55</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28.55</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22102</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住房改革支出</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28.55</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28.55</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2210201</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住房公积金</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28.55</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28.55</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rFonts w:hint="eastAsia"/>
                <w:szCs w:val="21"/>
              </w:rPr>
              <w:t>0.00</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229</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其他支出</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60.84</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rFonts w:hint="eastAsia"/>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rFonts w:hint="eastAsia"/>
                <w:szCs w:val="21"/>
              </w:rPr>
              <w:t>60.84</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22999</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其他支出</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60.84</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rFonts w:hint="eastAsia"/>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rFonts w:hint="eastAsia"/>
                <w:szCs w:val="21"/>
              </w:rPr>
              <w:t>60.84</w:t>
            </w:r>
          </w:p>
        </w:tc>
      </w:tr>
      <w:tr>
        <w:tblPrEx>
          <w:tblCellMar>
            <w:top w:w="0" w:type="dxa"/>
            <w:left w:w="0" w:type="dxa"/>
            <w:bottom w:w="0" w:type="dxa"/>
            <w:right w:w="0"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2299999</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adjustRightInd w:val="0"/>
              <w:snapToGrid w:val="0"/>
              <w:spacing w:line="240" w:lineRule="exact"/>
              <w:rPr>
                <w:szCs w:val="21"/>
              </w:rPr>
            </w:pPr>
            <w:r>
              <w:rPr>
                <w:rFonts w:hint="eastAsia"/>
                <w:szCs w:val="21"/>
              </w:rPr>
              <w:t>其他支出</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60.84</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rFonts w:hint="eastAsia"/>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szCs w:val="21"/>
              </w:rPr>
              <w:t>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adjustRightInd w:val="0"/>
              <w:snapToGrid w:val="0"/>
              <w:spacing w:line="240" w:lineRule="exact"/>
              <w:jc w:val="center"/>
              <w:rPr>
                <w:szCs w:val="21"/>
              </w:rPr>
            </w:pPr>
            <w:r>
              <w:rPr>
                <w:rFonts w:hint="eastAsia"/>
                <w:szCs w:val="21"/>
              </w:rPr>
              <w:t>60.84</w:t>
            </w:r>
          </w:p>
        </w:tc>
      </w:tr>
      <w:tr>
        <w:tblPrEx>
          <w:tblCellMar>
            <w:top w:w="0" w:type="dxa"/>
            <w:left w:w="0" w:type="dxa"/>
            <w:bottom w:w="0" w:type="dxa"/>
            <w:right w:w="0" w:type="dxa"/>
          </w:tblCellMar>
        </w:tblPrEx>
        <w:trPr>
          <w:jc w:val="center"/>
        </w:trPr>
        <w:tc>
          <w:tcPr>
            <w:tcW w:w="0" w:type="auto"/>
            <w:gridSpan w:val="10"/>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tbl>
      <w:tblPr>
        <w:tblStyle w:val="6"/>
        <w:tblW w:w="15521" w:type="dxa"/>
        <w:jc w:val="center"/>
        <w:tblLayout w:type="autofit"/>
        <w:tblCellMar>
          <w:top w:w="0" w:type="dxa"/>
          <w:left w:w="108" w:type="dxa"/>
          <w:bottom w:w="0" w:type="dxa"/>
          <w:right w:w="108" w:type="dxa"/>
        </w:tblCellMar>
      </w:tblPr>
      <w:tblGrid>
        <w:gridCol w:w="143"/>
        <w:gridCol w:w="982"/>
        <w:gridCol w:w="267"/>
        <w:gridCol w:w="2203"/>
        <w:gridCol w:w="436"/>
        <w:gridCol w:w="1078"/>
        <w:gridCol w:w="496"/>
        <w:gridCol w:w="92"/>
        <w:gridCol w:w="1705"/>
        <w:gridCol w:w="1118"/>
        <w:gridCol w:w="153"/>
        <w:gridCol w:w="479"/>
        <w:gridCol w:w="435"/>
        <w:gridCol w:w="357"/>
        <w:gridCol w:w="1216"/>
        <w:gridCol w:w="200"/>
        <w:gridCol w:w="1127"/>
        <w:gridCol w:w="67"/>
        <w:gridCol w:w="1394"/>
        <w:gridCol w:w="1337"/>
        <w:gridCol w:w="236"/>
      </w:tblGrid>
      <w:tr>
        <w:tblPrEx>
          <w:tblCellMar>
            <w:top w:w="0" w:type="dxa"/>
            <w:left w:w="108" w:type="dxa"/>
            <w:bottom w:w="0" w:type="dxa"/>
            <w:right w:w="108" w:type="dxa"/>
          </w:tblCellMar>
        </w:tblPrEx>
        <w:trPr>
          <w:gridBefore w:val="1"/>
          <w:gridAfter w:val="1"/>
          <w:wBefore w:w="143" w:type="dxa"/>
          <w:wAfter w:w="236" w:type="dxa"/>
          <w:trHeight w:val="94" w:hRule="atLeast"/>
          <w:jc w:val="center"/>
        </w:trPr>
        <w:tc>
          <w:tcPr>
            <w:tcW w:w="15142" w:type="dxa"/>
            <w:gridSpan w:val="19"/>
            <w:tcBorders>
              <w:top w:val="nil"/>
              <w:left w:val="nil"/>
              <w:bottom w:val="nil"/>
              <w:right w:val="nil"/>
            </w:tcBorders>
            <w:shd w:val="clear" w:color="auto" w:fill="auto"/>
            <w:noWrap/>
            <w:vAlign w:val="center"/>
          </w:tcPr>
          <w:p>
            <w:pPr>
              <w:widowControl/>
              <w:snapToGrid w:val="0"/>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982" w:type="dxa"/>
            <w:tcBorders>
              <w:top w:val="nil"/>
              <w:left w:val="nil"/>
              <w:bottom w:val="nil"/>
              <w:right w:val="nil"/>
            </w:tcBorders>
            <w:shd w:val="clear" w:color="000000" w:fill="FFFFFF"/>
            <w:noWrap/>
            <w:vAlign w:val="center"/>
          </w:tcPr>
          <w:p>
            <w:pPr>
              <w:widowControl/>
              <w:snapToGrid w:val="0"/>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67" w:type="dxa"/>
            <w:tcBorders>
              <w:top w:val="nil"/>
              <w:left w:val="nil"/>
              <w:bottom w:val="nil"/>
              <w:right w:val="nil"/>
            </w:tcBorders>
            <w:shd w:val="clear" w:color="000000" w:fill="FFFFFF"/>
            <w:noWrap/>
            <w:vAlign w:val="center"/>
          </w:tcPr>
          <w:p>
            <w:pPr>
              <w:widowControl/>
              <w:snapToGrid w:val="0"/>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05" w:type="dxa"/>
            <w:gridSpan w:val="5"/>
            <w:tcBorders>
              <w:top w:val="nil"/>
              <w:left w:val="nil"/>
              <w:bottom w:val="nil"/>
              <w:right w:val="nil"/>
            </w:tcBorders>
            <w:shd w:val="clear" w:color="000000" w:fill="FFFFFF"/>
            <w:noWrap/>
            <w:vAlign w:val="center"/>
          </w:tcPr>
          <w:p>
            <w:pPr>
              <w:widowControl/>
              <w:snapToGrid w:val="0"/>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05" w:type="dxa"/>
            <w:tcBorders>
              <w:top w:val="nil"/>
              <w:left w:val="nil"/>
              <w:bottom w:val="nil"/>
              <w:right w:val="nil"/>
            </w:tcBorders>
            <w:shd w:val="clear" w:color="000000" w:fill="FFFFFF"/>
            <w:noWrap/>
            <w:vAlign w:val="center"/>
          </w:tcPr>
          <w:p>
            <w:pPr>
              <w:widowControl/>
              <w:snapToGrid w:val="0"/>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271" w:type="dxa"/>
            <w:gridSpan w:val="2"/>
            <w:tcBorders>
              <w:top w:val="nil"/>
              <w:left w:val="nil"/>
              <w:bottom w:val="nil"/>
              <w:right w:val="nil"/>
            </w:tcBorders>
            <w:shd w:val="clear" w:color="000000" w:fill="FFFFFF"/>
            <w:noWrap/>
            <w:vAlign w:val="center"/>
          </w:tcPr>
          <w:p>
            <w:pPr>
              <w:widowControl/>
              <w:snapToGrid w:val="0"/>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271" w:type="dxa"/>
            <w:gridSpan w:val="3"/>
            <w:tcBorders>
              <w:top w:val="nil"/>
              <w:left w:val="nil"/>
              <w:bottom w:val="nil"/>
              <w:right w:val="nil"/>
            </w:tcBorders>
            <w:shd w:val="clear" w:color="000000" w:fill="FFFFFF"/>
            <w:noWrap/>
            <w:vAlign w:val="center"/>
          </w:tcPr>
          <w:p>
            <w:pPr>
              <w:widowControl/>
              <w:snapToGrid w:val="0"/>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16" w:type="dxa"/>
            <w:gridSpan w:val="2"/>
            <w:tcBorders>
              <w:top w:val="nil"/>
              <w:left w:val="nil"/>
              <w:bottom w:val="nil"/>
              <w:right w:val="nil"/>
            </w:tcBorders>
            <w:shd w:val="clear" w:color="000000" w:fill="FFFFFF"/>
            <w:noWrap/>
            <w:vAlign w:val="center"/>
          </w:tcPr>
          <w:p>
            <w:pPr>
              <w:widowControl/>
              <w:snapToGrid w:val="0"/>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127" w:type="dxa"/>
            <w:tcBorders>
              <w:top w:val="nil"/>
              <w:left w:val="nil"/>
              <w:bottom w:val="nil"/>
              <w:right w:val="nil"/>
            </w:tcBorders>
            <w:shd w:val="clear" w:color="000000" w:fill="FFFFFF"/>
            <w:noWrap/>
            <w:vAlign w:val="center"/>
          </w:tcPr>
          <w:p>
            <w:pPr>
              <w:widowControl/>
              <w:snapToGrid w:val="0"/>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98" w:type="dxa"/>
            <w:gridSpan w:val="3"/>
            <w:tcBorders>
              <w:top w:val="nil"/>
              <w:left w:val="nil"/>
              <w:bottom w:val="nil"/>
              <w:right w:val="nil"/>
            </w:tcBorders>
            <w:shd w:val="clear" w:color="000000" w:fill="FFFFFF"/>
            <w:noWrap/>
            <w:vAlign w:val="center"/>
          </w:tcPr>
          <w:p>
            <w:pPr>
              <w:widowControl/>
              <w:snapToGrid w:val="0"/>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982" w:type="dxa"/>
            <w:tcBorders>
              <w:top w:val="nil"/>
              <w:left w:val="nil"/>
              <w:bottom w:val="nil"/>
              <w:right w:val="nil"/>
            </w:tcBorders>
            <w:shd w:val="clear" w:color="000000" w:fill="FFFFFF"/>
            <w:noWrap/>
            <w:vAlign w:val="center"/>
          </w:tcPr>
          <w:p>
            <w:pPr>
              <w:widowControl/>
              <w:snapToGrid w:val="0"/>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267" w:type="dxa"/>
            <w:tcBorders>
              <w:top w:val="nil"/>
              <w:left w:val="nil"/>
              <w:bottom w:val="nil"/>
              <w:right w:val="nil"/>
            </w:tcBorders>
            <w:shd w:val="clear" w:color="000000" w:fill="FFFFFF"/>
            <w:noWrap/>
            <w:vAlign w:val="center"/>
          </w:tcPr>
          <w:p>
            <w:pPr>
              <w:widowControl/>
              <w:snapToGrid w:val="0"/>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05" w:type="dxa"/>
            <w:gridSpan w:val="5"/>
            <w:tcBorders>
              <w:top w:val="nil"/>
              <w:left w:val="nil"/>
              <w:bottom w:val="nil"/>
              <w:right w:val="nil"/>
            </w:tcBorders>
            <w:shd w:val="clear" w:color="000000" w:fill="FFFFFF"/>
            <w:noWrap/>
            <w:vAlign w:val="center"/>
          </w:tcPr>
          <w:p>
            <w:pPr>
              <w:widowControl/>
              <w:snapToGrid w:val="0"/>
              <w:jc w:val="left"/>
              <w:rPr>
                <w:rFonts w:ascii="宋体" w:hAnsi="宋体" w:eastAsia="宋体" w:cs="宋体"/>
                <w:kern w:val="0"/>
                <w:sz w:val="24"/>
                <w:szCs w:val="24"/>
              </w:rPr>
            </w:pPr>
            <w:r>
              <w:rPr>
                <w:rFonts w:hint="eastAsia" w:ascii="宋体" w:hAnsi="宋体" w:eastAsia="宋体" w:cs="宋体"/>
                <w:bCs w:val="0"/>
                <w:kern w:val="0"/>
                <w:sz w:val="22"/>
                <w:szCs w:val="22"/>
              </w:rPr>
              <w:t>湖南省永州生态环境监测中心</w:t>
            </w:r>
            <w:r>
              <w:rPr>
                <w:rFonts w:hint="eastAsia" w:ascii="宋体" w:hAnsi="宋体" w:eastAsia="宋体" w:cs="宋体"/>
                <w:kern w:val="0"/>
                <w:sz w:val="24"/>
                <w:szCs w:val="24"/>
              </w:rPr>
              <w:t>　</w:t>
            </w:r>
          </w:p>
        </w:tc>
        <w:tc>
          <w:tcPr>
            <w:tcW w:w="1705" w:type="dxa"/>
            <w:tcBorders>
              <w:top w:val="nil"/>
              <w:left w:val="nil"/>
              <w:bottom w:val="nil"/>
              <w:right w:val="nil"/>
            </w:tcBorders>
            <w:shd w:val="clear" w:color="000000" w:fill="FFFFFF"/>
            <w:noWrap/>
            <w:vAlign w:val="center"/>
          </w:tcPr>
          <w:p>
            <w:pPr>
              <w:widowControl/>
              <w:snapToGrid w:val="0"/>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271" w:type="dxa"/>
            <w:gridSpan w:val="2"/>
            <w:tcBorders>
              <w:top w:val="nil"/>
              <w:left w:val="nil"/>
              <w:bottom w:val="nil"/>
              <w:right w:val="nil"/>
            </w:tcBorders>
            <w:shd w:val="clear" w:color="000000" w:fill="FFFFFF"/>
            <w:noWrap/>
            <w:vAlign w:val="center"/>
          </w:tcPr>
          <w:p>
            <w:pPr>
              <w:widowControl/>
              <w:snapToGrid w:val="0"/>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2021年度</w:t>
            </w:r>
            <w:r>
              <w:rPr>
                <w:rFonts w:hint="eastAsia" w:ascii="宋体" w:hAnsi="宋体" w:eastAsia="宋体" w:cs="宋体"/>
                <w:kern w:val="0"/>
                <w:sz w:val="24"/>
                <w:szCs w:val="24"/>
              </w:rPr>
              <w:t>　</w:t>
            </w:r>
          </w:p>
        </w:tc>
        <w:tc>
          <w:tcPr>
            <w:tcW w:w="1271" w:type="dxa"/>
            <w:gridSpan w:val="3"/>
            <w:tcBorders>
              <w:top w:val="nil"/>
              <w:left w:val="nil"/>
              <w:bottom w:val="nil"/>
              <w:right w:val="nil"/>
            </w:tcBorders>
            <w:shd w:val="clear" w:color="000000" w:fill="FFFFFF"/>
            <w:noWrap/>
            <w:vAlign w:val="center"/>
          </w:tcPr>
          <w:p>
            <w:pPr>
              <w:widowControl/>
              <w:snapToGrid w:val="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416" w:type="dxa"/>
            <w:gridSpan w:val="2"/>
            <w:tcBorders>
              <w:top w:val="nil"/>
              <w:left w:val="nil"/>
              <w:bottom w:val="nil"/>
              <w:right w:val="nil"/>
            </w:tcBorders>
            <w:shd w:val="clear" w:color="000000" w:fill="FFFFFF"/>
            <w:noWrap/>
            <w:vAlign w:val="center"/>
          </w:tcPr>
          <w:p>
            <w:pPr>
              <w:widowControl/>
              <w:snapToGrid w:val="0"/>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127" w:type="dxa"/>
            <w:tcBorders>
              <w:top w:val="nil"/>
              <w:left w:val="nil"/>
              <w:bottom w:val="nil"/>
              <w:right w:val="nil"/>
            </w:tcBorders>
            <w:shd w:val="clear" w:color="000000" w:fill="FFFFFF"/>
            <w:noWrap/>
            <w:vAlign w:val="center"/>
          </w:tcPr>
          <w:p>
            <w:pPr>
              <w:widowControl/>
              <w:snapToGrid w:val="0"/>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98" w:type="dxa"/>
            <w:gridSpan w:val="3"/>
            <w:tcBorders>
              <w:top w:val="nil"/>
              <w:left w:val="nil"/>
              <w:bottom w:val="nil"/>
              <w:right w:val="nil"/>
            </w:tcBorders>
            <w:shd w:val="clear" w:color="000000" w:fill="FFFFFF"/>
            <w:noWrap/>
            <w:vAlign w:val="center"/>
          </w:tcPr>
          <w:p>
            <w:pPr>
              <w:widowControl/>
              <w:snapToGrid w:val="0"/>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5554" w:type="dxa"/>
            <w:gridSpan w:val="7"/>
            <w:tcBorders>
              <w:top w:val="single" w:color="auto" w:sz="4" w:space="0"/>
              <w:left w:val="single" w:color="auto" w:sz="4" w:space="0"/>
              <w:bottom w:val="single" w:color="auto" w:sz="4" w:space="0"/>
              <w:right w:val="single" w:color="auto" w:sz="4" w:space="0"/>
            </w:tcBorders>
            <w:shd w:val="clear" w:color="000000" w:fill="FFFFFF"/>
            <w:vAlign w:val="center"/>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70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271"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271"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416"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12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2798"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CellMar>
            <w:top w:w="0" w:type="dxa"/>
            <w:left w:w="108" w:type="dxa"/>
            <w:bottom w:w="0" w:type="dxa"/>
            <w:right w:w="108" w:type="dxa"/>
          </w:tblCellMar>
        </w:tblPrEx>
        <w:trPr>
          <w:gridBefore w:val="1"/>
          <w:gridAfter w:val="1"/>
          <w:wBefore w:w="143" w:type="dxa"/>
          <w:wAfter w:w="236" w:type="dxa"/>
          <w:trHeight w:val="312" w:hRule="atLeast"/>
          <w:jc w:val="center"/>
        </w:trPr>
        <w:tc>
          <w:tcPr>
            <w:tcW w:w="1249"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4305" w:type="dxa"/>
            <w:gridSpan w:val="5"/>
            <w:vMerge w:val="restart"/>
            <w:tcBorders>
              <w:top w:val="nil"/>
              <w:left w:val="single" w:color="auto" w:sz="4" w:space="0"/>
              <w:bottom w:val="single" w:color="auto" w:sz="4" w:space="0"/>
              <w:right w:val="single" w:color="auto" w:sz="4" w:space="0"/>
            </w:tcBorders>
            <w:shd w:val="clear" w:color="000000" w:fill="FFFFFF"/>
            <w:vAlign w:val="center"/>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70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jc w:val="left"/>
              <w:rPr>
                <w:rFonts w:ascii="宋体" w:hAnsi="宋体" w:eastAsia="宋体" w:cs="宋体"/>
                <w:kern w:val="0"/>
                <w:sz w:val="24"/>
                <w:szCs w:val="24"/>
              </w:rPr>
            </w:pPr>
          </w:p>
        </w:tc>
        <w:tc>
          <w:tcPr>
            <w:tcW w:w="12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napToGrid w:val="0"/>
              <w:jc w:val="left"/>
              <w:rPr>
                <w:rFonts w:ascii="宋体" w:hAnsi="宋体" w:eastAsia="宋体" w:cs="宋体"/>
                <w:kern w:val="0"/>
                <w:sz w:val="24"/>
                <w:szCs w:val="24"/>
              </w:rPr>
            </w:pPr>
          </w:p>
        </w:tc>
        <w:tc>
          <w:tcPr>
            <w:tcW w:w="127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napToGrid w:val="0"/>
              <w:jc w:val="left"/>
              <w:rPr>
                <w:rFonts w:ascii="宋体" w:hAnsi="宋体" w:eastAsia="宋体" w:cs="宋体"/>
                <w:kern w:val="0"/>
                <w:sz w:val="24"/>
                <w:szCs w:val="24"/>
              </w:rPr>
            </w:pPr>
          </w:p>
        </w:tc>
        <w:tc>
          <w:tcPr>
            <w:tcW w:w="14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napToGrid w:val="0"/>
              <w:jc w:val="left"/>
              <w:rPr>
                <w:rFonts w:ascii="宋体" w:hAnsi="宋体" w:eastAsia="宋体" w:cs="宋体"/>
                <w:kern w:val="0"/>
                <w:sz w:val="24"/>
                <w:szCs w:val="24"/>
              </w:rPr>
            </w:pPr>
          </w:p>
        </w:tc>
        <w:tc>
          <w:tcPr>
            <w:tcW w:w="1127"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jc w:val="left"/>
              <w:rPr>
                <w:rFonts w:ascii="宋体" w:hAnsi="宋体" w:eastAsia="宋体" w:cs="宋体"/>
                <w:kern w:val="0"/>
                <w:sz w:val="24"/>
                <w:szCs w:val="24"/>
              </w:rPr>
            </w:pPr>
          </w:p>
        </w:tc>
        <w:tc>
          <w:tcPr>
            <w:tcW w:w="279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napToGrid w:val="0"/>
              <w:jc w:val="left"/>
              <w:rPr>
                <w:rFonts w:ascii="宋体" w:hAnsi="宋体" w:eastAsia="宋体" w:cs="宋体"/>
                <w:kern w:val="0"/>
                <w:sz w:val="24"/>
                <w:szCs w:val="24"/>
              </w:rPr>
            </w:pPr>
          </w:p>
        </w:tc>
      </w:tr>
      <w:tr>
        <w:tblPrEx>
          <w:tblCellMar>
            <w:top w:w="0" w:type="dxa"/>
            <w:left w:w="108" w:type="dxa"/>
            <w:bottom w:w="0" w:type="dxa"/>
            <w:right w:w="108" w:type="dxa"/>
          </w:tblCellMar>
        </w:tblPrEx>
        <w:trPr>
          <w:gridBefore w:val="1"/>
          <w:gridAfter w:val="1"/>
          <w:wBefore w:w="143" w:type="dxa"/>
          <w:wAfter w:w="236" w:type="dxa"/>
          <w:trHeight w:val="311" w:hRule="atLeast"/>
          <w:jc w:val="center"/>
        </w:trPr>
        <w:tc>
          <w:tcPr>
            <w:tcW w:w="124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napToGrid w:val="0"/>
              <w:jc w:val="left"/>
              <w:rPr>
                <w:rFonts w:ascii="宋体" w:hAnsi="宋体" w:eastAsia="宋体" w:cs="宋体"/>
                <w:kern w:val="0"/>
                <w:sz w:val="24"/>
                <w:szCs w:val="24"/>
              </w:rPr>
            </w:pPr>
          </w:p>
        </w:tc>
        <w:tc>
          <w:tcPr>
            <w:tcW w:w="4305" w:type="dxa"/>
            <w:gridSpan w:val="5"/>
            <w:vMerge w:val="continue"/>
            <w:tcBorders>
              <w:top w:val="nil"/>
              <w:left w:val="single" w:color="auto" w:sz="4" w:space="0"/>
              <w:bottom w:val="single" w:color="auto" w:sz="4" w:space="0"/>
              <w:right w:val="single" w:color="auto" w:sz="4" w:space="0"/>
            </w:tcBorders>
            <w:vAlign w:val="center"/>
          </w:tcPr>
          <w:p>
            <w:pPr>
              <w:widowControl/>
              <w:snapToGrid w:val="0"/>
              <w:jc w:val="left"/>
              <w:rPr>
                <w:rFonts w:ascii="宋体" w:hAnsi="宋体" w:eastAsia="宋体" w:cs="宋体"/>
                <w:kern w:val="0"/>
                <w:sz w:val="24"/>
                <w:szCs w:val="24"/>
              </w:rPr>
            </w:pPr>
          </w:p>
        </w:tc>
        <w:tc>
          <w:tcPr>
            <w:tcW w:w="170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jc w:val="left"/>
              <w:rPr>
                <w:rFonts w:ascii="宋体" w:hAnsi="宋体" w:eastAsia="宋体" w:cs="宋体"/>
                <w:kern w:val="0"/>
                <w:sz w:val="24"/>
                <w:szCs w:val="24"/>
              </w:rPr>
            </w:pPr>
          </w:p>
        </w:tc>
        <w:tc>
          <w:tcPr>
            <w:tcW w:w="12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napToGrid w:val="0"/>
              <w:jc w:val="left"/>
              <w:rPr>
                <w:rFonts w:ascii="宋体" w:hAnsi="宋体" w:eastAsia="宋体" w:cs="宋体"/>
                <w:kern w:val="0"/>
                <w:sz w:val="24"/>
                <w:szCs w:val="24"/>
              </w:rPr>
            </w:pPr>
          </w:p>
        </w:tc>
        <w:tc>
          <w:tcPr>
            <w:tcW w:w="127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napToGrid w:val="0"/>
              <w:jc w:val="left"/>
              <w:rPr>
                <w:rFonts w:ascii="宋体" w:hAnsi="宋体" w:eastAsia="宋体" w:cs="宋体"/>
                <w:kern w:val="0"/>
                <w:sz w:val="24"/>
                <w:szCs w:val="24"/>
              </w:rPr>
            </w:pPr>
          </w:p>
        </w:tc>
        <w:tc>
          <w:tcPr>
            <w:tcW w:w="14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napToGrid w:val="0"/>
              <w:jc w:val="left"/>
              <w:rPr>
                <w:rFonts w:ascii="宋体" w:hAnsi="宋体" w:eastAsia="宋体" w:cs="宋体"/>
                <w:kern w:val="0"/>
                <w:sz w:val="24"/>
                <w:szCs w:val="24"/>
              </w:rPr>
            </w:pPr>
          </w:p>
        </w:tc>
        <w:tc>
          <w:tcPr>
            <w:tcW w:w="1127"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jc w:val="left"/>
              <w:rPr>
                <w:rFonts w:ascii="宋体" w:hAnsi="宋体" w:eastAsia="宋体" w:cs="宋体"/>
                <w:kern w:val="0"/>
                <w:sz w:val="24"/>
                <w:szCs w:val="24"/>
              </w:rPr>
            </w:pPr>
          </w:p>
        </w:tc>
        <w:tc>
          <w:tcPr>
            <w:tcW w:w="279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napToGrid w:val="0"/>
              <w:jc w:val="left"/>
              <w:rPr>
                <w:rFonts w:ascii="宋体" w:hAnsi="宋体" w:eastAsia="宋体" w:cs="宋体"/>
                <w:kern w:val="0"/>
                <w:sz w:val="24"/>
                <w:szCs w:val="24"/>
              </w:rPr>
            </w:pP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5554" w:type="dxa"/>
            <w:gridSpan w:val="7"/>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705" w:type="dxa"/>
            <w:tcBorders>
              <w:top w:val="nil"/>
              <w:left w:val="nil"/>
              <w:bottom w:val="single" w:color="auto" w:sz="4" w:space="0"/>
              <w:right w:val="single" w:color="auto" w:sz="4" w:space="0"/>
            </w:tcBorders>
            <w:shd w:val="clear" w:color="000000" w:fill="FFFFFF"/>
            <w:noWrap/>
            <w:vAlign w:val="center"/>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271" w:type="dxa"/>
            <w:gridSpan w:val="2"/>
            <w:tcBorders>
              <w:top w:val="nil"/>
              <w:left w:val="nil"/>
              <w:bottom w:val="single" w:color="auto" w:sz="4" w:space="0"/>
              <w:right w:val="single" w:color="auto" w:sz="4" w:space="0"/>
            </w:tcBorders>
            <w:shd w:val="clear" w:color="000000" w:fill="FFFFFF"/>
            <w:noWrap/>
            <w:vAlign w:val="center"/>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271" w:type="dxa"/>
            <w:gridSpan w:val="3"/>
            <w:tcBorders>
              <w:top w:val="nil"/>
              <w:left w:val="nil"/>
              <w:bottom w:val="single" w:color="auto" w:sz="4" w:space="0"/>
              <w:right w:val="single" w:color="auto" w:sz="4" w:space="0"/>
            </w:tcBorders>
            <w:shd w:val="clear" w:color="000000" w:fill="FFFFFF"/>
            <w:noWrap/>
            <w:vAlign w:val="center"/>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416" w:type="dxa"/>
            <w:gridSpan w:val="2"/>
            <w:tcBorders>
              <w:top w:val="nil"/>
              <w:left w:val="nil"/>
              <w:bottom w:val="single" w:color="auto" w:sz="4" w:space="0"/>
              <w:right w:val="single" w:color="auto" w:sz="4" w:space="0"/>
            </w:tcBorders>
            <w:shd w:val="clear" w:color="000000" w:fill="FFFFFF"/>
            <w:noWrap/>
            <w:vAlign w:val="center"/>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127" w:type="dxa"/>
            <w:tcBorders>
              <w:top w:val="nil"/>
              <w:left w:val="nil"/>
              <w:bottom w:val="single" w:color="auto" w:sz="4" w:space="0"/>
              <w:right w:val="single" w:color="auto" w:sz="4" w:space="0"/>
            </w:tcBorders>
            <w:shd w:val="clear" w:color="000000" w:fill="FFFFFF"/>
            <w:noWrap/>
            <w:vAlign w:val="center"/>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2798" w:type="dxa"/>
            <w:gridSpan w:val="3"/>
            <w:tcBorders>
              <w:top w:val="nil"/>
              <w:left w:val="nil"/>
              <w:bottom w:val="single" w:color="auto" w:sz="4" w:space="0"/>
              <w:right w:val="single" w:color="auto" w:sz="4" w:space="0"/>
            </w:tcBorders>
            <w:shd w:val="clear" w:color="000000" w:fill="FFFFFF"/>
            <w:noWrap/>
            <w:vAlign w:val="center"/>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5554" w:type="dxa"/>
            <w:gridSpan w:val="7"/>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1,239.61</w:t>
            </w:r>
          </w:p>
        </w:tc>
        <w:tc>
          <w:tcPr>
            <w:tcW w:w="1271" w:type="dxa"/>
            <w:gridSpan w:val="2"/>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572.40</w:t>
            </w:r>
          </w:p>
        </w:tc>
        <w:tc>
          <w:tcPr>
            <w:tcW w:w="1271" w:type="dxa"/>
            <w:gridSpan w:val="3"/>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667.20</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208</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社会保障和就业支出</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48.95</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48.95</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20805</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行政事业单位养老支出</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42.52</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42.52</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2080505</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机关事业单位基本养老保险缴费支出</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42.52</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42.52</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20808</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抚恤</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6.43</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6.43</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tcPr>
          <w:p>
            <w:pPr>
              <w:snapToGrid w:val="0"/>
              <w:jc w:val="left"/>
              <w:rPr>
                <w:rFonts w:ascii="宋体" w:hAnsi="宋体" w:eastAsia="宋体" w:cs="宋体"/>
                <w:kern w:val="0"/>
                <w:sz w:val="24"/>
                <w:szCs w:val="24"/>
              </w:rPr>
            </w:pPr>
            <w:r>
              <w:rPr>
                <w:rFonts w:hint="eastAsia"/>
                <w:szCs w:val="21"/>
              </w:rPr>
              <w:t>2080801</w:t>
            </w:r>
          </w:p>
        </w:tc>
        <w:tc>
          <w:tcPr>
            <w:tcW w:w="4305" w:type="dxa"/>
            <w:gridSpan w:val="5"/>
            <w:tcBorders>
              <w:top w:val="nil"/>
              <w:left w:val="nil"/>
              <w:bottom w:val="single" w:color="auto" w:sz="4" w:space="0"/>
              <w:right w:val="single" w:color="auto" w:sz="4" w:space="0"/>
            </w:tcBorders>
            <w:shd w:val="clear" w:color="000000" w:fill="FFFFFF"/>
            <w:noWrap/>
          </w:tcPr>
          <w:p>
            <w:pPr>
              <w:snapToGrid w:val="0"/>
              <w:jc w:val="left"/>
              <w:rPr>
                <w:rFonts w:ascii="宋体" w:hAnsi="宋体" w:eastAsia="宋体" w:cs="宋体"/>
                <w:kern w:val="0"/>
                <w:sz w:val="24"/>
                <w:szCs w:val="24"/>
              </w:rPr>
            </w:pPr>
            <w:r>
              <w:rPr>
                <w:rFonts w:hint="eastAsia"/>
                <w:szCs w:val="21"/>
              </w:rPr>
              <w:t>死亡抚恤</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6.43</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6.43</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szCs w:val="21"/>
              </w:rPr>
              <w:t>210</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卫生健康支出</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19.55</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19.55</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szCs w:val="21"/>
              </w:rPr>
              <w:t>21011</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行政事业单位医疗</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19.55</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19.55</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szCs w:val="21"/>
              </w:rPr>
              <w:t>2101102</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事业单位医疗</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19.55</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19.55</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211</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节能环保支出</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1,105.52</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475.35</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630.17</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szCs w:val="21"/>
              </w:rPr>
              <w:t>21101</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环境保护管理事务</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352.75</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352.75</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2110101</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行政运行</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352.75</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352.75</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21102</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环境监测与监察</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483.24</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122.60</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360.64</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2110299</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其他环境监测与监察支出</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483.24</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122.60</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360.64</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21103</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污染防治</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134.91</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134.91</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2110307</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土壤</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134.91</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134.91</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21111</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污染减排</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134.62</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134.62</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2111101</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生态环境监测与信息</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134.62</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134.62</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221</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住房保障支出</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28.55</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28.55</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22102</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住房改革支出</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28.55</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28.55</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2210201</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住房公积金</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28.55</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28.55</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229</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其他支出</w:t>
            </w:r>
          </w:p>
        </w:tc>
        <w:tc>
          <w:tcPr>
            <w:tcW w:w="1705" w:type="dxa"/>
            <w:tcBorders>
              <w:top w:val="nil"/>
              <w:left w:val="nil"/>
              <w:bottom w:val="single" w:color="auto" w:sz="4" w:space="0"/>
              <w:right w:val="single" w:color="auto" w:sz="4" w:space="0"/>
            </w:tcBorders>
            <w:shd w:val="clear" w:color="auto" w:fill="auto"/>
            <w:noWrap/>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37.04</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37.04</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22999</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其他支出</w:t>
            </w:r>
          </w:p>
        </w:tc>
        <w:tc>
          <w:tcPr>
            <w:tcW w:w="1705" w:type="dxa"/>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37.04</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37.04</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24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2299999</w:t>
            </w:r>
          </w:p>
        </w:tc>
        <w:tc>
          <w:tcPr>
            <w:tcW w:w="4305" w:type="dxa"/>
            <w:gridSpan w:val="5"/>
            <w:tcBorders>
              <w:top w:val="nil"/>
              <w:left w:val="nil"/>
              <w:bottom w:val="single" w:color="auto" w:sz="4" w:space="0"/>
              <w:right w:val="single" w:color="auto" w:sz="4" w:space="0"/>
            </w:tcBorders>
            <w:shd w:val="clear" w:color="000000" w:fill="FFFFFF"/>
            <w:noWrap/>
            <w:vAlign w:val="center"/>
          </w:tcPr>
          <w:p>
            <w:pPr>
              <w:snapToGrid w:val="0"/>
              <w:jc w:val="left"/>
              <w:rPr>
                <w:rFonts w:ascii="宋体" w:hAnsi="宋体" w:eastAsia="宋体" w:cs="宋体"/>
                <w:kern w:val="0"/>
                <w:sz w:val="24"/>
                <w:szCs w:val="24"/>
              </w:rPr>
            </w:pPr>
            <w:r>
              <w:rPr>
                <w:rFonts w:hint="eastAsia"/>
                <w:szCs w:val="21"/>
              </w:rPr>
              <w:t>其他支出</w:t>
            </w:r>
          </w:p>
        </w:tc>
        <w:tc>
          <w:tcPr>
            <w:tcW w:w="1705" w:type="dxa"/>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37.04</w:t>
            </w:r>
          </w:p>
        </w:tc>
        <w:tc>
          <w:tcPr>
            <w:tcW w:w="1271"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271" w:type="dxa"/>
            <w:gridSpan w:val="3"/>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hint="eastAsia" w:ascii="宋体" w:hAnsi="宋体" w:eastAsia="宋体" w:cs="宋体"/>
                <w:kern w:val="0"/>
                <w:sz w:val="24"/>
                <w:szCs w:val="24"/>
              </w:rPr>
              <w:t>37.04</w:t>
            </w:r>
          </w:p>
        </w:tc>
        <w:tc>
          <w:tcPr>
            <w:tcW w:w="1416" w:type="dxa"/>
            <w:gridSpan w:val="2"/>
            <w:tcBorders>
              <w:top w:val="nil"/>
              <w:left w:val="nil"/>
              <w:bottom w:val="single" w:color="auto" w:sz="4" w:space="0"/>
              <w:right w:val="single" w:color="auto" w:sz="4" w:space="0"/>
            </w:tcBorders>
            <w:shd w:val="clear" w:color="auto" w:fill="auto"/>
            <w:noWrap/>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0.00</w:t>
            </w:r>
          </w:p>
        </w:tc>
        <w:tc>
          <w:tcPr>
            <w:tcW w:w="1127" w:type="dxa"/>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ascii="宋体" w:hAnsi="宋体" w:eastAsia="宋体" w:cs="宋体"/>
                <w:kern w:val="0"/>
                <w:sz w:val="24"/>
                <w:szCs w:val="24"/>
              </w:rPr>
              <w:t>0.00</w:t>
            </w:r>
          </w:p>
        </w:tc>
        <w:tc>
          <w:tcPr>
            <w:tcW w:w="2798" w:type="dxa"/>
            <w:gridSpan w:val="3"/>
            <w:tcBorders>
              <w:top w:val="nil"/>
              <w:left w:val="nil"/>
              <w:bottom w:val="single" w:color="auto" w:sz="4" w:space="0"/>
              <w:right w:val="single" w:color="auto" w:sz="4" w:space="0"/>
            </w:tcBorders>
            <w:shd w:val="clear" w:color="auto" w:fill="auto"/>
            <w:noWrap/>
          </w:tcPr>
          <w:p>
            <w:pPr>
              <w:jc w:val="center"/>
              <w:rPr>
                <w:rFonts w:ascii="宋体" w:hAnsi="宋体" w:eastAsia="宋体" w:cs="宋体"/>
                <w:kern w:val="0"/>
                <w:sz w:val="24"/>
                <w:szCs w:val="24"/>
              </w:rPr>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gridBefore w:val="1"/>
          <w:gridAfter w:val="1"/>
          <w:wBefore w:w="143" w:type="dxa"/>
          <w:wAfter w:w="236" w:type="dxa"/>
          <w:trHeight w:val="90" w:hRule="atLeast"/>
          <w:jc w:val="center"/>
        </w:trPr>
        <w:tc>
          <w:tcPr>
            <w:tcW w:w="15142" w:type="dxa"/>
            <w:gridSpan w:val="19"/>
            <w:tcBorders>
              <w:top w:val="nil"/>
              <w:left w:val="nil"/>
              <w:bottom w:val="nil"/>
              <w:right w:val="nil"/>
            </w:tcBorders>
            <w:shd w:val="clear" w:color="auto" w:fill="auto"/>
            <w:vAlign w:val="center"/>
          </w:tcPr>
          <w:p>
            <w:pPr>
              <w:widowControl/>
              <w:snapToGrid w:val="0"/>
              <w:jc w:val="left"/>
              <w:rPr>
                <w:rFonts w:ascii="宋体" w:hAnsi="宋体" w:eastAsia="宋体" w:cs="宋体"/>
                <w:kern w:val="0"/>
                <w:sz w:val="24"/>
                <w:szCs w:val="24"/>
              </w:rPr>
            </w:pPr>
            <w:r>
              <w:rPr>
                <w:rFonts w:hint="eastAsia" w:ascii="宋体" w:hAnsi="宋体" w:eastAsia="宋体" w:cs="宋体"/>
                <w:kern w:val="0"/>
                <w:sz w:val="20"/>
                <w:szCs w:val="24"/>
              </w:rPr>
              <w:t>注：本表反映部门本年度各项支出情况。</w:t>
            </w:r>
          </w:p>
        </w:tc>
      </w:tr>
      <w:tr>
        <w:tblPrEx>
          <w:tblCellMar>
            <w:top w:w="0" w:type="dxa"/>
            <w:left w:w="108" w:type="dxa"/>
            <w:bottom w:w="0" w:type="dxa"/>
            <w:right w:w="108" w:type="dxa"/>
          </w:tblCellMar>
        </w:tblPrEx>
        <w:trPr>
          <w:trHeight w:val="285" w:hRule="atLeast"/>
          <w:jc w:val="center"/>
        </w:trPr>
        <w:tc>
          <w:tcPr>
            <w:tcW w:w="3595" w:type="dxa"/>
            <w:gridSpan w:val="4"/>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bookmarkStart w:id="0" w:name="RANGE!A1:I22"/>
            <w:bookmarkEnd w:id="0"/>
            <w:bookmarkStart w:id="1" w:name="RANGE!A1:F16"/>
          </w:p>
        </w:tc>
        <w:tc>
          <w:tcPr>
            <w:tcW w:w="436"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4"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3547" w:type="dxa"/>
            <w:gridSpan w:val="5"/>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gridSpan w:val="3"/>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360" w:hRule="atLeast"/>
          <w:jc w:val="center"/>
        </w:trPr>
        <w:tc>
          <w:tcPr>
            <w:tcW w:w="15521" w:type="dxa"/>
            <w:gridSpan w:val="2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CellMar>
            <w:top w:w="0" w:type="dxa"/>
            <w:left w:w="108" w:type="dxa"/>
            <w:bottom w:w="0" w:type="dxa"/>
            <w:right w:w="108" w:type="dxa"/>
          </w:tblCellMar>
        </w:tblPrEx>
        <w:trPr>
          <w:trHeight w:val="199" w:hRule="atLeast"/>
          <w:jc w:val="center"/>
        </w:trPr>
        <w:tc>
          <w:tcPr>
            <w:tcW w:w="3595" w:type="dxa"/>
            <w:gridSpan w:val="4"/>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6"/>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CellMar>
            <w:top w:w="0" w:type="dxa"/>
            <w:left w:w="108" w:type="dxa"/>
            <w:bottom w:w="0" w:type="dxa"/>
            <w:right w:w="108" w:type="dxa"/>
          </w:tblCellMar>
        </w:tblPrEx>
        <w:trPr>
          <w:trHeight w:val="300" w:hRule="atLeast"/>
          <w:jc w:val="center"/>
        </w:trPr>
        <w:tc>
          <w:tcPr>
            <w:tcW w:w="3595" w:type="dxa"/>
            <w:gridSpan w:val="4"/>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r>
              <w:rPr>
                <w:rFonts w:hint="eastAsia" w:ascii="宋体" w:hAnsi="宋体" w:eastAsia="宋体" w:cs="宋体"/>
                <w:bCs w:val="0"/>
                <w:kern w:val="0"/>
                <w:sz w:val="22"/>
                <w:szCs w:val="22"/>
              </w:rPr>
              <w:t>湖南省永州生态环境监测中心</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6"/>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2021年度</w:t>
            </w: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jc w:val="center"/>
        </w:trPr>
        <w:tc>
          <w:tcPr>
            <w:tcW w:w="5109"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412" w:type="dxa"/>
            <w:gridSpan w:val="15"/>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630" w:hRule="atLeast"/>
          <w:jc w:val="center"/>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411" w:type="dxa"/>
            <w:gridSpan w:val="4"/>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4"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73"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CellMar>
            <w:top w:w="0" w:type="dxa"/>
            <w:left w:w="108" w:type="dxa"/>
            <w:bottom w:w="0" w:type="dxa"/>
            <w:right w:w="108" w:type="dxa"/>
          </w:tblCellMar>
        </w:tblPrEx>
        <w:trPr>
          <w:trHeight w:val="402" w:hRule="atLeast"/>
          <w:jc w:val="center"/>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411" w:type="dxa"/>
            <w:gridSpan w:val="4"/>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4"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CellMar>
            <w:top w:w="0" w:type="dxa"/>
            <w:left w:w="108" w:type="dxa"/>
            <w:bottom w:w="0" w:type="dxa"/>
            <w:right w:w="108" w:type="dxa"/>
          </w:tblCellMar>
        </w:tblPrEx>
        <w:trPr>
          <w:trHeight w:val="402" w:hRule="atLeast"/>
          <w:jc w:val="center"/>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997.85</w:t>
            </w:r>
          </w:p>
        </w:tc>
        <w:tc>
          <w:tcPr>
            <w:tcW w:w="3411"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106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402" w:hRule="atLeast"/>
          <w:jc w:val="center"/>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3411"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106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402" w:hRule="atLeast"/>
          <w:jc w:val="center"/>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3411"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106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402" w:hRule="atLeast"/>
          <w:jc w:val="center"/>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411" w:type="dxa"/>
            <w:gridSpan w:val="4"/>
            <w:tcBorders>
              <w:top w:val="nil"/>
              <w:left w:val="nil"/>
              <w:bottom w:val="single" w:color="auto" w:sz="4" w:space="0"/>
              <w:right w:val="single" w:color="auto" w:sz="4" w:space="0"/>
            </w:tcBorders>
            <w:shd w:val="clear" w:color="auto" w:fill="auto"/>
            <w:noWrap/>
          </w:tcPr>
          <w:p>
            <w:pPr>
              <w:rPr>
                <w:rFonts w:ascii="宋体" w:hAnsi="宋体" w:eastAsia="宋体" w:cs="宋体"/>
                <w:kern w:val="0"/>
                <w:sz w:val="22"/>
              </w:rPr>
            </w:pPr>
            <w:r>
              <w:rPr>
                <w:rFonts w:hint="eastAsia" w:ascii="宋体" w:hAnsi="宋体" w:eastAsia="宋体" w:cs="宋体"/>
                <w:kern w:val="0"/>
                <w:sz w:val="22"/>
              </w:rPr>
              <w:t>八、社会保障和就业支出</w:t>
            </w:r>
          </w:p>
        </w:tc>
        <w:tc>
          <w:tcPr>
            <w:tcW w:w="106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1573" w:type="dxa"/>
            <w:gridSpan w:val="2"/>
            <w:tcBorders>
              <w:top w:val="nil"/>
              <w:left w:val="nil"/>
              <w:bottom w:val="single" w:color="auto" w:sz="4" w:space="0"/>
              <w:right w:val="single" w:color="auto" w:sz="4" w:space="0"/>
            </w:tcBorders>
            <w:shd w:val="clear" w:color="auto" w:fill="auto"/>
            <w:noWrap/>
          </w:tcPr>
          <w:p>
            <w:pPr>
              <w:jc w:val="center"/>
            </w:pPr>
            <w:r>
              <w:t>42.52</w:t>
            </w:r>
          </w:p>
        </w:tc>
        <w:tc>
          <w:tcPr>
            <w:tcW w:w="1394" w:type="dxa"/>
            <w:gridSpan w:val="3"/>
            <w:tcBorders>
              <w:top w:val="nil"/>
              <w:left w:val="nil"/>
              <w:bottom w:val="single" w:color="auto" w:sz="4" w:space="0"/>
              <w:right w:val="single" w:color="auto" w:sz="4" w:space="0"/>
            </w:tcBorders>
            <w:shd w:val="clear" w:color="auto" w:fill="auto"/>
            <w:noWrap/>
          </w:tcPr>
          <w:p>
            <w:pPr>
              <w:jc w:val="center"/>
            </w:pPr>
            <w:r>
              <w:t>42.52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402" w:hRule="atLeast"/>
          <w:jc w:val="center"/>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411" w:type="dxa"/>
            <w:gridSpan w:val="4"/>
            <w:tcBorders>
              <w:top w:val="nil"/>
              <w:left w:val="nil"/>
              <w:bottom w:val="single" w:color="auto" w:sz="4" w:space="0"/>
              <w:right w:val="single" w:color="auto" w:sz="4" w:space="0"/>
            </w:tcBorders>
            <w:shd w:val="clear" w:color="auto" w:fill="auto"/>
            <w:noWrap/>
          </w:tcPr>
          <w:p>
            <w:pPr>
              <w:rPr>
                <w:rFonts w:ascii="宋体" w:hAnsi="宋体" w:eastAsia="宋体" w:cs="宋体"/>
                <w:kern w:val="0"/>
                <w:sz w:val="22"/>
              </w:rPr>
            </w:pPr>
            <w:r>
              <w:rPr>
                <w:rFonts w:hint="eastAsia" w:ascii="宋体" w:hAnsi="宋体" w:eastAsia="宋体" w:cs="宋体"/>
                <w:kern w:val="0"/>
                <w:sz w:val="22"/>
              </w:rPr>
              <w:t>九、卫生健康支出</w:t>
            </w:r>
          </w:p>
        </w:tc>
        <w:tc>
          <w:tcPr>
            <w:tcW w:w="106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1573" w:type="dxa"/>
            <w:gridSpan w:val="2"/>
            <w:tcBorders>
              <w:top w:val="nil"/>
              <w:left w:val="nil"/>
              <w:bottom w:val="single" w:color="auto" w:sz="4" w:space="0"/>
              <w:right w:val="single" w:color="auto" w:sz="4" w:space="0"/>
            </w:tcBorders>
            <w:shd w:val="clear" w:color="auto" w:fill="auto"/>
            <w:noWrap/>
          </w:tcPr>
          <w:p>
            <w:pPr>
              <w:jc w:val="center"/>
            </w:pPr>
            <w:r>
              <w:t>19.55</w:t>
            </w:r>
          </w:p>
        </w:tc>
        <w:tc>
          <w:tcPr>
            <w:tcW w:w="1394" w:type="dxa"/>
            <w:gridSpan w:val="3"/>
            <w:tcBorders>
              <w:top w:val="nil"/>
              <w:left w:val="nil"/>
              <w:bottom w:val="single" w:color="auto" w:sz="4" w:space="0"/>
              <w:right w:val="single" w:color="auto" w:sz="4" w:space="0"/>
            </w:tcBorders>
            <w:shd w:val="clear" w:color="auto" w:fill="auto"/>
            <w:noWrap/>
          </w:tcPr>
          <w:p>
            <w:pPr>
              <w:jc w:val="center"/>
            </w:pPr>
            <w:r>
              <w:t>19.55</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402" w:hRule="atLeast"/>
          <w:jc w:val="center"/>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411" w:type="dxa"/>
            <w:gridSpan w:val="4"/>
            <w:tcBorders>
              <w:top w:val="nil"/>
              <w:left w:val="nil"/>
              <w:bottom w:val="single" w:color="auto" w:sz="4" w:space="0"/>
              <w:right w:val="single" w:color="auto" w:sz="4" w:space="0"/>
            </w:tcBorders>
            <w:shd w:val="clear" w:color="auto" w:fill="auto"/>
            <w:noWrap/>
          </w:tcPr>
          <w:p>
            <w:pPr>
              <w:rPr>
                <w:rFonts w:ascii="宋体" w:hAnsi="宋体" w:eastAsia="宋体" w:cs="宋体"/>
                <w:kern w:val="0"/>
                <w:sz w:val="22"/>
              </w:rPr>
            </w:pPr>
            <w:r>
              <w:rPr>
                <w:rFonts w:hint="eastAsia" w:ascii="宋体" w:hAnsi="宋体" w:eastAsia="宋体" w:cs="宋体"/>
                <w:kern w:val="0"/>
                <w:sz w:val="22"/>
              </w:rPr>
              <w:t>十、节能环保支出</w:t>
            </w:r>
          </w:p>
        </w:tc>
        <w:tc>
          <w:tcPr>
            <w:tcW w:w="106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1573" w:type="dxa"/>
            <w:gridSpan w:val="2"/>
            <w:tcBorders>
              <w:top w:val="nil"/>
              <w:left w:val="nil"/>
              <w:bottom w:val="single" w:color="auto" w:sz="4" w:space="0"/>
              <w:right w:val="single" w:color="auto" w:sz="4" w:space="0"/>
            </w:tcBorders>
            <w:shd w:val="clear" w:color="auto" w:fill="auto"/>
            <w:noWrap/>
          </w:tcPr>
          <w:p>
            <w:pPr>
              <w:jc w:val="center"/>
            </w:pPr>
            <w:r>
              <w:t>982.92</w:t>
            </w:r>
          </w:p>
        </w:tc>
        <w:tc>
          <w:tcPr>
            <w:tcW w:w="1394" w:type="dxa"/>
            <w:gridSpan w:val="3"/>
            <w:tcBorders>
              <w:top w:val="nil"/>
              <w:left w:val="nil"/>
              <w:bottom w:val="single" w:color="auto" w:sz="4" w:space="0"/>
              <w:right w:val="single" w:color="auto" w:sz="4" w:space="0"/>
            </w:tcBorders>
            <w:shd w:val="clear" w:color="auto" w:fill="auto"/>
            <w:noWrap/>
          </w:tcPr>
          <w:p>
            <w:pPr>
              <w:jc w:val="center"/>
            </w:pPr>
            <w:r>
              <w:t>982.92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402" w:hRule="atLeast"/>
          <w:jc w:val="center"/>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411" w:type="dxa"/>
            <w:gridSpan w:val="4"/>
            <w:tcBorders>
              <w:top w:val="nil"/>
              <w:left w:val="nil"/>
              <w:bottom w:val="single" w:color="auto" w:sz="4" w:space="0"/>
              <w:right w:val="single" w:color="auto" w:sz="4" w:space="0"/>
            </w:tcBorders>
            <w:shd w:val="clear" w:color="auto" w:fill="auto"/>
            <w:noWrap/>
          </w:tcPr>
          <w:p>
            <w:pPr>
              <w:rPr>
                <w:rFonts w:ascii="宋体" w:hAnsi="宋体" w:eastAsia="宋体" w:cs="宋体"/>
                <w:kern w:val="0"/>
                <w:sz w:val="22"/>
              </w:rPr>
            </w:pPr>
            <w:r>
              <w:rPr>
                <w:rFonts w:hint="eastAsia" w:ascii="宋体" w:hAnsi="宋体" w:eastAsia="宋体" w:cs="宋体"/>
                <w:kern w:val="0"/>
                <w:sz w:val="22"/>
              </w:rPr>
              <w:t>十九、住房保障支出</w:t>
            </w:r>
          </w:p>
        </w:tc>
        <w:tc>
          <w:tcPr>
            <w:tcW w:w="106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1573" w:type="dxa"/>
            <w:gridSpan w:val="2"/>
            <w:tcBorders>
              <w:top w:val="nil"/>
              <w:left w:val="nil"/>
              <w:bottom w:val="single" w:color="auto" w:sz="4" w:space="0"/>
              <w:right w:val="single" w:color="auto" w:sz="4" w:space="0"/>
            </w:tcBorders>
            <w:shd w:val="clear" w:color="auto" w:fill="auto"/>
            <w:noWrap/>
          </w:tcPr>
          <w:p>
            <w:pPr>
              <w:jc w:val="center"/>
            </w:pPr>
            <w:r>
              <w:t>28.55</w:t>
            </w:r>
          </w:p>
        </w:tc>
        <w:tc>
          <w:tcPr>
            <w:tcW w:w="1394" w:type="dxa"/>
            <w:gridSpan w:val="3"/>
            <w:tcBorders>
              <w:top w:val="nil"/>
              <w:left w:val="nil"/>
              <w:bottom w:val="single" w:color="auto" w:sz="4" w:space="0"/>
              <w:right w:val="single" w:color="auto" w:sz="4" w:space="0"/>
            </w:tcBorders>
            <w:shd w:val="clear" w:color="auto" w:fill="auto"/>
            <w:noWrap/>
          </w:tcPr>
          <w:p>
            <w:pPr>
              <w:jc w:val="center"/>
            </w:pPr>
            <w:r>
              <w:t>28.55</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402" w:hRule="atLeast"/>
          <w:jc w:val="center"/>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411"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402" w:hRule="atLeast"/>
          <w:jc w:val="center"/>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1078" w:type="dxa"/>
            <w:tcBorders>
              <w:top w:val="nil"/>
              <w:left w:val="nil"/>
              <w:bottom w:val="single" w:color="auto" w:sz="4" w:space="0"/>
              <w:right w:val="single" w:color="auto" w:sz="4" w:space="0"/>
            </w:tcBorders>
            <w:shd w:val="clear" w:color="auto" w:fill="auto"/>
            <w:noWrap/>
          </w:tcPr>
          <w:p>
            <w:pPr>
              <w:jc w:val="center"/>
            </w:pPr>
            <w:r>
              <w:t>997.85</w:t>
            </w:r>
          </w:p>
        </w:tc>
        <w:tc>
          <w:tcPr>
            <w:tcW w:w="3411" w:type="dxa"/>
            <w:gridSpan w:val="4"/>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106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1573" w:type="dxa"/>
            <w:gridSpan w:val="2"/>
            <w:tcBorders>
              <w:top w:val="nil"/>
              <w:left w:val="nil"/>
              <w:bottom w:val="single" w:color="auto" w:sz="4" w:space="0"/>
              <w:right w:val="single" w:color="auto" w:sz="4" w:space="0"/>
            </w:tcBorders>
            <w:shd w:val="clear" w:color="auto" w:fill="auto"/>
            <w:noWrap/>
          </w:tcPr>
          <w:p>
            <w:pPr>
              <w:jc w:val="center"/>
            </w:pPr>
            <w:r>
              <w:t>1,073.54</w:t>
            </w:r>
          </w:p>
        </w:tc>
        <w:tc>
          <w:tcPr>
            <w:tcW w:w="1394" w:type="dxa"/>
            <w:gridSpan w:val="3"/>
            <w:tcBorders>
              <w:top w:val="nil"/>
              <w:left w:val="nil"/>
              <w:bottom w:val="single" w:color="auto" w:sz="4" w:space="0"/>
              <w:right w:val="single" w:color="auto" w:sz="4" w:space="0"/>
            </w:tcBorders>
            <w:shd w:val="clear" w:color="auto" w:fill="auto"/>
            <w:noWrap/>
          </w:tcPr>
          <w:p>
            <w:pPr>
              <w:jc w:val="center"/>
            </w:pPr>
            <w:r>
              <w:t>1,073.54</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0.00</w:t>
            </w:r>
          </w:p>
        </w:tc>
      </w:tr>
      <w:tr>
        <w:tblPrEx>
          <w:tblCellMar>
            <w:top w:w="0" w:type="dxa"/>
            <w:left w:w="108" w:type="dxa"/>
            <w:bottom w:w="0" w:type="dxa"/>
            <w:right w:w="108" w:type="dxa"/>
          </w:tblCellMar>
        </w:tblPrEx>
        <w:trPr>
          <w:trHeight w:val="402" w:hRule="atLeast"/>
          <w:jc w:val="center"/>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078" w:type="dxa"/>
            <w:tcBorders>
              <w:top w:val="nil"/>
              <w:left w:val="nil"/>
              <w:bottom w:val="single" w:color="auto" w:sz="4" w:space="0"/>
              <w:right w:val="single" w:color="auto" w:sz="4" w:space="0"/>
            </w:tcBorders>
            <w:shd w:val="clear" w:color="auto" w:fill="auto"/>
            <w:noWrap/>
          </w:tcPr>
          <w:p>
            <w:pPr>
              <w:jc w:val="center"/>
            </w:pPr>
            <w:r>
              <w:t>116.82</w:t>
            </w:r>
          </w:p>
        </w:tc>
        <w:tc>
          <w:tcPr>
            <w:tcW w:w="3411" w:type="dxa"/>
            <w:gridSpan w:val="4"/>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年末财政拨款结转和结余</w:t>
            </w:r>
          </w:p>
        </w:tc>
        <w:tc>
          <w:tcPr>
            <w:tcW w:w="106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1573" w:type="dxa"/>
            <w:gridSpan w:val="2"/>
            <w:tcBorders>
              <w:top w:val="nil"/>
              <w:left w:val="nil"/>
              <w:bottom w:val="single" w:color="auto" w:sz="4" w:space="0"/>
              <w:right w:val="single" w:color="auto" w:sz="4" w:space="0"/>
            </w:tcBorders>
            <w:shd w:val="clear" w:color="auto" w:fill="auto"/>
            <w:noWrap/>
          </w:tcPr>
          <w:p>
            <w:pPr>
              <w:jc w:val="center"/>
            </w:pPr>
            <w:r>
              <w:t>41.13</w:t>
            </w:r>
          </w:p>
        </w:tc>
        <w:tc>
          <w:tcPr>
            <w:tcW w:w="1394" w:type="dxa"/>
            <w:gridSpan w:val="3"/>
            <w:tcBorders>
              <w:top w:val="nil"/>
              <w:left w:val="nil"/>
              <w:bottom w:val="single" w:color="auto" w:sz="4" w:space="0"/>
              <w:right w:val="single" w:color="auto" w:sz="4" w:space="0"/>
            </w:tcBorders>
            <w:shd w:val="clear" w:color="auto" w:fill="auto"/>
            <w:noWrap/>
          </w:tcPr>
          <w:p>
            <w:pPr>
              <w:jc w:val="center"/>
            </w:pPr>
            <w:r>
              <w:t>41.13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402" w:hRule="atLeast"/>
          <w:jc w:val="center"/>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078" w:type="dxa"/>
            <w:tcBorders>
              <w:top w:val="nil"/>
              <w:left w:val="nil"/>
              <w:bottom w:val="single" w:color="auto" w:sz="4" w:space="0"/>
              <w:right w:val="single" w:color="auto" w:sz="4" w:space="0"/>
            </w:tcBorders>
            <w:shd w:val="clear" w:color="auto" w:fill="auto"/>
            <w:noWrap/>
          </w:tcPr>
          <w:p>
            <w:pPr>
              <w:jc w:val="center"/>
            </w:pPr>
            <w:r>
              <w:t>116.82</w:t>
            </w:r>
          </w:p>
        </w:tc>
        <w:tc>
          <w:tcPr>
            <w:tcW w:w="3411"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402" w:hRule="atLeast"/>
          <w:jc w:val="center"/>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1078" w:type="dxa"/>
            <w:tcBorders>
              <w:top w:val="nil"/>
              <w:left w:val="nil"/>
              <w:bottom w:val="single" w:color="auto" w:sz="4" w:space="0"/>
              <w:right w:val="single" w:color="auto" w:sz="4" w:space="0"/>
            </w:tcBorders>
            <w:shd w:val="clear" w:color="auto" w:fill="auto"/>
            <w:noWrap/>
          </w:tcPr>
          <w:p>
            <w:pPr>
              <w:jc w:val="center"/>
            </w:pPr>
            <w:r>
              <w:t>0.00</w:t>
            </w:r>
          </w:p>
        </w:tc>
        <w:tc>
          <w:tcPr>
            <w:tcW w:w="3411"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402" w:hRule="atLeast"/>
          <w:jc w:val="center"/>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1078" w:type="dxa"/>
            <w:tcBorders>
              <w:top w:val="nil"/>
              <w:left w:val="nil"/>
              <w:bottom w:val="single" w:color="auto" w:sz="4" w:space="0"/>
              <w:right w:val="single" w:color="auto" w:sz="4" w:space="0"/>
            </w:tcBorders>
            <w:shd w:val="clear" w:color="auto" w:fill="auto"/>
            <w:noWrap/>
          </w:tcPr>
          <w:p>
            <w:pPr>
              <w:jc w:val="center"/>
            </w:pPr>
            <w:r>
              <w:t>0.00</w:t>
            </w:r>
          </w:p>
        </w:tc>
        <w:tc>
          <w:tcPr>
            <w:tcW w:w="3411"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27</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402" w:hRule="atLeast"/>
          <w:jc w:val="center"/>
        </w:trPr>
        <w:tc>
          <w:tcPr>
            <w:tcW w:w="3595" w:type="dxa"/>
            <w:gridSpan w:val="4"/>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1078" w:type="dxa"/>
            <w:tcBorders>
              <w:top w:val="nil"/>
              <w:left w:val="nil"/>
              <w:bottom w:val="single" w:color="auto" w:sz="4" w:space="0"/>
              <w:right w:val="single" w:color="auto" w:sz="4" w:space="0"/>
            </w:tcBorders>
            <w:shd w:val="clear" w:color="auto" w:fill="auto"/>
            <w:noWrap/>
          </w:tcPr>
          <w:p>
            <w:pPr>
              <w:jc w:val="center"/>
            </w:pPr>
            <w:r>
              <w:t>1,114.67</w:t>
            </w:r>
          </w:p>
        </w:tc>
        <w:tc>
          <w:tcPr>
            <w:tcW w:w="3411" w:type="dxa"/>
            <w:gridSpan w:val="4"/>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067"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28</w:t>
            </w:r>
          </w:p>
        </w:tc>
        <w:tc>
          <w:tcPr>
            <w:tcW w:w="1573" w:type="dxa"/>
            <w:gridSpan w:val="2"/>
            <w:tcBorders>
              <w:top w:val="nil"/>
              <w:left w:val="nil"/>
              <w:bottom w:val="single" w:color="auto" w:sz="4" w:space="0"/>
              <w:right w:val="single" w:color="auto" w:sz="4" w:space="0"/>
            </w:tcBorders>
            <w:shd w:val="clear" w:color="000000" w:fill="FFFFFF"/>
            <w:noWrap/>
          </w:tcPr>
          <w:p>
            <w:pPr>
              <w:jc w:val="center"/>
            </w:pPr>
            <w:r>
              <w:t>1,114.67</w:t>
            </w:r>
          </w:p>
        </w:tc>
        <w:tc>
          <w:tcPr>
            <w:tcW w:w="1394" w:type="dxa"/>
            <w:gridSpan w:val="3"/>
            <w:tcBorders>
              <w:top w:val="nil"/>
              <w:left w:val="nil"/>
              <w:bottom w:val="single" w:color="auto" w:sz="4" w:space="0"/>
              <w:right w:val="single" w:color="auto" w:sz="4" w:space="0"/>
            </w:tcBorders>
            <w:shd w:val="clear" w:color="000000" w:fill="FFFFFF"/>
            <w:noWrap/>
          </w:tcPr>
          <w:p>
            <w:pPr>
              <w:jc w:val="center"/>
            </w:pPr>
            <w:r>
              <w:t>1,114.67</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0.00</w:t>
            </w:r>
          </w:p>
        </w:tc>
        <w:tc>
          <w:tcPr>
            <w:tcW w:w="157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0.00</w:t>
            </w:r>
          </w:p>
        </w:tc>
      </w:tr>
      <w:tr>
        <w:tblPrEx>
          <w:tblCellMar>
            <w:top w:w="0" w:type="dxa"/>
            <w:left w:w="108" w:type="dxa"/>
            <w:bottom w:w="0" w:type="dxa"/>
            <w:right w:w="108" w:type="dxa"/>
          </w:tblCellMar>
        </w:tblPrEx>
        <w:trPr>
          <w:trHeight w:val="585" w:hRule="atLeast"/>
          <w:jc w:val="center"/>
        </w:trPr>
        <w:tc>
          <w:tcPr>
            <w:tcW w:w="15521" w:type="dxa"/>
            <w:gridSpan w:val="2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156" w:beforeLines="50"/>
        <w:ind w:left="13860" w:hanging="13860" w:hangingChars="660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宋体" w:hAnsi="宋体" w:eastAsia="宋体" w:cs="宋体"/>
          <w:bCs w:val="0"/>
          <w:kern w:val="0"/>
          <w:sz w:val="22"/>
          <w:szCs w:val="22"/>
        </w:rPr>
        <w:t>湖南省永州生态环境监测中心</w:t>
      </w:r>
      <w:r>
        <w:rPr>
          <w:rFonts w:hint="eastAsia" w:ascii="Times New Roman" w:hAnsi="Times New Roman" w:eastAsia="仿宋_GB2312" w:cs="Times New Roman"/>
          <w:color w:val="000000"/>
          <w:kern w:val="0"/>
          <w:szCs w:val="21"/>
          <w:lang w:val="en-US" w:eastAsia="zh-CN"/>
        </w:rPr>
        <w:t xml:space="preserve">                                          2021年度</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6"/>
        <w:tblW w:w="14219" w:type="dxa"/>
        <w:jc w:val="center"/>
        <w:tblLayout w:type="autofit"/>
        <w:tblCellMar>
          <w:top w:w="0" w:type="dxa"/>
          <w:left w:w="108" w:type="dxa"/>
          <w:bottom w:w="0" w:type="dxa"/>
          <w:right w:w="108" w:type="dxa"/>
        </w:tblCellMar>
      </w:tblPr>
      <w:tblGrid>
        <w:gridCol w:w="3161"/>
        <w:gridCol w:w="5940"/>
        <w:gridCol w:w="1596"/>
        <w:gridCol w:w="1761"/>
        <w:gridCol w:w="1761"/>
      </w:tblGrid>
      <w:tr>
        <w:tblPrEx>
          <w:tblCellMar>
            <w:top w:w="0" w:type="dxa"/>
            <w:left w:w="108" w:type="dxa"/>
            <w:bottom w:w="0" w:type="dxa"/>
            <w:right w:w="108" w:type="dxa"/>
          </w:tblCellMar>
        </w:tblPrEx>
        <w:trPr>
          <w:jc w:val="center"/>
        </w:trPr>
        <w:tc>
          <w:tcPr>
            <w:tcW w:w="0" w:type="auto"/>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adjustRightInd w:val="0"/>
              <w:snapToGrid w:val="0"/>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0" w:type="auto"/>
            <w:gridSpan w:val="3"/>
            <w:tcBorders>
              <w:top w:val="single" w:color="auto" w:sz="8" w:space="0"/>
              <w:left w:val="nil"/>
              <w:bottom w:val="single" w:color="auto" w:sz="4" w:space="0"/>
              <w:right w:val="single" w:color="000000" w:sz="8" w:space="0"/>
            </w:tcBorders>
            <w:shd w:val="clear" w:color="auto" w:fill="auto"/>
            <w:vAlign w:val="center"/>
          </w:tcPr>
          <w:p>
            <w:pPr>
              <w:widowControl/>
              <w:adjustRightInd w:val="0"/>
              <w:snapToGrid w:val="0"/>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CellMar>
            <w:top w:w="0" w:type="dxa"/>
            <w:left w:w="108" w:type="dxa"/>
            <w:bottom w:w="0" w:type="dxa"/>
            <w:right w:w="108" w:type="dxa"/>
          </w:tblCellMar>
        </w:tblPrEx>
        <w:trPr>
          <w:trHeight w:val="312" w:hRule="atLeast"/>
          <w:jc w:val="center"/>
        </w:trPr>
        <w:tc>
          <w:tcPr>
            <w:tcW w:w="0" w:type="auto"/>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adjustRightInd w:val="0"/>
              <w:snapToGrid w:val="0"/>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val="0"/>
              <w:snapToGrid w:val="0"/>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val="0"/>
              <w:snapToGrid w:val="0"/>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0" w:type="auto"/>
            <w:vMerge w:val="restart"/>
            <w:tcBorders>
              <w:top w:val="nil"/>
              <w:left w:val="single" w:color="auto" w:sz="4" w:space="0"/>
              <w:bottom w:val="single" w:color="000000" w:sz="4" w:space="0"/>
              <w:right w:val="single" w:color="auto" w:sz="8" w:space="0"/>
            </w:tcBorders>
            <w:shd w:val="clear" w:color="auto" w:fill="auto"/>
            <w:vAlign w:val="center"/>
          </w:tcPr>
          <w:p>
            <w:pPr>
              <w:widowControl/>
              <w:adjustRightInd w:val="0"/>
              <w:snapToGrid w:val="0"/>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CellMar>
            <w:top w:w="0" w:type="dxa"/>
            <w:left w:w="108" w:type="dxa"/>
            <w:bottom w:w="0" w:type="dxa"/>
            <w:right w:w="108" w:type="dxa"/>
          </w:tblCellMar>
        </w:tblPrEx>
        <w:trPr>
          <w:trHeight w:val="312" w:hRule="atLeast"/>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pPr>
              <w:widowControl/>
              <w:adjustRightInd w:val="0"/>
              <w:snapToGrid w:val="0"/>
              <w:jc w:val="left"/>
              <w:rPr>
                <w:rFonts w:ascii="Times New Roman" w:hAnsi="Times New Roman" w:eastAsia="仿宋_GB2312" w:cs="Times New Roman"/>
                <w:kern w:val="0"/>
                <w:szCs w:val="21"/>
              </w:rPr>
            </w:pPr>
          </w:p>
        </w:tc>
        <w:tc>
          <w:tcPr>
            <w:tcW w:w="0" w:type="auto"/>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Times New Roman" w:hAnsi="Times New Roman" w:eastAsia="仿宋_GB2312" w:cs="Times New Roman"/>
                <w:kern w:val="0"/>
                <w:szCs w:val="21"/>
              </w:rPr>
            </w:pPr>
          </w:p>
        </w:tc>
        <w:tc>
          <w:tcPr>
            <w:tcW w:w="0" w:type="auto"/>
            <w:vMerge w:val="continue"/>
            <w:tcBorders>
              <w:top w:val="nil"/>
              <w:left w:val="single" w:color="auto" w:sz="4" w:space="0"/>
              <w:bottom w:val="single" w:color="000000" w:sz="4" w:space="0"/>
              <w:right w:val="single" w:color="auto" w:sz="4" w:space="0"/>
            </w:tcBorders>
            <w:vAlign w:val="center"/>
          </w:tcPr>
          <w:p>
            <w:pPr>
              <w:widowControl/>
              <w:adjustRightInd w:val="0"/>
              <w:snapToGrid w:val="0"/>
              <w:jc w:val="left"/>
              <w:rPr>
                <w:rFonts w:ascii="Times New Roman" w:hAnsi="Times New Roman" w:eastAsia="仿宋_GB2312" w:cs="Times New Roman"/>
                <w:kern w:val="0"/>
                <w:szCs w:val="21"/>
              </w:rPr>
            </w:pPr>
          </w:p>
        </w:tc>
        <w:tc>
          <w:tcPr>
            <w:tcW w:w="0" w:type="auto"/>
            <w:vMerge w:val="continue"/>
            <w:tcBorders>
              <w:top w:val="nil"/>
              <w:left w:val="single" w:color="auto" w:sz="4" w:space="0"/>
              <w:bottom w:val="single" w:color="000000" w:sz="4" w:space="0"/>
              <w:right w:val="single" w:color="auto" w:sz="4" w:space="0"/>
            </w:tcBorders>
            <w:vAlign w:val="center"/>
          </w:tcPr>
          <w:p>
            <w:pPr>
              <w:widowControl/>
              <w:adjustRightInd w:val="0"/>
              <w:snapToGrid w:val="0"/>
              <w:jc w:val="left"/>
              <w:rPr>
                <w:rFonts w:ascii="Times New Roman" w:hAnsi="Times New Roman" w:eastAsia="仿宋_GB2312" w:cs="Times New Roman"/>
                <w:kern w:val="0"/>
                <w:szCs w:val="21"/>
              </w:rPr>
            </w:pPr>
          </w:p>
        </w:tc>
        <w:tc>
          <w:tcPr>
            <w:tcW w:w="0" w:type="auto"/>
            <w:vMerge w:val="continue"/>
            <w:tcBorders>
              <w:top w:val="nil"/>
              <w:left w:val="single" w:color="auto" w:sz="4" w:space="0"/>
              <w:bottom w:val="single" w:color="000000" w:sz="4" w:space="0"/>
              <w:right w:val="single" w:color="auto" w:sz="8" w:space="0"/>
            </w:tcBorders>
            <w:vAlign w:val="center"/>
          </w:tcPr>
          <w:p>
            <w:pPr>
              <w:widowControl/>
              <w:adjustRightInd w:val="0"/>
              <w:snapToGrid w:val="0"/>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12" w:hRule="atLeast"/>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pPr>
              <w:widowControl/>
              <w:adjustRightInd w:val="0"/>
              <w:snapToGrid w:val="0"/>
              <w:jc w:val="left"/>
              <w:rPr>
                <w:rFonts w:ascii="Times New Roman" w:hAnsi="Times New Roman" w:eastAsia="仿宋_GB2312" w:cs="Times New Roman"/>
                <w:kern w:val="0"/>
                <w:szCs w:val="21"/>
              </w:rPr>
            </w:pPr>
          </w:p>
        </w:tc>
        <w:tc>
          <w:tcPr>
            <w:tcW w:w="0" w:type="auto"/>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Times New Roman" w:hAnsi="Times New Roman" w:eastAsia="仿宋_GB2312" w:cs="Times New Roman"/>
                <w:kern w:val="0"/>
                <w:szCs w:val="21"/>
              </w:rPr>
            </w:pPr>
          </w:p>
        </w:tc>
        <w:tc>
          <w:tcPr>
            <w:tcW w:w="0" w:type="auto"/>
            <w:vMerge w:val="continue"/>
            <w:tcBorders>
              <w:top w:val="nil"/>
              <w:left w:val="single" w:color="auto" w:sz="4" w:space="0"/>
              <w:bottom w:val="single" w:color="000000" w:sz="4" w:space="0"/>
              <w:right w:val="single" w:color="auto" w:sz="4" w:space="0"/>
            </w:tcBorders>
            <w:vAlign w:val="center"/>
          </w:tcPr>
          <w:p>
            <w:pPr>
              <w:widowControl/>
              <w:adjustRightInd w:val="0"/>
              <w:snapToGrid w:val="0"/>
              <w:jc w:val="left"/>
              <w:rPr>
                <w:rFonts w:ascii="Times New Roman" w:hAnsi="Times New Roman" w:eastAsia="仿宋_GB2312" w:cs="Times New Roman"/>
                <w:kern w:val="0"/>
                <w:szCs w:val="21"/>
              </w:rPr>
            </w:pPr>
          </w:p>
        </w:tc>
        <w:tc>
          <w:tcPr>
            <w:tcW w:w="0" w:type="auto"/>
            <w:vMerge w:val="continue"/>
            <w:tcBorders>
              <w:top w:val="nil"/>
              <w:left w:val="single" w:color="auto" w:sz="4" w:space="0"/>
              <w:bottom w:val="single" w:color="000000" w:sz="4" w:space="0"/>
              <w:right w:val="single" w:color="auto" w:sz="4" w:space="0"/>
            </w:tcBorders>
            <w:vAlign w:val="center"/>
          </w:tcPr>
          <w:p>
            <w:pPr>
              <w:widowControl/>
              <w:adjustRightInd w:val="0"/>
              <w:snapToGrid w:val="0"/>
              <w:jc w:val="left"/>
              <w:rPr>
                <w:rFonts w:ascii="Times New Roman" w:hAnsi="Times New Roman" w:eastAsia="仿宋_GB2312" w:cs="Times New Roman"/>
                <w:kern w:val="0"/>
                <w:szCs w:val="21"/>
              </w:rPr>
            </w:pPr>
          </w:p>
        </w:tc>
        <w:tc>
          <w:tcPr>
            <w:tcW w:w="0" w:type="auto"/>
            <w:vMerge w:val="continue"/>
            <w:tcBorders>
              <w:top w:val="nil"/>
              <w:left w:val="single" w:color="auto" w:sz="4" w:space="0"/>
              <w:bottom w:val="single" w:color="000000" w:sz="4" w:space="0"/>
              <w:right w:val="single" w:color="auto" w:sz="8" w:space="0"/>
            </w:tcBorders>
            <w:vAlign w:val="center"/>
          </w:tcPr>
          <w:p>
            <w:pPr>
              <w:widowControl/>
              <w:adjustRightInd w:val="0"/>
              <w:snapToGrid w:val="0"/>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jc w:val="center"/>
        </w:trPr>
        <w:tc>
          <w:tcPr>
            <w:tcW w:w="0" w:type="auto"/>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0" w:type="auto"/>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0" w:type="auto"/>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0" w:type="auto"/>
            <w:tcBorders>
              <w:top w:val="nil"/>
              <w:left w:val="nil"/>
              <w:bottom w:val="single" w:color="auto" w:sz="4" w:space="0"/>
              <w:right w:val="single" w:color="auto" w:sz="8" w:space="0"/>
            </w:tcBorders>
            <w:shd w:val="clear" w:color="auto" w:fill="auto"/>
            <w:vAlign w:val="center"/>
          </w:tcPr>
          <w:p>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CellMar>
            <w:top w:w="0" w:type="dxa"/>
            <w:left w:w="108" w:type="dxa"/>
            <w:bottom w:w="0" w:type="dxa"/>
            <w:right w:w="108" w:type="dxa"/>
          </w:tblCellMar>
        </w:tblPrEx>
        <w:trPr>
          <w:jc w:val="center"/>
        </w:trPr>
        <w:tc>
          <w:tcPr>
            <w:tcW w:w="0" w:type="auto"/>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t>1,073.54</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t>443.37</w:t>
            </w:r>
          </w:p>
        </w:tc>
        <w:tc>
          <w:tcPr>
            <w:tcW w:w="0" w:type="auto"/>
            <w:tcBorders>
              <w:top w:val="nil"/>
              <w:left w:val="nil"/>
              <w:bottom w:val="single" w:color="auto" w:sz="4" w:space="0"/>
              <w:right w:val="single" w:color="auto" w:sz="8" w:space="0"/>
            </w:tcBorders>
            <w:shd w:val="clear" w:color="auto" w:fill="auto"/>
          </w:tcPr>
          <w:p>
            <w:pPr>
              <w:adjustRightInd w:val="0"/>
              <w:snapToGrid w:val="0"/>
              <w:jc w:val="center"/>
            </w:pPr>
            <w:r>
              <w:t>630.17</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8" w:space="0"/>
              <w:bottom w:val="single" w:color="auto" w:sz="4" w:space="0"/>
              <w:right w:val="single" w:color="auto" w:sz="4" w:space="0"/>
            </w:tcBorders>
            <w:shd w:val="clear" w:color="auto" w:fill="auto"/>
          </w:tcPr>
          <w:p>
            <w:pPr>
              <w:adjustRightInd w:val="0"/>
              <w:snapToGrid w:val="0"/>
            </w:pPr>
            <w:r>
              <w:t>208</w:t>
            </w:r>
          </w:p>
        </w:tc>
        <w:tc>
          <w:tcPr>
            <w:tcW w:w="0" w:type="auto"/>
            <w:tcBorders>
              <w:top w:val="nil"/>
              <w:left w:val="nil"/>
              <w:bottom w:val="single" w:color="auto" w:sz="4" w:space="0"/>
              <w:right w:val="single" w:color="auto" w:sz="4" w:space="0"/>
            </w:tcBorders>
            <w:shd w:val="clear" w:color="auto" w:fill="auto"/>
          </w:tcPr>
          <w:p>
            <w:pPr>
              <w:jc w:val="left"/>
            </w:pPr>
            <w:r>
              <w:rPr>
                <w:rFonts w:hint="eastAsia"/>
              </w:rPr>
              <w:t>社会保障和就业支出</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t>42.52</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42.52</w:t>
            </w:r>
          </w:p>
        </w:tc>
        <w:tc>
          <w:tcPr>
            <w:tcW w:w="0" w:type="auto"/>
            <w:tcBorders>
              <w:top w:val="nil"/>
              <w:left w:val="nil"/>
              <w:bottom w:val="single" w:color="auto" w:sz="4" w:space="0"/>
              <w:right w:val="single" w:color="auto" w:sz="8" w:space="0"/>
            </w:tcBorders>
            <w:shd w:val="clear" w:color="auto" w:fill="auto"/>
          </w:tcPr>
          <w:p>
            <w:pPr>
              <w:adjustRightInd w:val="0"/>
              <w:snapToGrid w:val="0"/>
              <w:jc w:val="center"/>
            </w:pPr>
            <w:r>
              <w:t>0.00</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8" w:space="0"/>
              <w:bottom w:val="single" w:color="auto" w:sz="4" w:space="0"/>
              <w:right w:val="single" w:color="auto" w:sz="4" w:space="0"/>
            </w:tcBorders>
            <w:shd w:val="clear" w:color="auto" w:fill="auto"/>
          </w:tcPr>
          <w:p>
            <w:pPr>
              <w:adjustRightInd w:val="0"/>
              <w:snapToGrid w:val="0"/>
            </w:pPr>
            <w:r>
              <w:t>20805</w:t>
            </w:r>
          </w:p>
        </w:tc>
        <w:tc>
          <w:tcPr>
            <w:tcW w:w="0" w:type="auto"/>
            <w:tcBorders>
              <w:top w:val="nil"/>
              <w:left w:val="nil"/>
              <w:bottom w:val="single" w:color="auto" w:sz="4" w:space="0"/>
              <w:right w:val="single" w:color="auto" w:sz="4" w:space="0"/>
            </w:tcBorders>
            <w:shd w:val="clear" w:color="auto" w:fill="auto"/>
          </w:tcPr>
          <w:p>
            <w:pPr>
              <w:jc w:val="left"/>
            </w:pPr>
            <w:r>
              <w:rPr>
                <w:rFonts w:hint="eastAsia"/>
              </w:rPr>
              <w:t>行政事业单位养老支出</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t>42.52</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42.52</w:t>
            </w:r>
          </w:p>
        </w:tc>
        <w:tc>
          <w:tcPr>
            <w:tcW w:w="0" w:type="auto"/>
            <w:tcBorders>
              <w:top w:val="nil"/>
              <w:left w:val="nil"/>
              <w:bottom w:val="single" w:color="auto" w:sz="4" w:space="0"/>
              <w:right w:val="single" w:color="auto" w:sz="8" w:space="0"/>
            </w:tcBorders>
            <w:shd w:val="clear" w:color="auto" w:fill="auto"/>
          </w:tcPr>
          <w:p>
            <w:pPr>
              <w:adjustRightInd w:val="0"/>
              <w:snapToGrid w:val="0"/>
              <w:jc w:val="center"/>
            </w:pPr>
            <w:r>
              <w:t>0.00</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8" w:space="0"/>
              <w:bottom w:val="single" w:color="auto" w:sz="4" w:space="0"/>
              <w:right w:val="single" w:color="auto" w:sz="4" w:space="0"/>
            </w:tcBorders>
            <w:shd w:val="clear" w:color="auto" w:fill="auto"/>
          </w:tcPr>
          <w:p>
            <w:pPr>
              <w:adjustRightInd w:val="0"/>
              <w:snapToGrid w:val="0"/>
            </w:pPr>
            <w:r>
              <w:t>2080505</w:t>
            </w:r>
          </w:p>
        </w:tc>
        <w:tc>
          <w:tcPr>
            <w:tcW w:w="0" w:type="auto"/>
            <w:tcBorders>
              <w:top w:val="nil"/>
              <w:left w:val="nil"/>
              <w:bottom w:val="single" w:color="auto" w:sz="4" w:space="0"/>
              <w:right w:val="single" w:color="auto" w:sz="4" w:space="0"/>
            </w:tcBorders>
            <w:shd w:val="clear" w:color="auto" w:fill="auto"/>
          </w:tcPr>
          <w:p>
            <w:pPr>
              <w:jc w:val="left"/>
            </w:pPr>
            <w:r>
              <w:rPr>
                <w:rFonts w:hint="eastAsia"/>
              </w:rPr>
              <w:t>机关事业单位基本养老保险缴费支出</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t>42.52</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42.52</w:t>
            </w:r>
          </w:p>
        </w:tc>
        <w:tc>
          <w:tcPr>
            <w:tcW w:w="0" w:type="auto"/>
            <w:tcBorders>
              <w:top w:val="nil"/>
              <w:left w:val="nil"/>
              <w:bottom w:val="single" w:color="auto" w:sz="4" w:space="0"/>
              <w:right w:val="single" w:color="auto" w:sz="8" w:space="0"/>
            </w:tcBorders>
            <w:shd w:val="clear" w:color="auto" w:fill="auto"/>
          </w:tcPr>
          <w:p>
            <w:pPr>
              <w:adjustRightInd w:val="0"/>
              <w:snapToGrid w:val="0"/>
              <w:jc w:val="center"/>
            </w:pPr>
            <w:r>
              <w:t>0.00</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8" w:space="0"/>
              <w:bottom w:val="single" w:color="auto" w:sz="4" w:space="0"/>
              <w:right w:val="single" w:color="auto" w:sz="4" w:space="0"/>
            </w:tcBorders>
            <w:shd w:val="clear" w:color="auto" w:fill="auto"/>
          </w:tcPr>
          <w:p>
            <w:pPr>
              <w:adjustRightInd w:val="0"/>
              <w:snapToGrid w:val="0"/>
            </w:pPr>
            <w:r>
              <w:t>210</w:t>
            </w:r>
          </w:p>
        </w:tc>
        <w:tc>
          <w:tcPr>
            <w:tcW w:w="0" w:type="auto"/>
            <w:tcBorders>
              <w:top w:val="nil"/>
              <w:left w:val="nil"/>
              <w:bottom w:val="single" w:color="auto" w:sz="4" w:space="0"/>
              <w:right w:val="single" w:color="auto" w:sz="4" w:space="0"/>
            </w:tcBorders>
            <w:shd w:val="clear" w:color="auto" w:fill="auto"/>
          </w:tcPr>
          <w:p>
            <w:pPr>
              <w:jc w:val="left"/>
            </w:pPr>
            <w:r>
              <w:rPr>
                <w:rFonts w:hint="eastAsia"/>
              </w:rPr>
              <w:t>卫生健康支出</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t>19.55</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19.55</w:t>
            </w:r>
          </w:p>
        </w:tc>
        <w:tc>
          <w:tcPr>
            <w:tcW w:w="0" w:type="auto"/>
            <w:tcBorders>
              <w:top w:val="nil"/>
              <w:left w:val="nil"/>
              <w:bottom w:val="single" w:color="auto" w:sz="4" w:space="0"/>
              <w:right w:val="single" w:color="auto" w:sz="8" w:space="0"/>
            </w:tcBorders>
            <w:shd w:val="clear" w:color="auto" w:fill="auto"/>
          </w:tcPr>
          <w:p>
            <w:pPr>
              <w:adjustRightInd w:val="0"/>
              <w:snapToGrid w:val="0"/>
              <w:jc w:val="center"/>
            </w:pPr>
            <w:r>
              <w:t>0.00</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8" w:space="0"/>
              <w:bottom w:val="single" w:color="auto" w:sz="4" w:space="0"/>
              <w:right w:val="single" w:color="auto" w:sz="4" w:space="0"/>
            </w:tcBorders>
            <w:shd w:val="clear" w:color="auto" w:fill="auto"/>
          </w:tcPr>
          <w:p>
            <w:pPr>
              <w:adjustRightInd w:val="0"/>
              <w:snapToGrid w:val="0"/>
            </w:pPr>
            <w:r>
              <w:t>21011</w:t>
            </w:r>
          </w:p>
        </w:tc>
        <w:tc>
          <w:tcPr>
            <w:tcW w:w="0" w:type="auto"/>
            <w:tcBorders>
              <w:top w:val="nil"/>
              <w:left w:val="nil"/>
              <w:bottom w:val="single" w:color="auto" w:sz="4" w:space="0"/>
              <w:right w:val="single" w:color="auto" w:sz="4" w:space="0"/>
            </w:tcBorders>
            <w:shd w:val="clear" w:color="auto" w:fill="auto"/>
          </w:tcPr>
          <w:p>
            <w:pPr>
              <w:jc w:val="left"/>
            </w:pPr>
            <w:r>
              <w:rPr>
                <w:rFonts w:hint="eastAsia"/>
              </w:rPr>
              <w:t>行政事业单位医疗</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t>19.55</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19.55</w:t>
            </w:r>
          </w:p>
        </w:tc>
        <w:tc>
          <w:tcPr>
            <w:tcW w:w="0" w:type="auto"/>
            <w:tcBorders>
              <w:top w:val="nil"/>
              <w:left w:val="nil"/>
              <w:bottom w:val="single" w:color="auto" w:sz="4" w:space="0"/>
              <w:right w:val="single" w:color="auto" w:sz="8" w:space="0"/>
            </w:tcBorders>
            <w:shd w:val="clear" w:color="auto" w:fill="auto"/>
          </w:tcPr>
          <w:p>
            <w:pPr>
              <w:adjustRightInd w:val="0"/>
              <w:snapToGrid w:val="0"/>
              <w:jc w:val="center"/>
            </w:pPr>
            <w:r>
              <w:t>0.00</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8" w:space="0"/>
              <w:bottom w:val="single" w:color="auto" w:sz="4" w:space="0"/>
              <w:right w:val="single" w:color="auto" w:sz="4" w:space="0"/>
            </w:tcBorders>
            <w:shd w:val="clear" w:color="auto" w:fill="auto"/>
          </w:tcPr>
          <w:p>
            <w:pPr>
              <w:adjustRightInd w:val="0"/>
              <w:snapToGrid w:val="0"/>
            </w:pPr>
            <w:r>
              <w:t>2101102</w:t>
            </w:r>
          </w:p>
        </w:tc>
        <w:tc>
          <w:tcPr>
            <w:tcW w:w="0" w:type="auto"/>
            <w:tcBorders>
              <w:top w:val="nil"/>
              <w:left w:val="nil"/>
              <w:bottom w:val="single" w:color="auto" w:sz="4" w:space="0"/>
              <w:right w:val="single" w:color="auto" w:sz="4" w:space="0"/>
            </w:tcBorders>
            <w:shd w:val="clear" w:color="auto" w:fill="auto"/>
          </w:tcPr>
          <w:p>
            <w:pPr>
              <w:jc w:val="left"/>
            </w:pPr>
            <w:r>
              <w:rPr>
                <w:rFonts w:hint="eastAsia"/>
              </w:rPr>
              <w:t>事业单位医疗</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t>19.55</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19.55</w:t>
            </w:r>
          </w:p>
        </w:tc>
        <w:tc>
          <w:tcPr>
            <w:tcW w:w="0" w:type="auto"/>
            <w:tcBorders>
              <w:top w:val="nil"/>
              <w:left w:val="nil"/>
              <w:bottom w:val="single" w:color="auto" w:sz="4" w:space="0"/>
              <w:right w:val="single" w:color="auto" w:sz="8" w:space="0"/>
            </w:tcBorders>
            <w:shd w:val="clear" w:color="auto" w:fill="auto"/>
          </w:tcPr>
          <w:p>
            <w:pPr>
              <w:adjustRightInd w:val="0"/>
              <w:snapToGrid w:val="0"/>
              <w:jc w:val="center"/>
            </w:pPr>
            <w:r>
              <w:t>0.00</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8" w:space="0"/>
              <w:bottom w:val="single" w:color="auto" w:sz="4" w:space="0"/>
              <w:right w:val="single" w:color="auto" w:sz="4" w:space="0"/>
            </w:tcBorders>
            <w:shd w:val="clear" w:color="auto" w:fill="auto"/>
          </w:tcPr>
          <w:p>
            <w:pPr>
              <w:adjustRightInd w:val="0"/>
              <w:snapToGrid w:val="0"/>
            </w:pPr>
            <w:r>
              <w:t>211</w:t>
            </w:r>
          </w:p>
        </w:tc>
        <w:tc>
          <w:tcPr>
            <w:tcW w:w="0" w:type="auto"/>
            <w:tcBorders>
              <w:top w:val="nil"/>
              <w:left w:val="nil"/>
              <w:bottom w:val="single" w:color="auto" w:sz="4" w:space="0"/>
              <w:right w:val="single" w:color="auto" w:sz="4" w:space="0"/>
            </w:tcBorders>
            <w:shd w:val="clear" w:color="auto" w:fill="auto"/>
          </w:tcPr>
          <w:p>
            <w:pPr>
              <w:jc w:val="left"/>
            </w:pPr>
            <w:r>
              <w:rPr>
                <w:rFonts w:hint="eastAsia"/>
              </w:rPr>
              <w:t>节能环保支出</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982.92</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352.75</w:t>
            </w:r>
          </w:p>
        </w:tc>
        <w:tc>
          <w:tcPr>
            <w:tcW w:w="0" w:type="auto"/>
            <w:tcBorders>
              <w:top w:val="nil"/>
              <w:left w:val="nil"/>
              <w:bottom w:val="single" w:color="auto" w:sz="4" w:space="0"/>
              <w:right w:val="single" w:color="auto" w:sz="8" w:space="0"/>
            </w:tcBorders>
            <w:shd w:val="clear" w:color="auto" w:fill="auto"/>
          </w:tcPr>
          <w:p>
            <w:pPr>
              <w:adjustRightInd w:val="0"/>
              <w:snapToGrid w:val="0"/>
              <w:jc w:val="center"/>
            </w:pPr>
            <w:r>
              <w:t>630.17</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8" w:space="0"/>
              <w:bottom w:val="single" w:color="auto" w:sz="4" w:space="0"/>
              <w:right w:val="single" w:color="auto" w:sz="4" w:space="0"/>
            </w:tcBorders>
            <w:shd w:val="clear" w:color="auto" w:fill="auto"/>
          </w:tcPr>
          <w:p>
            <w:pPr>
              <w:adjustRightInd w:val="0"/>
              <w:snapToGrid w:val="0"/>
            </w:pPr>
            <w:r>
              <w:t>21101</w:t>
            </w:r>
          </w:p>
        </w:tc>
        <w:tc>
          <w:tcPr>
            <w:tcW w:w="0" w:type="auto"/>
            <w:tcBorders>
              <w:top w:val="nil"/>
              <w:left w:val="nil"/>
              <w:bottom w:val="single" w:color="auto" w:sz="4" w:space="0"/>
              <w:right w:val="single" w:color="auto" w:sz="4" w:space="0"/>
            </w:tcBorders>
            <w:shd w:val="clear" w:color="auto" w:fill="auto"/>
          </w:tcPr>
          <w:p>
            <w:pPr>
              <w:jc w:val="left"/>
            </w:pPr>
            <w:r>
              <w:rPr>
                <w:rFonts w:hint="eastAsia"/>
              </w:rPr>
              <w:t>环境保护管理事务</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t>352.75</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352.75</w:t>
            </w:r>
          </w:p>
        </w:tc>
        <w:tc>
          <w:tcPr>
            <w:tcW w:w="0" w:type="auto"/>
            <w:tcBorders>
              <w:top w:val="nil"/>
              <w:left w:val="nil"/>
              <w:bottom w:val="single" w:color="auto" w:sz="4" w:space="0"/>
              <w:right w:val="single" w:color="auto" w:sz="8" w:space="0"/>
            </w:tcBorders>
            <w:shd w:val="clear" w:color="auto" w:fill="auto"/>
          </w:tcPr>
          <w:p>
            <w:pPr>
              <w:adjustRightInd w:val="0"/>
              <w:snapToGrid w:val="0"/>
              <w:jc w:val="center"/>
            </w:pPr>
            <w:r>
              <w:t>0.00</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8" w:space="0"/>
              <w:bottom w:val="single" w:color="auto" w:sz="4" w:space="0"/>
              <w:right w:val="single" w:color="auto" w:sz="4" w:space="0"/>
            </w:tcBorders>
            <w:shd w:val="clear" w:color="auto" w:fill="auto"/>
          </w:tcPr>
          <w:p>
            <w:pPr>
              <w:adjustRightInd w:val="0"/>
              <w:snapToGrid w:val="0"/>
            </w:pPr>
            <w:r>
              <w:t>2110101</w:t>
            </w:r>
          </w:p>
        </w:tc>
        <w:tc>
          <w:tcPr>
            <w:tcW w:w="0" w:type="auto"/>
            <w:tcBorders>
              <w:top w:val="nil"/>
              <w:left w:val="nil"/>
              <w:bottom w:val="single" w:color="auto" w:sz="4" w:space="0"/>
              <w:right w:val="single" w:color="auto" w:sz="4" w:space="0"/>
            </w:tcBorders>
            <w:shd w:val="clear" w:color="auto" w:fill="auto"/>
          </w:tcPr>
          <w:p>
            <w:pPr>
              <w:jc w:val="left"/>
            </w:pPr>
            <w:r>
              <w:rPr>
                <w:rFonts w:hint="eastAsia"/>
              </w:rPr>
              <w:t>行政运行</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t>352.75</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352.75</w:t>
            </w:r>
          </w:p>
        </w:tc>
        <w:tc>
          <w:tcPr>
            <w:tcW w:w="0" w:type="auto"/>
            <w:tcBorders>
              <w:top w:val="nil"/>
              <w:left w:val="nil"/>
              <w:bottom w:val="single" w:color="auto" w:sz="4" w:space="0"/>
              <w:right w:val="single" w:color="auto" w:sz="8" w:space="0"/>
            </w:tcBorders>
            <w:shd w:val="clear" w:color="auto" w:fill="auto"/>
          </w:tcPr>
          <w:p>
            <w:pPr>
              <w:adjustRightInd w:val="0"/>
              <w:snapToGrid w:val="0"/>
              <w:jc w:val="center"/>
            </w:pPr>
            <w:r>
              <w:t>0.00</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8" w:space="0"/>
              <w:bottom w:val="single" w:color="auto" w:sz="4" w:space="0"/>
              <w:right w:val="single" w:color="auto" w:sz="4" w:space="0"/>
            </w:tcBorders>
            <w:shd w:val="clear" w:color="auto" w:fill="auto"/>
          </w:tcPr>
          <w:p>
            <w:pPr>
              <w:adjustRightInd w:val="0"/>
              <w:snapToGrid w:val="0"/>
            </w:pPr>
            <w:r>
              <w:t>21102</w:t>
            </w:r>
          </w:p>
        </w:tc>
        <w:tc>
          <w:tcPr>
            <w:tcW w:w="0" w:type="auto"/>
            <w:tcBorders>
              <w:top w:val="nil"/>
              <w:left w:val="nil"/>
              <w:bottom w:val="single" w:color="auto" w:sz="4" w:space="0"/>
              <w:right w:val="single" w:color="auto" w:sz="4" w:space="0"/>
            </w:tcBorders>
            <w:shd w:val="clear" w:color="auto" w:fill="auto"/>
          </w:tcPr>
          <w:p>
            <w:pPr>
              <w:jc w:val="left"/>
            </w:pPr>
            <w:r>
              <w:rPr>
                <w:rFonts w:hint="eastAsia"/>
              </w:rPr>
              <w:t>环境监测与监察</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360.64</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0.00</w:t>
            </w:r>
          </w:p>
        </w:tc>
        <w:tc>
          <w:tcPr>
            <w:tcW w:w="0" w:type="auto"/>
            <w:tcBorders>
              <w:top w:val="nil"/>
              <w:left w:val="nil"/>
              <w:bottom w:val="single" w:color="auto" w:sz="4" w:space="0"/>
              <w:right w:val="single" w:color="auto" w:sz="8" w:space="0"/>
            </w:tcBorders>
            <w:shd w:val="clear" w:color="auto" w:fill="auto"/>
          </w:tcPr>
          <w:p>
            <w:pPr>
              <w:adjustRightInd w:val="0"/>
              <w:snapToGrid w:val="0"/>
              <w:jc w:val="center"/>
            </w:pPr>
            <w:r>
              <w:t>360.64</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8" w:space="0"/>
              <w:bottom w:val="single" w:color="auto" w:sz="4" w:space="0"/>
              <w:right w:val="single" w:color="auto" w:sz="4" w:space="0"/>
            </w:tcBorders>
            <w:shd w:val="clear" w:color="auto" w:fill="auto"/>
          </w:tcPr>
          <w:p>
            <w:pPr>
              <w:adjustRightInd w:val="0"/>
              <w:snapToGrid w:val="0"/>
            </w:pPr>
            <w:r>
              <w:t>2110299</w:t>
            </w:r>
          </w:p>
        </w:tc>
        <w:tc>
          <w:tcPr>
            <w:tcW w:w="0" w:type="auto"/>
            <w:tcBorders>
              <w:top w:val="nil"/>
              <w:left w:val="nil"/>
              <w:bottom w:val="single" w:color="auto" w:sz="4" w:space="0"/>
              <w:right w:val="single" w:color="auto" w:sz="4" w:space="0"/>
            </w:tcBorders>
            <w:shd w:val="clear" w:color="auto" w:fill="auto"/>
          </w:tcPr>
          <w:p>
            <w:pPr>
              <w:jc w:val="left"/>
            </w:pPr>
            <w:r>
              <w:rPr>
                <w:rFonts w:hint="eastAsia"/>
              </w:rPr>
              <w:t>其他环境监测与监察支出</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360.64</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0.00</w:t>
            </w:r>
          </w:p>
        </w:tc>
        <w:tc>
          <w:tcPr>
            <w:tcW w:w="0" w:type="auto"/>
            <w:tcBorders>
              <w:top w:val="nil"/>
              <w:left w:val="nil"/>
              <w:bottom w:val="single" w:color="auto" w:sz="4" w:space="0"/>
              <w:right w:val="single" w:color="auto" w:sz="8" w:space="0"/>
            </w:tcBorders>
            <w:shd w:val="clear" w:color="auto" w:fill="auto"/>
          </w:tcPr>
          <w:p>
            <w:pPr>
              <w:adjustRightInd w:val="0"/>
              <w:snapToGrid w:val="0"/>
              <w:jc w:val="center"/>
            </w:pPr>
            <w:r>
              <w:t>360.64</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8" w:space="0"/>
              <w:bottom w:val="single" w:color="auto" w:sz="4" w:space="0"/>
              <w:right w:val="single" w:color="auto" w:sz="4" w:space="0"/>
            </w:tcBorders>
            <w:shd w:val="clear" w:color="auto" w:fill="auto"/>
          </w:tcPr>
          <w:p>
            <w:pPr>
              <w:adjustRightInd w:val="0"/>
              <w:snapToGrid w:val="0"/>
            </w:pPr>
            <w:r>
              <w:t>21103</w:t>
            </w:r>
          </w:p>
        </w:tc>
        <w:tc>
          <w:tcPr>
            <w:tcW w:w="0" w:type="auto"/>
            <w:tcBorders>
              <w:top w:val="nil"/>
              <w:left w:val="nil"/>
              <w:bottom w:val="single" w:color="auto" w:sz="4" w:space="0"/>
              <w:right w:val="single" w:color="auto" w:sz="4" w:space="0"/>
            </w:tcBorders>
            <w:shd w:val="clear" w:color="auto" w:fill="auto"/>
          </w:tcPr>
          <w:p>
            <w:pPr>
              <w:jc w:val="left"/>
            </w:pPr>
            <w:r>
              <w:rPr>
                <w:rFonts w:hint="eastAsia"/>
              </w:rPr>
              <w:t>污染防治</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134.91</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0.00</w:t>
            </w:r>
          </w:p>
        </w:tc>
        <w:tc>
          <w:tcPr>
            <w:tcW w:w="0" w:type="auto"/>
            <w:tcBorders>
              <w:top w:val="nil"/>
              <w:left w:val="nil"/>
              <w:bottom w:val="single" w:color="auto" w:sz="4" w:space="0"/>
              <w:right w:val="single" w:color="auto" w:sz="8" w:space="0"/>
            </w:tcBorders>
            <w:shd w:val="clear" w:color="auto" w:fill="auto"/>
          </w:tcPr>
          <w:p>
            <w:pPr>
              <w:adjustRightInd w:val="0"/>
              <w:snapToGrid w:val="0"/>
              <w:jc w:val="center"/>
            </w:pPr>
            <w:r>
              <w:t>134.91</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8" w:space="0"/>
              <w:bottom w:val="single" w:color="auto" w:sz="4" w:space="0"/>
              <w:right w:val="single" w:color="auto" w:sz="4" w:space="0"/>
            </w:tcBorders>
            <w:shd w:val="clear" w:color="auto" w:fill="auto"/>
          </w:tcPr>
          <w:p>
            <w:pPr>
              <w:adjustRightInd w:val="0"/>
              <w:snapToGrid w:val="0"/>
            </w:pPr>
            <w:r>
              <w:t>2110307</w:t>
            </w:r>
          </w:p>
        </w:tc>
        <w:tc>
          <w:tcPr>
            <w:tcW w:w="0" w:type="auto"/>
            <w:tcBorders>
              <w:top w:val="nil"/>
              <w:left w:val="nil"/>
              <w:bottom w:val="single" w:color="auto" w:sz="4" w:space="0"/>
              <w:right w:val="single" w:color="auto" w:sz="4" w:space="0"/>
            </w:tcBorders>
            <w:shd w:val="clear" w:color="auto" w:fill="auto"/>
          </w:tcPr>
          <w:p>
            <w:pPr>
              <w:jc w:val="left"/>
            </w:pPr>
            <w:r>
              <w:rPr>
                <w:rFonts w:hint="eastAsia"/>
              </w:rPr>
              <w:t>土壤</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134.91</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0.00</w:t>
            </w:r>
          </w:p>
        </w:tc>
        <w:tc>
          <w:tcPr>
            <w:tcW w:w="0" w:type="auto"/>
            <w:tcBorders>
              <w:top w:val="nil"/>
              <w:left w:val="nil"/>
              <w:bottom w:val="single" w:color="auto" w:sz="4" w:space="0"/>
              <w:right w:val="single" w:color="auto" w:sz="8" w:space="0"/>
            </w:tcBorders>
            <w:shd w:val="clear" w:color="auto" w:fill="auto"/>
          </w:tcPr>
          <w:p>
            <w:pPr>
              <w:adjustRightInd w:val="0"/>
              <w:snapToGrid w:val="0"/>
              <w:jc w:val="center"/>
            </w:pPr>
            <w:r>
              <w:t>134.91</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8" w:space="0"/>
              <w:bottom w:val="single" w:color="auto" w:sz="4" w:space="0"/>
              <w:right w:val="single" w:color="auto" w:sz="4" w:space="0"/>
            </w:tcBorders>
            <w:shd w:val="clear" w:color="auto" w:fill="auto"/>
          </w:tcPr>
          <w:p>
            <w:pPr>
              <w:adjustRightInd w:val="0"/>
              <w:snapToGrid w:val="0"/>
            </w:pPr>
            <w:r>
              <w:t>21111</w:t>
            </w:r>
          </w:p>
        </w:tc>
        <w:tc>
          <w:tcPr>
            <w:tcW w:w="0" w:type="auto"/>
            <w:tcBorders>
              <w:top w:val="nil"/>
              <w:left w:val="nil"/>
              <w:bottom w:val="single" w:color="auto" w:sz="4" w:space="0"/>
              <w:right w:val="single" w:color="auto" w:sz="4" w:space="0"/>
            </w:tcBorders>
            <w:shd w:val="clear" w:color="auto" w:fill="auto"/>
          </w:tcPr>
          <w:p>
            <w:pPr>
              <w:jc w:val="left"/>
            </w:pPr>
            <w:r>
              <w:rPr>
                <w:rFonts w:hint="eastAsia"/>
              </w:rPr>
              <w:t>污染减排</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134.62</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0.00</w:t>
            </w:r>
          </w:p>
        </w:tc>
        <w:tc>
          <w:tcPr>
            <w:tcW w:w="0" w:type="auto"/>
            <w:tcBorders>
              <w:top w:val="nil"/>
              <w:left w:val="nil"/>
              <w:bottom w:val="single" w:color="auto" w:sz="4" w:space="0"/>
              <w:right w:val="single" w:color="auto" w:sz="8" w:space="0"/>
            </w:tcBorders>
            <w:shd w:val="clear" w:color="auto" w:fill="auto"/>
          </w:tcPr>
          <w:p>
            <w:pPr>
              <w:adjustRightInd w:val="0"/>
              <w:snapToGrid w:val="0"/>
              <w:jc w:val="center"/>
            </w:pPr>
            <w:r>
              <w:t>134.62</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8" w:space="0"/>
              <w:bottom w:val="single" w:color="auto" w:sz="4" w:space="0"/>
              <w:right w:val="single" w:color="auto" w:sz="4" w:space="0"/>
            </w:tcBorders>
            <w:shd w:val="clear" w:color="auto" w:fill="auto"/>
          </w:tcPr>
          <w:p>
            <w:pPr>
              <w:adjustRightInd w:val="0"/>
              <w:snapToGrid w:val="0"/>
            </w:pPr>
            <w:r>
              <w:t>2111101</w:t>
            </w:r>
          </w:p>
        </w:tc>
        <w:tc>
          <w:tcPr>
            <w:tcW w:w="0" w:type="auto"/>
            <w:tcBorders>
              <w:top w:val="nil"/>
              <w:left w:val="nil"/>
              <w:bottom w:val="single" w:color="auto" w:sz="4" w:space="0"/>
              <w:right w:val="single" w:color="auto" w:sz="4" w:space="0"/>
            </w:tcBorders>
            <w:shd w:val="clear" w:color="auto" w:fill="auto"/>
          </w:tcPr>
          <w:p>
            <w:pPr>
              <w:jc w:val="left"/>
            </w:pPr>
            <w:r>
              <w:rPr>
                <w:rFonts w:hint="eastAsia"/>
              </w:rPr>
              <w:t>生态环境监测与信息</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134.62</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0.00</w:t>
            </w:r>
          </w:p>
        </w:tc>
        <w:tc>
          <w:tcPr>
            <w:tcW w:w="0" w:type="auto"/>
            <w:tcBorders>
              <w:top w:val="nil"/>
              <w:left w:val="nil"/>
              <w:bottom w:val="single" w:color="auto" w:sz="4" w:space="0"/>
              <w:right w:val="single" w:color="auto" w:sz="8" w:space="0"/>
            </w:tcBorders>
            <w:shd w:val="clear" w:color="auto" w:fill="auto"/>
          </w:tcPr>
          <w:p>
            <w:pPr>
              <w:adjustRightInd w:val="0"/>
              <w:snapToGrid w:val="0"/>
              <w:jc w:val="center"/>
            </w:pPr>
            <w:r>
              <w:t>134.62</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8" w:space="0"/>
              <w:bottom w:val="single" w:color="auto" w:sz="4" w:space="0"/>
              <w:right w:val="single" w:color="auto" w:sz="4" w:space="0"/>
            </w:tcBorders>
            <w:shd w:val="clear" w:color="auto" w:fill="auto"/>
          </w:tcPr>
          <w:p>
            <w:pPr>
              <w:adjustRightInd w:val="0"/>
              <w:snapToGrid w:val="0"/>
            </w:pPr>
            <w:r>
              <w:t>221</w:t>
            </w:r>
          </w:p>
        </w:tc>
        <w:tc>
          <w:tcPr>
            <w:tcW w:w="0" w:type="auto"/>
            <w:tcBorders>
              <w:top w:val="nil"/>
              <w:left w:val="nil"/>
              <w:bottom w:val="single" w:color="auto" w:sz="4" w:space="0"/>
              <w:right w:val="single" w:color="auto" w:sz="4" w:space="0"/>
            </w:tcBorders>
            <w:shd w:val="clear" w:color="auto" w:fill="auto"/>
          </w:tcPr>
          <w:p>
            <w:pPr>
              <w:jc w:val="left"/>
            </w:pPr>
            <w:r>
              <w:rPr>
                <w:rFonts w:hint="eastAsia"/>
              </w:rPr>
              <w:t>住房保障支出</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t>28.55</w:t>
            </w:r>
          </w:p>
        </w:tc>
        <w:tc>
          <w:tcPr>
            <w:tcW w:w="0" w:type="auto"/>
            <w:tcBorders>
              <w:top w:val="nil"/>
              <w:left w:val="nil"/>
              <w:bottom w:val="single" w:color="auto" w:sz="4" w:space="0"/>
              <w:right w:val="single" w:color="auto" w:sz="4" w:space="0"/>
            </w:tcBorders>
            <w:shd w:val="clear" w:color="auto" w:fill="auto"/>
          </w:tcPr>
          <w:p>
            <w:pPr>
              <w:adjustRightInd w:val="0"/>
              <w:snapToGrid w:val="0"/>
              <w:jc w:val="center"/>
            </w:pPr>
            <w:r>
              <w:rPr>
                <w:rFonts w:hint="eastAsia"/>
              </w:rPr>
              <w:t>28.55</w:t>
            </w:r>
          </w:p>
        </w:tc>
        <w:tc>
          <w:tcPr>
            <w:tcW w:w="0" w:type="auto"/>
            <w:tcBorders>
              <w:top w:val="nil"/>
              <w:left w:val="nil"/>
              <w:bottom w:val="single" w:color="auto" w:sz="4" w:space="0"/>
              <w:right w:val="single" w:color="auto" w:sz="8" w:space="0"/>
            </w:tcBorders>
            <w:shd w:val="clear" w:color="auto" w:fill="auto"/>
          </w:tcPr>
          <w:p>
            <w:pPr>
              <w:adjustRightInd w:val="0"/>
              <w:snapToGrid w:val="0"/>
              <w:jc w:val="center"/>
            </w:pPr>
            <w:r>
              <w:t>0.00</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8" w:space="0"/>
              <w:bottom w:val="single" w:color="auto" w:sz="8" w:space="0"/>
              <w:right w:val="single" w:color="auto" w:sz="4" w:space="0"/>
            </w:tcBorders>
            <w:shd w:val="clear" w:color="auto" w:fill="auto"/>
          </w:tcPr>
          <w:p>
            <w:pPr>
              <w:adjustRightInd w:val="0"/>
              <w:snapToGrid w:val="0"/>
            </w:pPr>
            <w:r>
              <w:t>22102</w:t>
            </w:r>
          </w:p>
        </w:tc>
        <w:tc>
          <w:tcPr>
            <w:tcW w:w="0" w:type="auto"/>
            <w:tcBorders>
              <w:top w:val="nil"/>
              <w:left w:val="nil"/>
              <w:bottom w:val="single" w:color="auto" w:sz="8" w:space="0"/>
              <w:right w:val="single" w:color="auto" w:sz="4" w:space="0"/>
            </w:tcBorders>
            <w:shd w:val="clear" w:color="auto" w:fill="auto"/>
          </w:tcPr>
          <w:p>
            <w:pPr>
              <w:jc w:val="left"/>
            </w:pPr>
            <w:r>
              <w:rPr>
                <w:rFonts w:hint="eastAsia"/>
              </w:rPr>
              <w:t>住房改革支出</w:t>
            </w:r>
          </w:p>
        </w:tc>
        <w:tc>
          <w:tcPr>
            <w:tcW w:w="0" w:type="auto"/>
            <w:tcBorders>
              <w:top w:val="nil"/>
              <w:left w:val="nil"/>
              <w:bottom w:val="single" w:color="auto" w:sz="8" w:space="0"/>
              <w:right w:val="single" w:color="auto" w:sz="4" w:space="0"/>
            </w:tcBorders>
            <w:shd w:val="clear" w:color="auto" w:fill="auto"/>
          </w:tcPr>
          <w:p>
            <w:pPr>
              <w:adjustRightInd w:val="0"/>
              <w:snapToGrid w:val="0"/>
              <w:jc w:val="center"/>
            </w:pPr>
            <w:r>
              <w:t>28.55</w:t>
            </w:r>
          </w:p>
        </w:tc>
        <w:tc>
          <w:tcPr>
            <w:tcW w:w="0" w:type="auto"/>
            <w:tcBorders>
              <w:top w:val="nil"/>
              <w:left w:val="nil"/>
              <w:bottom w:val="single" w:color="auto" w:sz="8" w:space="0"/>
              <w:right w:val="single" w:color="auto" w:sz="4" w:space="0"/>
            </w:tcBorders>
            <w:shd w:val="clear" w:color="auto" w:fill="auto"/>
          </w:tcPr>
          <w:p>
            <w:pPr>
              <w:adjustRightInd w:val="0"/>
              <w:snapToGrid w:val="0"/>
              <w:jc w:val="center"/>
            </w:pPr>
            <w:r>
              <w:rPr>
                <w:rFonts w:hint="eastAsia"/>
              </w:rPr>
              <w:t>28.55</w:t>
            </w:r>
          </w:p>
        </w:tc>
        <w:tc>
          <w:tcPr>
            <w:tcW w:w="0" w:type="auto"/>
            <w:tcBorders>
              <w:top w:val="nil"/>
              <w:left w:val="nil"/>
              <w:bottom w:val="single" w:color="auto" w:sz="8" w:space="0"/>
              <w:right w:val="single" w:color="auto" w:sz="8" w:space="0"/>
            </w:tcBorders>
            <w:shd w:val="clear" w:color="auto" w:fill="auto"/>
          </w:tcPr>
          <w:p>
            <w:pPr>
              <w:adjustRightInd w:val="0"/>
              <w:snapToGrid w:val="0"/>
              <w:jc w:val="center"/>
            </w:pPr>
            <w:r>
              <w:t>0.00</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8" w:space="0"/>
              <w:bottom w:val="single" w:color="auto" w:sz="8" w:space="0"/>
              <w:right w:val="single" w:color="auto" w:sz="4" w:space="0"/>
            </w:tcBorders>
            <w:shd w:val="clear" w:color="auto" w:fill="auto"/>
          </w:tcPr>
          <w:p>
            <w:pPr>
              <w:adjustRightInd w:val="0"/>
              <w:snapToGrid w:val="0"/>
            </w:pPr>
            <w:r>
              <w:t>2210201</w:t>
            </w:r>
          </w:p>
        </w:tc>
        <w:tc>
          <w:tcPr>
            <w:tcW w:w="0" w:type="auto"/>
            <w:tcBorders>
              <w:top w:val="nil"/>
              <w:left w:val="nil"/>
              <w:bottom w:val="single" w:color="auto" w:sz="8" w:space="0"/>
              <w:right w:val="single" w:color="auto" w:sz="4" w:space="0"/>
            </w:tcBorders>
            <w:shd w:val="clear" w:color="auto" w:fill="auto"/>
          </w:tcPr>
          <w:p>
            <w:pPr>
              <w:jc w:val="left"/>
            </w:pPr>
            <w:r>
              <w:rPr>
                <w:rFonts w:hint="eastAsia"/>
              </w:rPr>
              <w:t>住房公积金</w:t>
            </w:r>
          </w:p>
        </w:tc>
        <w:tc>
          <w:tcPr>
            <w:tcW w:w="0" w:type="auto"/>
            <w:tcBorders>
              <w:top w:val="nil"/>
              <w:left w:val="nil"/>
              <w:bottom w:val="single" w:color="auto" w:sz="8" w:space="0"/>
              <w:right w:val="single" w:color="auto" w:sz="4" w:space="0"/>
            </w:tcBorders>
            <w:shd w:val="clear" w:color="auto" w:fill="auto"/>
          </w:tcPr>
          <w:p>
            <w:pPr>
              <w:adjustRightInd w:val="0"/>
              <w:snapToGrid w:val="0"/>
              <w:jc w:val="center"/>
            </w:pPr>
            <w:r>
              <w:t>28.55</w:t>
            </w:r>
          </w:p>
        </w:tc>
        <w:tc>
          <w:tcPr>
            <w:tcW w:w="0" w:type="auto"/>
            <w:tcBorders>
              <w:top w:val="nil"/>
              <w:left w:val="nil"/>
              <w:bottom w:val="single" w:color="auto" w:sz="8" w:space="0"/>
              <w:right w:val="single" w:color="auto" w:sz="4" w:space="0"/>
            </w:tcBorders>
            <w:shd w:val="clear" w:color="auto" w:fill="auto"/>
          </w:tcPr>
          <w:p>
            <w:pPr>
              <w:adjustRightInd w:val="0"/>
              <w:snapToGrid w:val="0"/>
              <w:jc w:val="center"/>
            </w:pPr>
            <w:r>
              <w:rPr>
                <w:rFonts w:hint="eastAsia"/>
              </w:rPr>
              <w:t>28.55</w:t>
            </w:r>
          </w:p>
        </w:tc>
        <w:tc>
          <w:tcPr>
            <w:tcW w:w="0" w:type="auto"/>
            <w:tcBorders>
              <w:top w:val="nil"/>
              <w:left w:val="nil"/>
              <w:bottom w:val="single" w:color="auto" w:sz="8" w:space="0"/>
              <w:right w:val="single" w:color="auto" w:sz="8" w:space="0"/>
            </w:tcBorders>
            <w:shd w:val="clear" w:color="auto" w:fill="auto"/>
          </w:tcPr>
          <w:p>
            <w:pPr>
              <w:adjustRightInd w:val="0"/>
              <w:snapToGrid w:val="0"/>
              <w:jc w:val="center"/>
            </w:pPr>
            <w:r>
              <w:t>0.00</w:t>
            </w:r>
          </w:p>
        </w:tc>
      </w:tr>
      <w:tr>
        <w:tblPrEx>
          <w:tblCellMar>
            <w:top w:w="0" w:type="dxa"/>
            <w:left w:w="108" w:type="dxa"/>
            <w:bottom w:w="0" w:type="dxa"/>
            <w:right w:w="108" w:type="dxa"/>
          </w:tblCellMar>
        </w:tblPrEx>
        <w:trPr>
          <w:jc w:val="center"/>
        </w:trPr>
        <w:tc>
          <w:tcPr>
            <w:tcW w:w="0" w:type="auto"/>
            <w:gridSpan w:val="5"/>
            <w:tcBorders>
              <w:top w:val="nil"/>
              <w:left w:val="nil"/>
              <w:bottom w:val="nil"/>
              <w:right w:val="nil"/>
            </w:tcBorders>
            <w:shd w:val="clear" w:color="auto" w:fill="auto"/>
            <w:vAlign w:val="center"/>
          </w:tcPr>
          <w:p>
            <w:pPr>
              <w:widowControl/>
              <w:adjustRightInd w:val="0"/>
              <w:snapToGrid w:val="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6"/>
        <w:tblW w:w="0" w:type="auto"/>
        <w:jc w:val="center"/>
        <w:tblLayout w:type="autofit"/>
        <w:tblCellMar>
          <w:top w:w="0" w:type="dxa"/>
          <w:left w:w="108" w:type="dxa"/>
          <w:bottom w:w="0" w:type="dxa"/>
          <w:right w:w="108" w:type="dxa"/>
        </w:tblCellMar>
      </w:tblPr>
      <w:tblGrid>
        <w:gridCol w:w="1243"/>
        <w:gridCol w:w="3151"/>
        <w:gridCol w:w="828"/>
        <w:gridCol w:w="1280"/>
        <w:gridCol w:w="2191"/>
        <w:gridCol w:w="779"/>
        <w:gridCol w:w="1280"/>
        <w:gridCol w:w="3919"/>
        <w:gridCol w:w="943"/>
      </w:tblGrid>
      <w:tr>
        <w:tblPrEx>
          <w:tblCellMar>
            <w:top w:w="0" w:type="dxa"/>
            <w:left w:w="108" w:type="dxa"/>
            <w:bottom w:w="0" w:type="dxa"/>
            <w:right w:w="108" w:type="dxa"/>
          </w:tblCellMar>
        </w:tblPrEx>
        <w:trPr>
          <w:jc w:val="center"/>
        </w:trPr>
        <w:tc>
          <w:tcPr>
            <w:tcW w:w="0" w:type="auto"/>
            <w:gridSpan w:val="9"/>
            <w:tcBorders>
              <w:top w:val="nil"/>
              <w:left w:val="nil"/>
              <w:bottom w:val="nil"/>
              <w:right w:val="nil"/>
            </w:tcBorders>
            <w:shd w:val="clear" w:color="auto" w:fill="auto"/>
            <w:noWrap/>
            <w:vAlign w:val="center"/>
          </w:tcPr>
          <w:p>
            <w:pPr>
              <w:adjustRightInd w:val="0"/>
              <w:snapToGrid w:val="0"/>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ordWrap w:val="0"/>
              <w:adjustRightInd w:val="0"/>
              <w:snapToGrid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部门： </w:t>
            </w:r>
            <w:r>
              <w:rPr>
                <w:rFonts w:hint="eastAsia" w:ascii="宋体" w:hAnsi="宋体" w:eastAsia="宋体" w:cs="宋体"/>
                <w:bCs w:val="0"/>
                <w:kern w:val="0"/>
                <w:sz w:val="22"/>
                <w:szCs w:val="22"/>
              </w:rPr>
              <w:t>湖南省永州生态环境监测中心</w:t>
            </w:r>
            <w:r>
              <w:rPr>
                <w:rFonts w:hint="eastAsia" w:ascii="宋体" w:hAnsi="宋体" w:eastAsia="宋体" w:cs="宋体"/>
                <w:bCs w:val="0"/>
                <w:kern w:val="0"/>
                <w:sz w:val="22"/>
                <w:szCs w:val="22"/>
                <w:lang w:val="en-US" w:eastAsia="zh-CN"/>
              </w:rPr>
              <w:t xml:space="preserve">                                2021年度</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adjustRightInd w:val="0"/>
              <w:snapToGrid w:val="0"/>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0" w:type="auto"/>
            <w:tcBorders>
              <w:top w:val="single" w:color="auto" w:sz="4" w:space="0"/>
              <w:left w:val="nil"/>
              <w:bottom w:val="single" w:color="auto" w:sz="4" w:space="0"/>
              <w:right w:val="single" w:color="auto" w:sz="4" w:space="0"/>
            </w:tcBorders>
            <w:shd w:val="clear" w:color="auto" w:fill="auto"/>
            <w:vAlign w:val="center"/>
          </w:tcPr>
          <w:p>
            <w:pPr>
              <w:adjustRightInd w:val="0"/>
              <w:snapToGrid w:val="0"/>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0" w:type="auto"/>
            <w:tcBorders>
              <w:top w:val="single" w:color="auto" w:sz="4" w:space="0"/>
              <w:left w:val="nil"/>
              <w:bottom w:val="single" w:color="auto" w:sz="4" w:space="0"/>
              <w:right w:val="single" w:color="auto" w:sz="4" w:space="0"/>
            </w:tcBorders>
            <w:shd w:val="clear" w:color="auto" w:fill="auto"/>
            <w:vAlign w:val="center"/>
          </w:tcPr>
          <w:p>
            <w:pPr>
              <w:adjustRightInd w:val="0"/>
              <w:snapToGrid w:val="0"/>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0" w:type="auto"/>
            <w:tcBorders>
              <w:top w:val="single" w:color="auto" w:sz="4" w:space="0"/>
              <w:left w:val="nil"/>
              <w:bottom w:val="single" w:color="auto" w:sz="4" w:space="0"/>
              <w:right w:val="single" w:color="auto" w:sz="4" w:space="0"/>
            </w:tcBorders>
            <w:shd w:val="clear" w:color="auto" w:fill="auto"/>
            <w:vAlign w:val="center"/>
          </w:tcPr>
          <w:p>
            <w:pPr>
              <w:adjustRightInd w:val="0"/>
              <w:snapToGrid w:val="0"/>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0" w:type="auto"/>
            <w:tcBorders>
              <w:top w:val="single" w:color="auto" w:sz="4" w:space="0"/>
              <w:left w:val="nil"/>
              <w:bottom w:val="single" w:color="auto" w:sz="4" w:space="0"/>
              <w:right w:val="single" w:color="auto" w:sz="4" w:space="0"/>
            </w:tcBorders>
            <w:shd w:val="clear" w:color="auto" w:fill="auto"/>
            <w:vAlign w:val="center"/>
          </w:tcPr>
          <w:p>
            <w:pPr>
              <w:adjustRightInd w:val="0"/>
              <w:snapToGrid w:val="0"/>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0" w:type="auto"/>
            <w:tcBorders>
              <w:top w:val="single" w:color="auto" w:sz="4" w:space="0"/>
              <w:left w:val="nil"/>
              <w:bottom w:val="single" w:color="auto" w:sz="4" w:space="0"/>
              <w:right w:val="single" w:color="auto" w:sz="4" w:space="0"/>
            </w:tcBorders>
            <w:shd w:val="clear" w:color="auto" w:fill="auto"/>
            <w:vAlign w:val="center"/>
          </w:tcPr>
          <w:p>
            <w:pPr>
              <w:adjustRightInd w:val="0"/>
              <w:snapToGrid w:val="0"/>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0" w:type="auto"/>
            <w:tcBorders>
              <w:top w:val="single" w:color="auto" w:sz="4" w:space="0"/>
              <w:left w:val="nil"/>
              <w:bottom w:val="single" w:color="auto" w:sz="4" w:space="0"/>
              <w:right w:val="single" w:color="auto" w:sz="4" w:space="0"/>
            </w:tcBorders>
            <w:shd w:val="clear" w:color="auto" w:fill="auto"/>
            <w:vAlign w:val="center"/>
          </w:tcPr>
          <w:p>
            <w:pPr>
              <w:adjustRightInd w:val="0"/>
              <w:snapToGrid w:val="0"/>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0" w:type="auto"/>
            <w:tcBorders>
              <w:top w:val="single" w:color="auto" w:sz="4" w:space="0"/>
              <w:left w:val="nil"/>
              <w:bottom w:val="single" w:color="auto" w:sz="4" w:space="0"/>
              <w:right w:val="single" w:color="auto" w:sz="4" w:space="0"/>
            </w:tcBorders>
            <w:shd w:val="clear" w:color="auto" w:fill="auto"/>
            <w:vAlign w:val="center"/>
          </w:tcPr>
          <w:p>
            <w:pPr>
              <w:adjustRightInd w:val="0"/>
              <w:snapToGrid w:val="0"/>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0" w:type="auto"/>
            <w:tcBorders>
              <w:top w:val="single" w:color="auto" w:sz="4" w:space="0"/>
              <w:left w:val="nil"/>
              <w:bottom w:val="single" w:color="auto" w:sz="4" w:space="0"/>
              <w:right w:val="single" w:color="auto" w:sz="4" w:space="0"/>
            </w:tcBorders>
            <w:shd w:val="clear" w:color="auto" w:fill="auto"/>
            <w:vAlign w:val="center"/>
          </w:tcPr>
          <w:p>
            <w:pPr>
              <w:adjustRightInd w:val="0"/>
              <w:snapToGrid w:val="0"/>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362.12</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81.25</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153.43</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3.66</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12.90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0.24</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80.66</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0.80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40.37</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2.00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0.44</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20.60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5.00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1.13</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3.26</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49.77</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0.97</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3.28</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4.70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0.03</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0.15</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赠与</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7.16</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22.03</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4.55</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25.34</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0.00</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p>
        </w:tc>
        <w:tc>
          <w:tcPr>
            <w:tcW w:w="0" w:type="auto"/>
            <w:tcBorders>
              <w:top w:val="nil"/>
              <w:left w:val="nil"/>
              <w:bottom w:val="single" w:color="auto" w:sz="4" w:space="0"/>
              <w:right w:val="single" w:color="auto" w:sz="4" w:space="0"/>
            </w:tcBorders>
            <w:shd w:val="clear" w:color="auto" w:fill="auto"/>
            <w:noWrap/>
          </w:tcPr>
          <w:p>
            <w:pPr>
              <w:adjustRightInd w:val="0"/>
              <w:snapToGrid w:val="0"/>
            </w:pP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0.91</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p>
        </w:tc>
      </w:tr>
      <w:tr>
        <w:tblPrEx>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val="0"/>
              <w:snapToGrid w:val="0"/>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0" w:type="auto"/>
            <w:tcBorders>
              <w:top w:val="nil"/>
              <w:left w:val="nil"/>
              <w:bottom w:val="single" w:color="auto" w:sz="4" w:space="0"/>
              <w:right w:val="single" w:color="auto" w:sz="4" w:space="0"/>
            </w:tcBorders>
            <w:shd w:val="clear" w:color="auto" w:fill="auto"/>
            <w:noWrap/>
          </w:tcPr>
          <w:p>
            <w:pPr>
              <w:adjustRightInd w:val="0"/>
              <w:snapToGrid w:val="0"/>
            </w:pPr>
            <w:r>
              <w:t>362.12</w:t>
            </w:r>
          </w:p>
        </w:tc>
        <w:tc>
          <w:tcPr>
            <w:tcW w:w="0" w:type="auto"/>
            <w:gridSpan w:val="5"/>
            <w:tcBorders>
              <w:top w:val="single" w:color="auto" w:sz="4" w:space="0"/>
              <w:left w:val="nil"/>
              <w:bottom w:val="single" w:color="auto" w:sz="4" w:space="0"/>
              <w:right w:val="single" w:color="auto" w:sz="4" w:space="0"/>
            </w:tcBorders>
            <w:shd w:val="clear" w:color="auto" w:fill="auto"/>
            <w:noWrap/>
          </w:tcPr>
          <w:p>
            <w:pPr>
              <w:adjustRightInd w:val="0"/>
              <w:snapToGrid w:val="0"/>
              <w:jc w:val="center"/>
            </w:pPr>
            <w:r>
              <w:t>公用经费合计</w:t>
            </w:r>
          </w:p>
        </w:tc>
        <w:tc>
          <w:tcPr>
            <w:tcW w:w="0" w:type="auto"/>
            <w:tcBorders>
              <w:top w:val="nil"/>
              <w:left w:val="nil"/>
              <w:bottom w:val="single" w:color="auto" w:sz="4" w:space="0"/>
              <w:right w:val="single" w:color="auto" w:sz="4" w:space="0"/>
            </w:tcBorders>
            <w:shd w:val="clear" w:color="auto" w:fill="auto"/>
            <w:noWrap/>
            <w:vAlign w:val="center"/>
          </w:tcPr>
          <w:p>
            <w:pPr>
              <w:adjustRightInd w:val="0"/>
              <w:snapToGrid w:val="0"/>
              <w:jc w:val="left"/>
              <w:rPr>
                <w:rFonts w:ascii="宋体" w:hAnsi="宋体" w:eastAsia="宋体" w:cs="宋体"/>
                <w:color w:val="000000"/>
                <w:kern w:val="0"/>
                <w:szCs w:val="18"/>
              </w:rPr>
            </w:pPr>
            <w:r>
              <w:rPr>
                <w:rFonts w:hint="eastAsia" w:ascii="宋体" w:hAnsi="宋体" w:eastAsia="宋体" w:cs="宋体"/>
                <w:color w:val="000000"/>
                <w:kern w:val="0"/>
                <w:szCs w:val="18"/>
              </w:rPr>
              <w:t>　81.25</w:t>
            </w:r>
          </w:p>
        </w:tc>
      </w:tr>
      <w:tr>
        <w:tblPrEx>
          <w:tblCellMar>
            <w:top w:w="0" w:type="dxa"/>
            <w:left w:w="108" w:type="dxa"/>
            <w:bottom w:w="0" w:type="dxa"/>
            <w:right w:w="108" w:type="dxa"/>
          </w:tblCellMar>
        </w:tblPrEx>
        <w:trPr>
          <w:jc w:val="center"/>
        </w:trPr>
        <w:tc>
          <w:tcPr>
            <w:tcW w:w="0" w:type="auto"/>
            <w:gridSpan w:val="9"/>
            <w:tcBorders>
              <w:top w:val="nil"/>
              <w:left w:val="nil"/>
              <w:bottom w:val="nil"/>
              <w:right w:val="nil"/>
            </w:tcBorders>
            <w:shd w:val="clear" w:color="auto" w:fill="auto"/>
            <w:noWrap/>
            <w:vAlign w:val="center"/>
          </w:tcPr>
          <w:p>
            <w:pPr>
              <w:adjustRightInd w:val="0"/>
              <w:snapToGrid w:val="0"/>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pPr>
        <w:widowControl/>
        <w:jc w:val="center"/>
        <w:rPr>
          <w:rFonts w:ascii="Times New Roman" w:hAnsi="Times New Roman" w:eastAsia="方正小标宋_GBK" w:cs="Times New Roman"/>
          <w:color w:val="000000"/>
          <w:kern w:val="0"/>
          <w:sz w:val="36"/>
          <w:szCs w:val="36"/>
        </w:rPr>
      </w:pPr>
      <w:r>
        <w:rPr>
          <w:rFonts w:hint="eastAsia" w:ascii="Times New Roman" w:hAnsi="Times New Roman" w:eastAsia="方正小标宋_GBK" w:cs="Times New Roman"/>
          <w:color w:val="000000"/>
          <w:kern w:val="0"/>
          <w:sz w:val="36"/>
          <w:szCs w:val="36"/>
        </w:rPr>
        <w:t>一般公共预算财政拨款“三公”经费支出决算表</w:t>
      </w:r>
    </w:p>
    <w:p>
      <w:pPr>
        <w:widowControl/>
        <w:ind w:left="13881" w:leftChars="410" w:hanging="13020" w:hangingChars="62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部门： </w:t>
      </w:r>
      <w:r>
        <w:rPr>
          <w:rFonts w:hint="eastAsia" w:ascii="宋体" w:hAnsi="宋体" w:eastAsia="宋体" w:cs="宋体"/>
          <w:bCs w:val="0"/>
          <w:kern w:val="0"/>
          <w:sz w:val="22"/>
          <w:szCs w:val="22"/>
        </w:rPr>
        <w:t>湖南省永州生态环境监测中心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2021年度</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w:t>
      </w:r>
      <w:r>
        <w:rPr>
          <w:rFonts w:hint="eastAsia" w:ascii="Times New Roman" w:hAnsi="Times New Roman" w:eastAsia="仿宋_GB2312" w:cs="Times New Roman"/>
          <w:color w:val="000000"/>
          <w:kern w:val="0"/>
          <w:szCs w:val="21"/>
        </w:rPr>
        <w:t>7</w:t>
      </w:r>
      <w:r>
        <w:rPr>
          <w:rFonts w:ascii="Times New Roman" w:hAnsi="Times New Roman" w:eastAsia="仿宋_GB2312" w:cs="Times New Roman"/>
          <w:color w:val="000000"/>
          <w:kern w:val="0"/>
          <w:szCs w:val="21"/>
        </w:rPr>
        <w:t>表</w:t>
      </w:r>
    </w:p>
    <w:p>
      <w:pPr>
        <w:widowControl/>
        <w:ind w:right="42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6"/>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tcPr>
          <w:p>
            <w:pPr>
              <w:jc w:val="center"/>
            </w:pPr>
            <w:r>
              <w:t>27.30</w:t>
            </w:r>
          </w:p>
        </w:tc>
        <w:tc>
          <w:tcPr>
            <w:tcW w:w="1220" w:type="dxa"/>
            <w:tcBorders>
              <w:top w:val="nil"/>
              <w:left w:val="nil"/>
              <w:bottom w:val="single" w:color="auto" w:sz="8" w:space="0"/>
              <w:right w:val="single" w:color="auto" w:sz="4" w:space="0"/>
            </w:tcBorders>
            <w:shd w:val="clear" w:color="auto" w:fill="auto"/>
          </w:tcPr>
          <w:p>
            <w:pPr>
              <w:jc w:val="center"/>
            </w:pPr>
            <w:r>
              <w:t>0.00</w:t>
            </w:r>
          </w:p>
        </w:tc>
        <w:tc>
          <w:tcPr>
            <w:tcW w:w="1220" w:type="dxa"/>
            <w:tcBorders>
              <w:top w:val="nil"/>
              <w:left w:val="nil"/>
              <w:bottom w:val="single" w:color="auto" w:sz="8" w:space="0"/>
              <w:right w:val="single" w:color="auto" w:sz="4" w:space="0"/>
            </w:tcBorders>
            <w:shd w:val="clear" w:color="auto" w:fill="auto"/>
          </w:tcPr>
          <w:p>
            <w:pPr>
              <w:jc w:val="center"/>
            </w:pPr>
            <w:r>
              <w:t>22.60</w:t>
            </w:r>
          </w:p>
        </w:tc>
        <w:tc>
          <w:tcPr>
            <w:tcW w:w="1220" w:type="dxa"/>
            <w:tcBorders>
              <w:top w:val="nil"/>
              <w:left w:val="nil"/>
              <w:bottom w:val="single" w:color="auto" w:sz="8" w:space="0"/>
              <w:right w:val="single" w:color="auto" w:sz="4" w:space="0"/>
            </w:tcBorders>
            <w:shd w:val="clear" w:color="auto" w:fill="auto"/>
          </w:tcPr>
          <w:p>
            <w:pPr>
              <w:jc w:val="center"/>
            </w:pPr>
            <w:r>
              <w:t>18.00</w:t>
            </w:r>
          </w:p>
        </w:tc>
        <w:tc>
          <w:tcPr>
            <w:tcW w:w="1220" w:type="dxa"/>
            <w:tcBorders>
              <w:top w:val="nil"/>
              <w:left w:val="nil"/>
              <w:bottom w:val="single" w:color="auto" w:sz="8" w:space="0"/>
              <w:right w:val="single" w:color="auto" w:sz="4" w:space="0"/>
            </w:tcBorders>
            <w:shd w:val="clear" w:color="auto" w:fill="auto"/>
          </w:tcPr>
          <w:p>
            <w:pPr>
              <w:jc w:val="center"/>
            </w:pPr>
            <w:r>
              <w:t>4.60</w:t>
            </w:r>
          </w:p>
        </w:tc>
        <w:tc>
          <w:tcPr>
            <w:tcW w:w="1220" w:type="dxa"/>
            <w:tcBorders>
              <w:top w:val="nil"/>
              <w:left w:val="nil"/>
              <w:bottom w:val="single" w:color="auto" w:sz="8" w:space="0"/>
              <w:right w:val="single" w:color="auto" w:sz="4" w:space="0"/>
            </w:tcBorders>
            <w:shd w:val="clear" w:color="auto" w:fill="auto"/>
          </w:tcPr>
          <w:p>
            <w:pPr>
              <w:jc w:val="center"/>
            </w:pPr>
            <w:r>
              <w:t>4.70</w:t>
            </w:r>
          </w:p>
        </w:tc>
        <w:tc>
          <w:tcPr>
            <w:tcW w:w="1220" w:type="dxa"/>
            <w:tcBorders>
              <w:top w:val="nil"/>
              <w:left w:val="nil"/>
              <w:bottom w:val="single" w:color="auto" w:sz="8" w:space="0"/>
              <w:right w:val="single" w:color="auto" w:sz="4" w:space="0"/>
            </w:tcBorders>
            <w:shd w:val="clear" w:color="auto" w:fill="auto"/>
          </w:tcPr>
          <w:p>
            <w:pPr>
              <w:jc w:val="center"/>
            </w:pPr>
            <w:r>
              <w:t>27.25</w:t>
            </w:r>
          </w:p>
        </w:tc>
        <w:tc>
          <w:tcPr>
            <w:tcW w:w="1220" w:type="dxa"/>
            <w:tcBorders>
              <w:top w:val="nil"/>
              <w:left w:val="nil"/>
              <w:bottom w:val="single" w:color="auto" w:sz="8" w:space="0"/>
              <w:right w:val="single" w:color="auto" w:sz="4" w:space="0"/>
            </w:tcBorders>
            <w:shd w:val="clear" w:color="auto" w:fill="auto"/>
          </w:tcPr>
          <w:p>
            <w:pPr>
              <w:jc w:val="center"/>
            </w:pPr>
            <w:r>
              <w:t>0.00</w:t>
            </w:r>
          </w:p>
        </w:tc>
        <w:tc>
          <w:tcPr>
            <w:tcW w:w="1220" w:type="dxa"/>
            <w:tcBorders>
              <w:top w:val="nil"/>
              <w:left w:val="nil"/>
              <w:bottom w:val="single" w:color="auto" w:sz="8" w:space="0"/>
              <w:right w:val="single" w:color="auto" w:sz="4" w:space="0"/>
            </w:tcBorders>
            <w:shd w:val="clear" w:color="auto" w:fill="auto"/>
          </w:tcPr>
          <w:p>
            <w:pPr>
              <w:jc w:val="center"/>
            </w:pPr>
            <w:r>
              <w:t>22.55</w:t>
            </w:r>
          </w:p>
        </w:tc>
        <w:tc>
          <w:tcPr>
            <w:tcW w:w="1220" w:type="dxa"/>
            <w:tcBorders>
              <w:top w:val="nil"/>
              <w:left w:val="nil"/>
              <w:bottom w:val="single" w:color="auto" w:sz="8" w:space="0"/>
              <w:right w:val="single" w:color="auto" w:sz="4" w:space="0"/>
            </w:tcBorders>
            <w:shd w:val="clear" w:color="auto" w:fill="auto"/>
          </w:tcPr>
          <w:p>
            <w:pPr>
              <w:jc w:val="center"/>
            </w:pPr>
            <w:r>
              <w:t>18.00</w:t>
            </w:r>
          </w:p>
        </w:tc>
        <w:tc>
          <w:tcPr>
            <w:tcW w:w="1220" w:type="dxa"/>
            <w:tcBorders>
              <w:top w:val="nil"/>
              <w:left w:val="nil"/>
              <w:bottom w:val="single" w:color="auto" w:sz="8" w:space="0"/>
              <w:right w:val="nil"/>
            </w:tcBorders>
            <w:shd w:val="clear" w:color="auto" w:fill="auto"/>
          </w:tcPr>
          <w:p>
            <w:pPr>
              <w:jc w:val="center"/>
            </w:pPr>
            <w:r>
              <w:t>4.55</w:t>
            </w:r>
          </w:p>
        </w:tc>
        <w:tc>
          <w:tcPr>
            <w:tcW w:w="1220" w:type="dxa"/>
            <w:tcBorders>
              <w:top w:val="nil"/>
              <w:left w:val="single" w:color="auto" w:sz="4" w:space="0"/>
              <w:bottom w:val="single" w:color="auto" w:sz="8" w:space="0"/>
              <w:right w:val="single" w:color="auto" w:sz="8" w:space="0"/>
            </w:tcBorders>
            <w:shd w:val="clear" w:color="auto" w:fill="auto"/>
          </w:tcPr>
          <w:p>
            <w:pPr>
              <w:jc w:val="center"/>
            </w:pPr>
            <w:r>
              <w:t>4.70</w:t>
            </w:r>
          </w:p>
        </w:tc>
      </w:tr>
    </w:tbl>
    <w:p>
      <w:pPr>
        <w:widowControl/>
        <w:jc w:val="left"/>
        <w:rPr>
          <w:rFonts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ascii="宋体" w:eastAsia="宋体" w:cs="宋体"/>
          <w:kern w:val="0"/>
          <w:sz w:val="24"/>
          <w:szCs w:val="24"/>
        </w:rPr>
        <w:br w:type="page"/>
      </w:r>
    </w:p>
    <w:p>
      <w:pPr>
        <w:autoSpaceDE w:val="0"/>
        <w:autoSpaceDN w:val="0"/>
        <w:adjustRightInd w:val="0"/>
        <w:ind w:left="315" w:leftChars="150"/>
        <w:jc w:val="left"/>
        <w:rPr>
          <w:rFonts w:ascii="宋体" w:eastAsia="宋体" w:cs="宋体"/>
          <w:kern w:val="0"/>
          <w:sz w:val="24"/>
          <w:szCs w:val="24"/>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部门：</w:t>
      </w:r>
      <w:r>
        <w:rPr>
          <w:rFonts w:hint="eastAsia" w:ascii="宋体" w:hAnsi="宋体" w:eastAsia="宋体" w:cs="宋体"/>
          <w:bCs w:val="0"/>
          <w:kern w:val="0"/>
          <w:sz w:val="22"/>
          <w:szCs w:val="22"/>
        </w:rPr>
        <w:t>湖南省永州生态环境监测中心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2021年度</w:t>
      </w:r>
      <w:r>
        <w:rPr>
          <w:rFonts w:ascii="Times New Roman" w:hAnsi="Times New Roman" w:eastAsia="仿宋_GB2312" w:cs="Times New Roman"/>
          <w:color w:val="000000"/>
          <w:kern w:val="0"/>
          <w:szCs w:val="21"/>
        </w:rPr>
        <w:t xml:space="preserve">                                                                                       公开08表</w:t>
      </w:r>
    </w:p>
    <w:p>
      <w:pPr>
        <w:widowControl/>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6"/>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pPr>
        <w:widowControl/>
        <w:ind w:firstLine="840" w:firstLineChars="4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注：本表反映部门本年度政府性基金预算财政拨款收入、支出及结转和结余情况</w:t>
      </w:r>
    </w:p>
    <w:p>
      <w:pPr>
        <w:widowControl/>
        <w:ind w:firstLine="630" w:firstLineChars="3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(若本单位</w:t>
      </w:r>
      <w:r>
        <w:rPr>
          <w:rFonts w:hint="eastAsia" w:ascii="Times New Roman" w:hAnsi="Times New Roman" w:eastAsia="仿宋_GB2312" w:cs="Times New Roman"/>
          <w:kern w:val="0"/>
          <w:szCs w:val="21"/>
        </w:rPr>
        <w:t>没有政府性基金收入，也没有使用政府性基金安排的支出，故本表无数据</w:t>
      </w:r>
      <w:r>
        <w:rPr>
          <w:rFonts w:ascii="Times New Roman" w:hAnsi="Times New Roman" w:eastAsia="仿宋_GB2312" w:cs="Times New Roman"/>
          <w:kern w:val="0"/>
          <w:szCs w:val="21"/>
        </w:rPr>
        <w:t>)。</w:t>
      </w:r>
    </w:p>
    <w:p>
      <w:pPr>
        <w:widowControl/>
        <w:jc w:val="left"/>
        <w:rPr>
          <w:rFonts w:ascii="黑体" w:hAnsi="黑体" w:eastAsia="黑体"/>
          <w:szCs w:val="21"/>
        </w:rPr>
      </w:pPr>
      <w:r>
        <w:rPr>
          <w:rFonts w:ascii="黑体" w:hAnsi="黑体" w:eastAsia="黑体"/>
          <w:szCs w:val="21"/>
        </w:rPr>
        <w:br w:type="page"/>
      </w:r>
    </w:p>
    <w:tbl>
      <w:tblPr>
        <w:tblStyle w:val="6"/>
        <w:tblW w:w="14190" w:type="dxa"/>
        <w:tblInd w:w="93" w:type="dxa"/>
        <w:tblLayout w:type="autofit"/>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tblPrEx>
          <w:tblCellMar>
            <w:top w:w="0" w:type="dxa"/>
            <w:left w:w="108" w:type="dxa"/>
            <w:bottom w:w="0" w:type="dxa"/>
            <w:right w:w="108" w:type="dxa"/>
          </w:tblCellMar>
        </w:tblPrEx>
        <w:trPr>
          <w:trHeight w:val="720" w:hRule="atLeast"/>
        </w:trPr>
        <w:tc>
          <w:tcPr>
            <w:tcW w:w="14190" w:type="dxa"/>
            <w:gridSpan w:val="9"/>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bCs w:val="0"/>
                <w:kern w:val="0"/>
                <w:sz w:val="22"/>
                <w:szCs w:val="22"/>
              </w:rPr>
              <w:t>湖南省永州生态环境监测中心</w:t>
            </w:r>
            <w:r>
              <w:rPr>
                <w:rFonts w:hint="eastAsia" w:ascii="宋体" w:hAnsi="宋体" w:eastAsia="宋体" w:cs="宋体"/>
                <w:kern w:val="0"/>
                <w:sz w:val="20"/>
                <w:szCs w:val="20"/>
              </w:rPr>
              <w:t>　</w:t>
            </w:r>
          </w:p>
        </w:tc>
        <w:tc>
          <w:tcPr>
            <w:tcW w:w="1225"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rPr>
              <w:t>　</w:t>
            </w:r>
            <w:r>
              <w:rPr>
                <w:rFonts w:hint="eastAsia" w:ascii="宋体" w:hAnsi="宋体" w:eastAsia="宋体" w:cs="宋体"/>
                <w:kern w:val="0"/>
                <w:sz w:val="20"/>
                <w:szCs w:val="20"/>
                <w:lang w:val="en-US" w:eastAsia="zh-CN"/>
              </w:rPr>
              <w:t>2021年度</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720" w:hRule="atLeast"/>
        </w:trPr>
        <w:tc>
          <w:tcPr>
            <w:tcW w:w="14190" w:type="dxa"/>
            <w:gridSpan w:val="9"/>
            <w:tcBorders>
              <w:top w:val="single" w:color="auto" w:sz="8" w:space="0"/>
              <w:left w:val="nil"/>
              <w:bottom w:val="nil"/>
              <w:right w:val="nil"/>
            </w:tcBorders>
            <w:shd w:val="clear" w:color="auto" w:fill="auto"/>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本单位无国有资本经营收入和支出，故本表为空表。</w:t>
            </w:r>
          </w:p>
        </w:tc>
      </w:tr>
    </w:tbl>
    <w:p>
      <w:pPr>
        <w:pStyle w:val="10"/>
        <w:rPr>
          <w:sz w:val="72"/>
          <w:szCs w:val="72"/>
        </w:rPr>
        <w:sectPr>
          <w:pgSz w:w="16838" w:h="11906" w:orient="landscape"/>
          <w:pgMar w:top="720" w:right="720" w:bottom="720" w:left="720" w:header="851" w:footer="992" w:gutter="0"/>
          <w:cols w:space="425" w:num="1"/>
          <w:docGrid w:type="lines" w:linePitch="312" w:charSpace="0"/>
        </w:sect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第三部分</w:t>
      </w:r>
    </w:p>
    <w:p>
      <w:pPr>
        <w:pStyle w:val="10"/>
        <w:jc w:val="center"/>
        <w:rPr>
          <w:sz w:val="70"/>
          <w:szCs w:val="70"/>
        </w:rPr>
      </w:pPr>
    </w:p>
    <w:p>
      <w:pPr>
        <w:pStyle w:val="10"/>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0"/>
        <w:rPr>
          <w:rFonts w:asciiTheme="minorEastAsia" w:hAnsiTheme="minorEastAsia" w:eastAsiaTheme="minorEastAsia"/>
          <w:sz w:val="32"/>
          <w:szCs w:val="32"/>
        </w:rPr>
      </w:pPr>
    </w:p>
    <w:p>
      <w:pPr>
        <w:pStyle w:val="10"/>
        <w:rPr>
          <w:rFonts w:hAnsi="黑体"/>
          <w:b/>
          <w:sz w:val="32"/>
          <w:szCs w:val="32"/>
        </w:rPr>
      </w:pPr>
      <w:r>
        <w:rPr>
          <w:rFonts w:hint="eastAsia" w:hAnsi="黑体"/>
          <w:b/>
          <w:sz w:val="32"/>
          <w:szCs w:val="32"/>
        </w:rPr>
        <w:t>一、收入支出决算总体情况说明</w:t>
      </w:r>
    </w:p>
    <w:p>
      <w:pPr>
        <w:pStyle w:val="5"/>
        <w:widowControl/>
        <w:pBdr>
          <w:top w:val="none" w:color="auto" w:sz="0" w:space="0"/>
          <w:left w:val="none" w:color="auto" w:sz="0" w:space="0"/>
          <w:bottom w:val="none" w:color="auto" w:sz="0" w:space="0"/>
          <w:right w:val="none" w:color="auto" w:sz="0" w:space="0"/>
        </w:pBdr>
        <w:spacing w:before="158" w:after="158" w:line="460" w:lineRule="atLeast"/>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2021年度收入总计为</w:t>
      </w:r>
      <w:r>
        <w:rPr>
          <w:rFonts w:asciiTheme="minorEastAsia" w:hAnsiTheme="minorEastAsia" w:eastAsiaTheme="minorEastAsia"/>
          <w:sz w:val="32"/>
          <w:szCs w:val="32"/>
        </w:rPr>
        <w:t>1304.63</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highlight w:val="none"/>
        </w:rPr>
        <w:t>（含年初结转和结余资金</w:t>
      </w:r>
      <w:r>
        <w:rPr>
          <w:rFonts w:hint="eastAsia" w:asciiTheme="minorEastAsia" w:hAnsiTheme="minorEastAsia" w:eastAsiaTheme="minorEastAsia" w:cstheme="minorBidi"/>
          <w:kern w:val="0"/>
          <w:sz w:val="32"/>
          <w:szCs w:val="32"/>
        </w:rPr>
        <w:t>116.91</w:t>
      </w:r>
      <w:r>
        <w:rPr>
          <w:rFonts w:hint="eastAsia" w:asciiTheme="minorEastAsia" w:hAnsiTheme="minorEastAsia" w:eastAsiaTheme="minorEastAsia"/>
          <w:sz w:val="32"/>
          <w:szCs w:val="32"/>
          <w:highlight w:val="none"/>
        </w:rPr>
        <w:t>万元）</w:t>
      </w:r>
      <w:r>
        <w:rPr>
          <w:rFonts w:hint="eastAsia" w:asciiTheme="minorEastAsia" w:hAnsiTheme="minorEastAsia" w:eastAsiaTheme="minorEastAsia"/>
          <w:sz w:val="32"/>
          <w:szCs w:val="32"/>
        </w:rPr>
        <w:t>。与上年相比，增加251.37万元，增长23.87%，</w:t>
      </w:r>
      <w:r>
        <w:rPr>
          <w:rFonts w:hint="eastAsia" w:asciiTheme="minorEastAsia" w:hAnsiTheme="minorEastAsia"/>
          <w:sz w:val="32"/>
          <w:szCs w:val="32"/>
          <w:lang w:val="en-US" w:eastAsia="zh-CN"/>
        </w:rPr>
        <w:t>增长的主要原因是工作量增加，专项拨款增加。</w:t>
      </w:r>
    </w:p>
    <w:p>
      <w:pPr>
        <w:pStyle w:val="5"/>
        <w:widowControl/>
        <w:pBdr>
          <w:top w:val="none" w:color="auto" w:sz="0" w:space="0"/>
          <w:left w:val="none" w:color="auto" w:sz="0" w:space="0"/>
          <w:bottom w:val="none" w:color="auto" w:sz="0" w:space="0"/>
          <w:right w:val="none" w:color="auto" w:sz="0" w:space="0"/>
        </w:pBdr>
        <w:spacing w:before="158" w:after="158" w:line="460" w:lineRule="atLeas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2021年支出总计为1304.63万元</w:t>
      </w:r>
      <w:r>
        <w:rPr>
          <w:rFonts w:hint="eastAsia" w:asciiTheme="minorEastAsia" w:hAnsiTheme="minorEastAsia" w:eastAsiaTheme="minorEastAsia"/>
          <w:sz w:val="32"/>
          <w:szCs w:val="32"/>
          <w:highlight w:val="none"/>
        </w:rPr>
        <w:t>（含年</w:t>
      </w:r>
      <w:r>
        <w:rPr>
          <w:rFonts w:hint="eastAsia" w:asciiTheme="minorEastAsia" w:hAnsiTheme="minorEastAsia" w:eastAsiaTheme="minorEastAsia"/>
          <w:sz w:val="32"/>
          <w:szCs w:val="32"/>
          <w:highlight w:val="none"/>
          <w:lang w:val="en-US" w:eastAsia="zh-CN"/>
        </w:rPr>
        <w:t>末</w:t>
      </w:r>
      <w:r>
        <w:rPr>
          <w:rFonts w:hint="eastAsia" w:asciiTheme="minorEastAsia" w:hAnsiTheme="minorEastAsia" w:eastAsiaTheme="minorEastAsia"/>
          <w:sz w:val="32"/>
          <w:szCs w:val="32"/>
          <w:highlight w:val="none"/>
        </w:rPr>
        <w:t>结转和结余资金</w:t>
      </w:r>
      <w:r>
        <w:rPr>
          <w:rFonts w:hint="eastAsia" w:asciiTheme="minorEastAsia" w:hAnsiTheme="minorEastAsia" w:eastAsiaTheme="minorEastAsia" w:cstheme="minorBidi"/>
          <w:kern w:val="0"/>
          <w:sz w:val="32"/>
          <w:szCs w:val="32"/>
        </w:rPr>
        <w:t>65.03</w:t>
      </w:r>
      <w:r>
        <w:rPr>
          <w:rFonts w:hint="eastAsia" w:asciiTheme="minorEastAsia" w:hAnsiTheme="minorEastAsia" w:eastAsiaTheme="minorEastAsia"/>
          <w:sz w:val="32"/>
          <w:szCs w:val="32"/>
          <w:highlight w:val="none"/>
        </w:rPr>
        <w:t>万元）</w:t>
      </w:r>
      <w:r>
        <w:rPr>
          <w:rFonts w:hint="eastAsia" w:asciiTheme="minorEastAsia" w:hAnsiTheme="minorEastAsia" w:eastAsiaTheme="minorEastAsia"/>
          <w:sz w:val="32"/>
          <w:szCs w:val="32"/>
        </w:rPr>
        <w:t>。与上年相比，增加251.37万元，增长23.87%。收入和支出增加的主要是因为专项</w:t>
      </w:r>
      <w:r>
        <w:rPr>
          <w:rFonts w:hint="eastAsia" w:asciiTheme="minorEastAsia" w:hAnsiTheme="minorEastAsia"/>
          <w:sz w:val="32"/>
          <w:szCs w:val="32"/>
          <w:lang w:val="en-US" w:eastAsia="zh-CN"/>
        </w:rPr>
        <w:t>支出</w:t>
      </w:r>
      <w:r>
        <w:rPr>
          <w:rFonts w:hint="eastAsia" w:asciiTheme="minorEastAsia" w:hAnsiTheme="minorEastAsia" w:eastAsiaTheme="minorEastAsia"/>
          <w:sz w:val="32"/>
          <w:szCs w:val="32"/>
        </w:rPr>
        <w:t>增加。</w:t>
      </w:r>
    </w:p>
    <w:p>
      <w:pPr>
        <w:pStyle w:val="10"/>
        <w:ind w:firstLine="640" w:firstLineChars="200"/>
        <w:rPr>
          <w:rFonts w:hAnsi="黑体"/>
          <w:b/>
          <w:sz w:val="32"/>
          <w:szCs w:val="32"/>
        </w:rPr>
      </w:pPr>
      <w:r>
        <w:rPr>
          <w:rFonts w:hint="eastAsia" w:hAnsi="黑体"/>
          <w:b/>
          <w:sz w:val="32"/>
          <w:szCs w:val="32"/>
        </w:rPr>
        <w:t>二、收入决算情况说明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2021年度收入合计1187.73万元</w:t>
      </w:r>
      <w:r>
        <w:rPr>
          <w:rFonts w:hint="eastAsia" w:asciiTheme="minorEastAsia" w:hAnsiTheme="minorEastAsia" w:eastAsiaTheme="minorEastAsia"/>
          <w:sz w:val="32"/>
          <w:szCs w:val="32"/>
          <w:highlight w:val="none"/>
        </w:rPr>
        <w:t>（不含年初结转和结余资金）</w:t>
      </w:r>
      <w:r>
        <w:rPr>
          <w:rFonts w:hint="eastAsia" w:asciiTheme="minorEastAsia" w:hAnsiTheme="minorEastAsia" w:eastAsiaTheme="minorEastAsia"/>
          <w:sz w:val="32"/>
          <w:szCs w:val="32"/>
        </w:rPr>
        <w:t>，其中：财政拨款收入997.85万元，占84.01%；</w:t>
      </w:r>
      <w:r>
        <w:rPr>
          <w:rFonts w:hint="eastAsia" w:cs="黑体" w:asciiTheme="minorEastAsia" w:hAnsiTheme="minorEastAsia" w:eastAsiaTheme="minorEastAsia"/>
          <w:i w:val="0"/>
          <w:iCs w:val="0"/>
          <w:caps w:val="0"/>
          <w:color w:val="000000"/>
          <w:spacing w:val="0"/>
          <w:kern w:val="0"/>
          <w:sz w:val="32"/>
          <w:szCs w:val="32"/>
          <w:shd w:val="clear" w:fill="auto"/>
          <w:lang w:val="en-US" w:eastAsia="zh-CN" w:bidi="ar"/>
        </w:rPr>
        <w:t>上级补助收入0万元，占0%；事业收入0万元，占0%；经营收入0万元，占0%；附属单位上缴收入0万元，占0%；</w:t>
      </w:r>
      <w:r>
        <w:rPr>
          <w:rFonts w:hint="eastAsia" w:asciiTheme="minorEastAsia" w:hAnsiTheme="minorEastAsia" w:eastAsiaTheme="minorEastAsia"/>
          <w:sz w:val="32"/>
          <w:szCs w:val="32"/>
        </w:rPr>
        <w:t>其他收入189.88万元，占15.99%。</w:t>
      </w:r>
    </w:p>
    <w:p>
      <w:pPr>
        <w:pStyle w:val="10"/>
        <w:rPr>
          <w:rFonts w:hAnsi="黑体"/>
          <w:b/>
          <w:sz w:val="32"/>
          <w:szCs w:val="32"/>
        </w:rPr>
      </w:pPr>
      <w:r>
        <w:rPr>
          <w:rFonts w:hint="eastAsia" w:hAnsi="黑体"/>
          <w:b/>
          <w:sz w:val="32"/>
          <w:szCs w:val="32"/>
        </w:rPr>
        <w:t>三、支出决算情况说明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2021年度支出合计1239.61万元</w:t>
      </w:r>
      <w:r>
        <w:rPr>
          <w:rFonts w:hint="eastAsia" w:asciiTheme="minorEastAsia" w:hAnsiTheme="minorEastAsia" w:eastAsiaTheme="minorEastAsia"/>
          <w:sz w:val="32"/>
          <w:szCs w:val="32"/>
          <w:highlight w:val="none"/>
        </w:rPr>
        <w:t>（不含年</w:t>
      </w:r>
      <w:r>
        <w:rPr>
          <w:rFonts w:hint="eastAsia" w:asciiTheme="minorEastAsia" w:hAnsiTheme="minorEastAsia" w:eastAsiaTheme="minorEastAsia"/>
          <w:sz w:val="32"/>
          <w:szCs w:val="32"/>
          <w:highlight w:val="none"/>
          <w:lang w:val="en-US" w:eastAsia="zh-CN"/>
        </w:rPr>
        <w:t>末</w:t>
      </w:r>
      <w:r>
        <w:rPr>
          <w:rFonts w:hint="eastAsia" w:asciiTheme="minorEastAsia" w:hAnsiTheme="minorEastAsia" w:eastAsiaTheme="minorEastAsia"/>
          <w:sz w:val="32"/>
          <w:szCs w:val="32"/>
          <w:highlight w:val="none"/>
        </w:rPr>
        <w:t>结转和结余资金）</w:t>
      </w:r>
      <w:r>
        <w:rPr>
          <w:rFonts w:hint="eastAsia" w:asciiTheme="minorEastAsia" w:hAnsiTheme="minorEastAsia" w:eastAsiaTheme="minorEastAsia"/>
          <w:sz w:val="32"/>
          <w:szCs w:val="32"/>
        </w:rPr>
        <w:t>，其中：基本支出572.40万元，占46.18%；项目支出667.20万元，占53.82%</w:t>
      </w:r>
      <w:r>
        <w:rPr>
          <w:rFonts w:hint="eastAsia" w:asciiTheme="minorEastAsia" w:hAnsiTheme="minorEastAsia" w:eastAsiaTheme="minorEastAsia"/>
          <w:sz w:val="32"/>
          <w:szCs w:val="32"/>
          <w:lang w:eastAsia="zh-CN"/>
        </w:rPr>
        <w:t>；</w:t>
      </w:r>
      <w:r>
        <w:rPr>
          <w:rFonts w:hint="eastAsia" w:cs="黑体" w:asciiTheme="minorEastAsia" w:hAnsiTheme="minorEastAsia" w:eastAsiaTheme="minorEastAsia"/>
          <w:i w:val="0"/>
          <w:iCs w:val="0"/>
          <w:caps w:val="0"/>
          <w:color w:val="000000"/>
          <w:spacing w:val="0"/>
          <w:kern w:val="0"/>
          <w:sz w:val="32"/>
          <w:szCs w:val="32"/>
          <w:shd w:val="clear" w:fill="auto"/>
          <w:lang w:val="en-US" w:eastAsia="zh-CN" w:bidi="ar"/>
        </w:rPr>
        <w:t>上缴上级支出0万元，占0%；经营支出0万元，占0%；对附属单位补助支出0万元，占0%。</w:t>
      </w:r>
    </w:p>
    <w:p>
      <w:pPr>
        <w:pStyle w:val="10"/>
        <w:rPr>
          <w:rFonts w:hAnsi="黑体"/>
          <w:b/>
          <w:sz w:val="32"/>
          <w:szCs w:val="32"/>
        </w:rPr>
      </w:pPr>
      <w:r>
        <w:rPr>
          <w:rFonts w:hint="eastAsia" w:hAnsi="黑体"/>
          <w:b/>
          <w:sz w:val="32"/>
          <w:szCs w:val="32"/>
        </w:rPr>
        <w:t>四、财政拨款收入支出决算总体情况说明</w:t>
      </w:r>
    </w:p>
    <w:p>
      <w:pPr>
        <w:pStyle w:val="5"/>
        <w:widowControl/>
        <w:pBdr>
          <w:top w:val="none" w:color="auto" w:sz="0" w:space="0"/>
          <w:left w:val="none" w:color="auto" w:sz="0" w:space="0"/>
          <w:bottom w:val="none" w:color="auto" w:sz="0" w:space="0"/>
          <w:right w:val="none" w:color="auto" w:sz="0" w:space="0"/>
        </w:pBdr>
        <w:spacing w:before="158" w:after="158" w:line="460" w:lineRule="atLeast"/>
        <w:ind w:firstLine="800" w:firstLineChars="250"/>
        <w:rPr>
          <w:rFonts w:asciiTheme="minorEastAsia" w:hAnsiTheme="minorEastAsia" w:eastAsiaTheme="minorEastAsia"/>
          <w:sz w:val="32"/>
          <w:szCs w:val="32"/>
        </w:rPr>
      </w:pPr>
      <w:r>
        <w:rPr>
          <w:rFonts w:hint="eastAsia" w:ascii="宋体" w:hAnsi="宋体" w:eastAsia="宋体"/>
          <w:sz w:val="32"/>
          <w:szCs w:val="32"/>
        </w:rPr>
        <w:t>202</w:t>
      </w:r>
      <w:r>
        <w:rPr>
          <w:rFonts w:hint="eastAsia" w:ascii="宋体" w:hAnsi="宋体" w:eastAsia="宋体"/>
          <w:sz w:val="32"/>
          <w:szCs w:val="32"/>
          <w:lang w:val="en-US" w:eastAsia="zh-CN"/>
        </w:rPr>
        <w:t>1</w:t>
      </w:r>
      <w:r>
        <w:rPr>
          <w:rFonts w:hint="eastAsia" w:ascii="宋体" w:hAnsi="宋体" w:eastAsia="宋体"/>
          <w:sz w:val="32"/>
          <w:szCs w:val="32"/>
        </w:rPr>
        <w:t>年度财政拨款收入合计</w:t>
      </w:r>
      <w:r>
        <w:rPr>
          <w:rFonts w:hint="eastAsia" w:ascii="宋体" w:hAnsi="宋体" w:eastAsia="宋体"/>
          <w:sz w:val="32"/>
          <w:szCs w:val="32"/>
          <w:lang w:val="en-US" w:eastAsia="zh-CN"/>
        </w:rPr>
        <w:t>997.85</w:t>
      </w:r>
      <w:r>
        <w:rPr>
          <w:rFonts w:hint="eastAsia" w:ascii="宋体" w:hAnsi="宋体" w:eastAsia="宋体"/>
          <w:sz w:val="32"/>
          <w:szCs w:val="32"/>
        </w:rPr>
        <w:t>万元</w:t>
      </w:r>
      <w:r>
        <w:rPr>
          <w:rFonts w:hint="eastAsia" w:ascii="宋体" w:hAnsi="宋体" w:eastAsia="宋体"/>
          <w:sz w:val="32"/>
          <w:szCs w:val="32"/>
          <w:highlight w:val="none"/>
        </w:rPr>
        <w:t>（不含</w:t>
      </w:r>
      <w:r>
        <w:rPr>
          <w:rFonts w:hint="eastAsia" w:ascii="宋体" w:hAnsi="宋体" w:eastAsia="宋体"/>
          <w:sz w:val="32"/>
          <w:szCs w:val="32"/>
          <w:highlight w:val="none"/>
          <w:lang w:val="en-US" w:eastAsia="zh-CN"/>
        </w:rPr>
        <w:t>财政拨款</w:t>
      </w:r>
      <w:r>
        <w:rPr>
          <w:rFonts w:hint="eastAsia" w:ascii="宋体" w:hAnsi="宋体" w:eastAsia="宋体"/>
          <w:sz w:val="32"/>
          <w:szCs w:val="32"/>
          <w:highlight w:val="none"/>
        </w:rPr>
        <w:t>年初结转和结余资金）</w:t>
      </w:r>
      <w:r>
        <w:rPr>
          <w:rFonts w:hint="eastAsia" w:ascii="宋体" w:hAnsi="宋体" w:eastAsia="宋体"/>
          <w:sz w:val="32"/>
          <w:szCs w:val="32"/>
        </w:rPr>
        <w:t>，与上年537.17相比，增加</w:t>
      </w:r>
      <w:r>
        <w:rPr>
          <w:rFonts w:hint="eastAsia" w:ascii="宋体" w:hAnsi="宋体" w:eastAsia="宋体"/>
          <w:sz w:val="32"/>
          <w:szCs w:val="32"/>
          <w:lang w:val="en-US" w:eastAsia="zh-CN"/>
        </w:rPr>
        <w:t>460.68</w:t>
      </w:r>
      <w:r>
        <w:rPr>
          <w:rFonts w:hint="eastAsia" w:ascii="宋体" w:hAnsi="宋体" w:eastAsia="宋体"/>
          <w:sz w:val="32"/>
          <w:szCs w:val="32"/>
        </w:rPr>
        <w:t>万元,增长</w:t>
      </w:r>
      <w:r>
        <w:rPr>
          <w:rFonts w:hint="eastAsia" w:ascii="宋体" w:hAnsi="宋体" w:eastAsia="宋体"/>
          <w:sz w:val="32"/>
          <w:szCs w:val="32"/>
          <w:lang w:val="en-US" w:eastAsia="zh-CN"/>
        </w:rPr>
        <w:t>85.76</w:t>
      </w:r>
      <w:r>
        <w:rPr>
          <w:rFonts w:hint="eastAsia" w:ascii="宋体" w:hAnsi="宋体" w:eastAsia="宋体"/>
          <w:sz w:val="32"/>
          <w:szCs w:val="32"/>
        </w:rPr>
        <w:t>%，主要是</w:t>
      </w:r>
      <w:r>
        <w:rPr>
          <w:rFonts w:hint="eastAsia" w:asciiTheme="minorEastAsia" w:hAnsiTheme="minorEastAsia" w:eastAsiaTheme="minorEastAsia"/>
          <w:sz w:val="32"/>
          <w:szCs w:val="32"/>
        </w:rPr>
        <w:t>因为2020年垂改上收</w:t>
      </w:r>
      <w:r>
        <w:rPr>
          <w:rFonts w:hint="eastAsia" w:asciiTheme="minorEastAsia" w:hAnsiTheme="minorEastAsia"/>
          <w:sz w:val="32"/>
          <w:szCs w:val="32"/>
          <w:lang w:eastAsia="zh-CN"/>
        </w:rPr>
        <w:t>，</w:t>
      </w:r>
      <w:r>
        <w:rPr>
          <w:rFonts w:hint="eastAsia" w:asciiTheme="minorEastAsia" w:hAnsiTheme="minorEastAsia" w:eastAsiaTheme="minorEastAsia"/>
          <w:sz w:val="32"/>
          <w:szCs w:val="32"/>
        </w:rPr>
        <w:t>市级财政为我单位垫付了部分经费，垫付的经费放在了其他收入里面。</w:t>
      </w:r>
    </w:p>
    <w:p>
      <w:pPr>
        <w:pStyle w:val="5"/>
        <w:widowControl/>
        <w:pBdr>
          <w:top w:val="none" w:color="auto" w:sz="0" w:space="0"/>
          <w:left w:val="none" w:color="auto" w:sz="0" w:space="0"/>
          <w:bottom w:val="none" w:color="auto" w:sz="0" w:space="0"/>
          <w:right w:val="none" w:color="auto" w:sz="0" w:space="0"/>
        </w:pBdr>
        <w:spacing w:before="158" w:after="158" w:line="460" w:lineRule="atLeast"/>
        <w:ind w:firstLine="800" w:firstLineChars="250"/>
        <w:rPr>
          <w:rFonts w:asciiTheme="minorEastAsia" w:hAnsiTheme="minorEastAsia" w:eastAsiaTheme="minorEastAsia"/>
          <w:sz w:val="32"/>
          <w:szCs w:val="32"/>
        </w:rPr>
      </w:pPr>
      <w:r>
        <w:rPr>
          <w:rFonts w:hint="eastAsia" w:ascii="宋体" w:hAnsi="宋体" w:eastAsia="宋体"/>
          <w:sz w:val="32"/>
          <w:szCs w:val="32"/>
        </w:rPr>
        <w:t>202</w:t>
      </w:r>
      <w:r>
        <w:rPr>
          <w:rFonts w:hint="eastAsia" w:ascii="宋体" w:hAnsi="宋体" w:eastAsia="宋体"/>
          <w:sz w:val="32"/>
          <w:szCs w:val="32"/>
          <w:lang w:val="en-US" w:eastAsia="zh-CN"/>
        </w:rPr>
        <w:t>1</w:t>
      </w:r>
      <w:r>
        <w:rPr>
          <w:rFonts w:hint="eastAsia" w:ascii="宋体" w:hAnsi="宋体" w:eastAsia="宋体"/>
          <w:sz w:val="32"/>
          <w:szCs w:val="32"/>
        </w:rPr>
        <w:t>年度财政拨款支出合计</w:t>
      </w:r>
      <w:r>
        <w:rPr>
          <w:rFonts w:hint="eastAsia" w:ascii="宋体" w:hAnsi="宋体" w:eastAsia="宋体"/>
          <w:sz w:val="32"/>
          <w:szCs w:val="32"/>
          <w:lang w:val="en-US" w:eastAsia="zh-CN"/>
        </w:rPr>
        <w:t>1073.54</w:t>
      </w:r>
      <w:r>
        <w:rPr>
          <w:rFonts w:hint="eastAsia" w:ascii="宋体" w:hAnsi="宋体" w:eastAsia="宋体"/>
          <w:sz w:val="32"/>
          <w:szCs w:val="32"/>
        </w:rPr>
        <w:t>万元</w:t>
      </w:r>
      <w:r>
        <w:rPr>
          <w:rFonts w:hint="eastAsia" w:ascii="宋体" w:hAnsi="宋体" w:eastAsia="宋体"/>
          <w:sz w:val="32"/>
          <w:szCs w:val="32"/>
          <w:highlight w:val="none"/>
        </w:rPr>
        <w:t>（不含</w:t>
      </w:r>
      <w:r>
        <w:rPr>
          <w:rFonts w:hint="eastAsia" w:ascii="宋体" w:hAnsi="宋体" w:eastAsia="宋体"/>
          <w:sz w:val="32"/>
          <w:szCs w:val="32"/>
          <w:highlight w:val="none"/>
          <w:lang w:val="en-US" w:eastAsia="zh-CN"/>
        </w:rPr>
        <w:t>财政拨款</w:t>
      </w:r>
      <w:r>
        <w:rPr>
          <w:rFonts w:hint="eastAsia" w:ascii="宋体" w:hAnsi="宋体" w:eastAsia="宋体"/>
          <w:sz w:val="32"/>
          <w:szCs w:val="32"/>
          <w:highlight w:val="none"/>
        </w:rPr>
        <w:t>年</w:t>
      </w:r>
      <w:r>
        <w:rPr>
          <w:rFonts w:hint="eastAsia" w:ascii="宋体" w:hAnsi="宋体" w:eastAsia="宋体"/>
          <w:sz w:val="32"/>
          <w:szCs w:val="32"/>
          <w:highlight w:val="none"/>
          <w:lang w:val="en-US" w:eastAsia="zh-CN"/>
        </w:rPr>
        <w:t>末</w:t>
      </w:r>
      <w:r>
        <w:rPr>
          <w:rFonts w:hint="eastAsia" w:ascii="宋体" w:hAnsi="宋体" w:eastAsia="宋体"/>
          <w:sz w:val="32"/>
          <w:szCs w:val="32"/>
          <w:highlight w:val="none"/>
        </w:rPr>
        <w:t>结转和结余资金）</w:t>
      </w:r>
      <w:r>
        <w:rPr>
          <w:rFonts w:hint="eastAsia" w:ascii="宋体" w:hAnsi="宋体" w:eastAsia="宋体"/>
          <w:sz w:val="32"/>
          <w:szCs w:val="32"/>
        </w:rPr>
        <w:t>，与上年472.09相比，增加</w:t>
      </w:r>
      <w:r>
        <w:rPr>
          <w:rFonts w:hint="eastAsia" w:ascii="宋体" w:hAnsi="宋体" w:eastAsia="宋体"/>
          <w:sz w:val="32"/>
          <w:szCs w:val="32"/>
          <w:lang w:val="en-US" w:eastAsia="zh-CN"/>
        </w:rPr>
        <w:t>601.45</w:t>
      </w:r>
      <w:r>
        <w:rPr>
          <w:rFonts w:hint="eastAsia" w:ascii="宋体" w:hAnsi="宋体" w:eastAsia="宋体"/>
          <w:sz w:val="32"/>
          <w:szCs w:val="32"/>
        </w:rPr>
        <w:t>万元,增长</w:t>
      </w:r>
      <w:r>
        <w:rPr>
          <w:rFonts w:hint="eastAsia" w:asciiTheme="minorEastAsia" w:hAnsiTheme="minorEastAsia" w:eastAsiaTheme="minorEastAsia"/>
          <w:sz w:val="32"/>
          <w:szCs w:val="32"/>
        </w:rPr>
        <w:t>127.40</w:t>
      </w:r>
      <w:r>
        <w:rPr>
          <w:rFonts w:hint="eastAsia" w:ascii="宋体" w:hAnsi="宋体" w:eastAsia="宋体"/>
          <w:sz w:val="32"/>
          <w:szCs w:val="32"/>
        </w:rPr>
        <w:t>%，主要是</w:t>
      </w:r>
      <w:r>
        <w:rPr>
          <w:rFonts w:hint="eastAsia" w:asciiTheme="minorEastAsia" w:hAnsiTheme="minorEastAsia" w:eastAsiaTheme="minorEastAsia"/>
          <w:sz w:val="32"/>
          <w:szCs w:val="32"/>
        </w:rPr>
        <w:t>因为2020年垂改上收</w:t>
      </w:r>
      <w:r>
        <w:rPr>
          <w:rFonts w:hint="eastAsia" w:asciiTheme="minorEastAsia" w:hAnsiTheme="minorEastAsia"/>
          <w:sz w:val="32"/>
          <w:szCs w:val="32"/>
          <w:lang w:eastAsia="zh-CN"/>
        </w:rPr>
        <w:t>，</w:t>
      </w:r>
      <w:r>
        <w:rPr>
          <w:rFonts w:hint="eastAsia" w:asciiTheme="minorEastAsia" w:hAnsiTheme="minorEastAsia" w:eastAsiaTheme="minorEastAsia"/>
          <w:sz w:val="32"/>
          <w:szCs w:val="32"/>
        </w:rPr>
        <w:t>市级财政为我单位垫付了部分经费，垫付的经费放在了其他</w:t>
      </w:r>
      <w:r>
        <w:rPr>
          <w:rFonts w:hint="eastAsia" w:asciiTheme="minorEastAsia" w:hAnsiTheme="minorEastAsia"/>
          <w:sz w:val="32"/>
          <w:szCs w:val="32"/>
          <w:lang w:val="en-US" w:eastAsia="zh-CN"/>
        </w:rPr>
        <w:t>支出</w:t>
      </w:r>
      <w:r>
        <w:rPr>
          <w:rFonts w:hint="eastAsia" w:asciiTheme="minorEastAsia" w:hAnsiTheme="minorEastAsia" w:eastAsiaTheme="minorEastAsia"/>
          <w:sz w:val="32"/>
          <w:szCs w:val="32"/>
        </w:rPr>
        <w:t>里面。</w:t>
      </w:r>
    </w:p>
    <w:p>
      <w:pPr>
        <w:pStyle w:val="10"/>
        <w:rPr>
          <w:rFonts w:hAnsi="黑体"/>
          <w:b/>
          <w:sz w:val="32"/>
          <w:szCs w:val="32"/>
        </w:rPr>
      </w:pPr>
      <w:r>
        <w:rPr>
          <w:rFonts w:hint="eastAsia" w:hAnsi="黑体"/>
          <w:b/>
          <w:sz w:val="32"/>
          <w:szCs w:val="32"/>
        </w:rPr>
        <w:t>五、一般公共预算财政拨款支出决算情况说明</w:t>
      </w:r>
    </w:p>
    <w:p>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2021年度财政拨款支出1073.54万元，占本年支出合计的86.60%，与上年相比，财政拨款支出增加601.45万元，增长127.40%，主要是因为2020年垂改上收市级财政为我单位垫付了部分经费，垫付的经费放在了其他</w:t>
      </w:r>
      <w:r>
        <w:rPr>
          <w:rFonts w:hint="eastAsia" w:asciiTheme="minorEastAsia" w:hAnsiTheme="minorEastAsia" w:eastAsiaTheme="minorEastAsia"/>
          <w:sz w:val="32"/>
          <w:szCs w:val="32"/>
          <w:lang w:val="en-US" w:eastAsia="zh-CN"/>
        </w:rPr>
        <w:t>支出</w:t>
      </w:r>
      <w:r>
        <w:rPr>
          <w:rFonts w:hint="eastAsia" w:asciiTheme="minorEastAsia" w:hAnsiTheme="minorEastAsia" w:eastAsiaTheme="minorEastAsia"/>
          <w:sz w:val="32"/>
          <w:szCs w:val="32"/>
        </w:rPr>
        <w:t>里面。</w:t>
      </w:r>
    </w:p>
    <w:p>
      <w:pPr>
        <w:pStyle w:val="10"/>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2021年度财政拨款支出1073.54万元，主要用于以下方面：社会保障和就业支出42.52万元，占3.96%；卫生健康支出19.55万元，占1.82%；节能环保支出982.92万元，占91.56%；住房保障支出28.55万元，占2.66%。</w:t>
      </w:r>
    </w:p>
    <w:p>
      <w:pPr>
        <w:pStyle w:val="10"/>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2021年度财政拨款支出年初预算数为821.16万元，支出决算数为1073.54万元，完成年初预算的130.73%，其中：</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1、社会保障和就业支出（类）行政事业单位养老支出（款）机关事业单位基本养老保险缴费支出（项）。</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年初预算为42.52万元，支出决算为42.52万元，完成年初预算的100%</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按预算执行</w:t>
      </w:r>
      <w:r>
        <w:rPr>
          <w:rFonts w:hint="eastAsia" w:asciiTheme="minorEastAsia" w:hAnsiTheme="minorEastAsia" w:eastAsiaTheme="minorEastAsia"/>
          <w:sz w:val="32"/>
          <w:szCs w:val="32"/>
        </w:rPr>
        <w:t>。</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2、卫生健康支出（类）行政事业单位医疗（款）事业单位医疗（项）。</w:t>
      </w:r>
    </w:p>
    <w:p>
      <w:pPr>
        <w:pStyle w:val="10"/>
        <w:ind w:firstLine="800" w:firstLineChars="25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年初预算为19.55万元，支出决算为19.55万元，完成年初预算的100%</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按预算执行</w:t>
      </w:r>
      <w:r>
        <w:rPr>
          <w:rFonts w:hint="eastAsia" w:asciiTheme="minorEastAsia" w:hAnsiTheme="minorEastAsia" w:eastAsiaTheme="minorEastAsia"/>
          <w:sz w:val="32"/>
          <w:szCs w:val="32"/>
        </w:rPr>
        <w:t>。</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3、节能环保支出（类）环境保护管理事务（款）行政运行（项）。</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年初预算为352.75万元，支出决算352.75万元，完成年初预算的100%</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按预算执行</w:t>
      </w:r>
      <w:r>
        <w:rPr>
          <w:rFonts w:hint="eastAsia" w:asciiTheme="minorEastAsia" w:hAnsiTheme="minorEastAsia" w:eastAsiaTheme="minorEastAsia"/>
          <w:sz w:val="32"/>
          <w:szCs w:val="32"/>
        </w:rPr>
        <w:t>。</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4、节能环保支出（类）环境监测与监察（款）其他环境监测与监察支出（项）。</w:t>
      </w:r>
    </w:p>
    <w:p>
      <w:pPr>
        <w:pStyle w:val="10"/>
        <w:spacing w:line="360" w:lineRule="auto"/>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年初预算为260.89万元，支出决算为360.64万元。完成年初预算的138.24%，决算大于年初预算数的主要原因是年中追加了实验室改造项目经费。</w:t>
      </w:r>
    </w:p>
    <w:p>
      <w:pPr>
        <w:pStyle w:val="10"/>
        <w:spacing w:line="360" w:lineRule="auto"/>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5、节能环保支出（类）污染防治（款）土壤（项）。</w:t>
      </w:r>
    </w:p>
    <w:p>
      <w:pPr>
        <w:pStyle w:val="10"/>
        <w:spacing w:line="360" w:lineRule="auto"/>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万元，支出决算为134.91万元，</w:t>
      </w:r>
      <w:r>
        <w:rPr>
          <w:rFonts w:hint="eastAsia" w:asciiTheme="minorEastAsia" w:hAnsiTheme="minorEastAsia" w:eastAsiaTheme="minorEastAsia"/>
          <w:sz w:val="32"/>
          <w:szCs w:val="32"/>
          <w:lang w:val="en-US" w:eastAsia="zh-CN"/>
        </w:rPr>
        <w:t>决算数大于年初预算数，主要原因</w:t>
      </w:r>
      <w:r>
        <w:rPr>
          <w:rFonts w:hint="eastAsia" w:asciiTheme="minorEastAsia" w:hAnsiTheme="minorEastAsia" w:eastAsiaTheme="minorEastAsia"/>
          <w:sz w:val="32"/>
          <w:szCs w:val="32"/>
        </w:rPr>
        <w:t>为年中追加安排的土壤能力建设资金。</w:t>
      </w:r>
    </w:p>
    <w:p>
      <w:pPr>
        <w:pStyle w:val="10"/>
        <w:spacing w:line="360" w:lineRule="auto"/>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6、节能环保支出（类）污染减排（款）生态环境监测与信息（项）。</w:t>
      </w:r>
    </w:p>
    <w:p>
      <w:pPr>
        <w:pStyle w:val="10"/>
        <w:spacing w:line="360" w:lineRule="auto"/>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116</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90</w:t>
      </w:r>
      <w:r>
        <w:rPr>
          <w:rFonts w:hint="eastAsia" w:asciiTheme="minorEastAsia" w:hAnsiTheme="minorEastAsia" w:eastAsiaTheme="minorEastAsia"/>
          <w:sz w:val="32"/>
          <w:szCs w:val="32"/>
        </w:rPr>
        <w:t>万元，支出决算为134.62万元，完成年初预算的1</w:t>
      </w:r>
      <w:r>
        <w:rPr>
          <w:rFonts w:hint="eastAsia" w:asciiTheme="minorEastAsia" w:hAnsiTheme="minorEastAsia" w:eastAsiaTheme="minorEastAsia"/>
          <w:sz w:val="32"/>
          <w:szCs w:val="32"/>
          <w:lang w:val="en-US" w:eastAsia="zh-CN"/>
        </w:rPr>
        <w:t>15.16</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主要原因</w:t>
      </w:r>
      <w:r>
        <w:rPr>
          <w:rFonts w:hint="eastAsia" w:asciiTheme="minorEastAsia" w:hAnsiTheme="minorEastAsia" w:eastAsiaTheme="minorEastAsia"/>
          <w:sz w:val="32"/>
          <w:szCs w:val="32"/>
        </w:rPr>
        <w:t>为上追加的业务经费。</w:t>
      </w:r>
    </w:p>
    <w:p>
      <w:pPr>
        <w:pStyle w:val="10"/>
        <w:spacing w:line="360" w:lineRule="auto"/>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7、住房保障支出（类）住房改革支出（款）住房公积金（项）。</w:t>
      </w:r>
    </w:p>
    <w:p>
      <w:pPr>
        <w:pStyle w:val="10"/>
        <w:spacing w:line="360" w:lineRule="auto"/>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年初预算为28.55万元，支出决算为28.55万元，完成年初预算的100%</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按预算执行</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六、一般公共预算财政拨款基本支出决算情况说明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2021年度财政拨款基本支出443.37万元，其中：人员经费362.12万元，占基本支出的81.67%,主要包括基本工资、津贴补贴、奖金、伙食补助费、</w:t>
      </w:r>
      <w:r>
        <w:rPr>
          <w:rFonts w:asciiTheme="minorEastAsia" w:hAnsiTheme="minorEastAsia" w:eastAsiaTheme="minorEastAsia"/>
          <w:sz w:val="32"/>
          <w:szCs w:val="32"/>
        </w:rPr>
        <w:t>绩效工资</w:t>
      </w:r>
      <w:r>
        <w:rPr>
          <w:rFonts w:hint="eastAsia" w:asciiTheme="minorEastAsia" w:hAnsiTheme="minorEastAsia" w:eastAsiaTheme="minorEastAsia"/>
          <w:sz w:val="32"/>
          <w:szCs w:val="32"/>
        </w:rPr>
        <w:t>、</w:t>
      </w:r>
      <w:r>
        <w:rPr>
          <w:rFonts w:asciiTheme="minorEastAsia" w:hAnsiTheme="minorEastAsia" w:eastAsiaTheme="minorEastAsia"/>
          <w:sz w:val="32"/>
          <w:szCs w:val="32"/>
        </w:rPr>
        <w:t>机关事业单位基本养老保险缴费</w:t>
      </w:r>
      <w:r>
        <w:rPr>
          <w:rFonts w:hint="eastAsia" w:asciiTheme="minorEastAsia" w:hAnsiTheme="minorEastAsia" w:eastAsiaTheme="minorEastAsia"/>
          <w:sz w:val="32"/>
          <w:szCs w:val="32"/>
        </w:rPr>
        <w:t>、</w:t>
      </w:r>
      <w:r>
        <w:rPr>
          <w:rFonts w:asciiTheme="minorEastAsia" w:hAnsiTheme="minorEastAsia" w:eastAsiaTheme="minorEastAsia"/>
          <w:sz w:val="32"/>
          <w:szCs w:val="32"/>
        </w:rPr>
        <w:t>职工基本医疗保险缴费</w:t>
      </w:r>
      <w:r>
        <w:rPr>
          <w:rFonts w:hint="eastAsia" w:asciiTheme="minorEastAsia" w:hAnsiTheme="minorEastAsia" w:eastAsiaTheme="minorEastAsia"/>
          <w:sz w:val="32"/>
          <w:szCs w:val="32"/>
        </w:rPr>
        <w:t>、</w:t>
      </w:r>
      <w:r>
        <w:rPr>
          <w:rFonts w:asciiTheme="minorEastAsia" w:hAnsiTheme="minorEastAsia" w:eastAsiaTheme="minorEastAsia"/>
          <w:sz w:val="32"/>
          <w:szCs w:val="32"/>
        </w:rPr>
        <w:t>其他社会保障缴费</w:t>
      </w:r>
      <w:r>
        <w:rPr>
          <w:rFonts w:hint="eastAsia" w:asciiTheme="minorEastAsia" w:hAnsiTheme="minorEastAsia" w:eastAsiaTheme="minorEastAsia"/>
          <w:sz w:val="32"/>
          <w:szCs w:val="32"/>
        </w:rPr>
        <w:t>、</w:t>
      </w:r>
      <w:r>
        <w:rPr>
          <w:rFonts w:asciiTheme="minorEastAsia" w:hAnsiTheme="minorEastAsia" w:eastAsiaTheme="minorEastAsia"/>
          <w:sz w:val="32"/>
          <w:szCs w:val="32"/>
        </w:rPr>
        <w:t>住房公积金</w:t>
      </w:r>
      <w:r>
        <w:rPr>
          <w:rFonts w:hint="eastAsia" w:asciiTheme="minorEastAsia" w:hAnsiTheme="minorEastAsia" w:eastAsiaTheme="minorEastAsia"/>
          <w:sz w:val="32"/>
          <w:szCs w:val="32"/>
        </w:rPr>
        <w:t>、</w:t>
      </w:r>
      <w:r>
        <w:rPr>
          <w:rFonts w:asciiTheme="minorEastAsia" w:hAnsiTheme="minorEastAsia" w:eastAsiaTheme="minorEastAsia"/>
          <w:sz w:val="32"/>
          <w:szCs w:val="32"/>
        </w:rPr>
        <w:t>其他工资福利支出</w:t>
      </w:r>
      <w:r>
        <w:rPr>
          <w:rFonts w:hint="eastAsia" w:asciiTheme="minorEastAsia" w:hAnsiTheme="minorEastAsia" w:eastAsiaTheme="minorEastAsia"/>
          <w:sz w:val="32"/>
          <w:szCs w:val="32"/>
        </w:rPr>
        <w:t>；公用经费81.25万元，占基本支出的18.33%，主要包括办公费、印刷费、水费、电费、邮电费、物业管理费、差旅费、维修（护）费、公务接待费、专用材料费、劳务费、工会经费、福利费、公务用车运行维护费、其他交通费用、其他商品和服务支出。</w:t>
      </w:r>
    </w:p>
    <w:p>
      <w:pPr>
        <w:pStyle w:val="10"/>
        <w:rPr>
          <w:rFonts w:asciiTheme="minorEastAsia" w:hAnsiTheme="minorEastAsia" w:eastAsiaTheme="minorEastAsia"/>
          <w:sz w:val="32"/>
          <w:szCs w:val="32"/>
        </w:rPr>
      </w:pPr>
      <w:r>
        <w:rPr>
          <w:rFonts w:hint="eastAsia" w:hAnsi="黑体"/>
          <w:b/>
          <w:sz w:val="32"/>
          <w:szCs w:val="32"/>
        </w:rPr>
        <w:t>七、一般公共预算财政拨款“三公”经费支出决算情况说明</w:t>
      </w:r>
    </w:p>
    <w:p>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2021年度“三公”经费财政拨款支出预算为27.30万元，支出决算为27.25万元，完成预算的99.82%，其中：</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万元，支出决算为0万元，决算数和年初预算数没有增减主要原因是年初没有预算安排，也没用该项费用支出，与上年相比没有增减，主要原因是都没有预算安排，都没有该项费用支出。</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公务接待费支出预算为4.70万元，支出决算为4.70万元，完成预算的100%，</w:t>
      </w:r>
      <w:r>
        <w:rPr>
          <w:rFonts w:hint="eastAsia" w:asciiTheme="minorEastAsia" w:hAnsiTheme="minorEastAsia" w:eastAsiaTheme="minorEastAsia"/>
          <w:sz w:val="32"/>
          <w:szCs w:val="32"/>
          <w:lang w:val="en-US" w:eastAsia="zh-CN"/>
        </w:rPr>
        <w:t>决算数与预算数一致，是因为我单位严格按预算开支三公经费。</w:t>
      </w:r>
      <w:r>
        <w:rPr>
          <w:rFonts w:hint="eastAsia" w:asciiTheme="minorEastAsia" w:hAnsiTheme="minorEastAsia" w:eastAsiaTheme="minorEastAsia"/>
          <w:sz w:val="32"/>
          <w:szCs w:val="32"/>
        </w:rPr>
        <w:t>与上年相比减少0.03万元，减少0.63%,减少的主要原因是根据中央八项规定厉行节约。</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公务用车购置费支出预算为18万元，支出决算为18万元，完成预算的100%，与上年相比增加18万元,增加的主要原因是2021年度新购置公务用车1台。</w:t>
      </w:r>
      <w:bookmarkStart w:id="3" w:name="_GoBack"/>
      <w:bookmarkEnd w:id="3"/>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公务用车运行维护费支出预算为4.60万元，支出决算为4.55万元，完成预算的98.91%，决算数小于预算数的主要原因是中央八项规定厉行节约，与上年</w:t>
      </w:r>
      <w:r>
        <w:rPr>
          <w:rFonts w:hint="eastAsia" w:asciiTheme="minorEastAsia" w:hAnsiTheme="minorEastAsia" w:eastAsiaTheme="minorEastAsia"/>
          <w:sz w:val="32"/>
          <w:szCs w:val="32"/>
          <w:lang w:val="en-US" w:eastAsia="zh-CN"/>
        </w:rPr>
        <w:t>决算数</w:t>
      </w:r>
      <w:r>
        <w:rPr>
          <w:rFonts w:hint="eastAsia" w:asciiTheme="minorEastAsia" w:hAnsiTheme="minorEastAsia" w:eastAsiaTheme="minorEastAsia"/>
          <w:sz w:val="32"/>
          <w:szCs w:val="32"/>
        </w:rPr>
        <w:t>相比增加2.78万元，增加的主要原因是车辆老旧，维修费用高。</w:t>
      </w:r>
    </w:p>
    <w:p>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2021年度“三公”经费财政拨款支出决算中，公务接待费支出决算4.70万元，占17.25%,因公出国（境）费支出决算0万元，占0%,公务用车购置费及运行维护费支出决算22.55万元，占82.75%。其中：</w:t>
      </w:r>
    </w:p>
    <w:p>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sz w:val="32"/>
          <w:szCs w:val="32"/>
        </w:rPr>
        <w:t>1、因公出国（境）费支出决算为0万元，全年安排因公出国（境）团组0个，累计0人次,无开支</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2、公务接待费支出决算为4.70万元，全年共接待来访团组56个、来宾674人次，主要是省级、各市州中心和县级业务往来发生的接待支出。</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3、公务用车购置费及运行维护费支出决算为22.55万元，其中：公务用车购置费18万元，我中心新购置公务用车1辆</w:t>
      </w:r>
      <w:r>
        <w:rPr>
          <w:rFonts w:hint="eastAsia" w:asciiTheme="minorEastAsia" w:hAnsiTheme="minorEastAsia"/>
          <w:color w:val="000000" w:themeColor="text1"/>
          <w:sz w:val="32"/>
          <w:szCs w:val="32"/>
          <w14:textFill>
            <w14:solidFill>
              <w14:schemeClr w14:val="tx1"/>
            </w14:solidFill>
          </w14:textFill>
        </w:rPr>
        <w:t>，拍卖处置公务用车1辆。</w:t>
      </w:r>
      <w:r>
        <w:rPr>
          <w:rFonts w:hint="eastAsia" w:asciiTheme="minorEastAsia" w:hAnsiTheme="minorEastAsia"/>
          <w:sz w:val="32"/>
          <w:szCs w:val="32"/>
        </w:rPr>
        <w:t>公务用车运行维护费4.55万元，主要是维修费、保险费、过路过桥费、油费支出</w:t>
      </w:r>
      <w:r>
        <w:rPr>
          <w:rFonts w:hint="eastAsia" w:asciiTheme="minorEastAsia" w:hAnsiTheme="minorEastAsia"/>
          <w:sz w:val="32"/>
          <w:szCs w:val="32"/>
          <w:lang w:eastAsia="zh-CN"/>
        </w:rPr>
        <w:t>。</w:t>
      </w:r>
      <w:r>
        <w:rPr>
          <w:rFonts w:hint="eastAsia" w:asciiTheme="minorEastAsia" w:hAnsiTheme="minorEastAsia"/>
          <w:sz w:val="32"/>
          <w:szCs w:val="32"/>
        </w:rPr>
        <w:t>截止2021年12月31日，我单位开支财政拨款的公务用车保有量为3辆。</w:t>
      </w:r>
    </w:p>
    <w:p>
      <w:pPr>
        <w:pStyle w:val="10"/>
        <w:rPr>
          <w:rFonts w:hAnsi="黑体"/>
          <w:b/>
          <w:sz w:val="32"/>
          <w:szCs w:val="32"/>
        </w:rPr>
      </w:pPr>
      <w:r>
        <w:rPr>
          <w:rFonts w:hint="eastAsia" w:hAnsi="黑体"/>
          <w:b/>
          <w:sz w:val="32"/>
          <w:szCs w:val="32"/>
        </w:rPr>
        <w:t>八、政府性基金预算收入支出决算情况</w:t>
      </w:r>
    </w:p>
    <w:p>
      <w:pPr>
        <w:pStyle w:val="10"/>
        <w:ind w:firstLine="648"/>
        <w:rPr>
          <w:rFonts w:asciiTheme="minorEastAsia" w:hAnsiTheme="minorEastAsia" w:eastAsiaTheme="minorEastAsia"/>
          <w:sz w:val="32"/>
          <w:szCs w:val="32"/>
        </w:rPr>
      </w:pPr>
      <w:r>
        <w:rPr>
          <w:rFonts w:hint="eastAsia" w:asciiTheme="minorEastAsia" w:hAnsiTheme="minorEastAsia" w:eastAsiaTheme="minorEastAsia"/>
          <w:sz w:val="32"/>
          <w:szCs w:val="32"/>
        </w:rPr>
        <w:t>本单位无政府性基金收支</w:t>
      </w:r>
    </w:p>
    <w:p>
      <w:pPr>
        <w:pStyle w:val="10"/>
        <w:rPr>
          <w:rFonts w:hAnsi="黑体"/>
          <w:b/>
          <w:sz w:val="32"/>
          <w:szCs w:val="32"/>
        </w:rPr>
      </w:pPr>
      <w:r>
        <w:rPr>
          <w:rFonts w:hint="eastAsia" w:hAnsi="黑体"/>
          <w:b/>
          <w:sz w:val="32"/>
          <w:szCs w:val="32"/>
        </w:rPr>
        <w:t>九、机关运行经费支出说明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本单位2021年度机关运行经费支出</w:t>
      </w:r>
      <w:r>
        <w:rPr>
          <w:rFonts w:hint="eastAsia" w:asciiTheme="minorEastAsia" w:hAnsiTheme="minorEastAsia" w:eastAsiaTheme="minorEastAsia"/>
          <w:sz w:val="32"/>
          <w:szCs w:val="32"/>
          <w:lang w:val="en-US" w:eastAsia="zh-CN"/>
        </w:rPr>
        <w:t>81.25万元，与上年决算数相比，增加35.45万元，增加77.40%，主要原因为机构改革后业务增加，公用经费随之增加</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十、一般性支出情况说明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2021年本部门开支会议费0万元；开支培训费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万元。我单位未举行晚会、论坛、赛事等活动。</w:t>
      </w:r>
    </w:p>
    <w:p>
      <w:pPr>
        <w:pStyle w:val="10"/>
        <w:rPr>
          <w:rFonts w:hAnsi="黑体"/>
          <w:b/>
          <w:sz w:val="32"/>
          <w:szCs w:val="32"/>
        </w:rPr>
      </w:pPr>
      <w:r>
        <w:rPr>
          <w:rFonts w:hint="eastAsia" w:hAnsi="黑体"/>
          <w:b/>
          <w:sz w:val="32"/>
          <w:szCs w:val="32"/>
        </w:rPr>
        <w:t>十一、政府采购支出说明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本部门2021年度政府采购支出总额311.74万元，其中：政府采购货物支出311.74 万元、政府采购工程支出0 万元、政府采购服务支出0万元。授予中小企业合同金额308.04万元，占政府采购支出总额的98.81%，其中：授予小微企业合同金额292.81万元，占政府采购支出总额的9</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93</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十二、国有资产占用情况说明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2021年12月31日，本单位共有车辆3辆，其中，主要领导干部用车0辆，机要通信用车0辆、应急保障用车1辆、执法执勤用车0辆、特种专业技术用车0辆、其他用车2辆，其他用车主要是业务采样用车；单位价值50万元以上通用设备3台（套）；单位价值100万元以上专用设备0台（套）。</w:t>
      </w:r>
    </w:p>
    <w:p>
      <w:pPr>
        <w:pStyle w:val="10"/>
        <w:rPr>
          <w:rFonts w:hint="eastAsia" w:hAnsi="黑体"/>
          <w:b/>
          <w:sz w:val="32"/>
          <w:szCs w:val="32"/>
        </w:rPr>
      </w:pPr>
      <w:r>
        <w:rPr>
          <w:rFonts w:hint="eastAsia" w:hAnsi="黑体"/>
          <w:b/>
          <w:sz w:val="32"/>
          <w:szCs w:val="32"/>
        </w:rPr>
        <w:t>十三、2021年度预算绩效情况说明</w:t>
      </w:r>
    </w:p>
    <w:p>
      <w:pPr>
        <w:pStyle w:val="10"/>
        <w:ind w:firstLine="640" w:firstLineChars="200"/>
        <w:rPr>
          <w:rFonts w:hint="eastAsia" w:cs="黑体" w:asciiTheme="minorEastAsia" w:hAnsiTheme="minorEastAsia" w:eastAsiaTheme="minorEastAsia"/>
          <w:color w:val="000000"/>
          <w:kern w:val="0"/>
          <w:sz w:val="32"/>
          <w:szCs w:val="32"/>
          <w:highlight w:val="none"/>
        </w:rPr>
      </w:pPr>
      <w:r>
        <w:rPr>
          <w:rFonts w:hint="eastAsia" w:cs="黑体" w:asciiTheme="minorEastAsia" w:hAnsiTheme="minorEastAsia" w:eastAsiaTheme="minorEastAsia"/>
          <w:color w:val="000000"/>
          <w:kern w:val="0"/>
          <w:sz w:val="32"/>
          <w:szCs w:val="32"/>
          <w:highlight w:val="none"/>
        </w:rPr>
        <w:t>为进一步规范财政资金管理，强化绩效和责任意识，切实提高财政资金使用效益，</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我部门组织对2021年部门整体支出进行绩效自评，涉及财政资金</w:t>
      </w:r>
      <w:r>
        <w:rPr>
          <w:rFonts w:hint="eastAsia" w:cs="黑体" w:asciiTheme="minorEastAsia" w:hAnsiTheme="minorEastAsia" w:eastAsiaTheme="minorEastAsia"/>
          <w:kern w:val="0"/>
          <w:sz w:val="32"/>
          <w:szCs w:val="32"/>
        </w:rPr>
        <w:t>1,239.61</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万元，其中：基本支出</w:t>
      </w:r>
      <w:r>
        <w:rPr>
          <w:rFonts w:hint="eastAsia" w:cs="黑体" w:asciiTheme="minorEastAsia" w:hAnsiTheme="minorEastAsia" w:eastAsiaTheme="minorEastAsia"/>
          <w:kern w:val="0"/>
          <w:sz w:val="32"/>
          <w:szCs w:val="32"/>
        </w:rPr>
        <w:t>572.40</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万元，项目支出</w:t>
      </w:r>
      <w:r>
        <w:rPr>
          <w:rFonts w:hint="eastAsia" w:cs="黑体" w:asciiTheme="minorEastAsia" w:hAnsiTheme="minorEastAsia" w:eastAsiaTheme="minorEastAsia"/>
          <w:kern w:val="0"/>
          <w:sz w:val="32"/>
          <w:szCs w:val="32"/>
        </w:rPr>
        <w:t>667.20</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万元。从评价结果看，资金使用效益较好，</w:t>
      </w:r>
      <w:r>
        <w:rPr>
          <w:rFonts w:hint="eastAsia" w:cs="黑体" w:asciiTheme="minorEastAsia" w:hAnsiTheme="minorEastAsia" w:eastAsiaTheme="minorEastAsia"/>
          <w:i w:val="0"/>
          <w:iCs w:val="0"/>
          <w:caps w:val="0"/>
          <w:color w:val="000000"/>
          <w:spacing w:val="0"/>
          <w:kern w:val="0"/>
          <w:sz w:val="32"/>
          <w:szCs w:val="32"/>
          <w:highlight w:val="none"/>
          <w:shd w:val="clear" w:fill="auto"/>
        </w:rPr>
        <w:t>达到了预期绩效目标。</w:t>
      </w:r>
    </w:p>
    <w:p>
      <w:pPr>
        <w:pStyle w:val="10"/>
        <w:ind w:firstLine="640" w:firstLineChars="200"/>
        <w:rPr>
          <w:rFonts w:hint="eastAsia" w:cs="黑体" w:asciiTheme="minorEastAsia" w:hAnsiTheme="minorEastAsia" w:eastAsiaTheme="minorEastAsia"/>
          <w:b w:val="0"/>
          <w:color w:val="000000"/>
          <w:kern w:val="0"/>
          <w:sz w:val="32"/>
          <w:szCs w:val="32"/>
        </w:rPr>
      </w:pPr>
      <w:r>
        <w:rPr>
          <w:rFonts w:hint="eastAsia" w:cs="黑体" w:asciiTheme="minorEastAsia" w:hAnsiTheme="minorEastAsia" w:eastAsiaTheme="minorEastAsia"/>
          <w:color w:val="000000"/>
          <w:kern w:val="0"/>
          <w:sz w:val="32"/>
          <w:szCs w:val="32"/>
          <w:highlight w:val="none"/>
        </w:rPr>
        <w:t>本部门预算绩效管理开展情况、绩效目标和绩效评价报告等详见附件</w:t>
      </w:r>
      <w:r>
        <w:rPr>
          <w:rFonts w:hint="eastAsia" w:cs="黑体" w:asciiTheme="minorEastAsia" w:hAnsiTheme="minorEastAsia" w:eastAsiaTheme="minorEastAsia"/>
          <w:color w:val="000000"/>
          <w:kern w:val="0"/>
          <w:sz w:val="32"/>
          <w:szCs w:val="32"/>
          <w:highlight w:val="none"/>
          <w:lang w:eastAsia="zh-CN"/>
        </w:rPr>
        <w:t>。</w:t>
      </w:r>
    </w:p>
    <w:p>
      <w:pPr>
        <w:pStyle w:val="10"/>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pStyle w:val="11"/>
        <w:numPr>
          <w:ilvl w:val="0"/>
          <w:numId w:val="2"/>
        </w:numPr>
        <w:ind w:firstLineChars="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财政拨款收入：指财政当年拨付的资金。</w:t>
      </w:r>
    </w:p>
    <w:p>
      <w:pPr>
        <w:ind w:left="64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2、事业收入：指事业单位开展专业业务活动及辅助活动所取得的收入。</w:t>
      </w:r>
    </w:p>
    <w:p>
      <w:pPr>
        <w:ind w:left="64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3、经营收入：指事业单位在专业业务活动及其辅助活动之外开展非独立核算经营活动取得的收入。</w:t>
      </w:r>
    </w:p>
    <w:p>
      <w:pPr>
        <w:ind w:left="64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4、其他收入：指除上述“财政拨款收入”、“事业收入”、“经营收入”等以外的收入。</w:t>
      </w:r>
    </w:p>
    <w:p>
      <w:pPr>
        <w:ind w:left="64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5、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ind w:left="64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6、年初结转和结余：指以前年度尚未完成、结转到本年按有关规定继续使用的资金。</w:t>
      </w:r>
    </w:p>
    <w:p>
      <w:pPr>
        <w:ind w:left="64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7、结余分配：指事业单位按规定提取的职工福利基金、事业基金和缴纳的所得税，以及建设单位按规定应交回的基本建设竣工项目结余资金。</w:t>
      </w:r>
    </w:p>
    <w:p>
      <w:pPr>
        <w:ind w:left="64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8、年末结转和结余：指本年度或以前年度预算安排、因客观条件发生变化无法按原计划实施，需延迟到以后年度按</w:t>
      </w:r>
    </w:p>
    <w:p>
      <w:pPr>
        <w:ind w:left="64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有关规定继续使用的资金。</w:t>
      </w:r>
    </w:p>
    <w:p>
      <w:pPr>
        <w:ind w:left="64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9、基本支出：指为保障机构正常运转、完成日常工作任务而发生的人员支出和公用支出。</w:t>
      </w:r>
    </w:p>
    <w:p>
      <w:pPr>
        <w:ind w:left="64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10、项目支出：指在基本支出之外为完成特定行政任务和事业发展目标所发生的支出。</w:t>
      </w:r>
    </w:p>
    <w:p>
      <w:pPr>
        <w:ind w:left="64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11、经营支出：指事业单位在专业业务活动及其辅助活动之外开展非独立核算经营活动发生的支出。</w:t>
      </w:r>
    </w:p>
    <w:p>
      <w:pPr>
        <w:ind w:left="64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12、“三公”经费：纳入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left="64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13、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2021年度部门整体支出绩效评价报告</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为了强化部门支出责任，推进财政科学化精细化管理，提高财政资金管理使用效益，提升管理水平，我中心预算支出管理部门认真开展并组织了2021年度部门整体支出绩效自评工作，现将绩效评价情况报告如下：</w:t>
      </w:r>
    </w:p>
    <w:p>
      <w:pPr>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一、部门概况</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湖南省永州生态环境监测中心成立于1976年，是全额拨款的公益性事业单位。财务核算执行事业单位会计制度。</w:t>
      </w:r>
    </w:p>
    <w:p>
      <w:pPr>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（一）机构设置</w:t>
      </w:r>
    </w:p>
    <w:p>
      <w:pPr>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 xml:space="preserve">   湖南省永州生态环境监测中心是副处级公益性一类事业单位，内设科室7个，分别是办公财务科、党建人事科、综合研究科、分析技术科、现场监测科、自动监测科、质控与资产管理科。核定编制数为35人，现有在编在岗36人，退休人员13人，临聘人员15人。</w:t>
      </w:r>
    </w:p>
    <w:p>
      <w:pPr>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（二）基本职能</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主要负责永州市生态环境质量监测、分析评价工作；负责永州市环境质量网络和信息系统的维护管理；指导和协助永州市生态环境局开展生态环境应急监测、执法监测、污染源监测等工作；负责对县级环境监测机构开展技术和业务指导；负责承办上级部门交办的其他环境监测工作。</w:t>
      </w:r>
    </w:p>
    <w:p>
      <w:pPr>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（三）制度建设</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为加强部门整体支出管理，强化国有资产管理，提高财政资金的使用效益，提高财务的精细化管理水平，在日常的管理工作之外，湖南省永州生态环境监测中心制定了相关管理制度；为提高日常工作效益，提高理论业务学习能力，加强党风廉政建设，制定了相关管理制度，单位工作以制度规范行为。</w:t>
      </w:r>
    </w:p>
    <w:p>
      <w:pPr>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财务管理制度主要从资金使用和管理、财务收支、经费支出、费用报销、日常办公用品管理、差旅费管理和借支款管理进行了制定，部分项目制度制定简要。《专项资金使用管理办法》：规范了资金使用范围、分配方式、下达和使用、绩效评价和监督检查，办法制定较为完善。《固定资产管理制度》：对固定资产的核算、购置、验收、保管、使用、清查和赔偿做了具体规定，操作方便。</w:t>
      </w:r>
    </w:p>
    <w:p>
      <w:pPr>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二、部门整体支出管理及使用情况</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2021年年初预算收入数为821.16万元，包括上年结余116.90万元，年初部门预算收入704.26万元。2021年度财政资金决算支出数为1239.61万元。根据本次绩效评价的统计口径，只对年初部门预算收入数704.26万元，进行资金的整体评价，具体情况如下：</w:t>
      </w:r>
    </w:p>
    <w:p>
      <w:pPr>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（一）</w:t>
      </w:r>
      <w:r>
        <w:rPr>
          <w:rFonts w:hint="eastAsia" w:cs="黑体" w:asciiTheme="minorEastAsia" w:hAnsiTheme="minorEastAsia"/>
          <w:color w:val="000000"/>
          <w:kern w:val="0"/>
          <w:sz w:val="32"/>
          <w:szCs w:val="32"/>
        </w:rPr>
        <w:tab/>
      </w:r>
      <w:r>
        <w:rPr>
          <w:rFonts w:hint="eastAsia" w:cs="黑体" w:asciiTheme="minorEastAsia" w:hAnsiTheme="minorEastAsia"/>
          <w:color w:val="000000"/>
          <w:kern w:val="0"/>
          <w:sz w:val="32"/>
          <w:szCs w:val="32"/>
        </w:rPr>
        <w:t>基本支出情况</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 xml:space="preserve">基本支出系保障我中心机构正常运转、完成日常工作任务而发生的各项支出，包括用于在职人员基本工资、津贴补贴等人员经费以及办公费、印刷费、水电费、办公设备购置等日常公用经费。2021年基本支出572.40万元，其中人员经费503.58万元，日常公用经费68.82万元。  </w:t>
      </w:r>
    </w:p>
    <w:p>
      <w:pPr>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（二）项目支出情况</w:t>
      </w:r>
    </w:p>
    <w:p>
      <w:pPr>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 xml:space="preserve">    项目经费的来源为年初部门预算数260.89万元和年中追加的预算数406.31万元，共计667.20万元，主要是2021年业务工作专项和省级环境保护专项两大类，按具体项目划分，主要用于环境质量监测费用160.89万元；实验室改造项目87.84万元；实验室运行维护费用40万元；仪器设备购置38.51万元；党建经费15.41万元；监测业务用车购置18万元；土壤环境及底泥监测经费1.98万元；2021年土壤污染防治专项资金132.92万元；重点污染源监督性监测经费配套1.68万元；空气自动监测站质控与考核费用14.22万元；监测事权上收改革79.99万元等专项支出。</w:t>
      </w:r>
    </w:p>
    <w:p>
      <w:pPr>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三、部门整体支出绩效情况</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总体来说，2021年部门整体支出绩效目标完成情况较好，主要绩效目标完成情况如下：</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一、围绕两个服务，推动改革新成效，支撑力和影响力进一步提升。</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1、服务环境管理取得新成效。加强对敏感环境问题的实时监测和分析研判，深度挖掘生态环境监测数据价值，创新监测产品，全年共编制各类生态环境质量综合分析报告共64期；主动开展10个大气污染重点区域及8个地表水敏感断面溯源分析；积极探索并建立了“数据有效审核、实地勘察调研、综合分析研判、水质预警函报、组织定期会商”的水环境质量监测预警工作机制，向管理部门推送水质预警函报8期。配合地方开展大气污染包干巡查，及时发现、预警、推送问题，有力支撑地方“精准治污”。</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2、服务公众环境权益取得新成效。一是以监测信息推送为抓手，深化信息公开。充分运用互联网、公众号、广播电台等媒体实时公开环境质量信息，满足公众知情权。二是不断挖掘自身资源，加大公众开放力度。永州中心作为环保设施向公众开放单位和生态环境教育基地，切实履行生态环境保护宣传教育职责，通过开展“我为群众讲监测”系列活动，向公众开放16场次，发放科普宣传资料1000余份，对外接待400余人次，有效引导群众自觉履行环保职责。三是监测产品创佳绩，实现质的飞跃。中心凝智聚力编制的《“十三五”永州市生态环境质量报告书》被生态环境部评估为良好等次，位列全省驻市州中心第一。</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二、聚焦三项能力，实现效率新突破，创新性和科学性进一步提升。</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1、提升质量管理能力。多措并举加强内、外部质量控制，覆盖生态环境监测全过程，全年未出现质量事故，质控合格率100%；能力验证满意率100%。及时换版管理体系文件，今年先后完成资质认定地址变更、方法变更、扩项和复评审工作。配合省厅、市局对22家自行监测排污单位、12家第三方检测机构开展质量专项检查，推动监测数据“真准全”。对省控空气自动监测创新模式开展第四方质控核查，有效提升自动站管理效率，确保自动监测稳定准确。</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2、提升预警预报能力。探索并建立了水环境质量监测预警工作机制；深化与气象部门技术合作，开展深层次业务交流，空气质量级别预报准确率达92.7％，准确率据全省中上水平，为打赢蓝天、碧水保卫战提供有力的技术支撑。</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3、提升应急监测能力。完善中心应急监测预案编制，每季度开展现场仪器培训和实操，组织全市现场监测及应急监测技术培训及现场应急演练观摩学习，配合市局参与4起突发事件的应急监测，为突发环境事件的有效处置提供了坚强保证。</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三、突出四个建设，迈上发展新高度，战斗力和凝聚力进一步提升。</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1、扎实推进能力建设，锻造监测业务的“金刚钻” 。在省厅、省中心的关心支持下，永州中心进一步补齐短板，新增仪器设备35台（套），监测能力扩项29项、扩方法14项，实现了生态环境监测能力的大幅提升。</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2、着力技术人才建设，练就勤学擅为的“排头兵”。定期开展专题业务培训18次，内部培训500余人次，外部培训80余人次，形成比学赶超的良好氛围，提高了监测人员的技术水平和能力素质。借结对交流乘势而上，“精派干部、精准对口、精确帮扶”互学互鉴，在办公财务、质量与资产管理、环境质量报告书编制等方面进一步提升。</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3、优化干部队伍建设，注入干事创业的“新血液”。立足中心实际，科学配置内设机构及职能，建立了“职责清晰、分工合理、管理有序、高效统一”的内部运行机制；完成垂管后岗位设置，首次出台《永州中心专业技术职称申报及岗位晋级管理办法》，打破以往论资排辈的晋升模式实现量化考核。加大人才引进力度，通过公开招考劳务派遣人员的方式，</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4、不断深化作风建设，夯实监测事业的“压舱石”。严格执行作风建设的规定，弘扬依法监测、科学监测、诚信监测的行风文化和职业道德规范。加强日常工作纪律监督检查，制定绩效工资改革实施方案，建立按岗取酬、多劳多得的考核分配机制，提高工作效能，促进中心实现高质量发展。</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四、完成五大任务，彰显监测新作为，执行力和源动力进一步提升。</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1、环境空气质量监测精准支撑。完善了“十四五”省控空气质量监测网络，技术支撑国控点位设备更新。实行空气质量数据日常值守，对17个站点变化趋势进行深入分析，及时掌握及时反馈；对空气站的质量控制设备进行定期标准溯源，定期开展质控检查，确保自动监测规范。</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2、水环境质量监测助推改善。科学支撑“十四五”水环境质量监测点位优化，在常规任务的基础上开展辖区内重金属、黑臭水体和湘江流域永州段水华等专项监测；督促水站运维保障落实，对饮用水水源地水站和14个新建长江经济带水站开展验收比对监测27次，及时高效保证了水站稳定运行，为打好碧水保卫战提供有力支撑。</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3、土壤环境、地下水和生态监测扎实开展。完成21个国家网基础点、3个一般风险监控点、4个省级交通干线监测点和2个底泥点的土壤网监测工作；参与2021年长江流域国家地下水环境质量考核点位的现场监测；完成湘江老埠头断面生物监测2期；组织辖区内11个县级监测站开展2021年重点生态功能区县域生态遥感野外核查。</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4、执法监测响应迅速。按照“测管协同”、“监测监察联动”的原则，支持配合市局支队和分局加大对涉重金属、生活垃圾填埋场、水泥、砖厂和化工等重点监管行业执法监测力度，全年共开展45次污染源执法监测。</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5、专项监测有序实施。完成湘江流域永州段涉铊专项监测298个样品的采集和分析任务；完成重点省控地表水、市级、县级集中式生活饮用水水源地的重金属加密监测35期；对水质超标、降类别及枯水期水质风险较大的重点地表水监测断面实施加密监测4期；配合省厅开展自行监测专项检查、入河排污口专项质量核查等；全力配合做好中央环保督察专项监测工作；完成107个城市区域噪声点、50个城市道路交通噪声点和10个城市功能区噪声点的声环境质量监测工作。</w:t>
      </w:r>
    </w:p>
    <w:p>
      <w:pPr>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 xml:space="preserve">   2021年，永州中心在生态环境质量报告书编制上取得了骄人成绩，在综合分析上实现了从默默无名的小站向第一梯队的跨越。2022年将继续坚持党建引领，推动永州中心监测事业的高质量发展，来为守护好永州这一片蓝天绿水净土做出更大的贡献。</w:t>
      </w:r>
    </w:p>
    <w:p>
      <w:pPr>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 xml:space="preserve">四、存在的主要问题及下一步改进措施 </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2021年财政部门预算资金整体执行情况较好，基本完成了各项年初设定的绩效目标，但也存在一些问题：</w:t>
      </w:r>
    </w:p>
    <w:p>
      <w:pPr>
        <w:ind w:firstLine="320" w:firstLineChars="1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一）存在的问题。一是预算编制不够科学合理。业务工作经费预算数按照上划数为依据，没有按照实际业务量编制，地方财政困难，市级保障无法全面落实。如在编人员的地方性奖励资金（综治奖）、聘用人员的工资福利、退休人员的部分福利及市局委托的地方事权经费均无法保障，造成经费严重不足，资金缺口大。二是专项项目资金实施进度缓慢。由于项目前期工作不充分，加上政府采购等程序耗时长，导致部分专项资金滞留，未形成支出，影响执行率。</w:t>
      </w:r>
    </w:p>
    <w:p>
      <w:pPr>
        <w:ind w:firstLine="320" w:firstLineChars="1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（二）下一步改进措施。一是完善预算编制。科学合理的编制下一年的预算。多渠道争取资金，保证工作的正常开展，切实提高预算执行率和资金使用效益。二是加强项目实施进度调度，加速推进项目建设。</w:t>
      </w:r>
    </w:p>
    <w:p>
      <w:pPr>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sectPr>
      <w:pgSz w:w="11906" w:h="16838"/>
      <w:pgMar w:top="720" w:right="1071" w:bottom="720" w:left="107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Microsoft YaHei UI"/>
    <w:panose1 w:val="00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611FCE"/>
    <w:multiLevelType w:val="multilevel"/>
    <w:tmpl w:val="26611FCE"/>
    <w:lvl w:ilvl="0" w:tentative="0">
      <w:start w:val="1"/>
      <w:numFmt w:val="decimal"/>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4506F9"/>
    <w:rsid w:val="0002229B"/>
    <w:rsid w:val="000273BD"/>
    <w:rsid w:val="000415B7"/>
    <w:rsid w:val="00041E3F"/>
    <w:rsid w:val="00055DAA"/>
    <w:rsid w:val="00061F7B"/>
    <w:rsid w:val="000658A3"/>
    <w:rsid w:val="00074155"/>
    <w:rsid w:val="00077CA1"/>
    <w:rsid w:val="000873EF"/>
    <w:rsid w:val="000A2588"/>
    <w:rsid w:val="000A3F69"/>
    <w:rsid w:val="000F7B5B"/>
    <w:rsid w:val="00103957"/>
    <w:rsid w:val="00124A1F"/>
    <w:rsid w:val="00152C6D"/>
    <w:rsid w:val="00162D39"/>
    <w:rsid w:val="001678BD"/>
    <w:rsid w:val="00182373"/>
    <w:rsid w:val="001A67DB"/>
    <w:rsid w:val="001C3C29"/>
    <w:rsid w:val="001D51E5"/>
    <w:rsid w:val="001E080D"/>
    <w:rsid w:val="001E17F6"/>
    <w:rsid w:val="001E53D0"/>
    <w:rsid w:val="001F0C3B"/>
    <w:rsid w:val="00202C14"/>
    <w:rsid w:val="00202C82"/>
    <w:rsid w:val="00214427"/>
    <w:rsid w:val="00225F12"/>
    <w:rsid w:val="00226CB7"/>
    <w:rsid w:val="00241DBF"/>
    <w:rsid w:val="00264552"/>
    <w:rsid w:val="00264EF9"/>
    <w:rsid w:val="00265724"/>
    <w:rsid w:val="0027426B"/>
    <w:rsid w:val="002D568C"/>
    <w:rsid w:val="002E0A30"/>
    <w:rsid w:val="003130C4"/>
    <w:rsid w:val="00316C4B"/>
    <w:rsid w:val="0032192B"/>
    <w:rsid w:val="003271C5"/>
    <w:rsid w:val="003479BD"/>
    <w:rsid w:val="0037197D"/>
    <w:rsid w:val="003768D5"/>
    <w:rsid w:val="003B4EC1"/>
    <w:rsid w:val="003C4197"/>
    <w:rsid w:val="003C47E6"/>
    <w:rsid w:val="003C4FC2"/>
    <w:rsid w:val="003E2331"/>
    <w:rsid w:val="00416E61"/>
    <w:rsid w:val="00424316"/>
    <w:rsid w:val="0042790C"/>
    <w:rsid w:val="004506F9"/>
    <w:rsid w:val="004717A2"/>
    <w:rsid w:val="00471C70"/>
    <w:rsid w:val="00473DF3"/>
    <w:rsid w:val="00474C39"/>
    <w:rsid w:val="00487911"/>
    <w:rsid w:val="00491741"/>
    <w:rsid w:val="004938CB"/>
    <w:rsid w:val="004A4AF3"/>
    <w:rsid w:val="004B0CEE"/>
    <w:rsid w:val="00500E5F"/>
    <w:rsid w:val="00503291"/>
    <w:rsid w:val="005122EF"/>
    <w:rsid w:val="0051441A"/>
    <w:rsid w:val="00517C33"/>
    <w:rsid w:val="00517D5F"/>
    <w:rsid w:val="00521AF2"/>
    <w:rsid w:val="00523644"/>
    <w:rsid w:val="0054069E"/>
    <w:rsid w:val="00544866"/>
    <w:rsid w:val="005767CC"/>
    <w:rsid w:val="00590D9F"/>
    <w:rsid w:val="00595D26"/>
    <w:rsid w:val="005A74E6"/>
    <w:rsid w:val="005B404E"/>
    <w:rsid w:val="005B6EBD"/>
    <w:rsid w:val="005D2D2A"/>
    <w:rsid w:val="005D4D55"/>
    <w:rsid w:val="005E2CFB"/>
    <w:rsid w:val="005F2103"/>
    <w:rsid w:val="005F3D1C"/>
    <w:rsid w:val="00600318"/>
    <w:rsid w:val="0062378F"/>
    <w:rsid w:val="00636C97"/>
    <w:rsid w:val="00640829"/>
    <w:rsid w:val="00641842"/>
    <w:rsid w:val="00651EEC"/>
    <w:rsid w:val="00686050"/>
    <w:rsid w:val="00686673"/>
    <w:rsid w:val="00691E8C"/>
    <w:rsid w:val="006A22C4"/>
    <w:rsid w:val="006A348B"/>
    <w:rsid w:val="006A351B"/>
    <w:rsid w:val="006B0422"/>
    <w:rsid w:val="006C1B53"/>
    <w:rsid w:val="006C36CE"/>
    <w:rsid w:val="006D7730"/>
    <w:rsid w:val="006E5284"/>
    <w:rsid w:val="006F3EB5"/>
    <w:rsid w:val="00702E34"/>
    <w:rsid w:val="00704395"/>
    <w:rsid w:val="00710FE7"/>
    <w:rsid w:val="00717621"/>
    <w:rsid w:val="00717662"/>
    <w:rsid w:val="00720FF1"/>
    <w:rsid w:val="00723ED5"/>
    <w:rsid w:val="00727A53"/>
    <w:rsid w:val="00745F8D"/>
    <w:rsid w:val="00747EF7"/>
    <w:rsid w:val="00787B42"/>
    <w:rsid w:val="007A5253"/>
    <w:rsid w:val="007C4539"/>
    <w:rsid w:val="007D1D65"/>
    <w:rsid w:val="007F3657"/>
    <w:rsid w:val="00812ED5"/>
    <w:rsid w:val="00823E55"/>
    <w:rsid w:val="008277D9"/>
    <w:rsid w:val="0083281A"/>
    <w:rsid w:val="0084478C"/>
    <w:rsid w:val="0086638C"/>
    <w:rsid w:val="0086783F"/>
    <w:rsid w:val="00871D8A"/>
    <w:rsid w:val="00885D4C"/>
    <w:rsid w:val="0089292F"/>
    <w:rsid w:val="008A3CBA"/>
    <w:rsid w:val="008A3E8D"/>
    <w:rsid w:val="009237C4"/>
    <w:rsid w:val="00944C48"/>
    <w:rsid w:val="00950252"/>
    <w:rsid w:val="009627FC"/>
    <w:rsid w:val="00967F5D"/>
    <w:rsid w:val="00975A49"/>
    <w:rsid w:val="00981E9F"/>
    <w:rsid w:val="009A0F95"/>
    <w:rsid w:val="009B3ADF"/>
    <w:rsid w:val="009C3B52"/>
    <w:rsid w:val="009E6817"/>
    <w:rsid w:val="009E6E9A"/>
    <w:rsid w:val="00A01D2B"/>
    <w:rsid w:val="00A323DF"/>
    <w:rsid w:val="00A42218"/>
    <w:rsid w:val="00A70249"/>
    <w:rsid w:val="00A70B02"/>
    <w:rsid w:val="00A71D9F"/>
    <w:rsid w:val="00A92E9F"/>
    <w:rsid w:val="00AC1534"/>
    <w:rsid w:val="00B17B40"/>
    <w:rsid w:val="00B33BEA"/>
    <w:rsid w:val="00B403BA"/>
    <w:rsid w:val="00B40BA0"/>
    <w:rsid w:val="00B4227E"/>
    <w:rsid w:val="00B57C9F"/>
    <w:rsid w:val="00B63572"/>
    <w:rsid w:val="00B72EB5"/>
    <w:rsid w:val="00B845B3"/>
    <w:rsid w:val="00B85D8B"/>
    <w:rsid w:val="00BB4A40"/>
    <w:rsid w:val="00BC56A8"/>
    <w:rsid w:val="00BD6C3E"/>
    <w:rsid w:val="00BE3674"/>
    <w:rsid w:val="00BF2EC4"/>
    <w:rsid w:val="00C013A1"/>
    <w:rsid w:val="00C02751"/>
    <w:rsid w:val="00C053FF"/>
    <w:rsid w:val="00C10681"/>
    <w:rsid w:val="00C24956"/>
    <w:rsid w:val="00C3049A"/>
    <w:rsid w:val="00C31B1E"/>
    <w:rsid w:val="00C4010E"/>
    <w:rsid w:val="00C6175D"/>
    <w:rsid w:val="00C77645"/>
    <w:rsid w:val="00CE04C3"/>
    <w:rsid w:val="00CE2B38"/>
    <w:rsid w:val="00CE76A0"/>
    <w:rsid w:val="00D036B8"/>
    <w:rsid w:val="00D064D8"/>
    <w:rsid w:val="00D148C6"/>
    <w:rsid w:val="00D17A8A"/>
    <w:rsid w:val="00D415BA"/>
    <w:rsid w:val="00D4312F"/>
    <w:rsid w:val="00D56E69"/>
    <w:rsid w:val="00D608A7"/>
    <w:rsid w:val="00D63780"/>
    <w:rsid w:val="00D644EE"/>
    <w:rsid w:val="00D75489"/>
    <w:rsid w:val="00D95828"/>
    <w:rsid w:val="00DC3319"/>
    <w:rsid w:val="00DD06FF"/>
    <w:rsid w:val="00DD5FE9"/>
    <w:rsid w:val="00DF5B50"/>
    <w:rsid w:val="00DF7F51"/>
    <w:rsid w:val="00E00C7A"/>
    <w:rsid w:val="00E16404"/>
    <w:rsid w:val="00E209CF"/>
    <w:rsid w:val="00E21944"/>
    <w:rsid w:val="00E26DDC"/>
    <w:rsid w:val="00E37D6C"/>
    <w:rsid w:val="00E429A6"/>
    <w:rsid w:val="00E53B2A"/>
    <w:rsid w:val="00E55B68"/>
    <w:rsid w:val="00E67BE6"/>
    <w:rsid w:val="00E71C2D"/>
    <w:rsid w:val="00E8683C"/>
    <w:rsid w:val="00EA2B72"/>
    <w:rsid w:val="00EA3260"/>
    <w:rsid w:val="00EC106F"/>
    <w:rsid w:val="00EC169E"/>
    <w:rsid w:val="00EC3180"/>
    <w:rsid w:val="00EE5A82"/>
    <w:rsid w:val="00EE5AAD"/>
    <w:rsid w:val="00F06DF4"/>
    <w:rsid w:val="00F16E63"/>
    <w:rsid w:val="00F65971"/>
    <w:rsid w:val="00F74360"/>
    <w:rsid w:val="00F81FF4"/>
    <w:rsid w:val="00F823FE"/>
    <w:rsid w:val="00F84CB7"/>
    <w:rsid w:val="00F9205F"/>
    <w:rsid w:val="00FB462F"/>
    <w:rsid w:val="00FD0DF7"/>
    <w:rsid w:val="00FE16FA"/>
    <w:rsid w:val="00FE328A"/>
    <w:rsid w:val="00FE6269"/>
    <w:rsid w:val="00FF2ED4"/>
    <w:rsid w:val="00FF5CD6"/>
    <w:rsid w:val="08D13DE0"/>
    <w:rsid w:val="09BB3782"/>
    <w:rsid w:val="0ABC1058"/>
    <w:rsid w:val="0F2A424A"/>
    <w:rsid w:val="151819BC"/>
    <w:rsid w:val="225418B2"/>
    <w:rsid w:val="260447C3"/>
    <w:rsid w:val="2657371E"/>
    <w:rsid w:val="28E374EB"/>
    <w:rsid w:val="2A3411F3"/>
    <w:rsid w:val="2A4C25D3"/>
    <w:rsid w:val="2A946CEF"/>
    <w:rsid w:val="2F520BA6"/>
    <w:rsid w:val="4DE035A8"/>
    <w:rsid w:val="513C77E8"/>
    <w:rsid w:val="545804DE"/>
    <w:rsid w:val="5F4140FB"/>
    <w:rsid w:val="5FC37153"/>
    <w:rsid w:val="625B18C5"/>
    <w:rsid w:val="642D7E3E"/>
    <w:rsid w:val="651421FF"/>
    <w:rsid w:val="6BDF3567"/>
    <w:rsid w:val="73C01CF3"/>
    <w:rsid w:val="778D20C9"/>
    <w:rsid w:val="788E3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063D6-6E4A-44B6-B0B6-02A0279AF98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32</Pages>
  <Words>11963</Words>
  <Characters>15314</Characters>
  <Lines>123</Lines>
  <Paragraphs>34</Paragraphs>
  <TotalTime>7</TotalTime>
  <ScaleCrop>false</ScaleCrop>
  <LinksUpToDate>false</LinksUpToDate>
  <CharactersWithSpaces>16427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2022-09-13T03:32:00Z</dcterms:created>
  <dc:creator>李航 null</dc:creator>
  <cp:lastModifiedBy>rani</cp:lastModifiedBy>
  <cp:lastPrinted>2022-09-13T06:12:00Z</cp:lastPrinted>
  <dcterms:modified xsi:type="dcterms:W3CDTF">2023-09-24T11:09:11Z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76408D1159204C03A832E1180EAAEBBA_13</vt:lpwstr>
  </property>
</Properties>
</file>