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2E9D50">
      <w:pPr>
        <w:pStyle w:val="14"/>
        <w:jc w:val="center"/>
        <w:rPr>
          <w:rFonts w:hint="eastAsia"/>
          <w:sz w:val="56"/>
          <w:szCs w:val="56"/>
        </w:rPr>
      </w:pPr>
    </w:p>
    <w:p w14:paraId="7162586C">
      <w:pPr>
        <w:pStyle w:val="14"/>
        <w:jc w:val="center"/>
        <w:rPr>
          <w:sz w:val="56"/>
          <w:szCs w:val="56"/>
        </w:rPr>
      </w:pPr>
    </w:p>
    <w:p w14:paraId="73C85DA6">
      <w:pPr>
        <w:pStyle w:val="14"/>
        <w:jc w:val="center"/>
        <w:rPr>
          <w:sz w:val="84"/>
          <w:szCs w:val="84"/>
        </w:rPr>
      </w:pPr>
    </w:p>
    <w:p w14:paraId="025653C8">
      <w:pPr>
        <w:pStyle w:val="14"/>
        <w:jc w:val="center"/>
        <w:rPr>
          <w:sz w:val="84"/>
          <w:szCs w:val="84"/>
        </w:rPr>
      </w:pPr>
    </w:p>
    <w:p w14:paraId="0D9E58DA">
      <w:pPr>
        <w:pStyle w:val="14"/>
        <w:jc w:val="center"/>
        <w:rPr>
          <w:sz w:val="84"/>
          <w:szCs w:val="84"/>
        </w:rPr>
      </w:pPr>
      <w:r>
        <w:rPr>
          <w:rFonts w:hint="eastAsia"/>
          <w:sz w:val="84"/>
          <w:szCs w:val="84"/>
        </w:rPr>
        <w:t>2021年度</w:t>
      </w:r>
    </w:p>
    <w:p w14:paraId="7524C1BC">
      <w:pPr>
        <w:pStyle w:val="14"/>
        <w:jc w:val="center"/>
        <w:rPr>
          <w:sz w:val="84"/>
          <w:szCs w:val="84"/>
        </w:rPr>
      </w:pPr>
      <w:r>
        <w:rPr>
          <w:rFonts w:hint="eastAsia"/>
          <w:sz w:val="84"/>
          <w:szCs w:val="84"/>
          <w:lang w:eastAsia="zh-CN"/>
        </w:rPr>
        <w:t>湖南省湘西生态环境监测中心</w:t>
      </w:r>
      <w:r>
        <w:rPr>
          <w:rFonts w:hint="eastAsia"/>
          <w:sz w:val="84"/>
          <w:szCs w:val="84"/>
        </w:rPr>
        <w:t>部门决算</w:t>
      </w:r>
    </w:p>
    <w:p w14:paraId="7472B876">
      <w:pPr>
        <w:pStyle w:val="14"/>
        <w:jc w:val="center"/>
        <w:rPr>
          <w:sz w:val="56"/>
          <w:szCs w:val="56"/>
        </w:rPr>
      </w:pPr>
    </w:p>
    <w:p w14:paraId="3FC4807C">
      <w:pPr>
        <w:pStyle w:val="14"/>
        <w:jc w:val="center"/>
        <w:rPr>
          <w:sz w:val="56"/>
          <w:szCs w:val="56"/>
        </w:rPr>
      </w:pPr>
    </w:p>
    <w:p w14:paraId="5CA2A2B5">
      <w:pPr>
        <w:pStyle w:val="14"/>
        <w:jc w:val="center"/>
        <w:rPr>
          <w:sz w:val="56"/>
          <w:szCs w:val="56"/>
        </w:rPr>
      </w:pPr>
    </w:p>
    <w:p w14:paraId="513B3CD0">
      <w:pPr>
        <w:pStyle w:val="14"/>
        <w:jc w:val="center"/>
        <w:rPr>
          <w:sz w:val="56"/>
          <w:szCs w:val="56"/>
        </w:rPr>
      </w:pPr>
    </w:p>
    <w:p w14:paraId="0685A8CD">
      <w:pPr>
        <w:pStyle w:val="14"/>
        <w:jc w:val="center"/>
        <w:rPr>
          <w:sz w:val="56"/>
          <w:szCs w:val="56"/>
        </w:rPr>
      </w:pPr>
    </w:p>
    <w:p w14:paraId="1A589786">
      <w:pPr>
        <w:pStyle w:val="14"/>
        <w:jc w:val="center"/>
        <w:rPr>
          <w:sz w:val="32"/>
          <w:szCs w:val="32"/>
        </w:rPr>
      </w:pPr>
    </w:p>
    <w:p w14:paraId="229DED1E">
      <w:pPr>
        <w:pStyle w:val="14"/>
        <w:jc w:val="center"/>
        <w:rPr>
          <w:sz w:val="32"/>
          <w:szCs w:val="32"/>
        </w:rPr>
      </w:pPr>
    </w:p>
    <w:p w14:paraId="5F7F8000">
      <w:pPr>
        <w:pStyle w:val="14"/>
        <w:jc w:val="center"/>
        <w:rPr>
          <w:sz w:val="32"/>
          <w:szCs w:val="32"/>
        </w:rPr>
      </w:pPr>
    </w:p>
    <w:p w14:paraId="2A9001EF">
      <w:pPr>
        <w:pStyle w:val="14"/>
        <w:spacing w:line="500" w:lineRule="exact"/>
        <w:jc w:val="both"/>
        <w:rPr>
          <w:b/>
          <w:sz w:val="36"/>
          <w:szCs w:val="28"/>
        </w:rPr>
      </w:pPr>
    </w:p>
    <w:p w14:paraId="6AC09185">
      <w:pPr>
        <w:pStyle w:val="14"/>
        <w:spacing w:line="500" w:lineRule="exact"/>
        <w:jc w:val="center"/>
        <w:rPr>
          <w:b/>
          <w:sz w:val="36"/>
          <w:szCs w:val="28"/>
        </w:rPr>
      </w:pPr>
      <w:r>
        <w:rPr>
          <w:rFonts w:hint="eastAsia"/>
          <w:b/>
          <w:sz w:val="36"/>
          <w:szCs w:val="28"/>
        </w:rPr>
        <w:t>目</w:t>
      </w:r>
      <w:r>
        <w:rPr>
          <w:rFonts w:hint="eastAsia"/>
          <w:b/>
          <w:sz w:val="36"/>
          <w:szCs w:val="28"/>
          <w:lang w:val="en-US" w:eastAsia="zh-CN"/>
        </w:rPr>
        <w:t xml:space="preserve"> </w:t>
      </w:r>
      <w:r>
        <w:rPr>
          <w:rFonts w:hint="eastAsia"/>
          <w:b/>
          <w:sz w:val="36"/>
          <w:szCs w:val="28"/>
        </w:rPr>
        <w:t>录</w:t>
      </w:r>
    </w:p>
    <w:p w14:paraId="523AF5FA">
      <w:pPr>
        <w:pStyle w:val="14"/>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 xml:space="preserve"> </w:t>
      </w:r>
      <w:r>
        <w:rPr>
          <w:rFonts w:hint="eastAsia"/>
          <w:b/>
          <w:sz w:val="28"/>
          <w:szCs w:val="28"/>
          <w:lang w:eastAsia="zh-CN"/>
        </w:rPr>
        <w:t>湖南省湘西生态环境监测中心</w:t>
      </w:r>
      <w:r>
        <w:rPr>
          <w:rFonts w:hint="eastAsia"/>
          <w:b/>
          <w:sz w:val="28"/>
          <w:szCs w:val="28"/>
        </w:rPr>
        <w:t>单位概况</w:t>
      </w:r>
    </w:p>
    <w:p w14:paraId="001329A9">
      <w:pPr>
        <w:pStyle w:val="14"/>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14:paraId="59A57C8F">
      <w:pPr>
        <w:pStyle w:val="14"/>
        <w:spacing w:line="500" w:lineRule="exact"/>
        <w:ind w:firstLine="700" w:firstLineChars="250"/>
        <w:rPr>
          <w:rFonts w:hint="default" w:cs="仿宋_GB2312" w:asciiTheme="minorEastAsia" w:hAnsiTheme="minorEastAsia" w:eastAsiaTheme="minorEastAsia"/>
          <w:sz w:val="28"/>
          <w:szCs w:val="28"/>
          <w:lang w:val="en-US" w:eastAsia="zh-CN"/>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14:paraId="7D0E3E65">
      <w:pPr>
        <w:pStyle w:val="14"/>
        <w:spacing w:line="500" w:lineRule="exact"/>
        <w:rPr>
          <w:rFonts w:ascii="仿宋_GB2312" w:hAnsi="仿宋_GB2312" w:cs="仿宋_GB2312"/>
          <w:b/>
          <w:sz w:val="28"/>
          <w:szCs w:val="28"/>
        </w:rPr>
      </w:pPr>
      <w:r>
        <w:rPr>
          <w:rFonts w:hint="eastAsia" w:hAnsi="仿宋_GB2312"/>
          <w:b/>
          <w:sz w:val="28"/>
          <w:szCs w:val="28"/>
        </w:rPr>
        <w:t>第二部分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21年度部门决算表</w:t>
      </w:r>
    </w:p>
    <w:p w14:paraId="23267CC6">
      <w:pPr>
        <w:pStyle w:val="14"/>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14:paraId="484149D0">
      <w:pPr>
        <w:pStyle w:val="14"/>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14:paraId="04058E9A">
      <w:pPr>
        <w:pStyle w:val="14"/>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14:paraId="3ABDE4F1">
      <w:pPr>
        <w:pStyle w:val="14"/>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14:paraId="0D2B6615">
      <w:pPr>
        <w:pStyle w:val="14"/>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14:paraId="7D031E22">
      <w:pPr>
        <w:pStyle w:val="14"/>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14:paraId="1405F295">
      <w:pPr>
        <w:pStyle w:val="14"/>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14:paraId="2B40742A">
      <w:pPr>
        <w:pStyle w:val="14"/>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14:paraId="1E85BA13">
      <w:pPr>
        <w:pStyle w:val="14"/>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14:paraId="091A5D59">
      <w:pPr>
        <w:pStyle w:val="14"/>
        <w:spacing w:line="500" w:lineRule="exact"/>
        <w:rPr>
          <w:rFonts w:ascii="仿宋_GB2312" w:hAnsi="仿宋_GB2312" w:cs="仿宋_GB2312"/>
          <w:b/>
          <w:sz w:val="28"/>
          <w:szCs w:val="28"/>
        </w:rPr>
      </w:pPr>
      <w:r>
        <w:rPr>
          <w:rFonts w:hint="eastAsia" w:hAnsi="仿宋_GB2312"/>
          <w:b/>
          <w:sz w:val="28"/>
          <w:szCs w:val="28"/>
        </w:rPr>
        <w:t>第三部分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21年度部门决算情况说明</w:t>
      </w:r>
    </w:p>
    <w:p w14:paraId="078535FB">
      <w:pPr>
        <w:pStyle w:val="14"/>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14:paraId="1F302097">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14:paraId="004EBE8E">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14:paraId="4CC55EC9">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14:paraId="6F9CA901">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14:paraId="17D9F161">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14:paraId="33DD7C92">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14:paraId="6F17C154">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14:paraId="6325EB46">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14:paraId="2014594E">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14:paraId="0878116E">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14:paraId="216CF4C4">
      <w:pPr>
        <w:pStyle w:val="14"/>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14:paraId="160AD5B9">
      <w:pPr>
        <w:pStyle w:val="14"/>
        <w:spacing w:line="500" w:lineRule="exact"/>
        <w:ind w:firstLine="700" w:firstLineChars="250"/>
        <w:rPr>
          <w:rFonts w:hint="eastAsia"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14:paraId="3010A297">
      <w:pPr>
        <w:pStyle w:val="14"/>
        <w:spacing w:line="500" w:lineRule="exact"/>
        <w:rPr>
          <w:rFonts w:hint="eastAsia" w:ascii="黑体" w:hAnsi="黑体" w:eastAsia="黑体" w:cs="黑体"/>
          <w:b/>
          <w:color w:val="000000"/>
          <w:kern w:val="0"/>
          <w:sz w:val="28"/>
          <w:szCs w:val="28"/>
          <w:lang w:eastAsia="zh-CN"/>
        </w:rPr>
      </w:pPr>
      <w:r>
        <w:rPr>
          <w:rFonts w:ascii="黑体" w:hAnsi="黑体" w:eastAsia="黑体" w:cs="黑体"/>
          <w:b/>
          <w:color w:val="000000"/>
          <w:kern w:val="0"/>
          <w:sz w:val="28"/>
          <w:szCs w:val="28"/>
        </w:rPr>
        <w:t>第四部分</w:t>
      </w:r>
      <w:r>
        <w:rPr>
          <w:rFonts w:hint="eastAsia" w:hAnsi="黑体" w:cs="黑体"/>
          <w:b/>
          <w:color w:val="000000"/>
          <w:kern w:val="0"/>
          <w:sz w:val="28"/>
          <w:szCs w:val="28"/>
          <w:lang w:val="en-US" w:eastAsia="zh-CN"/>
        </w:rPr>
        <w:t xml:space="preserve"> </w:t>
      </w:r>
      <w:r>
        <w:rPr>
          <w:rFonts w:ascii="黑体" w:hAnsi="黑体" w:eastAsia="黑体" w:cs="黑体"/>
          <w:b/>
          <w:color w:val="000000"/>
          <w:kern w:val="0"/>
          <w:sz w:val="28"/>
          <w:szCs w:val="28"/>
        </w:rPr>
        <w:t>名词</w:t>
      </w:r>
      <w:r>
        <w:rPr>
          <w:rFonts w:hint="eastAsia" w:hAnsi="黑体" w:cs="黑体"/>
          <w:b/>
          <w:color w:val="000000"/>
          <w:kern w:val="0"/>
          <w:sz w:val="28"/>
          <w:szCs w:val="28"/>
          <w:lang w:eastAsia="zh-CN"/>
        </w:rPr>
        <w:t>解释</w:t>
      </w:r>
    </w:p>
    <w:p w14:paraId="49C4AFA2">
      <w:pPr>
        <w:autoSpaceDE w:val="0"/>
        <w:autoSpaceDN w:val="0"/>
        <w:adjustRightInd w:val="0"/>
        <w:spacing w:line="500" w:lineRule="exact"/>
        <w:jc w:val="left"/>
        <w:rPr>
          <w:rFonts w:hint="default" w:ascii="黑体" w:hAnsi="黑体" w:eastAsia="黑体" w:cs="仿宋_GB2312"/>
          <w:b/>
          <w:color w:val="000000"/>
          <w:kern w:val="0"/>
          <w:sz w:val="28"/>
          <w:szCs w:val="28"/>
          <w:lang w:val="en-US" w:eastAsia="zh-CN"/>
        </w:rPr>
      </w:pPr>
      <w:r>
        <w:rPr>
          <w:rFonts w:hint="eastAsia" w:ascii="黑体" w:hAnsi="黑体" w:eastAsia="黑体" w:cs="黑体"/>
          <w:b/>
          <w:color w:val="000000"/>
          <w:kern w:val="0"/>
          <w:sz w:val="28"/>
          <w:szCs w:val="28"/>
        </w:rPr>
        <w:t>第五部分</w:t>
      </w:r>
      <w:r>
        <w:rPr>
          <w:rFonts w:hint="eastAsia" w:ascii="黑体" w:hAnsi="黑体" w:eastAsia="黑体" w:cs="黑体"/>
          <w:b/>
          <w:color w:val="000000"/>
          <w:kern w:val="0"/>
          <w:sz w:val="28"/>
          <w:szCs w:val="28"/>
          <w:lang w:val="en-US" w:eastAsia="zh-CN"/>
        </w:rPr>
        <w:t xml:space="preserve"> </w:t>
      </w:r>
      <w:r>
        <w:rPr>
          <w:rFonts w:hint="eastAsia" w:ascii="黑体" w:hAnsi="黑体" w:eastAsia="黑体" w:cs="黑体"/>
          <w:b/>
          <w:color w:val="000000"/>
          <w:kern w:val="0"/>
          <w:sz w:val="28"/>
          <w:szCs w:val="28"/>
          <w:lang w:eastAsia="zh-CN"/>
        </w:rPr>
        <w:t>附件－</w:t>
      </w:r>
      <w:r>
        <w:rPr>
          <w:rFonts w:hint="eastAsia" w:ascii="黑体" w:hAnsi="黑体" w:eastAsia="黑体" w:cs="黑体"/>
          <w:b/>
          <w:color w:val="000000"/>
          <w:kern w:val="0"/>
          <w:sz w:val="28"/>
          <w:szCs w:val="28"/>
          <w:lang w:val="en-US" w:eastAsia="zh-CN"/>
        </w:rPr>
        <w:t>湖南省湘西生态环境监测中心部门整体支出绩效自评报告</w:t>
      </w:r>
    </w:p>
    <w:p w14:paraId="2FF3113C">
      <w:pPr>
        <w:jc w:val="center"/>
        <w:rPr>
          <w:sz w:val="72"/>
          <w:szCs w:val="72"/>
        </w:rPr>
      </w:pPr>
    </w:p>
    <w:p w14:paraId="61A0C8CE">
      <w:pPr>
        <w:jc w:val="center"/>
        <w:rPr>
          <w:sz w:val="72"/>
          <w:szCs w:val="72"/>
        </w:rPr>
      </w:pPr>
    </w:p>
    <w:p w14:paraId="65B785F3">
      <w:pPr>
        <w:jc w:val="center"/>
        <w:rPr>
          <w:sz w:val="72"/>
          <w:szCs w:val="72"/>
        </w:rPr>
      </w:pPr>
    </w:p>
    <w:p w14:paraId="56356BD1">
      <w:pPr>
        <w:jc w:val="center"/>
        <w:rPr>
          <w:sz w:val="72"/>
          <w:szCs w:val="72"/>
        </w:rPr>
      </w:pPr>
    </w:p>
    <w:p w14:paraId="1B313421">
      <w:pPr>
        <w:rPr>
          <w:sz w:val="72"/>
          <w:szCs w:val="72"/>
        </w:rPr>
      </w:pPr>
    </w:p>
    <w:p w14:paraId="2DB19820">
      <w:pPr>
        <w:pStyle w:val="14"/>
        <w:jc w:val="center"/>
        <w:rPr>
          <w:sz w:val="84"/>
          <w:szCs w:val="84"/>
        </w:rPr>
      </w:pPr>
      <w:r>
        <w:rPr>
          <w:rFonts w:hint="eastAsia"/>
          <w:sz w:val="84"/>
          <w:szCs w:val="84"/>
        </w:rPr>
        <w:t>第一部分</w:t>
      </w:r>
      <w:r>
        <w:rPr>
          <w:sz w:val="84"/>
          <w:szCs w:val="84"/>
        </w:rPr>
        <w:t xml:space="preserve"> </w:t>
      </w:r>
    </w:p>
    <w:p w14:paraId="2CE0EAB4">
      <w:pPr>
        <w:pStyle w:val="14"/>
        <w:jc w:val="center"/>
        <w:rPr>
          <w:sz w:val="84"/>
          <w:szCs w:val="84"/>
        </w:rPr>
      </w:pPr>
    </w:p>
    <w:p w14:paraId="34211F17">
      <w:pPr>
        <w:pStyle w:val="14"/>
        <w:jc w:val="center"/>
        <w:rPr>
          <w:sz w:val="84"/>
          <w:szCs w:val="84"/>
        </w:rPr>
      </w:pPr>
      <w:r>
        <w:rPr>
          <w:rFonts w:hint="eastAsia"/>
          <w:sz w:val="84"/>
          <w:szCs w:val="84"/>
          <w:lang w:eastAsia="zh-CN"/>
        </w:rPr>
        <w:t>湖南省湘西生态环境监测中心</w:t>
      </w:r>
      <w:r>
        <w:rPr>
          <w:rFonts w:hint="eastAsia"/>
          <w:sz w:val="84"/>
          <w:szCs w:val="84"/>
        </w:rPr>
        <w:t>单位概况</w:t>
      </w:r>
    </w:p>
    <w:p w14:paraId="040FD764">
      <w:pPr>
        <w:jc w:val="center"/>
        <w:rPr>
          <w:sz w:val="72"/>
          <w:szCs w:val="72"/>
        </w:rPr>
      </w:pPr>
    </w:p>
    <w:p w14:paraId="4075CC52">
      <w:pPr>
        <w:jc w:val="center"/>
        <w:rPr>
          <w:sz w:val="72"/>
          <w:szCs w:val="72"/>
        </w:rPr>
      </w:pPr>
    </w:p>
    <w:p w14:paraId="21B1586C">
      <w:pPr>
        <w:jc w:val="center"/>
        <w:rPr>
          <w:sz w:val="72"/>
          <w:szCs w:val="72"/>
        </w:rPr>
      </w:pPr>
    </w:p>
    <w:p w14:paraId="11829002">
      <w:pPr>
        <w:pStyle w:val="2"/>
        <w:rPr>
          <w:sz w:val="72"/>
          <w:szCs w:val="72"/>
        </w:rPr>
      </w:pPr>
    </w:p>
    <w:p w14:paraId="3AC11C4E"/>
    <w:p w14:paraId="7D8A83BD">
      <w:pPr>
        <w:jc w:val="center"/>
        <w:rPr>
          <w:sz w:val="72"/>
          <w:szCs w:val="72"/>
        </w:rPr>
      </w:pPr>
    </w:p>
    <w:p w14:paraId="41A7C906">
      <w:pPr>
        <w:pStyle w:val="15"/>
        <w:ind w:left="0" w:leftChars="0" w:firstLine="0" w:firstLineChars="0"/>
        <w:jc w:val="left"/>
        <w:rPr>
          <w:rFonts w:ascii="黑体" w:hAnsi="黑体" w:eastAsia="黑体"/>
          <w:sz w:val="32"/>
          <w:szCs w:val="32"/>
        </w:rPr>
      </w:pPr>
    </w:p>
    <w:p w14:paraId="10DAEFA3">
      <w:pPr>
        <w:pStyle w:val="15"/>
        <w:numPr>
          <w:ilvl w:val="0"/>
          <w:numId w:val="1"/>
        </w:numPr>
        <w:ind w:firstLineChars="0"/>
        <w:jc w:val="left"/>
        <w:rPr>
          <w:rFonts w:ascii="黑体" w:hAnsi="黑体" w:eastAsia="黑体"/>
          <w:sz w:val="32"/>
          <w:szCs w:val="32"/>
        </w:rPr>
      </w:pPr>
      <w:r>
        <w:rPr>
          <w:rFonts w:ascii="黑体" w:hAnsi="黑体" w:eastAsia="黑体"/>
          <w:sz w:val="32"/>
          <w:szCs w:val="32"/>
        </w:rPr>
        <w:t>部门职责</w:t>
      </w:r>
    </w:p>
    <w:p w14:paraId="387B3240">
      <w:pPr>
        <w:numPr>
          <w:ilvl w:val="0"/>
          <w:numId w:val="2"/>
        </w:numPr>
        <w:ind w:firstLine="640" w:firstLineChars="200"/>
        <w:jc w:val="left"/>
        <w:rPr>
          <w:rFonts w:hint="eastAsia" w:asciiTheme="minorEastAsia" w:hAnsiTheme="minorEastAsia"/>
          <w:sz w:val="32"/>
          <w:szCs w:val="32"/>
        </w:rPr>
      </w:pPr>
      <w:r>
        <w:rPr>
          <w:rFonts w:hint="eastAsia" w:asciiTheme="minorEastAsia" w:hAnsiTheme="minorEastAsia"/>
          <w:sz w:val="32"/>
          <w:szCs w:val="32"/>
        </w:rPr>
        <w:t>主要负责派驻行政区域内生态环境质量监测、分析评价工作；</w:t>
      </w:r>
    </w:p>
    <w:p w14:paraId="1430E1BC">
      <w:pPr>
        <w:numPr>
          <w:ilvl w:val="0"/>
          <w:numId w:val="2"/>
        </w:numPr>
        <w:ind w:firstLine="640" w:firstLineChars="200"/>
        <w:jc w:val="left"/>
        <w:rPr>
          <w:rFonts w:asciiTheme="minorEastAsia" w:hAnsiTheme="minorEastAsia"/>
          <w:sz w:val="32"/>
          <w:szCs w:val="32"/>
        </w:rPr>
      </w:pPr>
      <w:r>
        <w:rPr>
          <w:rFonts w:hint="eastAsia" w:asciiTheme="minorEastAsia" w:hAnsiTheme="minorEastAsia"/>
          <w:sz w:val="32"/>
          <w:szCs w:val="32"/>
        </w:rPr>
        <w:t>负责派驻行政区域内环境质量监测网络和信息系统的维护管理；</w:t>
      </w:r>
      <w:r>
        <w:rPr>
          <w:rFonts w:hint="eastAsia" w:asciiTheme="minorEastAsia" w:hAnsiTheme="minorEastAsia"/>
          <w:sz w:val="32"/>
          <w:szCs w:val="32"/>
          <w:lang w:val="en-US" w:eastAsia="zh-CN"/>
        </w:rPr>
        <w:t xml:space="preserve">                  </w:t>
      </w:r>
    </w:p>
    <w:p w14:paraId="3583E8AE">
      <w:pPr>
        <w:numPr>
          <w:ilvl w:val="0"/>
          <w:numId w:val="2"/>
        </w:numPr>
        <w:ind w:firstLine="640" w:firstLineChars="200"/>
        <w:jc w:val="left"/>
        <w:rPr>
          <w:rFonts w:asciiTheme="minorEastAsia" w:hAnsiTheme="minorEastAsia"/>
          <w:sz w:val="32"/>
          <w:szCs w:val="32"/>
        </w:rPr>
      </w:pPr>
      <w:r>
        <w:rPr>
          <w:rFonts w:hint="eastAsia" w:asciiTheme="minorEastAsia" w:hAnsiTheme="minorEastAsia"/>
          <w:sz w:val="32"/>
          <w:szCs w:val="32"/>
        </w:rPr>
        <w:t>指导和协助市州生态环境局开展生态环境应急监测、执法监测、污染源监测等工作；</w:t>
      </w:r>
      <w:r>
        <w:rPr>
          <w:rFonts w:hint="eastAsia" w:asciiTheme="minorEastAsia" w:hAnsiTheme="minorEastAsia"/>
          <w:sz w:val="32"/>
          <w:szCs w:val="32"/>
          <w:lang w:val="en-US" w:eastAsia="zh-CN"/>
        </w:rPr>
        <w:t xml:space="preserve">  </w:t>
      </w:r>
    </w:p>
    <w:p w14:paraId="6F27C1E1">
      <w:pPr>
        <w:numPr>
          <w:ilvl w:val="0"/>
          <w:numId w:val="2"/>
        </w:numPr>
        <w:ind w:firstLine="640" w:firstLineChars="200"/>
        <w:jc w:val="left"/>
        <w:rPr>
          <w:rFonts w:asciiTheme="minorEastAsia" w:hAnsiTheme="minorEastAsia"/>
          <w:sz w:val="32"/>
          <w:szCs w:val="32"/>
        </w:rPr>
      </w:pPr>
      <w:r>
        <w:rPr>
          <w:rFonts w:hint="eastAsia" w:asciiTheme="minorEastAsia" w:hAnsiTheme="minorEastAsia"/>
          <w:sz w:val="32"/>
          <w:szCs w:val="32"/>
        </w:rPr>
        <w:t>负责对县级环境监测机构开展技术和业务指导；</w:t>
      </w:r>
    </w:p>
    <w:p w14:paraId="72ED2C80">
      <w:pPr>
        <w:numPr>
          <w:ilvl w:val="0"/>
          <w:numId w:val="2"/>
        </w:numPr>
        <w:ind w:firstLine="640" w:firstLineChars="200"/>
        <w:jc w:val="left"/>
        <w:rPr>
          <w:rFonts w:asciiTheme="minorEastAsia" w:hAnsiTheme="minorEastAsia"/>
          <w:sz w:val="32"/>
          <w:szCs w:val="32"/>
        </w:rPr>
      </w:pPr>
      <w:r>
        <w:rPr>
          <w:rFonts w:hint="eastAsia" w:asciiTheme="minorEastAsia" w:hAnsiTheme="minorEastAsia"/>
          <w:sz w:val="32"/>
          <w:szCs w:val="32"/>
        </w:rPr>
        <w:t>负责承办上级部门交办的其他环境监测工作。</w:t>
      </w:r>
    </w:p>
    <w:p w14:paraId="384853AF">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14:paraId="23B6D6B3">
      <w:pPr>
        <w:widowControl/>
        <w:spacing w:line="600" w:lineRule="exact"/>
        <w:ind w:firstLine="640" w:firstLineChars="200"/>
        <w:rPr>
          <w:rFonts w:hint="eastAsia" w:asciiTheme="minorEastAsia" w:hAnsiTheme="minorEastAsia"/>
          <w:bCs/>
          <w:kern w:val="0"/>
          <w:sz w:val="32"/>
          <w:szCs w:val="32"/>
        </w:rPr>
      </w:pPr>
      <w:r>
        <w:rPr>
          <w:rFonts w:hint="eastAsia" w:asciiTheme="minorEastAsia" w:hAnsiTheme="minorEastAsia"/>
          <w:bCs/>
          <w:kern w:val="0"/>
          <w:sz w:val="32"/>
          <w:szCs w:val="32"/>
        </w:rPr>
        <w:t>（一）内设机构设置。</w:t>
      </w:r>
    </w:p>
    <w:p w14:paraId="044D0293">
      <w:pPr>
        <w:widowControl/>
        <w:spacing w:line="600" w:lineRule="exact"/>
        <w:ind w:firstLine="640" w:firstLineChars="200"/>
        <w:rPr>
          <w:rFonts w:hint="eastAsia" w:asciiTheme="minorEastAsia" w:hAnsiTheme="minorEastAsia" w:eastAsiaTheme="minorEastAsia"/>
          <w:bCs/>
          <w:kern w:val="0"/>
          <w:sz w:val="32"/>
          <w:szCs w:val="32"/>
          <w:lang w:eastAsia="zh-CN"/>
        </w:rPr>
      </w:pPr>
      <w:r>
        <w:rPr>
          <w:rFonts w:hint="eastAsia" w:asciiTheme="minorEastAsia" w:hAnsiTheme="minorEastAsia"/>
          <w:bCs/>
          <w:kern w:val="0"/>
          <w:sz w:val="32"/>
          <w:szCs w:val="32"/>
          <w:lang w:eastAsia="zh-CN"/>
        </w:rPr>
        <w:t>湖南省湘西生态环境监测中心</w:t>
      </w:r>
      <w:r>
        <w:rPr>
          <w:rFonts w:hint="eastAsia" w:asciiTheme="minorEastAsia" w:hAnsiTheme="minorEastAsia"/>
          <w:bCs/>
          <w:kern w:val="0"/>
          <w:sz w:val="32"/>
          <w:szCs w:val="32"/>
        </w:rPr>
        <w:t>内设机构包括</w:t>
      </w:r>
      <w:r>
        <w:rPr>
          <w:rFonts w:hint="eastAsia" w:asciiTheme="minorEastAsia" w:hAnsiTheme="minorEastAsia"/>
          <w:bCs/>
          <w:kern w:val="0"/>
          <w:sz w:val="32"/>
          <w:szCs w:val="32"/>
          <w:lang w:eastAsia="zh-CN"/>
        </w:rPr>
        <w:t>：我中心为省生态环境厅驻湘西州生态环境监测机构，为副处级公益一类事业单位，由省生态环境厅主管。内设办公室、财务科、综合技术科、质量控制科、现场监测科、分析技术科、自动监测科七个科室。</w:t>
      </w:r>
    </w:p>
    <w:p w14:paraId="3071A454">
      <w:pPr>
        <w:numPr>
          <w:ilvl w:val="0"/>
          <w:numId w:val="3"/>
        </w:numPr>
        <w:ind w:left="480"/>
        <w:jc w:val="left"/>
        <w:rPr>
          <w:rFonts w:hint="eastAsia" w:asciiTheme="minorEastAsia" w:hAnsiTheme="minorEastAsia"/>
          <w:bCs/>
          <w:kern w:val="0"/>
          <w:sz w:val="32"/>
          <w:szCs w:val="32"/>
        </w:rPr>
      </w:pPr>
      <w:r>
        <w:rPr>
          <w:rFonts w:hint="eastAsia" w:asciiTheme="minorEastAsia" w:hAnsiTheme="minorEastAsia"/>
          <w:bCs/>
          <w:kern w:val="0"/>
          <w:sz w:val="32"/>
          <w:szCs w:val="32"/>
        </w:rPr>
        <w:t>决算单位构成。</w:t>
      </w:r>
    </w:p>
    <w:p w14:paraId="4714924C">
      <w:pPr>
        <w:numPr>
          <w:ilvl w:val="-1"/>
          <w:numId w:val="0"/>
        </w:numPr>
        <w:ind w:left="0" w:firstLine="640" w:firstLineChars="200"/>
        <w:jc w:val="left"/>
        <w:rPr>
          <w:rFonts w:hint="eastAsia" w:asciiTheme="minorEastAsia" w:hAnsiTheme="minorEastAsia" w:eastAsiaTheme="minorEastAsia"/>
          <w:bCs/>
          <w:kern w:val="0"/>
          <w:sz w:val="32"/>
          <w:szCs w:val="32"/>
        </w:rPr>
      </w:pPr>
      <w:r>
        <w:rPr>
          <w:rFonts w:hint="eastAsia" w:asciiTheme="minorEastAsia" w:hAnsiTheme="minorEastAsia"/>
          <w:bCs/>
          <w:kern w:val="0"/>
          <w:sz w:val="32"/>
          <w:szCs w:val="32"/>
          <w:lang w:eastAsia="zh-CN"/>
        </w:rPr>
        <w:t>我中心无二级预算单位，因此，202</w:t>
      </w:r>
      <w:r>
        <w:rPr>
          <w:rFonts w:hint="eastAsia" w:asciiTheme="minorEastAsia" w:hAnsiTheme="minorEastAsia"/>
          <w:bCs/>
          <w:kern w:val="0"/>
          <w:sz w:val="32"/>
          <w:szCs w:val="32"/>
          <w:lang w:val="en-US" w:eastAsia="zh-CN"/>
        </w:rPr>
        <w:t>1</w:t>
      </w:r>
      <w:r>
        <w:rPr>
          <w:rFonts w:hint="eastAsia" w:asciiTheme="minorEastAsia" w:hAnsiTheme="minorEastAsia"/>
          <w:bCs/>
          <w:kern w:val="0"/>
          <w:sz w:val="32"/>
          <w:szCs w:val="32"/>
          <w:lang w:eastAsia="zh-CN"/>
        </w:rPr>
        <w:t>年湖南省湘西生态环境监测中心部门</w:t>
      </w:r>
      <w:r>
        <w:rPr>
          <w:rFonts w:hint="eastAsia" w:asciiTheme="minorEastAsia" w:hAnsiTheme="minorEastAsia"/>
          <w:bCs/>
          <w:kern w:val="0"/>
          <w:sz w:val="32"/>
          <w:szCs w:val="32"/>
          <w:lang w:val="en-US" w:eastAsia="zh-CN"/>
        </w:rPr>
        <w:t>汇总</w:t>
      </w:r>
      <w:r>
        <w:rPr>
          <w:rFonts w:hint="eastAsia" w:asciiTheme="minorEastAsia" w:hAnsiTheme="minorEastAsia"/>
          <w:bCs/>
          <w:kern w:val="0"/>
          <w:sz w:val="32"/>
          <w:szCs w:val="32"/>
          <w:lang w:eastAsia="zh-CN"/>
        </w:rPr>
        <w:t>决算</w:t>
      </w:r>
      <w:r>
        <w:rPr>
          <w:rFonts w:hint="eastAsia" w:asciiTheme="minorEastAsia" w:hAnsiTheme="minorEastAsia"/>
          <w:bCs/>
          <w:kern w:val="0"/>
          <w:sz w:val="32"/>
          <w:szCs w:val="32"/>
          <w:lang w:val="en-US" w:eastAsia="zh-CN"/>
        </w:rPr>
        <w:t>单位仅为</w:t>
      </w:r>
      <w:r>
        <w:rPr>
          <w:rFonts w:hint="eastAsia" w:asciiTheme="minorEastAsia" w:hAnsiTheme="minorEastAsia"/>
          <w:bCs/>
          <w:kern w:val="0"/>
          <w:sz w:val="32"/>
          <w:szCs w:val="32"/>
          <w:lang w:eastAsia="zh-CN"/>
        </w:rPr>
        <w:t>湖南省湘西生态环境监测中心本级决算。</w:t>
      </w:r>
    </w:p>
    <w:p w14:paraId="4507DDC3">
      <w:pPr>
        <w:jc w:val="center"/>
        <w:rPr>
          <w:rFonts w:ascii="黑体" w:hAnsi="黑体" w:eastAsia="黑体"/>
          <w:sz w:val="28"/>
          <w:szCs w:val="28"/>
        </w:rPr>
      </w:pPr>
    </w:p>
    <w:p w14:paraId="420CE2A8">
      <w:pPr>
        <w:jc w:val="both"/>
        <w:rPr>
          <w:rFonts w:ascii="黑体" w:hAnsi="黑体" w:eastAsia="黑体"/>
          <w:sz w:val="28"/>
          <w:szCs w:val="28"/>
        </w:rPr>
      </w:pPr>
    </w:p>
    <w:p w14:paraId="30B222CE">
      <w:pPr>
        <w:jc w:val="center"/>
        <w:rPr>
          <w:rFonts w:ascii="黑体" w:hAnsi="黑体" w:eastAsia="黑体"/>
          <w:sz w:val="28"/>
          <w:szCs w:val="28"/>
        </w:rPr>
      </w:pPr>
    </w:p>
    <w:p w14:paraId="0D067165">
      <w:pPr>
        <w:jc w:val="center"/>
        <w:rPr>
          <w:rFonts w:ascii="黑体" w:hAnsi="黑体" w:eastAsia="黑体"/>
          <w:sz w:val="28"/>
          <w:szCs w:val="28"/>
        </w:rPr>
      </w:pPr>
    </w:p>
    <w:p w14:paraId="47F936F7">
      <w:pPr>
        <w:jc w:val="center"/>
        <w:rPr>
          <w:rFonts w:ascii="黑体" w:hAnsi="黑体" w:eastAsia="黑体"/>
          <w:sz w:val="28"/>
          <w:szCs w:val="28"/>
        </w:rPr>
      </w:pPr>
    </w:p>
    <w:p w14:paraId="12823DD4">
      <w:pPr>
        <w:jc w:val="center"/>
        <w:rPr>
          <w:rFonts w:ascii="黑体" w:hAnsi="黑体" w:eastAsia="黑体"/>
          <w:sz w:val="28"/>
          <w:szCs w:val="28"/>
        </w:rPr>
      </w:pPr>
    </w:p>
    <w:p w14:paraId="5B86F233">
      <w:pPr>
        <w:jc w:val="both"/>
        <w:rPr>
          <w:rFonts w:ascii="黑体" w:hAnsi="黑体" w:eastAsia="黑体"/>
          <w:sz w:val="28"/>
          <w:szCs w:val="28"/>
        </w:rPr>
      </w:pPr>
    </w:p>
    <w:p w14:paraId="2D461866">
      <w:pPr>
        <w:jc w:val="center"/>
        <w:rPr>
          <w:sz w:val="72"/>
          <w:szCs w:val="72"/>
        </w:rPr>
      </w:pPr>
    </w:p>
    <w:p w14:paraId="31804D6D">
      <w:pPr>
        <w:jc w:val="both"/>
        <w:rPr>
          <w:sz w:val="72"/>
          <w:szCs w:val="72"/>
        </w:rPr>
      </w:pPr>
    </w:p>
    <w:p w14:paraId="3F81C9A9">
      <w:pPr>
        <w:jc w:val="center"/>
        <w:rPr>
          <w:sz w:val="72"/>
          <w:szCs w:val="72"/>
        </w:rPr>
      </w:pPr>
    </w:p>
    <w:p w14:paraId="25527874">
      <w:pPr>
        <w:jc w:val="center"/>
        <w:rPr>
          <w:sz w:val="72"/>
          <w:szCs w:val="72"/>
        </w:rPr>
      </w:pPr>
    </w:p>
    <w:p w14:paraId="19F1FCA6">
      <w:pPr>
        <w:pStyle w:val="14"/>
        <w:jc w:val="center"/>
        <w:rPr>
          <w:rFonts w:hint="eastAsia"/>
          <w:sz w:val="84"/>
          <w:szCs w:val="84"/>
        </w:rPr>
      </w:pPr>
      <w:r>
        <w:rPr>
          <w:rFonts w:hint="eastAsia"/>
          <w:sz w:val="84"/>
          <w:szCs w:val="84"/>
        </w:rPr>
        <w:t>第二部分</w:t>
      </w:r>
    </w:p>
    <w:p w14:paraId="7944D580">
      <w:pPr>
        <w:pStyle w:val="14"/>
        <w:jc w:val="center"/>
        <w:rPr>
          <w:rFonts w:hint="eastAsia"/>
          <w:sz w:val="84"/>
          <w:szCs w:val="84"/>
        </w:rPr>
      </w:pPr>
    </w:p>
    <w:p w14:paraId="5176033C">
      <w:pPr>
        <w:pStyle w:val="14"/>
        <w:jc w:val="center"/>
        <w:rPr>
          <w:sz w:val="72"/>
          <w:szCs w:val="72"/>
        </w:rPr>
      </w:pPr>
      <w:r>
        <w:rPr>
          <w:rFonts w:hint="eastAsia"/>
          <w:sz w:val="84"/>
          <w:szCs w:val="84"/>
        </w:rPr>
        <w:t>部门决算表</w:t>
      </w:r>
    </w:p>
    <w:p w14:paraId="3C9BD677">
      <w:pPr>
        <w:jc w:val="center"/>
        <w:rPr>
          <w:sz w:val="72"/>
          <w:szCs w:val="72"/>
        </w:rPr>
      </w:pPr>
    </w:p>
    <w:p w14:paraId="72E7898B">
      <w:pPr>
        <w:jc w:val="center"/>
        <w:rPr>
          <w:sz w:val="72"/>
          <w:szCs w:val="72"/>
        </w:rPr>
      </w:pPr>
    </w:p>
    <w:p w14:paraId="7D934A49">
      <w:pPr>
        <w:jc w:val="center"/>
        <w:rPr>
          <w:sz w:val="72"/>
          <w:szCs w:val="72"/>
        </w:rPr>
      </w:pPr>
    </w:p>
    <w:p w14:paraId="132E611E">
      <w:pPr>
        <w:jc w:val="center"/>
        <w:rPr>
          <w:sz w:val="72"/>
          <w:szCs w:val="72"/>
        </w:rPr>
      </w:pPr>
    </w:p>
    <w:p w14:paraId="40D621EC">
      <w:pPr>
        <w:jc w:val="center"/>
        <w:rPr>
          <w:sz w:val="72"/>
          <w:szCs w:val="72"/>
        </w:rPr>
      </w:pPr>
    </w:p>
    <w:p w14:paraId="04A1BF42">
      <w:pPr>
        <w:jc w:val="left"/>
        <w:rPr>
          <w:sz w:val="32"/>
          <w:szCs w:val="32"/>
        </w:rPr>
      </w:pPr>
    </w:p>
    <w:p w14:paraId="274BDEAF">
      <w:pPr>
        <w:jc w:val="left"/>
        <w:rPr>
          <w:rFonts w:asciiTheme="minorEastAsia" w:hAnsiTheme="minorEastAsia"/>
          <w:sz w:val="32"/>
          <w:szCs w:val="32"/>
        </w:rPr>
        <w:sectPr>
          <w:pgSz w:w="11906" w:h="16838"/>
          <w:pgMar w:top="720" w:right="1803" w:bottom="720" w:left="1803" w:header="851" w:footer="992" w:gutter="0"/>
          <w:cols w:space="425" w:num="1"/>
          <w:docGrid w:type="lines" w:linePitch="312" w:charSpace="0"/>
        </w:sectPr>
      </w:pPr>
    </w:p>
    <w:p w14:paraId="1DFF325B">
      <w:pPr>
        <w:widowControl/>
        <w:ind w:left="93"/>
        <w:jc w:val="center"/>
        <w:rPr>
          <w:rFonts w:ascii="Times New Roman" w:hAnsi="Times New Roman" w:eastAsia="方正小标宋_GBK" w:cs="Times New Roman"/>
          <w:kern w:val="0"/>
          <w:sz w:val="36"/>
          <w:szCs w:val="36"/>
        </w:rPr>
      </w:pPr>
      <w:r>
        <w:rPr>
          <w:rFonts w:ascii="黑体" w:hAnsi="黑体" w:eastAsia="黑体"/>
          <w:sz w:val="28"/>
          <w:szCs w:val="28"/>
        </w:rPr>
        <w:object>
          <v:shape id="_x0000_i1025" o:spt="75" type="#_x0000_t75" style="height:468.65pt;width:801.35pt;" o:ole="t" filled="f" o:preferrelative="t" stroked="f" coordsize="21600,21600">
            <v:path/>
            <v:fill on="f" focussize="0,0"/>
            <v:stroke on="f"/>
            <v:imagedata r:id="rId7" grayscale="t" bilevel="t" o:title=""/>
            <o:lock v:ext="edit" aspectratio="f"/>
            <w10:wrap type="none"/>
            <w10:anchorlock/>
          </v:shape>
          <o:OLEObject Type="Embed" ProgID="Word.Document.8" ShapeID="_x0000_i1025" DrawAspect="Content" ObjectID="_1468075725" r:id="rId6">
            <o:LockedField>false</o:LockedField>
          </o:OLEObject>
        </w:object>
      </w:r>
      <w:r>
        <w:rPr>
          <w:rFonts w:ascii="黑体" w:hAnsi="黑体" w:eastAsia="黑体"/>
          <w:sz w:val="28"/>
          <w:szCs w:val="28"/>
        </w:rPr>
        <w:object>
          <v:shape id="_x0000_i1026" o:spt="75" type="#_x0000_t75" style="height:390.05pt;width:830.55pt;" o:ole="t" filled="f" o:preferrelative="t" stroked="f" coordsize="21600,21600">
            <v:path/>
            <v:fill on="f" focussize="0,0"/>
            <v:stroke on="f"/>
            <v:imagedata r:id="rId9" grayscale="t" bilevel="t" o:title=""/>
            <o:lock v:ext="edit" aspectratio="f"/>
            <w10:wrap type="none"/>
            <w10:anchorlock/>
          </v:shape>
          <o:OLEObject Type="Embed" ProgID="Word.Document.8" ShapeID="_x0000_i1026" DrawAspect="Content" ObjectID="_1468075726" r:id="rId8">
            <o:LockedField>false</o:LockedField>
          </o:OLEObject>
        </w:object>
      </w:r>
      <w:r>
        <w:rPr>
          <w:rFonts w:ascii="Times New Roman" w:hAnsi="Times New Roman" w:eastAsia="黑体" w:cs="Times New Roman"/>
          <w:bCs/>
          <w:kern w:val="0"/>
          <w:sz w:val="32"/>
          <w:szCs w:val="32"/>
        </w:rPr>
        <w:object>
          <v:shape id="_x0000_i1027" o:spt="75" type="#_x0000_t75" style="height:422.55pt;width:884.55pt;" o:ole="t" filled="f" o:preferrelative="t" stroked="f" coordsize="21600,21600">
            <v:path/>
            <v:fill on="f" focussize="0,0"/>
            <v:stroke on="f"/>
            <v:imagedata r:id="rId11" grayscale="t" bilevel="t" o:title=""/>
            <o:lock v:ext="edit" aspectratio="f"/>
            <w10:wrap type="none"/>
            <w10:anchorlock/>
          </v:shape>
          <o:OLEObject Type="Embed" ProgID="Word.Document.8" ShapeID="_x0000_i1027" DrawAspect="Content" ObjectID="_1468075727" r:id="rId10">
            <o:LockedField>false</o:LockedField>
          </o:OLEObject>
        </w:object>
      </w:r>
      <w:r>
        <w:rPr>
          <w:rFonts w:ascii="Times New Roman" w:hAnsi="Times New Roman" w:eastAsia="方正小标宋_GBK" w:cs="Times New Roman"/>
          <w:color w:val="000000"/>
          <w:kern w:val="0"/>
          <w:sz w:val="36"/>
          <w:szCs w:val="21"/>
        </w:rPr>
        <w:object>
          <v:shape id="_x0000_i1028" o:spt="75" type="#_x0000_t75" style="height:426.05pt;width:850.2pt;" o:ole="t" filled="f" o:preferrelative="t" stroked="f" coordsize="21600,21600">
            <v:path/>
            <v:fill on="f" focussize="0,0"/>
            <v:stroke on="f"/>
            <v:imagedata r:id="rId13" grayscale="t" bilevel="t" o:title=""/>
            <o:lock v:ext="edit" aspectratio="f"/>
            <w10:wrap type="none"/>
            <w10:anchorlock/>
          </v:shape>
          <o:OLEObject Type="Embed" ProgID="Word.Document.8" ShapeID="_x0000_i1028" DrawAspect="Content" ObjectID="_1468075728" r:id="rId12">
            <o:LockedField>false</o:LockedField>
          </o:OLEObject>
        </w:object>
      </w:r>
      <w:r>
        <w:rPr>
          <w:rFonts w:ascii="Times New Roman" w:hAnsi="Times New Roman" w:eastAsia="方正小标宋_GBK" w:cs="Times New Roman"/>
          <w:color w:val="000000"/>
          <w:kern w:val="0"/>
          <w:sz w:val="36"/>
          <w:szCs w:val="21"/>
        </w:rPr>
        <w:object>
          <v:shape id="_x0000_i1029" o:spt="75" type="#_x0000_t75" style="height:392.4pt;width:735.15pt;" o:ole="t" filled="f" o:preferrelative="t" stroked="f" coordsize="21600,21600">
            <v:path/>
            <v:fill on="f" focussize="0,0"/>
            <v:stroke on="f"/>
            <v:imagedata r:id="rId15" grayscale="t" bilevel="t" o:title=""/>
            <o:lock v:ext="edit" aspectratio="f"/>
            <w10:wrap type="none"/>
            <w10:anchorlock/>
          </v:shape>
          <o:OLEObject Type="Embed" ProgID="Word.Document.8" ShapeID="_x0000_i1029" DrawAspect="Content" ObjectID="_1468075729" r:id="rId14">
            <o:LockedField>false</o:LockedField>
          </o:OLEObject>
        </w:object>
      </w:r>
      <w:bookmarkStart w:id="0" w:name="RANGE!A1:I22"/>
      <w:bookmarkEnd w:id="0"/>
      <w:bookmarkStart w:id="1" w:name="RANGE!A1:F16"/>
    </w:p>
    <w:p w14:paraId="1336B08A">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object>
          <v:shape id="_x0000_i1030" o:spt="75" type="#_x0000_t75" style="height:418.35pt;width:875.55pt;" o:ole="t" filled="f" o:preferrelative="t" stroked="f" coordsize="21600,21600">
            <v:path/>
            <v:fill on="f" focussize="0,0"/>
            <v:stroke on="f"/>
            <v:imagedata r:id="rId17" grayscale="t" bilevel="t" o:title=""/>
            <o:lock v:ext="edit" aspectratio="f"/>
            <w10:wrap type="none"/>
            <w10:anchorlock/>
          </v:shape>
          <o:OLEObject Type="Embed" ProgID="Word.Document.8" ShapeID="_x0000_i1030" DrawAspect="Content" ObjectID="_1468075730" r:id="rId16">
            <o:LockedField>false</o:LockedField>
          </o:OLEObject>
        </w:object>
      </w:r>
    </w:p>
    <w:p w14:paraId="72C4FC2C">
      <w:pPr>
        <w:widowControl/>
        <w:jc w:val="center"/>
        <w:rPr>
          <w:rFonts w:ascii="Times New Roman" w:hAnsi="Times New Roman" w:eastAsia="方正小标宋_GBK" w:cs="Times New Roman"/>
          <w:kern w:val="0"/>
          <w:sz w:val="36"/>
          <w:szCs w:val="36"/>
        </w:rPr>
      </w:pPr>
    </w:p>
    <w:p w14:paraId="33FE29AC">
      <w:pPr>
        <w:widowControl/>
        <w:jc w:val="center"/>
        <w:rPr>
          <w:rFonts w:ascii="Times New Roman" w:hAnsi="Times New Roman" w:eastAsia="方正小标宋_GBK" w:cs="Times New Roman"/>
          <w:kern w:val="0"/>
          <w:sz w:val="36"/>
          <w:szCs w:val="36"/>
        </w:rPr>
      </w:pPr>
    </w:p>
    <w:p w14:paraId="42E429E7">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object>
          <v:shape id="_x0000_i1031" o:spt="75" type="#_x0000_t75" style="height:210.35pt;width:883.6pt;" o:ole="t" filled="f" o:preferrelative="t" stroked="f" coordsize="21600,21600">
            <v:path/>
            <v:fill on="f" focussize="0,0"/>
            <v:stroke on="f"/>
            <v:imagedata r:id="rId19" grayscale="t" bilevel="t" o:title=""/>
            <o:lock v:ext="edit" aspectratio="f"/>
            <w10:wrap type="none"/>
            <w10:anchorlock/>
          </v:shape>
          <o:OLEObject Type="Embed" ProgID="Word.Document.8" ShapeID="_x0000_i1031" DrawAspect="Content" ObjectID="_1468075731" r:id="rId18">
            <o:LockedField>false</o:LockedField>
          </o:OLEObject>
        </w:object>
      </w:r>
    </w:p>
    <w:bookmarkEnd w:id="1"/>
    <w:p w14:paraId="38123020">
      <w:pPr>
        <w:autoSpaceDE w:val="0"/>
        <w:autoSpaceDN w:val="0"/>
        <w:adjustRightInd w:val="0"/>
        <w:ind w:left="315" w:leftChars="150"/>
        <w:jc w:val="left"/>
        <w:rPr>
          <w:rFonts w:ascii="宋体" w:eastAsia="宋体" w:cs="宋体"/>
          <w:kern w:val="0"/>
          <w:sz w:val="24"/>
          <w:szCs w:val="24"/>
        </w:rPr>
      </w:pPr>
    </w:p>
    <w:p w14:paraId="6ED8896E">
      <w:pPr>
        <w:autoSpaceDE w:val="0"/>
        <w:autoSpaceDN w:val="0"/>
        <w:adjustRightInd w:val="0"/>
        <w:ind w:left="315" w:leftChars="150"/>
        <w:jc w:val="left"/>
        <w:rPr>
          <w:rFonts w:ascii="宋体" w:eastAsia="宋体" w:cs="宋体"/>
          <w:kern w:val="0"/>
          <w:sz w:val="24"/>
          <w:szCs w:val="24"/>
        </w:rPr>
      </w:pPr>
    </w:p>
    <w:p w14:paraId="1D9B949A">
      <w:pPr>
        <w:autoSpaceDE w:val="0"/>
        <w:autoSpaceDN w:val="0"/>
        <w:adjustRightInd w:val="0"/>
        <w:ind w:left="315" w:leftChars="150"/>
        <w:jc w:val="left"/>
        <w:rPr>
          <w:rFonts w:ascii="宋体" w:eastAsia="宋体" w:cs="宋体"/>
          <w:kern w:val="0"/>
          <w:sz w:val="24"/>
          <w:szCs w:val="24"/>
        </w:rPr>
      </w:pPr>
    </w:p>
    <w:p w14:paraId="6B29C61D">
      <w:pPr>
        <w:autoSpaceDE w:val="0"/>
        <w:autoSpaceDN w:val="0"/>
        <w:adjustRightInd w:val="0"/>
        <w:ind w:left="315" w:leftChars="150"/>
        <w:jc w:val="left"/>
        <w:rPr>
          <w:rFonts w:ascii="宋体" w:eastAsia="宋体" w:cs="宋体"/>
          <w:kern w:val="0"/>
          <w:sz w:val="24"/>
          <w:szCs w:val="24"/>
        </w:rPr>
      </w:pPr>
    </w:p>
    <w:p w14:paraId="0011FD61">
      <w:pPr>
        <w:autoSpaceDE w:val="0"/>
        <w:autoSpaceDN w:val="0"/>
        <w:adjustRightInd w:val="0"/>
        <w:ind w:left="315" w:leftChars="150"/>
        <w:jc w:val="left"/>
        <w:rPr>
          <w:rFonts w:ascii="宋体" w:eastAsia="宋体" w:cs="宋体"/>
          <w:kern w:val="0"/>
          <w:sz w:val="24"/>
          <w:szCs w:val="24"/>
        </w:rPr>
      </w:pPr>
    </w:p>
    <w:p w14:paraId="51922F09">
      <w:pPr>
        <w:autoSpaceDE w:val="0"/>
        <w:autoSpaceDN w:val="0"/>
        <w:adjustRightInd w:val="0"/>
        <w:ind w:left="315" w:leftChars="150"/>
        <w:jc w:val="left"/>
        <w:rPr>
          <w:rFonts w:ascii="宋体" w:eastAsia="宋体" w:cs="宋体"/>
          <w:kern w:val="0"/>
          <w:sz w:val="24"/>
          <w:szCs w:val="24"/>
        </w:rPr>
      </w:pPr>
    </w:p>
    <w:tbl>
      <w:tblPr>
        <w:tblStyle w:val="10"/>
        <w:tblW w:w="15359" w:type="dxa"/>
        <w:tblInd w:w="93" w:type="dxa"/>
        <w:tblLayout w:type="autofit"/>
        <w:tblCellMar>
          <w:top w:w="0" w:type="dxa"/>
          <w:left w:w="108" w:type="dxa"/>
          <w:bottom w:w="0" w:type="dxa"/>
          <w:right w:w="108" w:type="dxa"/>
        </w:tblCellMar>
      </w:tblPr>
      <w:tblGrid>
        <w:gridCol w:w="15521"/>
      </w:tblGrid>
      <w:tr w14:paraId="4B403DBF">
        <w:tblPrEx>
          <w:tblCellMar>
            <w:top w:w="0" w:type="dxa"/>
            <w:left w:w="108" w:type="dxa"/>
            <w:bottom w:w="0" w:type="dxa"/>
            <w:right w:w="108" w:type="dxa"/>
          </w:tblCellMar>
        </w:tblPrEx>
        <w:trPr>
          <w:trHeight w:val="2628" w:hRule="atLeast"/>
        </w:trPr>
        <w:tc>
          <w:tcPr>
            <w:tcW w:w="15359" w:type="dxa"/>
            <w:tcBorders>
              <w:top w:val="nil"/>
              <w:left w:val="nil"/>
              <w:bottom w:val="nil"/>
              <w:right w:val="nil"/>
            </w:tcBorders>
            <w:shd w:val="clear" w:color="000000" w:fill="FFFFFF"/>
            <w:vAlign w:val="center"/>
          </w:tcPr>
          <w:p w14:paraId="2358116F">
            <w:pPr>
              <w:widowControl/>
              <w:jc w:val="left"/>
              <w:rPr>
                <w:rFonts w:hint="default" w:ascii="华文中宋" w:hAnsi="华文中宋" w:eastAsia="华文中宋" w:cs="宋体"/>
                <w:kern w:val="0"/>
                <w:sz w:val="32"/>
                <w:szCs w:val="32"/>
                <w:lang w:val="en-US" w:eastAsia="zh-CN"/>
              </w:rPr>
            </w:pPr>
            <w:r>
              <w:rPr>
                <w:rFonts w:hint="eastAsia" w:ascii="华文中宋" w:hAnsi="华文中宋" w:eastAsia="华文中宋" w:cs="宋体"/>
                <w:kern w:val="0"/>
                <w:sz w:val="32"/>
                <w:szCs w:val="32"/>
              </w:rPr>
              <w:object>
                <v:shape id="_x0000_i1032" o:spt="75" type="#_x0000_t75" style="height:148.5pt;width:802.25pt;" o:ole="t" filled="f" o:preferrelative="t" stroked="f" coordsize="21600,21600">
                  <v:path/>
                  <v:fill on="f" focussize="0,0"/>
                  <v:stroke on="f"/>
                  <v:imagedata r:id="rId21" grayscale="t" bilevel="t" o:title=""/>
                  <o:lock v:ext="edit" aspectratio="f"/>
                  <w10:wrap type="none"/>
                  <w10:anchorlock/>
                </v:shape>
                <o:OLEObject Type="Embed" ProgID="Word.Document.8" ShapeID="_x0000_i1032" DrawAspect="Content" ObjectID="_1468075732" r:id="rId20">
                  <o:LockedField>false</o:LockedField>
                </o:OLEObject>
              </w:object>
            </w:r>
            <w:r>
              <w:rPr>
                <w:rFonts w:hint="eastAsia" w:ascii="华文中宋" w:hAnsi="华文中宋" w:eastAsia="华文中宋" w:cs="宋体"/>
                <w:kern w:val="0"/>
                <w:sz w:val="18"/>
                <w:szCs w:val="18"/>
                <w:lang w:val="en-US" w:eastAsia="zh-CN"/>
              </w:rPr>
              <w:t>本单位无政府性基金收支，故本表为空表</w:t>
            </w:r>
          </w:p>
          <w:p w14:paraId="5826B406">
            <w:pPr>
              <w:widowControl/>
              <w:jc w:val="center"/>
              <w:rPr>
                <w:rFonts w:hint="eastAsia" w:ascii="华文中宋" w:hAnsi="华文中宋" w:eastAsia="华文中宋" w:cs="宋体"/>
                <w:kern w:val="0"/>
                <w:sz w:val="32"/>
                <w:szCs w:val="32"/>
              </w:rPr>
            </w:pPr>
          </w:p>
          <w:p w14:paraId="40DE0918">
            <w:pPr>
              <w:widowControl/>
              <w:jc w:val="center"/>
              <w:rPr>
                <w:rFonts w:hint="eastAsia" w:ascii="华文中宋" w:hAnsi="华文中宋" w:eastAsia="华文中宋" w:cs="宋体"/>
                <w:kern w:val="0"/>
                <w:sz w:val="32"/>
                <w:szCs w:val="32"/>
              </w:rPr>
            </w:pPr>
          </w:p>
          <w:p w14:paraId="411100E1">
            <w:pPr>
              <w:widowControl/>
              <w:jc w:val="center"/>
              <w:rPr>
                <w:rFonts w:hint="eastAsia" w:ascii="华文中宋" w:hAnsi="华文中宋" w:eastAsia="华文中宋" w:cs="宋体"/>
                <w:kern w:val="0"/>
                <w:sz w:val="32"/>
                <w:szCs w:val="32"/>
              </w:rPr>
            </w:pPr>
          </w:p>
          <w:p w14:paraId="203B5847">
            <w:pPr>
              <w:widowControl/>
              <w:jc w:val="center"/>
              <w:rPr>
                <w:rFonts w:hint="eastAsia" w:ascii="华文中宋" w:hAnsi="华文中宋" w:eastAsia="华文中宋" w:cs="宋体"/>
                <w:kern w:val="0"/>
                <w:sz w:val="32"/>
                <w:szCs w:val="32"/>
              </w:rPr>
            </w:pPr>
          </w:p>
          <w:p w14:paraId="373109AC">
            <w:pPr>
              <w:widowControl/>
              <w:jc w:val="center"/>
              <w:rPr>
                <w:rFonts w:hint="eastAsia" w:ascii="华文中宋" w:hAnsi="华文中宋" w:eastAsia="华文中宋" w:cs="宋体"/>
                <w:kern w:val="0"/>
                <w:sz w:val="32"/>
                <w:szCs w:val="32"/>
              </w:rPr>
            </w:pPr>
          </w:p>
          <w:p w14:paraId="29D647D0">
            <w:pPr>
              <w:widowControl/>
              <w:jc w:val="center"/>
              <w:rPr>
                <w:rFonts w:hint="eastAsia" w:ascii="华文中宋" w:hAnsi="华文中宋" w:eastAsia="华文中宋" w:cs="宋体"/>
                <w:kern w:val="0"/>
                <w:sz w:val="32"/>
                <w:szCs w:val="32"/>
              </w:rPr>
            </w:pPr>
          </w:p>
          <w:p w14:paraId="3A48BF60">
            <w:pPr>
              <w:widowControl/>
              <w:jc w:val="center"/>
              <w:rPr>
                <w:rFonts w:hint="eastAsia" w:ascii="华文中宋" w:hAnsi="华文中宋" w:eastAsia="华文中宋" w:cs="宋体"/>
                <w:kern w:val="0"/>
                <w:sz w:val="32"/>
                <w:szCs w:val="32"/>
              </w:rPr>
            </w:pPr>
          </w:p>
          <w:p w14:paraId="6983DBA0">
            <w:pPr>
              <w:widowControl/>
              <w:jc w:val="center"/>
              <w:rPr>
                <w:rFonts w:hint="eastAsia" w:ascii="华文中宋" w:hAnsi="华文中宋" w:eastAsia="华文中宋" w:cs="宋体"/>
                <w:kern w:val="0"/>
                <w:sz w:val="32"/>
                <w:szCs w:val="32"/>
              </w:rPr>
            </w:pPr>
          </w:p>
          <w:p w14:paraId="64011A51">
            <w:pPr>
              <w:widowControl/>
              <w:jc w:val="center"/>
              <w:rPr>
                <w:rFonts w:hint="eastAsia" w:ascii="华文中宋" w:hAnsi="华文中宋" w:eastAsia="华文中宋" w:cs="宋体"/>
                <w:kern w:val="0"/>
                <w:sz w:val="32"/>
                <w:szCs w:val="32"/>
              </w:rPr>
            </w:pPr>
          </w:p>
          <w:p w14:paraId="6C490DF2">
            <w:pPr>
              <w:widowControl/>
              <w:jc w:val="center"/>
              <w:rPr>
                <w:rFonts w:hint="eastAsia" w:ascii="华文中宋" w:hAnsi="华文中宋" w:eastAsia="华文中宋" w:cs="宋体"/>
                <w:kern w:val="0"/>
                <w:sz w:val="32"/>
                <w:szCs w:val="32"/>
              </w:rPr>
            </w:pPr>
            <w:r>
              <w:rPr>
                <w:rFonts w:hint="eastAsia" w:ascii="华文中宋" w:hAnsi="华文中宋" w:eastAsia="华文中宋" w:cs="宋体"/>
                <w:kern w:val="0"/>
                <w:sz w:val="32"/>
                <w:szCs w:val="32"/>
              </w:rPr>
              <w:object>
                <v:shape id="_x0000_i1033" o:spt="75" type="#_x0000_t75" style="height:203.55pt;width:840.35pt;" o:ole="t" filled="f" o:preferrelative="t" stroked="f" coordsize="21600,21600">
                  <v:path/>
                  <v:fill on="f" focussize="0,0"/>
                  <v:stroke on="f"/>
                  <v:imagedata r:id="rId23" grayscale="t" bilevel="t" o:title=""/>
                  <o:lock v:ext="edit" aspectratio="f"/>
                  <w10:wrap type="none"/>
                  <w10:anchorlock/>
                </v:shape>
                <o:OLEObject Type="Embed" ProgID="Word.Document.8" ShapeID="_x0000_i1033" DrawAspect="Content" ObjectID="_1468075733" r:id="rId22">
                  <o:LockedField>false</o:LockedField>
                </o:OLEObject>
              </w:object>
            </w:r>
          </w:p>
        </w:tc>
      </w:tr>
    </w:tbl>
    <w:p w14:paraId="6CB44F6F">
      <w:pPr>
        <w:pStyle w:val="14"/>
        <w:jc w:val="center"/>
        <w:rPr>
          <w:rFonts w:hint="eastAsia"/>
          <w:sz w:val="72"/>
          <w:szCs w:val="72"/>
        </w:rPr>
        <w:sectPr>
          <w:pgSz w:w="16838" w:h="11906" w:orient="landscape"/>
          <w:pgMar w:top="1803" w:right="720" w:bottom="1803" w:left="720" w:header="851" w:footer="992" w:gutter="0"/>
          <w:cols w:space="425" w:num="1"/>
          <w:docGrid w:type="linesAndChars" w:linePitch="312" w:charSpace="0"/>
        </w:sectPr>
      </w:pPr>
    </w:p>
    <w:p w14:paraId="1C719C0D">
      <w:pPr>
        <w:pStyle w:val="14"/>
        <w:jc w:val="center"/>
        <w:rPr>
          <w:rFonts w:hint="eastAsia"/>
          <w:sz w:val="72"/>
          <w:szCs w:val="72"/>
        </w:rPr>
      </w:pPr>
    </w:p>
    <w:p w14:paraId="0F2E61FA">
      <w:pPr>
        <w:pStyle w:val="14"/>
        <w:jc w:val="center"/>
        <w:rPr>
          <w:rFonts w:hint="eastAsia"/>
          <w:sz w:val="72"/>
          <w:szCs w:val="72"/>
        </w:rPr>
      </w:pPr>
    </w:p>
    <w:p w14:paraId="5224530D">
      <w:pPr>
        <w:pStyle w:val="14"/>
        <w:jc w:val="center"/>
        <w:rPr>
          <w:rFonts w:hint="eastAsia"/>
          <w:sz w:val="72"/>
          <w:szCs w:val="72"/>
        </w:rPr>
      </w:pPr>
    </w:p>
    <w:p w14:paraId="495861BD">
      <w:pPr>
        <w:pStyle w:val="14"/>
        <w:jc w:val="center"/>
        <w:rPr>
          <w:rFonts w:hint="eastAsia"/>
          <w:sz w:val="72"/>
          <w:szCs w:val="72"/>
        </w:rPr>
      </w:pPr>
      <w:r>
        <w:rPr>
          <w:rFonts w:hint="eastAsia"/>
          <w:sz w:val="72"/>
          <w:szCs w:val="72"/>
        </w:rPr>
        <w:t>第三部分</w:t>
      </w:r>
    </w:p>
    <w:p w14:paraId="65ADE827">
      <w:pPr>
        <w:pStyle w:val="14"/>
        <w:jc w:val="center"/>
        <w:rPr>
          <w:sz w:val="70"/>
          <w:szCs w:val="70"/>
        </w:rPr>
      </w:pPr>
    </w:p>
    <w:p w14:paraId="2BA9BAF4">
      <w:pPr>
        <w:pStyle w:val="14"/>
        <w:jc w:val="center"/>
        <w:rPr>
          <w:sz w:val="70"/>
          <w:szCs w:val="70"/>
        </w:rPr>
      </w:pPr>
      <w:r>
        <w:rPr>
          <w:sz w:val="70"/>
          <w:szCs w:val="70"/>
        </w:rPr>
        <w:t>20</w:t>
      </w:r>
      <w:r>
        <w:rPr>
          <w:rFonts w:hint="eastAsia"/>
          <w:sz w:val="70"/>
          <w:szCs w:val="70"/>
        </w:rPr>
        <w:t>21年度部门决算情况说明</w:t>
      </w:r>
    </w:p>
    <w:p w14:paraId="57D30F4F">
      <w:pPr>
        <w:widowControl/>
        <w:jc w:val="left"/>
        <w:rPr>
          <w:rFonts w:ascii="黑体" w:eastAsia="黑体" w:cs="黑体"/>
          <w:color w:val="000000"/>
          <w:kern w:val="0"/>
          <w:sz w:val="70"/>
          <w:szCs w:val="70"/>
        </w:rPr>
      </w:pPr>
      <w:r>
        <w:rPr>
          <w:sz w:val="70"/>
          <w:szCs w:val="70"/>
        </w:rPr>
        <w:br w:type="page"/>
      </w:r>
    </w:p>
    <w:p w14:paraId="7A7761F9">
      <w:pPr>
        <w:pStyle w:val="14"/>
        <w:rPr>
          <w:rFonts w:asciiTheme="minorEastAsia" w:hAnsiTheme="minorEastAsia" w:eastAsiaTheme="minorEastAsia"/>
          <w:sz w:val="32"/>
          <w:szCs w:val="32"/>
        </w:rPr>
      </w:pPr>
    </w:p>
    <w:p w14:paraId="61AAC0E3">
      <w:pPr>
        <w:pStyle w:val="14"/>
        <w:rPr>
          <w:rFonts w:hAnsi="黑体"/>
          <w:b/>
          <w:sz w:val="32"/>
          <w:szCs w:val="32"/>
        </w:rPr>
      </w:pPr>
      <w:r>
        <w:rPr>
          <w:rFonts w:hint="eastAsia" w:hAnsi="黑体"/>
          <w:b/>
          <w:sz w:val="32"/>
          <w:szCs w:val="32"/>
        </w:rPr>
        <w:t>一、收入支出决算总体情况说明</w:t>
      </w:r>
    </w:p>
    <w:p w14:paraId="63BCD526">
      <w:pPr>
        <w:pStyle w:val="8"/>
        <w:widowControl/>
        <w:pBdr>
          <w:top w:val="none" w:color="auto" w:sz="0" w:space="0"/>
          <w:left w:val="none" w:color="auto" w:sz="0" w:space="0"/>
          <w:bottom w:val="none" w:color="auto" w:sz="0" w:space="0"/>
          <w:right w:val="none" w:color="auto" w:sz="0" w:space="0"/>
        </w:pBdr>
        <w:spacing w:before="158" w:after="158" w:line="460" w:lineRule="atLeast"/>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2021年度收</w:t>
      </w:r>
      <w:r>
        <w:rPr>
          <w:rFonts w:hint="eastAsia" w:asciiTheme="minorEastAsia" w:hAnsiTheme="minorEastAsia" w:eastAsiaTheme="minorEastAsia"/>
          <w:sz w:val="32"/>
          <w:szCs w:val="32"/>
          <w:lang w:val="en-US" w:eastAsia="zh-CN"/>
        </w:rPr>
        <w:t>入</w:t>
      </w:r>
      <w:r>
        <w:rPr>
          <w:rFonts w:hint="eastAsia" w:asciiTheme="minorEastAsia" w:hAnsiTheme="minorEastAsia" w:eastAsiaTheme="minorEastAsia"/>
          <w:sz w:val="32"/>
          <w:szCs w:val="32"/>
        </w:rPr>
        <w:t>总计</w:t>
      </w:r>
      <w:r>
        <w:rPr>
          <w:rFonts w:hint="eastAsia" w:asciiTheme="minorEastAsia" w:hAnsiTheme="minorEastAsia" w:eastAsiaTheme="minorEastAsia"/>
          <w:sz w:val="32"/>
          <w:szCs w:val="32"/>
          <w:lang w:val="en-US" w:eastAsia="zh-CN"/>
        </w:rPr>
        <w:t>1312.97</w:t>
      </w:r>
      <w:r>
        <w:rPr>
          <w:rFonts w:hint="eastAsia" w:asciiTheme="minorEastAsia" w:hAnsiTheme="minorEastAsia" w:eastAsiaTheme="minorEastAsia"/>
          <w:sz w:val="32"/>
          <w:szCs w:val="32"/>
        </w:rPr>
        <w:t>万元</w:t>
      </w:r>
      <w:r>
        <w:rPr>
          <w:rFonts w:hint="eastAsia" w:ascii="宋体" w:hAnsi="宋体" w:eastAsia="宋体"/>
          <w:sz w:val="28"/>
          <w:szCs w:val="28"/>
          <w:highlight w:val="none"/>
        </w:rPr>
        <w:t>（</w:t>
      </w:r>
      <w:r>
        <w:rPr>
          <w:rFonts w:hint="eastAsia" w:asciiTheme="minorEastAsia" w:hAnsiTheme="minorEastAsia" w:eastAsiaTheme="minorEastAsia"/>
          <w:sz w:val="32"/>
          <w:szCs w:val="32"/>
          <w:highlight w:val="none"/>
        </w:rPr>
        <w:t>含年初结转和结余资金</w:t>
      </w:r>
      <w:r>
        <w:rPr>
          <w:rFonts w:hint="eastAsia" w:asciiTheme="minorEastAsia" w:hAnsiTheme="minorEastAsia" w:eastAsiaTheme="minorEastAsia"/>
          <w:sz w:val="32"/>
          <w:szCs w:val="32"/>
          <w:highlight w:val="none"/>
          <w:lang w:val="en-US" w:eastAsia="zh-CN"/>
        </w:rPr>
        <w:t>356.12</w:t>
      </w:r>
      <w:r>
        <w:rPr>
          <w:rFonts w:hint="eastAsia" w:asciiTheme="minorEastAsia" w:hAnsiTheme="minorEastAsia" w:eastAsiaTheme="minorEastAsia"/>
          <w:sz w:val="32"/>
          <w:szCs w:val="32"/>
          <w:highlight w:val="none"/>
        </w:rPr>
        <w:t>万元）</w:t>
      </w:r>
      <w:r>
        <w:rPr>
          <w:rFonts w:hint="eastAsia" w:asciiTheme="minorEastAsia" w:hAnsiTheme="minorEastAsia" w:eastAsiaTheme="minorEastAsia"/>
          <w:sz w:val="32"/>
          <w:szCs w:val="32"/>
        </w:rPr>
        <w:t>。与上年相比，增加</w:t>
      </w:r>
      <w:r>
        <w:rPr>
          <w:rFonts w:hint="eastAsia" w:asciiTheme="minorEastAsia" w:hAnsiTheme="minorEastAsia" w:eastAsiaTheme="minorEastAsia"/>
          <w:sz w:val="32"/>
          <w:szCs w:val="32"/>
          <w:lang w:val="en-US" w:eastAsia="zh-CN"/>
        </w:rPr>
        <w:t>483.86</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58.36</w:t>
      </w:r>
      <w:r>
        <w:rPr>
          <w:rFonts w:hint="eastAsia" w:asciiTheme="minorEastAsia" w:hAnsiTheme="minorEastAsia" w:eastAsiaTheme="minorEastAsia"/>
          <w:sz w:val="32"/>
          <w:szCs w:val="32"/>
        </w:rPr>
        <w:t>%，主要是因为我中心改革上划后，专项资金</w:t>
      </w:r>
      <w:r>
        <w:rPr>
          <w:rFonts w:hint="eastAsia" w:asciiTheme="minorEastAsia" w:hAnsiTheme="minorEastAsia"/>
          <w:sz w:val="32"/>
          <w:szCs w:val="32"/>
          <w:lang w:val="en-US" w:eastAsia="zh-CN"/>
        </w:rPr>
        <w:t>拨款</w:t>
      </w:r>
      <w:r>
        <w:rPr>
          <w:rFonts w:hint="eastAsia" w:asciiTheme="minorEastAsia" w:hAnsiTheme="minorEastAsia" w:eastAsiaTheme="minorEastAsia"/>
          <w:sz w:val="32"/>
          <w:szCs w:val="32"/>
        </w:rPr>
        <w:t>有所增加。</w:t>
      </w:r>
    </w:p>
    <w:p w14:paraId="0DB854B8">
      <w:pPr>
        <w:pStyle w:val="8"/>
        <w:widowControl/>
        <w:pBdr>
          <w:top w:val="none" w:color="auto" w:sz="0" w:space="0"/>
          <w:left w:val="none" w:color="auto" w:sz="0" w:space="0"/>
          <w:bottom w:val="none" w:color="auto" w:sz="0" w:space="0"/>
          <w:right w:val="none" w:color="auto" w:sz="0" w:space="0"/>
        </w:pBdr>
        <w:spacing w:before="158" w:after="158" w:line="460" w:lineRule="atLeast"/>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w:t>
      </w:r>
      <w:r>
        <w:rPr>
          <w:rFonts w:hint="eastAsia" w:asciiTheme="minorEastAsia" w:hAnsiTheme="minorEastAsia"/>
          <w:sz w:val="32"/>
          <w:szCs w:val="32"/>
          <w:lang w:val="en-US" w:eastAsia="zh-CN"/>
        </w:rPr>
        <w:t>支出</w:t>
      </w:r>
      <w:r>
        <w:rPr>
          <w:rFonts w:hint="eastAsia" w:asciiTheme="minorEastAsia" w:hAnsiTheme="minorEastAsia" w:eastAsiaTheme="minorEastAsia"/>
          <w:sz w:val="32"/>
          <w:szCs w:val="32"/>
        </w:rPr>
        <w:t>总计</w:t>
      </w:r>
      <w:r>
        <w:rPr>
          <w:rFonts w:hint="eastAsia" w:asciiTheme="minorEastAsia" w:hAnsiTheme="minorEastAsia" w:eastAsiaTheme="minorEastAsia"/>
          <w:sz w:val="32"/>
          <w:szCs w:val="32"/>
          <w:lang w:val="en-US" w:eastAsia="zh-CN"/>
        </w:rPr>
        <w:t>1312.97</w:t>
      </w:r>
      <w:r>
        <w:rPr>
          <w:rFonts w:hint="eastAsia" w:asciiTheme="minorEastAsia" w:hAnsiTheme="minorEastAsia" w:eastAsiaTheme="minorEastAsia"/>
          <w:sz w:val="32"/>
          <w:szCs w:val="32"/>
        </w:rPr>
        <w:t>万元</w:t>
      </w:r>
      <w:r>
        <w:rPr>
          <w:rFonts w:hint="eastAsia" w:ascii="宋体" w:hAnsi="宋体" w:eastAsia="宋体"/>
          <w:sz w:val="28"/>
          <w:szCs w:val="28"/>
          <w:highlight w:val="none"/>
        </w:rPr>
        <w:t>（</w:t>
      </w:r>
      <w:r>
        <w:rPr>
          <w:rFonts w:hint="eastAsia" w:asciiTheme="minorEastAsia" w:hAnsiTheme="minorEastAsia" w:eastAsiaTheme="minorEastAsia"/>
          <w:sz w:val="32"/>
          <w:szCs w:val="32"/>
        </w:rPr>
        <w:t>含年</w:t>
      </w:r>
      <w:r>
        <w:rPr>
          <w:rFonts w:hint="eastAsia" w:asciiTheme="minorEastAsia" w:hAnsiTheme="minorEastAsia"/>
          <w:sz w:val="32"/>
          <w:szCs w:val="32"/>
          <w:lang w:val="en-US" w:eastAsia="zh-CN"/>
        </w:rPr>
        <w:t>末</w:t>
      </w:r>
      <w:r>
        <w:rPr>
          <w:rFonts w:hint="eastAsia" w:asciiTheme="minorEastAsia" w:hAnsiTheme="minorEastAsia" w:eastAsiaTheme="minorEastAsia"/>
          <w:sz w:val="32"/>
          <w:szCs w:val="32"/>
        </w:rPr>
        <w:t>结转和结余资金</w:t>
      </w:r>
      <w:r>
        <w:rPr>
          <w:rFonts w:hint="eastAsia" w:asciiTheme="minorEastAsia" w:hAnsiTheme="minorEastAsia"/>
          <w:sz w:val="32"/>
          <w:szCs w:val="32"/>
          <w:lang w:val="en-US" w:eastAsia="zh-CN"/>
        </w:rPr>
        <w:t>59</w:t>
      </w:r>
      <w:r>
        <w:rPr>
          <w:rFonts w:hint="eastAsia" w:asciiTheme="minorEastAsia" w:hAnsiTheme="minorEastAsia" w:eastAsiaTheme="minorEastAsia"/>
          <w:sz w:val="32"/>
          <w:szCs w:val="32"/>
          <w:lang w:val="en-US" w:eastAsia="zh-CN"/>
        </w:rPr>
        <w:t>.</w:t>
      </w:r>
      <w:r>
        <w:rPr>
          <w:rFonts w:hint="eastAsia" w:asciiTheme="minorEastAsia" w:hAnsiTheme="minorEastAsia"/>
          <w:sz w:val="32"/>
          <w:szCs w:val="32"/>
          <w:lang w:val="en-US" w:eastAsia="zh-CN"/>
        </w:rPr>
        <w:t>90</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483.86</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58.36</w:t>
      </w:r>
      <w:r>
        <w:rPr>
          <w:rFonts w:hint="eastAsia" w:asciiTheme="minorEastAsia" w:hAnsiTheme="minorEastAsia" w:eastAsiaTheme="minorEastAsia"/>
          <w:sz w:val="32"/>
          <w:szCs w:val="32"/>
        </w:rPr>
        <w:t>%，主要是因为我中心改革上划后，专项资金</w:t>
      </w:r>
      <w:r>
        <w:rPr>
          <w:rFonts w:hint="eastAsia" w:asciiTheme="minorEastAsia" w:hAnsiTheme="minorEastAsia"/>
          <w:sz w:val="32"/>
          <w:szCs w:val="32"/>
          <w:lang w:val="en-US" w:eastAsia="zh-CN"/>
        </w:rPr>
        <w:t>支出</w:t>
      </w:r>
      <w:r>
        <w:rPr>
          <w:rFonts w:hint="eastAsia" w:asciiTheme="minorEastAsia" w:hAnsiTheme="minorEastAsia" w:eastAsiaTheme="minorEastAsia"/>
          <w:sz w:val="32"/>
          <w:szCs w:val="32"/>
        </w:rPr>
        <w:t>有所增加。</w:t>
      </w:r>
    </w:p>
    <w:p w14:paraId="590B381E">
      <w:pPr>
        <w:pStyle w:val="14"/>
        <w:rPr>
          <w:rFonts w:hAnsi="黑体"/>
          <w:b/>
          <w:sz w:val="32"/>
          <w:szCs w:val="32"/>
        </w:rPr>
      </w:pPr>
      <w:r>
        <w:rPr>
          <w:rFonts w:hint="eastAsia" w:hAnsi="黑体"/>
          <w:b/>
          <w:sz w:val="32"/>
          <w:szCs w:val="32"/>
        </w:rPr>
        <w:t>二、收入决算情况说明</w:t>
      </w:r>
    </w:p>
    <w:p w14:paraId="6EA1AD80">
      <w:pPr>
        <w:pStyle w:val="8"/>
        <w:widowControl/>
        <w:pBdr>
          <w:top w:val="none" w:color="auto" w:sz="0" w:space="0"/>
          <w:left w:val="none" w:color="auto" w:sz="0" w:space="0"/>
          <w:bottom w:val="none" w:color="auto" w:sz="0" w:space="0"/>
          <w:right w:val="none" w:color="auto" w:sz="0" w:space="0"/>
        </w:pBdr>
        <w:spacing w:before="158" w:after="158" w:line="460" w:lineRule="atLeas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2021年度收入合计</w:t>
      </w:r>
      <w:r>
        <w:rPr>
          <w:rFonts w:hint="eastAsia" w:asciiTheme="minorEastAsia" w:hAnsiTheme="minorEastAsia" w:eastAsiaTheme="minorEastAsia"/>
          <w:sz w:val="32"/>
          <w:szCs w:val="32"/>
          <w:lang w:val="en-US" w:eastAsia="zh-CN"/>
        </w:rPr>
        <w:t>956.85</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highlight w:val="none"/>
        </w:rPr>
        <w:t>（不含年初结转和结余资金）</w:t>
      </w:r>
      <w:r>
        <w:rPr>
          <w:rFonts w:hint="eastAsia" w:asciiTheme="minorEastAsia" w:hAnsiTheme="minorEastAsia" w:eastAsiaTheme="minorEastAsia"/>
          <w:sz w:val="32"/>
          <w:szCs w:val="32"/>
        </w:rPr>
        <w:t>，其中：财政拨款收入</w:t>
      </w:r>
      <w:r>
        <w:rPr>
          <w:rFonts w:hint="eastAsia" w:asciiTheme="minorEastAsia" w:hAnsiTheme="minorEastAsia" w:eastAsiaTheme="minorEastAsia"/>
          <w:sz w:val="32"/>
          <w:szCs w:val="32"/>
          <w:lang w:val="en-US" w:eastAsia="zh-CN"/>
        </w:rPr>
        <w:t>771.25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80.60</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185.60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19.40</w:t>
      </w:r>
      <w:r>
        <w:rPr>
          <w:rFonts w:hint="eastAsia" w:asciiTheme="minorEastAsia" w:hAnsiTheme="minorEastAsia" w:eastAsiaTheme="minorEastAsia"/>
          <w:sz w:val="32"/>
          <w:szCs w:val="32"/>
        </w:rPr>
        <w:t>%。</w:t>
      </w:r>
    </w:p>
    <w:p w14:paraId="2B36AD94">
      <w:pPr>
        <w:pStyle w:val="14"/>
        <w:rPr>
          <w:rFonts w:hAnsi="黑体"/>
          <w:b/>
          <w:sz w:val="32"/>
          <w:szCs w:val="32"/>
        </w:rPr>
      </w:pPr>
      <w:r>
        <w:rPr>
          <w:rFonts w:hint="eastAsia" w:hAnsi="黑体"/>
          <w:b/>
          <w:sz w:val="32"/>
          <w:szCs w:val="32"/>
        </w:rPr>
        <w:t>三、支出决算情况说明</w:t>
      </w:r>
    </w:p>
    <w:p w14:paraId="79F376D6">
      <w:pPr>
        <w:pStyle w:val="8"/>
        <w:widowControl/>
        <w:pBdr>
          <w:top w:val="none" w:color="auto" w:sz="0" w:space="0"/>
          <w:left w:val="none" w:color="auto" w:sz="0" w:space="0"/>
          <w:bottom w:val="none" w:color="auto" w:sz="0" w:space="0"/>
          <w:right w:val="none" w:color="auto" w:sz="0" w:space="0"/>
        </w:pBdr>
        <w:spacing w:before="158" w:after="158" w:line="460" w:lineRule="atLeas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2021年度支出合计</w:t>
      </w:r>
      <w:r>
        <w:rPr>
          <w:rFonts w:hint="eastAsia" w:asciiTheme="minorEastAsia" w:hAnsiTheme="minorEastAsia" w:eastAsiaTheme="minorEastAsia"/>
          <w:sz w:val="32"/>
          <w:szCs w:val="32"/>
          <w:lang w:val="en-US" w:eastAsia="zh-CN"/>
        </w:rPr>
        <w:t>1253.07</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highlight w:val="none"/>
        </w:rPr>
        <w:t>（不含年</w:t>
      </w:r>
      <w:r>
        <w:rPr>
          <w:rFonts w:hint="eastAsia" w:asciiTheme="minorEastAsia" w:hAnsiTheme="minorEastAsia" w:eastAsiaTheme="minorEastAsia"/>
          <w:sz w:val="32"/>
          <w:szCs w:val="32"/>
          <w:highlight w:val="none"/>
          <w:lang w:val="en-US" w:eastAsia="zh-CN"/>
        </w:rPr>
        <w:t>末</w:t>
      </w:r>
      <w:r>
        <w:rPr>
          <w:rFonts w:hint="eastAsia" w:asciiTheme="minorEastAsia" w:hAnsiTheme="minorEastAsia" w:eastAsiaTheme="minorEastAsia"/>
          <w:sz w:val="32"/>
          <w:szCs w:val="32"/>
          <w:highlight w:val="none"/>
        </w:rPr>
        <w:t>结转和结余资金）</w:t>
      </w:r>
      <w:r>
        <w:rPr>
          <w:rFonts w:hint="eastAsia" w:asciiTheme="minorEastAsia" w:hAnsiTheme="minorEastAsia" w:eastAsiaTheme="minorEastAsia"/>
          <w:sz w:val="32"/>
          <w:szCs w:val="32"/>
        </w:rPr>
        <w:t>，其中：基本支出</w:t>
      </w:r>
      <w:r>
        <w:rPr>
          <w:rFonts w:hint="eastAsia" w:asciiTheme="minorEastAsia" w:hAnsiTheme="minorEastAsia" w:eastAsiaTheme="minorEastAsia"/>
          <w:sz w:val="32"/>
          <w:szCs w:val="32"/>
          <w:lang w:val="en-US" w:eastAsia="zh-CN"/>
        </w:rPr>
        <w:t>424.26</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33.86</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828.81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66.14</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14:paraId="0BE9432D">
      <w:pPr>
        <w:pStyle w:val="14"/>
        <w:rPr>
          <w:rFonts w:hAnsi="黑体"/>
          <w:b/>
          <w:sz w:val="32"/>
          <w:szCs w:val="32"/>
        </w:rPr>
      </w:pPr>
      <w:r>
        <w:rPr>
          <w:rFonts w:hint="eastAsia" w:hAnsi="黑体"/>
          <w:b/>
          <w:sz w:val="32"/>
          <w:szCs w:val="32"/>
        </w:rPr>
        <w:t>四、财政拨款收入支出决算总体情况说明</w:t>
      </w:r>
    </w:p>
    <w:p w14:paraId="02F31F75">
      <w:pPr>
        <w:pStyle w:val="14"/>
        <w:ind w:firstLine="640" w:firstLineChars="200"/>
        <w:rPr>
          <w:rFonts w:hint="default" w:ascii="宋体" w:hAnsi="宋体" w:eastAsia="宋体"/>
          <w:b/>
          <w:bCs/>
          <w:color w:val="FF0000"/>
          <w:sz w:val="28"/>
          <w:szCs w:val="28"/>
          <w:lang w:val="en-US" w:eastAsia="zh-CN"/>
        </w:rPr>
      </w:pPr>
      <w:r>
        <w:rPr>
          <w:rFonts w:hint="eastAsia" w:ascii="宋体" w:hAnsi="宋体" w:eastAsia="宋体"/>
          <w:sz w:val="32"/>
          <w:szCs w:val="32"/>
        </w:rPr>
        <w:t>202</w:t>
      </w:r>
      <w:r>
        <w:rPr>
          <w:rFonts w:hint="eastAsia" w:ascii="宋体" w:hAnsi="宋体" w:eastAsia="宋体"/>
          <w:sz w:val="32"/>
          <w:szCs w:val="32"/>
          <w:lang w:val="en-US" w:eastAsia="zh-CN"/>
        </w:rPr>
        <w:t>1</w:t>
      </w:r>
      <w:r>
        <w:rPr>
          <w:rFonts w:hint="eastAsia" w:ascii="宋体" w:hAnsi="宋体" w:eastAsia="宋体"/>
          <w:sz w:val="32"/>
          <w:szCs w:val="32"/>
        </w:rPr>
        <w:t>年度财政拨款收入合计</w:t>
      </w:r>
      <w:r>
        <w:rPr>
          <w:rFonts w:hint="eastAsia" w:ascii="宋体" w:hAnsi="宋体" w:eastAsia="宋体"/>
          <w:sz w:val="32"/>
          <w:szCs w:val="32"/>
          <w:lang w:val="en-US" w:eastAsia="zh-CN"/>
        </w:rPr>
        <w:t>771.25</w:t>
      </w:r>
      <w:r>
        <w:rPr>
          <w:rFonts w:hint="eastAsia" w:ascii="宋体" w:hAnsi="宋体" w:eastAsia="宋体"/>
          <w:sz w:val="32"/>
          <w:szCs w:val="32"/>
        </w:rPr>
        <w:t>万元</w:t>
      </w:r>
      <w:r>
        <w:rPr>
          <w:rFonts w:hint="eastAsia" w:ascii="宋体" w:hAnsi="宋体" w:eastAsia="宋体"/>
          <w:sz w:val="32"/>
          <w:szCs w:val="32"/>
          <w:lang w:eastAsia="zh-CN"/>
        </w:rPr>
        <w:t>（</w:t>
      </w:r>
      <w:r>
        <w:rPr>
          <w:rFonts w:hint="eastAsia" w:asciiTheme="minorEastAsia" w:hAnsiTheme="minorEastAsia" w:eastAsiaTheme="minorEastAsia"/>
          <w:sz w:val="32"/>
          <w:szCs w:val="32"/>
        </w:rPr>
        <w:t>不含</w:t>
      </w:r>
      <w:r>
        <w:rPr>
          <w:rFonts w:hint="eastAsia" w:ascii="宋体" w:hAnsi="宋体" w:eastAsia="宋体"/>
          <w:sz w:val="32"/>
          <w:szCs w:val="32"/>
        </w:rPr>
        <w:t>财政拨款</w:t>
      </w:r>
      <w:r>
        <w:rPr>
          <w:rFonts w:hint="eastAsia" w:asciiTheme="minorEastAsia" w:hAnsiTheme="minorEastAsia" w:eastAsiaTheme="minorEastAsia"/>
          <w:sz w:val="32"/>
          <w:szCs w:val="32"/>
        </w:rPr>
        <w:t>年初结转和结余资金）</w:t>
      </w:r>
      <w:r>
        <w:rPr>
          <w:rFonts w:hint="eastAsia" w:ascii="宋体" w:hAnsi="宋体" w:eastAsia="宋体"/>
          <w:sz w:val="32"/>
          <w:szCs w:val="32"/>
        </w:rPr>
        <w:t>，与上年</w:t>
      </w:r>
      <w:r>
        <w:rPr>
          <w:rFonts w:hint="eastAsia" w:ascii="宋体" w:hAnsi="宋体" w:eastAsia="宋体"/>
          <w:sz w:val="32"/>
          <w:szCs w:val="32"/>
          <w:lang w:val="en-US" w:eastAsia="zh-CN"/>
        </w:rPr>
        <w:t>309.7万</w:t>
      </w:r>
      <w:r>
        <w:rPr>
          <w:rFonts w:hint="eastAsia" w:ascii="宋体" w:hAnsi="宋体" w:eastAsia="宋体"/>
          <w:sz w:val="32"/>
          <w:szCs w:val="32"/>
        </w:rPr>
        <w:t>相比，增加</w:t>
      </w:r>
      <w:r>
        <w:rPr>
          <w:rFonts w:hint="eastAsia" w:ascii="宋体" w:hAnsi="宋体" w:eastAsia="宋体"/>
          <w:sz w:val="32"/>
          <w:szCs w:val="32"/>
          <w:lang w:val="en-US" w:eastAsia="zh-CN"/>
        </w:rPr>
        <w:t>461.55</w:t>
      </w:r>
      <w:r>
        <w:rPr>
          <w:rFonts w:hint="eastAsia" w:ascii="宋体" w:hAnsi="宋体" w:eastAsia="宋体"/>
          <w:sz w:val="32"/>
          <w:szCs w:val="32"/>
        </w:rPr>
        <w:t>万元</w:t>
      </w:r>
      <w:r>
        <w:rPr>
          <w:rFonts w:hint="eastAsia" w:ascii="宋体" w:hAnsi="宋体" w:eastAsia="宋体"/>
          <w:sz w:val="32"/>
          <w:szCs w:val="32"/>
          <w:lang w:eastAsia="zh-CN"/>
        </w:rPr>
        <w:t>，</w:t>
      </w:r>
      <w:r>
        <w:rPr>
          <w:rFonts w:hint="eastAsia" w:ascii="宋体" w:hAnsi="宋体" w:eastAsia="宋体"/>
          <w:sz w:val="32"/>
          <w:szCs w:val="32"/>
        </w:rPr>
        <w:t>增长</w:t>
      </w:r>
      <w:r>
        <w:rPr>
          <w:rFonts w:hint="eastAsia" w:ascii="宋体" w:hAnsi="宋体" w:eastAsia="宋体"/>
          <w:sz w:val="32"/>
          <w:szCs w:val="32"/>
          <w:lang w:val="en-US" w:eastAsia="zh-CN"/>
        </w:rPr>
        <w:t>149</w:t>
      </w:r>
      <w:r>
        <w:rPr>
          <w:rFonts w:hint="eastAsia" w:ascii="宋体" w:hAnsi="宋体" w:eastAsia="宋体"/>
          <w:sz w:val="32"/>
          <w:szCs w:val="32"/>
        </w:rPr>
        <w:t>%，主要是因为</w:t>
      </w:r>
      <w:r>
        <w:rPr>
          <w:rFonts w:hint="eastAsia" w:asciiTheme="minorEastAsia" w:hAnsiTheme="minorEastAsia" w:eastAsiaTheme="minorEastAsia"/>
          <w:sz w:val="32"/>
          <w:szCs w:val="32"/>
          <w:lang w:eastAsia="zh-CN"/>
        </w:rPr>
        <w:t>上划后工作任务加重，专项资金</w:t>
      </w:r>
      <w:r>
        <w:rPr>
          <w:rFonts w:hint="eastAsia" w:asciiTheme="minorEastAsia" w:hAnsiTheme="minorEastAsia" w:eastAsiaTheme="minorEastAsia"/>
          <w:sz w:val="32"/>
          <w:szCs w:val="32"/>
          <w:lang w:val="en-US" w:eastAsia="zh-CN"/>
        </w:rPr>
        <w:t>拨款</w:t>
      </w:r>
      <w:r>
        <w:rPr>
          <w:rFonts w:hint="eastAsia" w:asciiTheme="minorEastAsia" w:hAnsiTheme="minorEastAsia" w:eastAsiaTheme="minorEastAsia"/>
          <w:sz w:val="32"/>
          <w:szCs w:val="32"/>
          <w:lang w:eastAsia="zh-CN"/>
        </w:rPr>
        <w:t>增加导致</w:t>
      </w:r>
      <w:r>
        <w:rPr>
          <w:rFonts w:hint="eastAsia" w:ascii="宋体" w:hAnsi="宋体" w:eastAsia="宋体"/>
          <w:sz w:val="32"/>
          <w:szCs w:val="32"/>
        </w:rPr>
        <w:t>。</w:t>
      </w:r>
    </w:p>
    <w:p w14:paraId="79633AE9">
      <w:pPr>
        <w:pStyle w:val="14"/>
        <w:ind w:firstLine="640" w:firstLineChars="200"/>
        <w:rPr>
          <w:rFonts w:hint="default" w:ascii="宋体" w:hAnsi="宋体" w:eastAsia="宋体"/>
          <w:b/>
          <w:bCs/>
          <w:color w:val="FF0000"/>
          <w:sz w:val="28"/>
          <w:szCs w:val="28"/>
          <w:lang w:val="en-US" w:eastAsia="zh-CN"/>
        </w:rPr>
      </w:pPr>
      <w:r>
        <w:rPr>
          <w:rFonts w:hint="eastAsia" w:ascii="宋体" w:hAnsi="宋体" w:eastAsia="宋体"/>
          <w:sz w:val="32"/>
          <w:szCs w:val="32"/>
        </w:rPr>
        <w:t>202</w:t>
      </w:r>
      <w:r>
        <w:rPr>
          <w:rFonts w:hint="eastAsia" w:ascii="宋体" w:hAnsi="宋体" w:eastAsia="宋体"/>
          <w:sz w:val="32"/>
          <w:szCs w:val="32"/>
          <w:lang w:val="en-US" w:eastAsia="zh-CN"/>
        </w:rPr>
        <w:t>1</w:t>
      </w:r>
      <w:r>
        <w:rPr>
          <w:rFonts w:hint="eastAsia" w:ascii="宋体" w:hAnsi="宋体" w:eastAsia="宋体"/>
          <w:sz w:val="32"/>
          <w:szCs w:val="32"/>
        </w:rPr>
        <w:t>年度财政拨款支出合计</w:t>
      </w:r>
      <w:r>
        <w:rPr>
          <w:rFonts w:hint="eastAsia" w:ascii="宋体" w:hAnsi="宋体" w:eastAsia="宋体"/>
          <w:sz w:val="32"/>
          <w:szCs w:val="32"/>
          <w:lang w:val="en-US" w:eastAsia="zh-CN"/>
        </w:rPr>
        <w:t>1087.97</w:t>
      </w:r>
      <w:r>
        <w:rPr>
          <w:rFonts w:hint="eastAsia" w:ascii="宋体" w:hAnsi="宋体" w:eastAsia="宋体"/>
          <w:sz w:val="32"/>
          <w:szCs w:val="32"/>
        </w:rPr>
        <w:t>万元</w:t>
      </w:r>
      <w:r>
        <w:rPr>
          <w:rFonts w:hint="eastAsia" w:asciiTheme="minorEastAsia" w:hAnsiTheme="minorEastAsia" w:eastAsiaTheme="minorEastAsia"/>
          <w:sz w:val="32"/>
          <w:szCs w:val="32"/>
        </w:rPr>
        <w:t>（不含</w:t>
      </w:r>
      <w:r>
        <w:rPr>
          <w:rFonts w:hint="eastAsia" w:ascii="宋体" w:hAnsi="宋体" w:eastAsia="宋体"/>
          <w:sz w:val="32"/>
          <w:szCs w:val="32"/>
        </w:rPr>
        <w:t>财政拨款</w:t>
      </w:r>
      <w:r>
        <w:rPr>
          <w:rFonts w:hint="eastAsia" w:asciiTheme="minorEastAsia" w:hAnsiTheme="minorEastAsia" w:eastAsiaTheme="minorEastAsia"/>
          <w:sz w:val="32"/>
          <w:szCs w:val="32"/>
        </w:rPr>
        <w:t>年</w:t>
      </w:r>
      <w:r>
        <w:rPr>
          <w:rFonts w:hint="eastAsia" w:asciiTheme="minorEastAsia" w:hAnsiTheme="minorEastAsia" w:eastAsiaTheme="minorEastAsia"/>
          <w:sz w:val="32"/>
          <w:szCs w:val="32"/>
          <w:lang w:val="en-US" w:eastAsia="zh-CN"/>
        </w:rPr>
        <w:t>末</w:t>
      </w:r>
      <w:r>
        <w:rPr>
          <w:rFonts w:hint="eastAsia" w:asciiTheme="minorEastAsia" w:hAnsiTheme="minorEastAsia" w:eastAsiaTheme="minorEastAsia"/>
          <w:sz w:val="32"/>
          <w:szCs w:val="32"/>
        </w:rPr>
        <w:t>结转和结余资金）</w:t>
      </w:r>
      <w:r>
        <w:rPr>
          <w:rFonts w:hint="eastAsia" w:ascii="宋体" w:hAnsi="宋体" w:eastAsia="宋体"/>
          <w:sz w:val="32"/>
          <w:szCs w:val="32"/>
        </w:rPr>
        <w:t>，与上年</w:t>
      </w:r>
      <w:r>
        <w:rPr>
          <w:rFonts w:hint="eastAsia" w:ascii="宋体" w:hAnsi="宋体" w:eastAsia="宋体"/>
          <w:sz w:val="32"/>
          <w:szCs w:val="32"/>
          <w:lang w:val="en-US" w:eastAsia="zh-CN"/>
        </w:rPr>
        <w:t>239.78万</w:t>
      </w:r>
      <w:r>
        <w:rPr>
          <w:rFonts w:hint="eastAsia" w:ascii="宋体" w:hAnsi="宋体" w:eastAsia="宋体"/>
          <w:sz w:val="32"/>
          <w:szCs w:val="32"/>
        </w:rPr>
        <w:t>相比，增加</w:t>
      </w:r>
      <w:r>
        <w:rPr>
          <w:rFonts w:hint="eastAsia" w:asciiTheme="minorEastAsia" w:hAnsiTheme="minorEastAsia" w:eastAsiaTheme="minorEastAsia"/>
          <w:sz w:val="32"/>
          <w:szCs w:val="32"/>
          <w:lang w:val="en-US" w:eastAsia="zh-CN"/>
        </w:rPr>
        <w:t>848.19</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r>
        <w:rPr>
          <w:rFonts w:hint="eastAsia" w:ascii="宋体" w:hAnsi="宋体" w:eastAsia="宋体"/>
          <w:sz w:val="32"/>
          <w:szCs w:val="32"/>
        </w:rPr>
        <w:t>增长</w:t>
      </w:r>
      <w:r>
        <w:rPr>
          <w:rFonts w:hint="eastAsia" w:ascii="宋体" w:hAnsi="宋体" w:eastAsia="宋体"/>
          <w:sz w:val="32"/>
          <w:szCs w:val="32"/>
          <w:lang w:val="en-US" w:eastAsia="zh-CN"/>
        </w:rPr>
        <w:t>353.74</w:t>
      </w:r>
      <w:r>
        <w:rPr>
          <w:rFonts w:hint="eastAsia" w:ascii="宋体" w:hAnsi="宋体" w:eastAsia="宋体"/>
          <w:sz w:val="32"/>
          <w:szCs w:val="32"/>
        </w:rPr>
        <w:t>%，主要是因为</w:t>
      </w:r>
      <w:r>
        <w:rPr>
          <w:rFonts w:hint="eastAsia" w:asciiTheme="minorEastAsia" w:hAnsiTheme="minorEastAsia" w:eastAsiaTheme="minorEastAsia"/>
          <w:sz w:val="32"/>
          <w:szCs w:val="32"/>
          <w:lang w:eastAsia="zh-CN"/>
        </w:rPr>
        <w:t>上划后工作任务加重，专项资金</w:t>
      </w:r>
      <w:r>
        <w:rPr>
          <w:rFonts w:hint="eastAsia" w:asciiTheme="minorEastAsia" w:hAnsiTheme="minorEastAsia" w:eastAsiaTheme="minorEastAsia"/>
          <w:sz w:val="32"/>
          <w:szCs w:val="32"/>
          <w:lang w:val="en-US" w:eastAsia="zh-CN"/>
        </w:rPr>
        <w:t>支出</w:t>
      </w:r>
      <w:r>
        <w:rPr>
          <w:rFonts w:hint="eastAsia" w:asciiTheme="minorEastAsia" w:hAnsiTheme="minorEastAsia" w:eastAsiaTheme="minorEastAsia"/>
          <w:sz w:val="32"/>
          <w:szCs w:val="32"/>
          <w:lang w:eastAsia="zh-CN"/>
        </w:rPr>
        <w:t>增加导致</w:t>
      </w:r>
      <w:r>
        <w:rPr>
          <w:rFonts w:hint="eastAsia" w:ascii="宋体" w:hAnsi="宋体" w:eastAsia="宋体"/>
          <w:sz w:val="32"/>
          <w:szCs w:val="32"/>
        </w:rPr>
        <w:t>。</w:t>
      </w:r>
    </w:p>
    <w:p w14:paraId="764165E5">
      <w:pPr>
        <w:pStyle w:val="14"/>
        <w:ind w:firstLine="640"/>
        <w:rPr>
          <w:rFonts w:hAnsi="黑体"/>
          <w:b/>
          <w:sz w:val="32"/>
          <w:szCs w:val="32"/>
        </w:rPr>
      </w:pPr>
      <w:r>
        <w:rPr>
          <w:rFonts w:hint="eastAsia" w:hAnsi="黑体"/>
          <w:b/>
          <w:sz w:val="32"/>
          <w:szCs w:val="32"/>
        </w:rPr>
        <w:t>五、一般公共预算财政拨款支出决算情况说明</w:t>
      </w:r>
    </w:p>
    <w:p w14:paraId="3DE9C12E">
      <w:pPr>
        <w:pStyle w:val="14"/>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14:paraId="48D1DF75">
      <w:pPr>
        <w:pStyle w:val="14"/>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1087.97</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86.82</w:t>
      </w:r>
      <w:r>
        <w:rPr>
          <w:rFonts w:hint="eastAsia" w:asciiTheme="minorEastAsia" w:hAnsiTheme="minorEastAsia" w:eastAsiaTheme="minorEastAsia"/>
          <w:sz w:val="32"/>
          <w:szCs w:val="32"/>
        </w:rPr>
        <w:t>%，与上年相比，财政拨款支出增加</w:t>
      </w:r>
      <w:r>
        <w:rPr>
          <w:rFonts w:hint="eastAsia" w:asciiTheme="minorEastAsia" w:hAnsiTheme="minorEastAsia" w:eastAsiaTheme="minorEastAsia"/>
          <w:sz w:val="32"/>
          <w:szCs w:val="32"/>
          <w:lang w:val="en-US" w:eastAsia="zh-CN"/>
        </w:rPr>
        <w:t>848.19</w:t>
      </w:r>
      <w:r>
        <w:rPr>
          <w:rFonts w:hint="eastAsia" w:asciiTheme="minorEastAsia" w:hAnsiTheme="minorEastAsia" w:eastAsiaTheme="minorEastAsia"/>
          <w:sz w:val="32"/>
          <w:szCs w:val="32"/>
        </w:rPr>
        <w:t>万元，增长</w:t>
      </w:r>
      <w:r>
        <w:rPr>
          <w:rFonts w:hint="eastAsia" w:ascii="宋体" w:hAnsi="宋体" w:eastAsia="宋体"/>
          <w:sz w:val="32"/>
          <w:szCs w:val="32"/>
          <w:lang w:val="en-US" w:eastAsia="zh-CN"/>
        </w:rPr>
        <w:t>353.74</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上划后工作任务加重，专项资金</w:t>
      </w:r>
      <w:r>
        <w:rPr>
          <w:rFonts w:hint="eastAsia" w:asciiTheme="minorEastAsia" w:hAnsiTheme="minorEastAsia" w:eastAsiaTheme="minorEastAsia"/>
          <w:sz w:val="32"/>
          <w:szCs w:val="32"/>
          <w:lang w:val="en-US" w:eastAsia="zh-CN"/>
        </w:rPr>
        <w:t>支出</w:t>
      </w:r>
      <w:r>
        <w:rPr>
          <w:rFonts w:hint="eastAsia" w:asciiTheme="minorEastAsia" w:hAnsiTheme="minorEastAsia" w:eastAsiaTheme="minorEastAsia"/>
          <w:sz w:val="32"/>
          <w:szCs w:val="32"/>
          <w:lang w:eastAsia="zh-CN"/>
        </w:rPr>
        <w:t>增加。</w:t>
      </w:r>
    </w:p>
    <w:p w14:paraId="2B95701F">
      <w:pPr>
        <w:pStyle w:val="14"/>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14:paraId="27D326EB">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1087.97</w:t>
      </w:r>
      <w:r>
        <w:rPr>
          <w:rFonts w:hint="eastAsia" w:asciiTheme="minorEastAsia" w:hAnsiTheme="minorEastAsia" w:eastAsiaTheme="minorEastAsia"/>
          <w:sz w:val="32"/>
          <w:szCs w:val="32"/>
        </w:rPr>
        <w:t>万元，主要用于以下方面：</w:t>
      </w:r>
      <w:r>
        <w:rPr>
          <w:rFonts w:hint="eastAsia" w:asciiTheme="minorEastAsia" w:hAnsiTheme="minorEastAsia" w:eastAsiaTheme="minorEastAsia"/>
          <w:sz w:val="32"/>
          <w:szCs w:val="32"/>
          <w:lang w:eastAsia="zh-CN"/>
        </w:rPr>
        <w:t>社会保障和就业支出</w:t>
      </w:r>
      <w:r>
        <w:rPr>
          <w:rFonts w:hint="eastAsia" w:asciiTheme="minorEastAsia" w:hAnsiTheme="minorEastAsia" w:eastAsiaTheme="minorEastAsia"/>
          <w:sz w:val="32"/>
          <w:szCs w:val="32"/>
          <w:lang w:val="en-US" w:eastAsia="zh-CN"/>
        </w:rPr>
        <w:t>34.43万元</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占</w:t>
      </w:r>
      <w:r>
        <w:rPr>
          <w:rFonts w:hint="eastAsia" w:asciiTheme="minorEastAsia" w:hAnsiTheme="minorEastAsia" w:eastAsiaTheme="minorEastAsia"/>
          <w:sz w:val="32"/>
          <w:szCs w:val="32"/>
          <w:lang w:val="en-US" w:eastAsia="zh-CN"/>
        </w:rPr>
        <w:t>3.16</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卫生健康支出</w:t>
      </w:r>
      <w:r>
        <w:rPr>
          <w:rFonts w:hint="eastAsia" w:asciiTheme="minorEastAsia" w:hAnsiTheme="minorEastAsia" w:eastAsiaTheme="minorEastAsia"/>
          <w:sz w:val="32"/>
          <w:szCs w:val="32"/>
          <w:lang w:val="en-US" w:eastAsia="zh-CN"/>
        </w:rPr>
        <w:t>33.61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3.09</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；节能环保支出</w:t>
      </w:r>
      <w:r>
        <w:rPr>
          <w:rFonts w:hint="eastAsia" w:asciiTheme="minorEastAsia" w:hAnsiTheme="minorEastAsia" w:eastAsiaTheme="minorEastAsia"/>
          <w:sz w:val="32"/>
          <w:szCs w:val="32"/>
          <w:lang w:val="en-US" w:eastAsia="zh-CN"/>
        </w:rPr>
        <w:t>977.63</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89.86</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；住房保障支出</w:t>
      </w:r>
      <w:r>
        <w:rPr>
          <w:rFonts w:hint="eastAsia" w:asciiTheme="minorEastAsia" w:hAnsiTheme="minorEastAsia" w:eastAsiaTheme="minorEastAsia"/>
          <w:sz w:val="32"/>
          <w:szCs w:val="32"/>
          <w:lang w:val="en-US" w:eastAsia="zh-CN"/>
        </w:rPr>
        <w:t>42.30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3.89</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w:t>
      </w:r>
    </w:p>
    <w:p w14:paraId="6CC76B0A">
      <w:pPr>
        <w:pStyle w:val="14"/>
        <w:ind w:firstLine="320" w:firstLineChars="10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14:paraId="46F2E97C">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2021年度财政拨款支出年初预算数为</w:t>
      </w:r>
      <w:r>
        <w:rPr>
          <w:rFonts w:hint="eastAsia" w:asciiTheme="minorEastAsia" w:hAnsiTheme="minorEastAsia" w:eastAsiaTheme="minorEastAsia"/>
          <w:sz w:val="32"/>
          <w:szCs w:val="32"/>
          <w:lang w:val="en-US" w:eastAsia="zh-CN"/>
        </w:rPr>
        <w:t>701.47</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1087.97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155.10</w:t>
      </w:r>
      <w:r>
        <w:rPr>
          <w:rFonts w:hint="eastAsia" w:asciiTheme="minorEastAsia" w:hAnsiTheme="minorEastAsia" w:eastAsiaTheme="minorEastAsia"/>
          <w:sz w:val="32"/>
          <w:szCs w:val="32"/>
        </w:rPr>
        <w:t>%，其中：</w:t>
      </w:r>
    </w:p>
    <w:p w14:paraId="555257BD">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1、</w:t>
      </w:r>
      <w:r>
        <w:rPr>
          <w:rFonts w:hint="eastAsia" w:asciiTheme="minorEastAsia" w:hAnsiTheme="minorEastAsia" w:eastAsiaTheme="minorEastAsia"/>
          <w:sz w:val="32"/>
          <w:szCs w:val="32"/>
          <w:lang w:eastAsia="zh-CN"/>
        </w:rPr>
        <w:t>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行政事业单位养老支出</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机关事业单位基本养老保险缴费支出（</w:t>
      </w:r>
      <w:r>
        <w:rPr>
          <w:rFonts w:hint="eastAsia" w:asciiTheme="minorEastAsia" w:hAnsiTheme="minorEastAsia" w:eastAsiaTheme="minorEastAsia"/>
          <w:sz w:val="32"/>
          <w:szCs w:val="32"/>
        </w:rPr>
        <w:t>项）。</w:t>
      </w:r>
    </w:p>
    <w:p w14:paraId="0B9F449C">
      <w:pPr>
        <w:pStyle w:val="14"/>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34.43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34.43</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与</w:t>
      </w:r>
      <w:r>
        <w:rPr>
          <w:rFonts w:hint="eastAsia" w:asciiTheme="minorEastAsia" w:hAnsiTheme="minorEastAsia" w:eastAsiaTheme="minorEastAsia"/>
          <w:sz w:val="32"/>
          <w:szCs w:val="32"/>
          <w:lang w:val="en-US" w:eastAsia="zh-CN"/>
        </w:rPr>
        <w:t>年初</w:t>
      </w:r>
      <w:r>
        <w:rPr>
          <w:rFonts w:hint="eastAsia" w:asciiTheme="minorEastAsia" w:hAnsiTheme="minorEastAsia" w:eastAsiaTheme="minorEastAsia"/>
          <w:sz w:val="32"/>
          <w:szCs w:val="32"/>
        </w:rPr>
        <w:t>预算数</w:t>
      </w:r>
      <w:r>
        <w:rPr>
          <w:rFonts w:hint="eastAsia" w:asciiTheme="minorEastAsia" w:hAnsiTheme="minorEastAsia" w:eastAsiaTheme="minorEastAsia"/>
          <w:sz w:val="32"/>
          <w:szCs w:val="32"/>
          <w:lang w:eastAsia="zh-CN"/>
        </w:rPr>
        <w:t>一致，主要系</w:t>
      </w:r>
      <w:r>
        <w:rPr>
          <w:rFonts w:hint="eastAsia" w:asciiTheme="minorEastAsia" w:hAnsiTheme="minorEastAsia" w:eastAsiaTheme="minorEastAsia"/>
          <w:sz w:val="32"/>
          <w:szCs w:val="32"/>
          <w:lang w:val="en-US" w:eastAsia="zh-CN"/>
        </w:rPr>
        <w:t>我单位严格按预算执行决算</w:t>
      </w:r>
      <w:r>
        <w:rPr>
          <w:rFonts w:hint="eastAsia" w:asciiTheme="minorEastAsia" w:hAnsiTheme="minorEastAsia" w:eastAsiaTheme="minorEastAsia"/>
          <w:sz w:val="32"/>
          <w:szCs w:val="32"/>
          <w:lang w:eastAsia="zh-CN"/>
        </w:rPr>
        <w:t>。</w:t>
      </w:r>
    </w:p>
    <w:p w14:paraId="5E4CAB64">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w:t>
      </w:r>
      <w:r>
        <w:rPr>
          <w:rFonts w:hint="eastAsia" w:asciiTheme="minorEastAsia" w:hAnsiTheme="minorEastAsia" w:eastAsiaTheme="minorEastAsia"/>
          <w:sz w:val="32"/>
          <w:szCs w:val="32"/>
          <w:lang w:eastAsia="zh-CN"/>
        </w:rPr>
        <w:t>卫生健康支出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行政事业单位医疗</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事业单位医疗</w:t>
      </w:r>
      <w:r>
        <w:rPr>
          <w:rFonts w:hint="eastAsia" w:asciiTheme="minorEastAsia" w:hAnsiTheme="minorEastAsia" w:eastAsiaTheme="minorEastAsia"/>
          <w:sz w:val="32"/>
          <w:szCs w:val="32"/>
        </w:rPr>
        <w:t>（项）。</w:t>
      </w:r>
    </w:p>
    <w:p w14:paraId="65E0A7A0">
      <w:pPr>
        <w:pStyle w:val="14"/>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33.61</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33.61</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与</w:t>
      </w:r>
      <w:r>
        <w:rPr>
          <w:rFonts w:hint="eastAsia" w:asciiTheme="minorEastAsia" w:hAnsiTheme="minorEastAsia" w:eastAsiaTheme="minorEastAsia"/>
          <w:sz w:val="32"/>
          <w:szCs w:val="32"/>
        </w:rPr>
        <w:t>年初预算数</w:t>
      </w:r>
      <w:r>
        <w:rPr>
          <w:rFonts w:hint="eastAsia" w:asciiTheme="minorEastAsia" w:hAnsiTheme="minorEastAsia" w:eastAsiaTheme="minorEastAsia"/>
          <w:sz w:val="32"/>
          <w:szCs w:val="32"/>
          <w:lang w:eastAsia="zh-CN"/>
        </w:rPr>
        <w:t>一致，主要系</w:t>
      </w:r>
      <w:r>
        <w:rPr>
          <w:rFonts w:hint="eastAsia" w:asciiTheme="minorEastAsia" w:hAnsiTheme="minorEastAsia" w:eastAsiaTheme="minorEastAsia"/>
          <w:sz w:val="32"/>
          <w:szCs w:val="32"/>
          <w:lang w:val="en-US" w:eastAsia="zh-CN"/>
        </w:rPr>
        <w:t>我单位严格按预算执行决算</w:t>
      </w:r>
      <w:r>
        <w:rPr>
          <w:rFonts w:hint="eastAsia" w:asciiTheme="minorEastAsia" w:hAnsiTheme="minorEastAsia" w:eastAsiaTheme="minorEastAsia"/>
          <w:sz w:val="32"/>
          <w:szCs w:val="32"/>
          <w:lang w:eastAsia="zh-CN"/>
        </w:rPr>
        <w:t>。</w:t>
      </w:r>
    </w:p>
    <w:p w14:paraId="54B99345">
      <w:pPr>
        <w:pStyle w:val="14"/>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节能环保支出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环境保护管理事务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行政运行</w:t>
      </w:r>
      <w:r>
        <w:rPr>
          <w:rFonts w:hint="eastAsia" w:asciiTheme="minorEastAsia" w:hAnsiTheme="minorEastAsia" w:eastAsiaTheme="minorEastAsia"/>
          <w:sz w:val="32"/>
          <w:szCs w:val="32"/>
        </w:rPr>
        <w:t>（项）。</w:t>
      </w:r>
    </w:p>
    <w:p w14:paraId="1075F90A">
      <w:pPr>
        <w:pStyle w:val="14"/>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284.37</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291.08</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102.36</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大</w:t>
      </w:r>
      <w:r>
        <w:rPr>
          <w:rFonts w:hint="eastAsia" w:asciiTheme="minorEastAsia" w:hAnsiTheme="minorEastAsia" w:eastAsiaTheme="minorEastAsia"/>
          <w:sz w:val="32"/>
          <w:szCs w:val="32"/>
          <w:lang w:eastAsia="zh-CN"/>
        </w:rPr>
        <w:t>于</w:t>
      </w:r>
      <w:r>
        <w:rPr>
          <w:rFonts w:hint="eastAsia" w:asciiTheme="minorEastAsia" w:hAnsiTheme="minorEastAsia" w:eastAsiaTheme="minorEastAsia"/>
          <w:sz w:val="32"/>
          <w:szCs w:val="32"/>
        </w:rPr>
        <w:t>年初预算数</w:t>
      </w:r>
      <w:r>
        <w:rPr>
          <w:rFonts w:hint="eastAsia" w:asciiTheme="minorEastAsia" w:hAnsiTheme="minorEastAsia" w:eastAsiaTheme="minorEastAsia"/>
          <w:sz w:val="32"/>
          <w:szCs w:val="32"/>
          <w:lang w:eastAsia="zh-CN"/>
        </w:rPr>
        <w:t>主要原因系</w:t>
      </w:r>
      <w:r>
        <w:rPr>
          <w:rFonts w:hint="eastAsia" w:asciiTheme="minorEastAsia" w:hAnsiTheme="minorEastAsia" w:eastAsiaTheme="minorEastAsia"/>
          <w:sz w:val="32"/>
          <w:szCs w:val="32"/>
          <w:lang w:val="en-US" w:eastAsia="zh-CN"/>
        </w:rPr>
        <w:t>年中追加</w:t>
      </w:r>
      <w:r>
        <w:rPr>
          <w:rFonts w:hint="eastAsia" w:asciiTheme="minorEastAsia" w:hAnsiTheme="minorEastAsia" w:eastAsiaTheme="minorEastAsia"/>
          <w:sz w:val="32"/>
          <w:szCs w:val="32"/>
          <w:lang w:eastAsia="zh-CN"/>
        </w:rPr>
        <w:t>下达资金。</w:t>
      </w:r>
    </w:p>
    <w:p w14:paraId="61E32842">
      <w:pPr>
        <w:pStyle w:val="14"/>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节能环保支出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环境监测与监察</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其他环境监测与监察支出</w:t>
      </w:r>
      <w:r>
        <w:rPr>
          <w:rFonts w:hint="eastAsia" w:asciiTheme="minorEastAsia" w:hAnsiTheme="minorEastAsia" w:eastAsiaTheme="minorEastAsia"/>
          <w:sz w:val="32"/>
          <w:szCs w:val="32"/>
        </w:rPr>
        <w:t>（项）。</w:t>
      </w:r>
    </w:p>
    <w:p w14:paraId="1555A800">
      <w:pPr>
        <w:pStyle w:val="14"/>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w:t>
      </w:r>
      <w:r>
        <w:rPr>
          <w:rFonts w:hint="eastAsia" w:asciiTheme="minorEastAsia" w:hAnsiTheme="minorEastAsia" w:eastAsiaTheme="minorEastAsia"/>
          <w:sz w:val="32"/>
          <w:szCs w:val="32"/>
          <w:lang w:val="en-US" w:eastAsia="zh-CN"/>
        </w:rPr>
        <w:t>0万元</w:t>
      </w:r>
      <w:r>
        <w:rPr>
          <w:rFonts w:hint="eastAsia" w:asciiTheme="minorEastAsia" w:hAnsiTheme="minorEastAsia" w:eastAsiaTheme="minorEastAsia"/>
          <w:sz w:val="32"/>
          <w:szCs w:val="32"/>
        </w:rPr>
        <w:t>，支出决算为</w:t>
      </w:r>
      <w:r>
        <w:rPr>
          <w:rFonts w:hint="eastAsia" w:asciiTheme="minorEastAsia" w:hAnsiTheme="minorEastAsia" w:eastAsiaTheme="minorEastAsia"/>
          <w:sz w:val="32"/>
          <w:szCs w:val="32"/>
          <w:lang w:val="en-US" w:eastAsia="zh-CN"/>
        </w:rPr>
        <w:t>28</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决算数大于年初预算数，</w:t>
      </w:r>
      <w:r>
        <w:rPr>
          <w:rFonts w:hint="eastAsia" w:asciiTheme="minorEastAsia" w:hAnsiTheme="minorEastAsia" w:eastAsiaTheme="minorEastAsia"/>
          <w:sz w:val="32"/>
          <w:szCs w:val="32"/>
          <w:lang w:eastAsia="zh-CN"/>
        </w:rPr>
        <w:t>系年中追加资金</w:t>
      </w:r>
      <w:r>
        <w:rPr>
          <w:rFonts w:hint="eastAsia" w:asciiTheme="minorEastAsia" w:hAnsiTheme="minorEastAsia" w:eastAsiaTheme="minorEastAsia"/>
          <w:sz w:val="32"/>
          <w:szCs w:val="32"/>
          <w:lang w:val="en-US" w:eastAsia="zh-CN"/>
        </w:rPr>
        <w:t>18万元</w:t>
      </w:r>
      <w:r>
        <w:rPr>
          <w:rFonts w:hint="eastAsia" w:asciiTheme="minorEastAsia" w:hAnsiTheme="minorEastAsia" w:eastAsiaTheme="minorEastAsia"/>
          <w:sz w:val="32"/>
          <w:szCs w:val="32"/>
          <w:lang w:eastAsia="zh-CN"/>
        </w:rPr>
        <w:t>。</w:t>
      </w:r>
    </w:p>
    <w:p w14:paraId="35D3409C">
      <w:pPr>
        <w:pStyle w:val="14"/>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节能环保支出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污染防治</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土壤</w:t>
      </w:r>
      <w:r>
        <w:rPr>
          <w:rFonts w:hint="eastAsia" w:asciiTheme="minorEastAsia" w:hAnsiTheme="minorEastAsia" w:eastAsiaTheme="minorEastAsia"/>
          <w:sz w:val="32"/>
          <w:szCs w:val="32"/>
        </w:rPr>
        <w:t>（项）。</w:t>
      </w:r>
    </w:p>
    <w:p w14:paraId="634BF84A">
      <w:pPr>
        <w:pStyle w:val="14"/>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w:t>
      </w:r>
      <w:r>
        <w:rPr>
          <w:rFonts w:hint="eastAsia" w:asciiTheme="minorEastAsia" w:hAnsiTheme="minorEastAsia" w:eastAsiaTheme="minorEastAsia"/>
          <w:sz w:val="32"/>
          <w:szCs w:val="32"/>
          <w:lang w:val="en-US" w:eastAsia="zh-CN"/>
        </w:rPr>
        <w:t>0万元</w:t>
      </w:r>
      <w:r>
        <w:rPr>
          <w:rFonts w:hint="eastAsia" w:asciiTheme="minorEastAsia" w:hAnsiTheme="minorEastAsia" w:eastAsiaTheme="minorEastAsia"/>
          <w:sz w:val="32"/>
          <w:szCs w:val="32"/>
        </w:rPr>
        <w:t>，支出决算为</w:t>
      </w:r>
      <w:r>
        <w:rPr>
          <w:rFonts w:hint="eastAsia" w:asciiTheme="minorEastAsia" w:hAnsiTheme="minorEastAsia" w:eastAsiaTheme="minorEastAsia"/>
          <w:sz w:val="32"/>
          <w:szCs w:val="32"/>
          <w:lang w:val="en-US" w:eastAsia="zh-CN"/>
        </w:rPr>
        <w:t>108.74</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决算数大于年初预算数，主要原因为：</w:t>
      </w:r>
      <w:r>
        <w:rPr>
          <w:rFonts w:hint="eastAsia" w:asciiTheme="minorEastAsia" w:hAnsiTheme="minorEastAsia" w:eastAsiaTheme="minorEastAsia"/>
          <w:sz w:val="32"/>
          <w:szCs w:val="32"/>
          <w:lang w:eastAsia="zh-CN"/>
        </w:rPr>
        <w:t>年中追加资金</w:t>
      </w:r>
      <w:r>
        <w:rPr>
          <w:rFonts w:hint="eastAsia" w:asciiTheme="minorEastAsia" w:hAnsiTheme="minorEastAsia" w:eastAsiaTheme="minorEastAsia"/>
          <w:sz w:val="32"/>
          <w:szCs w:val="32"/>
          <w:lang w:val="en-US" w:eastAsia="zh-CN"/>
        </w:rPr>
        <w:t>123.90万元，</w:t>
      </w:r>
      <w:r>
        <w:rPr>
          <w:rFonts w:hint="eastAsia" w:asciiTheme="minorEastAsia" w:hAnsiTheme="minorEastAsia" w:eastAsiaTheme="minorEastAsia"/>
          <w:sz w:val="32"/>
          <w:szCs w:val="32"/>
          <w:lang w:eastAsia="zh-CN"/>
        </w:rPr>
        <w:t>用于土壤能力建设专项及土壤工作经费。</w:t>
      </w:r>
    </w:p>
    <w:p w14:paraId="2D40A1C2">
      <w:pPr>
        <w:pStyle w:val="14"/>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节能环保支出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污染防治</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其他污染防治支出</w:t>
      </w:r>
      <w:r>
        <w:rPr>
          <w:rFonts w:hint="eastAsia" w:asciiTheme="minorEastAsia" w:hAnsiTheme="minorEastAsia" w:eastAsiaTheme="minorEastAsia"/>
          <w:sz w:val="32"/>
          <w:szCs w:val="32"/>
        </w:rPr>
        <w:t>（项）。</w:t>
      </w:r>
    </w:p>
    <w:p w14:paraId="0145E4AA">
      <w:pPr>
        <w:pStyle w:val="14"/>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w:t>
      </w:r>
      <w:r>
        <w:rPr>
          <w:rFonts w:hint="eastAsia" w:asciiTheme="minorEastAsia" w:hAnsiTheme="minorEastAsia" w:eastAsiaTheme="minorEastAsia"/>
          <w:sz w:val="32"/>
          <w:szCs w:val="32"/>
          <w:lang w:val="en-US" w:eastAsia="zh-CN"/>
        </w:rPr>
        <w:t>1.22万元</w:t>
      </w:r>
      <w:r>
        <w:rPr>
          <w:rFonts w:hint="eastAsia" w:asciiTheme="minorEastAsia" w:hAnsiTheme="minorEastAsia" w:eastAsiaTheme="minorEastAsia"/>
          <w:sz w:val="32"/>
          <w:szCs w:val="32"/>
        </w:rPr>
        <w:t>，支出决算为</w:t>
      </w:r>
      <w:r>
        <w:rPr>
          <w:rFonts w:hint="eastAsia" w:asciiTheme="minorEastAsia" w:hAnsiTheme="minorEastAsia" w:eastAsiaTheme="minorEastAsia"/>
          <w:sz w:val="32"/>
          <w:szCs w:val="32"/>
          <w:lang w:val="en-US" w:eastAsia="zh-CN"/>
        </w:rPr>
        <w:t>1.22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与</w:t>
      </w:r>
      <w:r>
        <w:rPr>
          <w:rFonts w:hint="eastAsia" w:asciiTheme="minorEastAsia" w:hAnsiTheme="minorEastAsia" w:eastAsiaTheme="minorEastAsia"/>
          <w:sz w:val="32"/>
          <w:szCs w:val="32"/>
        </w:rPr>
        <w:t>年初预算数</w:t>
      </w:r>
      <w:r>
        <w:rPr>
          <w:rFonts w:hint="eastAsia" w:asciiTheme="minorEastAsia" w:hAnsiTheme="minorEastAsia" w:eastAsiaTheme="minorEastAsia"/>
          <w:sz w:val="32"/>
          <w:szCs w:val="32"/>
          <w:lang w:val="en-US" w:eastAsia="zh-CN"/>
        </w:rPr>
        <w:t>一致，</w:t>
      </w:r>
      <w:r>
        <w:rPr>
          <w:rFonts w:hint="eastAsia" w:asciiTheme="minorEastAsia" w:hAnsiTheme="minorEastAsia" w:eastAsiaTheme="minorEastAsia"/>
          <w:sz w:val="32"/>
          <w:szCs w:val="32"/>
          <w:lang w:eastAsia="zh-CN"/>
        </w:rPr>
        <w:t>主要系</w:t>
      </w:r>
      <w:r>
        <w:rPr>
          <w:rFonts w:hint="eastAsia" w:asciiTheme="minorEastAsia" w:hAnsiTheme="minorEastAsia" w:eastAsiaTheme="minorEastAsia"/>
          <w:sz w:val="32"/>
          <w:szCs w:val="32"/>
          <w:lang w:val="en-US" w:eastAsia="zh-CN"/>
        </w:rPr>
        <w:t>我单位按预算执行决算</w:t>
      </w:r>
      <w:r>
        <w:rPr>
          <w:rFonts w:hint="eastAsia" w:asciiTheme="minorEastAsia" w:hAnsiTheme="minorEastAsia" w:eastAsiaTheme="minorEastAsia"/>
          <w:sz w:val="32"/>
          <w:szCs w:val="32"/>
          <w:lang w:eastAsia="zh-CN"/>
        </w:rPr>
        <w:t>。</w:t>
      </w:r>
    </w:p>
    <w:p w14:paraId="610E7DAC">
      <w:pPr>
        <w:pStyle w:val="14"/>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7</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节能环保支出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污染减排</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生态环境监测与信息</w:t>
      </w:r>
      <w:r>
        <w:rPr>
          <w:rFonts w:hint="eastAsia" w:asciiTheme="minorEastAsia" w:hAnsiTheme="minorEastAsia" w:eastAsiaTheme="minorEastAsia"/>
          <w:sz w:val="32"/>
          <w:szCs w:val="32"/>
        </w:rPr>
        <w:t>（项）。</w:t>
      </w:r>
    </w:p>
    <w:p w14:paraId="4F861D79">
      <w:pPr>
        <w:pStyle w:val="14"/>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305.54</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558.59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182.82</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大</w:t>
      </w:r>
      <w:r>
        <w:rPr>
          <w:rFonts w:hint="eastAsia" w:asciiTheme="minorEastAsia" w:hAnsiTheme="minorEastAsia" w:eastAsiaTheme="minorEastAsia"/>
          <w:sz w:val="32"/>
          <w:szCs w:val="32"/>
          <w:lang w:eastAsia="zh-CN"/>
        </w:rPr>
        <w:t>于</w:t>
      </w:r>
      <w:r>
        <w:rPr>
          <w:rFonts w:hint="eastAsia" w:asciiTheme="minorEastAsia" w:hAnsiTheme="minorEastAsia" w:eastAsiaTheme="minorEastAsia"/>
          <w:sz w:val="32"/>
          <w:szCs w:val="32"/>
        </w:rPr>
        <w:t>年初预算数</w:t>
      </w:r>
      <w:r>
        <w:rPr>
          <w:rFonts w:hint="eastAsia" w:asciiTheme="minorEastAsia" w:hAnsiTheme="minorEastAsia" w:eastAsiaTheme="minorEastAsia"/>
          <w:sz w:val="32"/>
          <w:szCs w:val="32"/>
          <w:lang w:eastAsia="zh-CN"/>
        </w:rPr>
        <w:t>原因系</w:t>
      </w:r>
      <w:r>
        <w:rPr>
          <w:rFonts w:hint="eastAsia" w:asciiTheme="minorEastAsia" w:hAnsiTheme="minorEastAsia" w:eastAsiaTheme="minorEastAsia"/>
          <w:sz w:val="32"/>
          <w:szCs w:val="32"/>
          <w:lang w:val="en-US" w:eastAsia="zh-CN"/>
        </w:rPr>
        <w:t>年中将上年结余资金追加至本科目预算</w:t>
      </w:r>
      <w:r>
        <w:rPr>
          <w:rFonts w:hint="eastAsia" w:asciiTheme="minorEastAsia" w:hAnsiTheme="minorEastAsia" w:eastAsiaTheme="minorEastAsia"/>
          <w:sz w:val="32"/>
          <w:szCs w:val="32"/>
          <w:lang w:eastAsia="zh-CN"/>
        </w:rPr>
        <w:t>。</w:t>
      </w:r>
    </w:p>
    <w:p w14:paraId="62C70ABE">
      <w:pPr>
        <w:pStyle w:val="14"/>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住房保障支出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住房改革支出</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住房公积金</w:t>
      </w:r>
      <w:r>
        <w:rPr>
          <w:rFonts w:hint="eastAsia" w:asciiTheme="minorEastAsia" w:hAnsiTheme="minorEastAsia" w:eastAsiaTheme="minorEastAsia"/>
          <w:sz w:val="32"/>
          <w:szCs w:val="32"/>
        </w:rPr>
        <w:t>（项）。</w:t>
      </w:r>
    </w:p>
    <w:p w14:paraId="5768ECED">
      <w:pPr>
        <w:pStyle w:val="14"/>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42.30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42.30</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与</w:t>
      </w:r>
      <w:r>
        <w:rPr>
          <w:rFonts w:hint="eastAsia" w:asciiTheme="minorEastAsia" w:hAnsiTheme="minorEastAsia" w:eastAsiaTheme="minorEastAsia"/>
          <w:sz w:val="32"/>
          <w:szCs w:val="32"/>
        </w:rPr>
        <w:t>年初预算数</w:t>
      </w:r>
      <w:r>
        <w:rPr>
          <w:rFonts w:hint="eastAsia" w:asciiTheme="minorEastAsia" w:hAnsiTheme="minorEastAsia" w:eastAsiaTheme="minorEastAsia"/>
          <w:sz w:val="32"/>
          <w:szCs w:val="32"/>
          <w:lang w:eastAsia="zh-CN"/>
        </w:rPr>
        <w:t>一致，主要系</w:t>
      </w:r>
      <w:r>
        <w:rPr>
          <w:rFonts w:hint="eastAsia" w:asciiTheme="minorEastAsia" w:hAnsiTheme="minorEastAsia" w:eastAsiaTheme="minorEastAsia"/>
          <w:sz w:val="32"/>
          <w:szCs w:val="32"/>
          <w:lang w:val="en-US" w:eastAsia="zh-CN"/>
        </w:rPr>
        <w:t>我单位按预算执行决算</w:t>
      </w:r>
      <w:r>
        <w:rPr>
          <w:rFonts w:hint="eastAsia" w:asciiTheme="minorEastAsia" w:hAnsiTheme="minorEastAsia" w:eastAsiaTheme="minorEastAsia"/>
          <w:sz w:val="32"/>
          <w:szCs w:val="32"/>
          <w:lang w:eastAsia="zh-CN"/>
        </w:rPr>
        <w:t>。</w:t>
      </w:r>
    </w:p>
    <w:p w14:paraId="28F25499">
      <w:pPr>
        <w:pStyle w:val="14"/>
        <w:rPr>
          <w:rFonts w:hAnsi="黑体"/>
          <w:b/>
          <w:sz w:val="32"/>
          <w:szCs w:val="32"/>
        </w:rPr>
      </w:pPr>
      <w:r>
        <w:rPr>
          <w:rFonts w:hint="eastAsia" w:hAnsi="黑体"/>
          <w:b/>
          <w:sz w:val="32"/>
          <w:szCs w:val="32"/>
        </w:rPr>
        <w:t>六、一般公共预算财政拨款基本支出决算情况说明</w:t>
      </w:r>
    </w:p>
    <w:p w14:paraId="611C4DFB">
      <w:pPr>
        <w:pStyle w:val="14"/>
        <w:ind w:firstLine="640" w:firstLineChars="20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2021年度财政拨款基本支出</w:t>
      </w:r>
      <w:r>
        <w:rPr>
          <w:rFonts w:hint="eastAsia" w:asciiTheme="minorEastAsia" w:hAnsiTheme="minorEastAsia" w:eastAsiaTheme="minorEastAsia"/>
          <w:sz w:val="32"/>
          <w:szCs w:val="32"/>
          <w:lang w:val="en-US" w:eastAsia="zh-CN"/>
        </w:rPr>
        <w:t>401.42</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362.94</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90.4</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主要包括基本工资</w:t>
      </w:r>
      <w:r>
        <w:rPr>
          <w:rFonts w:hint="eastAsia" w:asciiTheme="minorEastAsia" w:hAnsiTheme="minorEastAsia" w:eastAsiaTheme="minorEastAsia"/>
          <w:sz w:val="32"/>
          <w:szCs w:val="32"/>
          <w:lang w:val="en-US" w:eastAsia="zh-CN"/>
        </w:rPr>
        <w:t>117.49万元</w:t>
      </w:r>
      <w:r>
        <w:rPr>
          <w:rFonts w:hint="eastAsia" w:asciiTheme="minorEastAsia" w:hAnsiTheme="minorEastAsia" w:eastAsiaTheme="minorEastAsia"/>
          <w:sz w:val="32"/>
          <w:szCs w:val="32"/>
        </w:rPr>
        <w:t>、津贴补贴</w:t>
      </w:r>
      <w:r>
        <w:rPr>
          <w:rFonts w:hint="eastAsia" w:asciiTheme="minorEastAsia" w:hAnsiTheme="minorEastAsia" w:eastAsiaTheme="minorEastAsia"/>
          <w:sz w:val="32"/>
          <w:szCs w:val="32"/>
          <w:lang w:val="en-US" w:eastAsia="zh-CN"/>
        </w:rPr>
        <w:t>29.52万元</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绩效工资</w:t>
      </w:r>
      <w:r>
        <w:rPr>
          <w:rFonts w:hint="eastAsia" w:asciiTheme="minorEastAsia" w:hAnsiTheme="minorEastAsia" w:eastAsiaTheme="minorEastAsia"/>
          <w:sz w:val="32"/>
          <w:szCs w:val="32"/>
          <w:lang w:val="en-US" w:eastAsia="zh-CN"/>
        </w:rPr>
        <w:t>74.20万元</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机关事业单位基本养老保险缴费</w:t>
      </w:r>
      <w:r>
        <w:rPr>
          <w:rFonts w:hint="eastAsia" w:asciiTheme="minorEastAsia" w:hAnsiTheme="minorEastAsia" w:eastAsiaTheme="minorEastAsia"/>
          <w:sz w:val="32"/>
          <w:szCs w:val="32"/>
          <w:lang w:val="en-US" w:eastAsia="zh-CN"/>
        </w:rPr>
        <w:t>33.03万元，职工基本医疗保险缴费33.24万元，其他社会保障缴费1.77万元，住房公积金49.35万元，其他工资福利支出24.34万元</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38.48</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9.6</w:t>
      </w:r>
      <w:r>
        <w:rPr>
          <w:rFonts w:hint="eastAsia" w:asciiTheme="minorEastAsia" w:hAnsiTheme="minorEastAsia" w:eastAsiaTheme="minorEastAsia"/>
          <w:sz w:val="32"/>
          <w:szCs w:val="32"/>
        </w:rPr>
        <w:t>%，主要包括办公费</w:t>
      </w:r>
      <w:r>
        <w:rPr>
          <w:rFonts w:hint="eastAsia" w:asciiTheme="minorEastAsia" w:hAnsiTheme="minorEastAsia" w:eastAsiaTheme="minorEastAsia"/>
          <w:sz w:val="32"/>
          <w:szCs w:val="32"/>
          <w:lang w:val="en-US" w:eastAsia="zh-CN"/>
        </w:rPr>
        <w:t>4.48万元</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水费</w:t>
      </w:r>
      <w:r>
        <w:rPr>
          <w:rFonts w:hint="eastAsia" w:asciiTheme="minorEastAsia" w:hAnsiTheme="minorEastAsia" w:eastAsiaTheme="minorEastAsia"/>
          <w:sz w:val="32"/>
          <w:szCs w:val="32"/>
          <w:lang w:val="en-US" w:eastAsia="zh-CN"/>
        </w:rPr>
        <w:t>0.61万元、电费4.18万元、邮电费0.63万元、差旅费3.44万元、维修（护）费2.25、培训费0.9万元、公务接待费1万元、劳务费0.9万元、委托业务费0.2万元、工会经费7.55万元、福利费4.33万元、公务用车运行维护费5万元、其他交通费用1.28万元、其他商品与服务支出1.73万元</w:t>
      </w:r>
      <w:r>
        <w:rPr>
          <w:rFonts w:hint="eastAsia" w:asciiTheme="minorEastAsia" w:hAnsiTheme="minorEastAsia" w:eastAsiaTheme="minorEastAsia"/>
          <w:sz w:val="32"/>
          <w:szCs w:val="32"/>
        </w:rPr>
        <w:t>。</w:t>
      </w:r>
    </w:p>
    <w:p w14:paraId="1E1821F5">
      <w:pPr>
        <w:pStyle w:val="14"/>
        <w:rPr>
          <w:rFonts w:hAnsi="黑体"/>
          <w:b/>
          <w:sz w:val="32"/>
          <w:szCs w:val="32"/>
        </w:rPr>
      </w:pPr>
      <w:r>
        <w:rPr>
          <w:rFonts w:hint="eastAsia" w:hAnsi="黑体"/>
          <w:b/>
          <w:sz w:val="32"/>
          <w:szCs w:val="32"/>
        </w:rPr>
        <w:t>七、一般公共预算财政拨款“三公”经费支出决算情况说明</w:t>
      </w:r>
    </w:p>
    <w:p w14:paraId="502338CD">
      <w:pPr>
        <w:pStyle w:val="14"/>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14:paraId="6646366D">
      <w:pPr>
        <w:pStyle w:val="14"/>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w:t>
      </w: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%，其中：</w:t>
      </w:r>
    </w:p>
    <w:p w14:paraId="6A8C3FB8">
      <w:pPr>
        <w:pStyle w:val="14"/>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color w:val="000000"/>
          <w:sz w:val="32"/>
          <w:szCs w:val="32"/>
          <w:highlight w:val="none"/>
        </w:rPr>
        <w:t>决算数等于预算数的</w:t>
      </w:r>
      <w:r>
        <w:rPr>
          <w:rFonts w:hint="eastAsia" w:asciiTheme="minorEastAsia" w:hAnsiTheme="minorEastAsia" w:eastAsiaTheme="minorEastAsia"/>
          <w:color w:val="000000"/>
          <w:sz w:val="32"/>
          <w:szCs w:val="32"/>
          <w:highlight w:val="none"/>
          <w:lang w:val="en-US" w:eastAsia="zh-CN"/>
        </w:rPr>
        <w:t>原因</w:t>
      </w:r>
      <w:r>
        <w:rPr>
          <w:rFonts w:hint="eastAsia" w:asciiTheme="minorEastAsia" w:hAnsiTheme="minorEastAsia" w:eastAsiaTheme="minorEastAsia"/>
          <w:color w:val="000000"/>
          <w:sz w:val="32"/>
          <w:szCs w:val="32"/>
          <w:highlight w:val="none"/>
        </w:rPr>
        <w:t>主要是疫情影响，今年未安排出国出境</w:t>
      </w:r>
      <w:r>
        <w:rPr>
          <w:rFonts w:hint="eastAsia" w:asciiTheme="minorEastAsia" w:hAnsiTheme="minorEastAsia" w:eastAsiaTheme="minorEastAsia"/>
          <w:color w:val="000000"/>
          <w:sz w:val="32"/>
          <w:szCs w:val="32"/>
        </w:rPr>
        <w:t>，</w:t>
      </w:r>
      <w:r>
        <w:rPr>
          <w:rFonts w:hint="eastAsia" w:asciiTheme="minorEastAsia" w:hAnsiTheme="minorEastAsia" w:eastAsiaTheme="minorEastAsia"/>
          <w:color w:val="000000"/>
          <w:sz w:val="32"/>
          <w:szCs w:val="32"/>
          <w:highlight w:val="none"/>
        </w:rPr>
        <w:t>与上年相比无变化，主要原因是主要是疫情影响，今年及去年均未安排出国出境</w:t>
      </w:r>
      <w:r>
        <w:rPr>
          <w:rFonts w:hint="eastAsia" w:asciiTheme="minorEastAsia" w:hAnsiTheme="minorEastAsia" w:eastAsiaTheme="minorEastAsia"/>
          <w:sz w:val="32"/>
          <w:szCs w:val="32"/>
        </w:rPr>
        <w:t>。</w:t>
      </w:r>
    </w:p>
    <w:p w14:paraId="4B294922">
      <w:pPr>
        <w:pStyle w:val="14"/>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与</w:t>
      </w:r>
      <w:r>
        <w:rPr>
          <w:rFonts w:hint="eastAsia" w:asciiTheme="minorEastAsia" w:hAnsiTheme="minorEastAsia" w:eastAsiaTheme="minorEastAsia"/>
          <w:sz w:val="32"/>
          <w:szCs w:val="32"/>
        </w:rPr>
        <w:t>预算数</w:t>
      </w:r>
      <w:r>
        <w:rPr>
          <w:rFonts w:hint="eastAsia" w:asciiTheme="minorEastAsia" w:hAnsiTheme="minorEastAsia" w:eastAsiaTheme="minorEastAsia"/>
          <w:sz w:val="32"/>
          <w:szCs w:val="32"/>
          <w:lang w:eastAsia="zh-CN"/>
        </w:rPr>
        <w:t>一致，</w:t>
      </w:r>
      <w:r>
        <w:rPr>
          <w:rFonts w:hint="eastAsia" w:asciiTheme="minorEastAsia" w:hAnsiTheme="minorEastAsia" w:eastAsiaTheme="minorEastAsia"/>
          <w:sz w:val="32"/>
          <w:szCs w:val="32"/>
          <w:lang w:val="en-US" w:eastAsia="zh-CN"/>
        </w:rPr>
        <w:t>主要是我单位按预算执行决算，控制三公经费；</w:t>
      </w:r>
      <w:r>
        <w:rPr>
          <w:rFonts w:hint="eastAsia" w:asciiTheme="minorEastAsia" w:hAnsiTheme="minorEastAsia" w:eastAsiaTheme="minorEastAsia"/>
          <w:sz w:val="32"/>
          <w:szCs w:val="32"/>
        </w:rPr>
        <w:t>与上年</w:t>
      </w:r>
      <w:r>
        <w:rPr>
          <w:rFonts w:hint="eastAsia" w:asciiTheme="minorEastAsia" w:hAnsiTheme="minorEastAsia" w:eastAsiaTheme="minorEastAsia"/>
          <w:sz w:val="32"/>
          <w:szCs w:val="32"/>
          <w:lang w:val="en-US" w:eastAsia="zh-CN"/>
        </w:rPr>
        <w:t>决算数</w:t>
      </w:r>
      <w:r>
        <w:rPr>
          <w:rFonts w:hint="eastAsia" w:asciiTheme="minorEastAsia" w:hAnsiTheme="minorEastAsia" w:eastAsiaTheme="minorEastAsia"/>
          <w:sz w:val="32"/>
          <w:szCs w:val="32"/>
        </w:rPr>
        <w:t>相比</w:t>
      </w:r>
      <w:r>
        <w:rPr>
          <w:rFonts w:hint="eastAsia" w:asciiTheme="minorEastAsia" w:hAnsiTheme="minorEastAsia" w:eastAsiaTheme="minorEastAsia"/>
          <w:sz w:val="32"/>
          <w:szCs w:val="32"/>
          <w:lang w:eastAsia="zh-CN"/>
        </w:rPr>
        <w:t>增加</w:t>
      </w:r>
      <w:r>
        <w:rPr>
          <w:rFonts w:hint="eastAsia" w:asciiTheme="minorEastAsia" w:hAnsiTheme="minorEastAsia" w:eastAsiaTheme="minorEastAsia"/>
          <w:sz w:val="32"/>
          <w:szCs w:val="32"/>
          <w:lang w:val="en-US" w:eastAsia="zh-CN"/>
        </w:rPr>
        <w:t>0.69</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增加</w:t>
      </w:r>
      <w:r>
        <w:rPr>
          <w:rFonts w:hint="eastAsia" w:asciiTheme="minorEastAsia" w:hAnsiTheme="minorEastAsia" w:eastAsiaTheme="minorEastAsia"/>
          <w:sz w:val="32"/>
          <w:szCs w:val="32"/>
          <w:lang w:val="en-US" w:eastAsia="zh-CN"/>
        </w:rPr>
        <w:t>222.58</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，增加</w:t>
      </w:r>
      <w:r>
        <w:rPr>
          <w:rFonts w:hint="eastAsia" w:asciiTheme="minorEastAsia" w:hAnsiTheme="minorEastAsia" w:eastAsiaTheme="minorEastAsia"/>
          <w:sz w:val="32"/>
          <w:szCs w:val="32"/>
        </w:rPr>
        <w:t>的主要原因是</w:t>
      </w:r>
      <w:commentRangeStart w:id="0"/>
      <w:r>
        <w:rPr>
          <w:rFonts w:hint="eastAsia" w:asciiTheme="minorEastAsia" w:hAnsiTheme="minorEastAsia" w:eastAsiaTheme="minorEastAsia"/>
          <w:sz w:val="32"/>
          <w:szCs w:val="32"/>
          <w:lang w:val="en-US" w:eastAsia="zh-CN"/>
        </w:rPr>
        <w:t>上年部分三公经费市级财政拨款支出，未列入一般公共预算</w:t>
      </w:r>
      <w:r>
        <w:rPr>
          <w:rFonts w:hint="eastAsia" w:asciiTheme="minorEastAsia" w:hAnsiTheme="minorEastAsia" w:eastAsiaTheme="minorEastAsia"/>
          <w:sz w:val="32"/>
          <w:szCs w:val="32"/>
          <w:lang w:eastAsia="zh-CN"/>
        </w:rPr>
        <w:t>。</w:t>
      </w:r>
      <w:commentRangeEnd w:id="0"/>
      <w:r>
        <w:commentReference w:id="0"/>
      </w:r>
    </w:p>
    <w:p w14:paraId="575D8614">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2021年我单位无车辆购置预算</w:t>
      </w:r>
      <w:r>
        <w:rPr>
          <w:rFonts w:hint="eastAsia" w:asciiTheme="minorEastAsia" w:hAnsiTheme="minorEastAsia" w:eastAsiaTheme="minorEastAsia"/>
          <w:sz w:val="32"/>
          <w:szCs w:val="32"/>
        </w:rPr>
        <w:t>。</w:t>
      </w:r>
    </w:p>
    <w:p w14:paraId="7F6BFD70">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公务用车运行维护费支出预算为</w:t>
      </w: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与</w:t>
      </w:r>
      <w:r>
        <w:rPr>
          <w:rFonts w:hint="eastAsia" w:asciiTheme="minorEastAsia" w:hAnsiTheme="minorEastAsia" w:eastAsiaTheme="minorEastAsia"/>
          <w:sz w:val="32"/>
          <w:szCs w:val="32"/>
        </w:rPr>
        <w:t>预算数</w:t>
      </w:r>
      <w:r>
        <w:rPr>
          <w:rFonts w:hint="eastAsia" w:asciiTheme="minorEastAsia" w:hAnsiTheme="minorEastAsia" w:eastAsiaTheme="minorEastAsia"/>
          <w:sz w:val="32"/>
          <w:szCs w:val="32"/>
          <w:lang w:eastAsia="zh-CN"/>
        </w:rPr>
        <w:t>一致</w:t>
      </w:r>
      <w:r>
        <w:rPr>
          <w:rFonts w:hint="eastAsia" w:asciiTheme="minorEastAsia" w:hAnsiTheme="minorEastAsia" w:eastAsiaTheme="minorEastAsia"/>
          <w:sz w:val="32"/>
          <w:szCs w:val="32"/>
        </w:rPr>
        <w:t>，</w:t>
      </w:r>
      <w:commentRangeStart w:id="1"/>
      <w:r>
        <w:rPr>
          <w:rFonts w:hint="eastAsia" w:asciiTheme="minorEastAsia" w:hAnsiTheme="minorEastAsia" w:eastAsiaTheme="minorEastAsia"/>
          <w:sz w:val="32"/>
          <w:szCs w:val="32"/>
          <w:lang w:eastAsia="zh-CN"/>
        </w:rPr>
        <w:t>主</w:t>
      </w:r>
      <w:r>
        <w:rPr>
          <w:rFonts w:hint="eastAsia" w:asciiTheme="minorEastAsia" w:hAnsiTheme="minorEastAsia" w:eastAsiaTheme="minorEastAsia"/>
          <w:sz w:val="32"/>
          <w:szCs w:val="32"/>
          <w:lang w:val="en-US" w:eastAsia="zh-CN"/>
        </w:rPr>
        <w:t>要</w:t>
      </w:r>
      <w:commentRangeEnd w:id="1"/>
      <w:r>
        <w:commentReference w:id="1"/>
      </w:r>
      <w:r>
        <w:rPr>
          <w:rFonts w:hint="eastAsia" w:asciiTheme="minorEastAsia" w:hAnsiTheme="minorEastAsia" w:eastAsiaTheme="minorEastAsia"/>
          <w:sz w:val="32"/>
          <w:szCs w:val="32"/>
          <w:lang w:val="en-US" w:eastAsia="zh-CN"/>
        </w:rPr>
        <w:t>是我单位按预算执行决算，控制三公经费；</w:t>
      </w:r>
      <w:r>
        <w:rPr>
          <w:rFonts w:hint="eastAsia" w:asciiTheme="minorEastAsia" w:hAnsiTheme="minorEastAsia" w:eastAsiaTheme="minorEastAsia"/>
          <w:sz w:val="32"/>
          <w:szCs w:val="32"/>
        </w:rPr>
        <w:t>与上年</w:t>
      </w:r>
      <w:r>
        <w:rPr>
          <w:rFonts w:hint="eastAsia" w:asciiTheme="minorEastAsia" w:hAnsiTheme="minorEastAsia" w:eastAsiaTheme="minorEastAsia"/>
          <w:sz w:val="32"/>
          <w:szCs w:val="32"/>
          <w:lang w:val="en-US" w:eastAsia="zh-CN"/>
        </w:rPr>
        <w:t>决算数</w:t>
      </w:r>
      <w:r>
        <w:rPr>
          <w:rFonts w:hint="eastAsia" w:asciiTheme="minorEastAsia" w:hAnsiTheme="minorEastAsia" w:eastAsiaTheme="minorEastAsia"/>
          <w:sz w:val="32"/>
          <w:szCs w:val="32"/>
        </w:rPr>
        <w:t>相比减少</w:t>
      </w:r>
      <w:r>
        <w:rPr>
          <w:rFonts w:hint="eastAsia" w:asciiTheme="minorEastAsia" w:hAnsiTheme="minorEastAsia" w:eastAsiaTheme="minorEastAsia"/>
          <w:sz w:val="32"/>
          <w:szCs w:val="32"/>
          <w:lang w:val="en-US" w:eastAsia="zh-CN"/>
        </w:rPr>
        <w:t>0.33</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6.19</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减少的主要原因是</w:t>
      </w:r>
      <w:r>
        <w:rPr>
          <w:rFonts w:hint="eastAsia" w:asciiTheme="minorEastAsia" w:hAnsiTheme="minorEastAsia" w:eastAsiaTheme="minorEastAsia"/>
          <w:sz w:val="32"/>
          <w:szCs w:val="32"/>
          <w:lang w:eastAsia="zh-CN"/>
        </w:rPr>
        <w:t>由于车辆老旧，不能满足日常采样工作，</w:t>
      </w:r>
      <w:r>
        <w:rPr>
          <w:rFonts w:hint="eastAsia" w:asciiTheme="minorEastAsia" w:hAnsiTheme="minorEastAsia" w:eastAsiaTheme="minorEastAsia"/>
          <w:sz w:val="32"/>
          <w:szCs w:val="32"/>
          <w:lang w:val="en-US" w:eastAsia="zh-CN"/>
        </w:rPr>
        <w:t>2021年度我中心报废金杯车辆一台，导致公务用车费用节约</w:t>
      </w:r>
      <w:r>
        <w:rPr>
          <w:rFonts w:hint="eastAsia" w:asciiTheme="minorEastAsia" w:hAnsiTheme="minorEastAsia" w:eastAsiaTheme="minorEastAsia"/>
          <w:sz w:val="32"/>
          <w:szCs w:val="32"/>
        </w:rPr>
        <w:t>。</w:t>
      </w:r>
    </w:p>
    <w:p w14:paraId="66E03B01">
      <w:pPr>
        <w:pStyle w:val="14"/>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14:paraId="5E7D71B5">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16.67</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83.33</w:t>
      </w:r>
      <w:r>
        <w:rPr>
          <w:rFonts w:hint="eastAsia" w:asciiTheme="minorEastAsia" w:hAnsiTheme="minorEastAsia" w:eastAsiaTheme="minorEastAsia"/>
          <w:sz w:val="32"/>
          <w:szCs w:val="32"/>
        </w:rPr>
        <w:t>%。其中：</w:t>
      </w:r>
    </w:p>
    <w:p w14:paraId="49C5BD71">
      <w:pPr>
        <w:pStyle w:val="14"/>
        <w:ind w:firstLine="960" w:firstLineChars="3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color w:val="000000"/>
          <w:sz w:val="32"/>
          <w:szCs w:val="32"/>
        </w:rPr>
        <w:t>全年安排因公出国（境）团组0个，累计0人次</w:t>
      </w:r>
      <w:r>
        <w:rPr>
          <w:rFonts w:hint="eastAsia" w:asciiTheme="minorEastAsia" w:hAnsiTheme="minorEastAsia" w:eastAsiaTheme="minorEastAsia"/>
          <w:sz w:val="32"/>
          <w:szCs w:val="32"/>
        </w:rPr>
        <w:t>。</w:t>
      </w:r>
    </w:p>
    <w:p w14:paraId="628760AC">
      <w:pPr>
        <w:pStyle w:val="14"/>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2、公务接待费支出决算为</w:t>
      </w:r>
      <w:r>
        <w:rPr>
          <w:rFonts w:hint="eastAsia" w:asciiTheme="minorEastAsia" w:hAnsiTheme="minorEastAsia" w:eastAsiaTheme="minorEastAsia"/>
          <w:color w:val="auto"/>
          <w:sz w:val="32"/>
          <w:szCs w:val="32"/>
          <w:lang w:val="en-US" w:eastAsia="zh-CN"/>
        </w:rPr>
        <w:t>1</w:t>
      </w:r>
      <w:r>
        <w:rPr>
          <w:rFonts w:hint="eastAsia" w:asciiTheme="minorEastAsia" w:hAnsiTheme="minorEastAsia" w:eastAsiaTheme="minorEastAsia"/>
          <w:color w:val="auto"/>
          <w:sz w:val="32"/>
          <w:szCs w:val="32"/>
        </w:rPr>
        <w:t>万元，全年共接待来访团组</w:t>
      </w:r>
      <w:r>
        <w:rPr>
          <w:rFonts w:hint="eastAsia" w:asciiTheme="minorEastAsia" w:hAnsiTheme="minorEastAsia" w:eastAsiaTheme="minorEastAsia"/>
          <w:color w:val="auto"/>
          <w:sz w:val="32"/>
          <w:szCs w:val="32"/>
          <w:lang w:val="en-US" w:eastAsia="zh-CN"/>
        </w:rPr>
        <w:t>11</w:t>
      </w:r>
      <w:r>
        <w:rPr>
          <w:rFonts w:hint="eastAsia" w:asciiTheme="minorEastAsia" w:hAnsiTheme="minorEastAsia" w:eastAsiaTheme="minorEastAsia"/>
          <w:color w:val="auto"/>
          <w:sz w:val="32"/>
          <w:szCs w:val="32"/>
        </w:rPr>
        <w:t>个、来宾</w:t>
      </w:r>
      <w:r>
        <w:rPr>
          <w:rFonts w:hint="eastAsia" w:asciiTheme="minorEastAsia" w:hAnsiTheme="minorEastAsia" w:eastAsiaTheme="minorEastAsia"/>
          <w:color w:val="auto"/>
          <w:sz w:val="32"/>
          <w:szCs w:val="32"/>
          <w:lang w:val="en-US" w:eastAsia="zh-CN"/>
        </w:rPr>
        <w:t>83</w:t>
      </w:r>
      <w:r>
        <w:rPr>
          <w:rFonts w:hint="eastAsia" w:asciiTheme="minorEastAsia" w:hAnsiTheme="minorEastAsia" w:eastAsiaTheme="minorEastAsia"/>
          <w:color w:val="auto"/>
          <w:sz w:val="32"/>
          <w:szCs w:val="32"/>
        </w:rPr>
        <w:t>人次，主要是</w:t>
      </w:r>
      <w:r>
        <w:rPr>
          <w:rFonts w:hint="eastAsia" w:asciiTheme="minorEastAsia" w:hAnsiTheme="minorEastAsia" w:eastAsiaTheme="minorEastAsia"/>
          <w:color w:val="auto"/>
          <w:sz w:val="32"/>
          <w:szCs w:val="32"/>
          <w:lang w:eastAsia="zh-CN"/>
        </w:rPr>
        <w:t>各市州业务工作交流、湖南省生态环境监测中心及市州交流</w:t>
      </w:r>
      <w:r>
        <w:rPr>
          <w:rFonts w:hint="eastAsia" w:asciiTheme="minorEastAsia" w:hAnsiTheme="minorEastAsia" w:eastAsiaTheme="minorEastAsia"/>
          <w:color w:val="auto"/>
          <w:sz w:val="32"/>
          <w:szCs w:val="32"/>
        </w:rPr>
        <w:t>发生的接待支出。</w:t>
      </w:r>
    </w:p>
    <w:p w14:paraId="7EA4A0D6">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5</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万元，单位更新公务用车</w:t>
      </w:r>
      <w:r>
        <w:rPr>
          <w:rFonts w:hint="eastAsia" w:asciiTheme="minorEastAsia" w:hAnsiTheme="minorEastAsia"/>
          <w:sz w:val="32"/>
          <w:szCs w:val="32"/>
          <w:lang w:val="en-US" w:eastAsia="zh-CN"/>
        </w:rPr>
        <w:t>0</w:t>
      </w:r>
      <w:r>
        <w:rPr>
          <w:rFonts w:hint="eastAsia" w:asciiTheme="minorEastAsia" w:hAnsiTheme="minorEastAsia"/>
          <w:sz w:val="32"/>
          <w:szCs w:val="32"/>
        </w:rPr>
        <w:t>辆</w:t>
      </w:r>
      <w:r>
        <w:rPr>
          <w:rFonts w:hint="eastAsia" w:asciiTheme="minorEastAsia" w:hAnsiTheme="minorEastAsia"/>
          <w:sz w:val="32"/>
          <w:szCs w:val="32"/>
          <w:lang w:eastAsia="zh-CN"/>
        </w:rPr>
        <w:t>，系湖南省生态环境监测中心统一采购</w:t>
      </w:r>
      <w:r>
        <w:rPr>
          <w:rFonts w:hint="eastAsia" w:asciiTheme="minorEastAsia" w:hAnsiTheme="minorEastAsia"/>
          <w:color w:val="000000" w:themeColor="text1"/>
          <w:sz w:val="32"/>
          <w:szCs w:val="32"/>
          <w14:textFill>
            <w14:solidFill>
              <w14:schemeClr w14:val="tx1"/>
            </w14:solidFill>
          </w14:textFill>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5</w:t>
      </w:r>
      <w:r>
        <w:rPr>
          <w:rFonts w:hint="eastAsia" w:asciiTheme="minorEastAsia" w:hAnsiTheme="minorEastAsia"/>
          <w:sz w:val="32"/>
          <w:szCs w:val="32"/>
        </w:rPr>
        <w:t>万元，主要是</w:t>
      </w:r>
      <w:r>
        <w:rPr>
          <w:rFonts w:hint="eastAsia" w:asciiTheme="minorEastAsia" w:hAnsiTheme="minorEastAsia"/>
          <w:sz w:val="32"/>
          <w:szCs w:val="32"/>
          <w:lang w:eastAsia="zh-CN"/>
        </w:rPr>
        <w:t>加油及车辆保险等</w:t>
      </w:r>
      <w:r>
        <w:rPr>
          <w:rFonts w:hint="eastAsia" w:asciiTheme="minorEastAsia" w:hAnsiTheme="minorEastAsia"/>
          <w:sz w:val="32"/>
          <w:szCs w:val="32"/>
        </w:rPr>
        <w:t>支出</w:t>
      </w:r>
      <w:r>
        <w:rPr>
          <w:rFonts w:hint="eastAsia" w:asciiTheme="minorEastAsia" w:hAnsiTheme="minorEastAsia"/>
          <w:sz w:val="32"/>
          <w:szCs w:val="32"/>
          <w:lang w:eastAsia="zh-CN"/>
        </w:rPr>
        <w:t>。截至2021年</w:t>
      </w:r>
      <w:r>
        <w:rPr>
          <w:rFonts w:hint="eastAsia" w:asciiTheme="minorEastAsia" w:hAnsiTheme="minorEastAsia"/>
          <w:sz w:val="32"/>
          <w:szCs w:val="32"/>
        </w:rPr>
        <w:t>12月31日，我单位开支财政拨款的公务用车保有量为</w:t>
      </w:r>
      <w:r>
        <w:rPr>
          <w:rFonts w:hint="eastAsia" w:asciiTheme="minorEastAsia" w:hAnsiTheme="minorEastAsia"/>
          <w:sz w:val="32"/>
          <w:szCs w:val="32"/>
          <w:lang w:val="en-US" w:eastAsia="zh-CN"/>
        </w:rPr>
        <w:t>2</w:t>
      </w:r>
      <w:r>
        <w:rPr>
          <w:rFonts w:hint="eastAsia" w:asciiTheme="minorEastAsia" w:hAnsiTheme="minorEastAsia"/>
          <w:sz w:val="32"/>
          <w:szCs w:val="32"/>
        </w:rPr>
        <w:t>辆。</w:t>
      </w:r>
    </w:p>
    <w:p w14:paraId="38BDAB21">
      <w:pPr>
        <w:pStyle w:val="14"/>
        <w:rPr>
          <w:rFonts w:hAnsi="黑体"/>
          <w:b/>
          <w:sz w:val="32"/>
          <w:szCs w:val="32"/>
        </w:rPr>
      </w:pPr>
      <w:r>
        <w:rPr>
          <w:rFonts w:hint="eastAsia" w:hAnsi="黑体"/>
          <w:b/>
          <w:sz w:val="32"/>
          <w:szCs w:val="32"/>
        </w:rPr>
        <w:t>八、政府性基金预算收入支出决算情况</w:t>
      </w:r>
    </w:p>
    <w:p w14:paraId="70AD9CAF">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年度无政府性基金预算收入支出。</w:t>
      </w:r>
    </w:p>
    <w:p w14:paraId="7E6C6BFB">
      <w:pPr>
        <w:pStyle w:val="14"/>
        <w:rPr>
          <w:rFonts w:hAnsi="黑体"/>
          <w:b/>
          <w:sz w:val="32"/>
          <w:szCs w:val="32"/>
        </w:rPr>
      </w:pPr>
      <w:r>
        <w:rPr>
          <w:rFonts w:hint="eastAsia" w:hAnsi="黑体"/>
          <w:b/>
          <w:sz w:val="32"/>
          <w:szCs w:val="32"/>
        </w:rPr>
        <w:t>九、机关运行经费支出说明</w:t>
      </w:r>
    </w:p>
    <w:p w14:paraId="34678FC1">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本部门2021年度机关运行经费支出</w:t>
      </w:r>
      <w:r>
        <w:rPr>
          <w:rFonts w:hint="eastAsia" w:asciiTheme="minorEastAsia" w:hAnsiTheme="minorEastAsia" w:eastAsiaTheme="minorEastAsia"/>
          <w:sz w:val="32"/>
          <w:szCs w:val="32"/>
          <w:lang w:val="en-US" w:eastAsia="zh-CN"/>
        </w:rPr>
        <w:t>38.48</w:t>
      </w:r>
      <w:r>
        <w:rPr>
          <w:rFonts w:hint="eastAsia" w:asciiTheme="minorEastAsia" w:hAnsiTheme="minorEastAsia" w:eastAsiaTheme="minorEastAsia"/>
          <w:sz w:val="32"/>
          <w:szCs w:val="32"/>
        </w:rPr>
        <w:t>万元，比上年决算数增加</w:t>
      </w:r>
      <w:r>
        <w:rPr>
          <w:rFonts w:hint="eastAsia" w:asciiTheme="minorEastAsia" w:hAnsiTheme="minorEastAsia" w:eastAsiaTheme="minorEastAsia"/>
          <w:sz w:val="32"/>
          <w:szCs w:val="32"/>
          <w:lang w:val="en-US" w:eastAsia="zh-CN"/>
        </w:rPr>
        <w:t>33.48</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167.40</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eastAsia="zh-CN"/>
        </w:rPr>
        <w:t>我中心系</w:t>
      </w:r>
      <w:r>
        <w:rPr>
          <w:rFonts w:hint="eastAsia" w:asciiTheme="minorEastAsia" w:hAnsiTheme="minorEastAsia" w:eastAsiaTheme="minorEastAsia"/>
          <w:sz w:val="32"/>
          <w:szCs w:val="32"/>
          <w:lang w:val="en-US" w:eastAsia="zh-CN"/>
        </w:rPr>
        <w:t>2021年度纳入省级部门预算，2020年此项预算在湖南省湘西土家族</w:t>
      </w:r>
      <w:bookmarkStart w:id="3" w:name="_GoBack"/>
      <w:bookmarkEnd w:id="3"/>
      <w:r>
        <w:rPr>
          <w:rFonts w:hint="eastAsia" w:asciiTheme="minorEastAsia" w:hAnsiTheme="minorEastAsia" w:eastAsiaTheme="minorEastAsia"/>
          <w:sz w:val="32"/>
          <w:szCs w:val="32"/>
          <w:lang w:val="en-US" w:eastAsia="zh-CN"/>
        </w:rPr>
        <w:t>苗族自治州州级财政列支</w:t>
      </w:r>
      <w:r>
        <w:rPr>
          <w:rFonts w:hint="eastAsia" w:asciiTheme="minorEastAsia" w:hAnsiTheme="minorEastAsia" w:eastAsiaTheme="minorEastAsia"/>
          <w:sz w:val="32"/>
          <w:szCs w:val="32"/>
        </w:rPr>
        <w:t>。</w:t>
      </w:r>
    </w:p>
    <w:p w14:paraId="030750AD">
      <w:pPr>
        <w:pStyle w:val="14"/>
        <w:rPr>
          <w:rFonts w:hAnsi="黑体"/>
          <w:b/>
          <w:sz w:val="32"/>
          <w:szCs w:val="32"/>
        </w:rPr>
      </w:pPr>
      <w:r>
        <w:rPr>
          <w:rFonts w:hint="eastAsia" w:hAnsi="黑体"/>
          <w:b/>
          <w:sz w:val="32"/>
          <w:szCs w:val="32"/>
        </w:rPr>
        <w:t>十、一般性支出情况说明</w:t>
      </w:r>
    </w:p>
    <w:p w14:paraId="70B4C32B">
      <w:pPr>
        <w:pStyle w:val="14"/>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2021年本部门</w:t>
      </w:r>
      <w:r>
        <w:rPr>
          <w:rFonts w:hint="eastAsia" w:asciiTheme="minorEastAsia" w:hAnsiTheme="minorEastAsia" w:eastAsiaTheme="minorEastAsia"/>
          <w:sz w:val="32"/>
          <w:szCs w:val="32"/>
          <w:lang w:eastAsia="zh-CN"/>
        </w:rPr>
        <w:t>无</w:t>
      </w:r>
      <w:r>
        <w:rPr>
          <w:rFonts w:hint="eastAsia" w:asciiTheme="minorEastAsia" w:hAnsiTheme="minorEastAsia" w:eastAsiaTheme="minorEastAsia"/>
          <w:sz w:val="32"/>
          <w:szCs w:val="32"/>
        </w:rPr>
        <w:t>会议费</w:t>
      </w:r>
      <w:r>
        <w:rPr>
          <w:rFonts w:hint="eastAsia" w:asciiTheme="minorEastAsia" w:hAnsiTheme="minorEastAsia" w:eastAsiaTheme="minorEastAsia"/>
          <w:sz w:val="32"/>
          <w:szCs w:val="32"/>
          <w:lang w:eastAsia="zh-CN"/>
        </w:rPr>
        <w:t>开支</w:t>
      </w:r>
      <w:r>
        <w:rPr>
          <w:rFonts w:hint="eastAsia" w:asciiTheme="minorEastAsia" w:hAnsiTheme="minorEastAsia" w:eastAsiaTheme="minorEastAsia"/>
          <w:sz w:val="32"/>
          <w:szCs w:val="32"/>
        </w:rPr>
        <w:t>；</w:t>
      </w:r>
    </w:p>
    <w:p w14:paraId="1AADD5FC">
      <w:pPr>
        <w:pStyle w:val="14"/>
        <w:ind w:firstLine="640" w:firstLineChars="200"/>
        <w:rPr>
          <w:rFonts w:hint="eastAsia" w:asciiTheme="minorEastAsia" w:hAnsiTheme="minorEastAsia" w:eastAsiaTheme="minorEastAsia"/>
          <w:color w:val="auto"/>
          <w:sz w:val="32"/>
          <w:szCs w:val="32"/>
        </w:rPr>
      </w:pPr>
      <w:r>
        <w:rPr>
          <w:rFonts w:hint="eastAsia" w:asciiTheme="minorEastAsia" w:hAnsiTheme="minorEastAsia" w:eastAsiaTheme="minorEastAsia"/>
          <w:sz w:val="32"/>
          <w:szCs w:val="32"/>
          <w:lang w:val="en-US" w:eastAsia="zh-CN"/>
        </w:rPr>
        <w:t>2021年</w:t>
      </w:r>
      <w:r>
        <w:rPr>
          <w:rFonts w:hint="eastAsia" w:asciiTheme="minorEastAsia" w:hAnsiTheme="minorEastAsia" w:eastAsiaTheme="minorEastAsia"/>
          <w:color w:val="auto"/>
          <w:sz w:val="32"/>
          <w:szCs w:val="32"/>
        </w:rPr>
        <w:t>开支培训费</w:t>
      </w:r>
      <w:r>
        <w:rPr>
          <w:rFonts w:hint="eastAsia" w:asciiTheme="minorEastAsia" w:hAnsiTheme="minorEastAsia" w:eastAsiaTheme="minorEastAsia"/>
          <w:color w:val="auto"/>
          <w:sz w:val="32"/>
          <w:szCs w:val="32"/>
          <w:lang w:val="en-US" w:eastAsia="zh-CN"/>
        </w:rPr>
        <w:t>0.9</w:t>
      </w:r>
      <w:r>
        <w:rPr>
          <w:rFonts w:hint="eastAsia" w:asciiTheme="minorEastAsia" w:hAnsiTheme="minorEastAsia" w:eastAsiaTheme="minorEastAsia"/>
          <w:color w:val="auto"/>
          <w:sz w:val="32"/>
          <w:szCs w:val="32"/>
        </w:rPr>
        <w:t>万元，用于开展</w:t>
      </w:r>
      <w:r>
        <w:rPr>
          <w:rFonts w:hint="eastAsia" w:asciiTheme="minorEastAsia" w:hAnsiTheme="minorEastAsia" w:eastAsiaTheme="minorEastAsia"/>
          <w:color w:val="auto"/>
          <w:sz w:val="32"/>
          <w:szCs w:val="32"/>
          <w:lang w:eastAsia="zh-CN"/>
        </w:rPr>
        <w:t>事业单位网络</w:t>
      </w:r>
      <w:r>
        <w:rPr>
          <w:rFonts w:hint="eastAsia" w:asciiTheme="minorEastAsia" w:hAnsiTheme="minorEastAsia" w:eastAsiaTheme="minorEastAsia"/>
          <w:color w:val="auto"/>
          <w:sz w:val="32"/>
          <w:szCs w:val="32"/>
        </w:rPr>
        <w:t>培训，人数</w:t>
      </w:r>
      <w:r>
        <w:rPr>
          <w:rFonts w:hint="eastAsia" w:asciiTheme="minorEastAsia" w:hAnsiTheme="minorEastAsia" w:eastAsiaTheme="minorEastAsia"/>
          <w:color w:val="auto"/>
          <w:sz w:val="32"/>
          <w:szCs w:val="32"/>
          <w:lang w:val="en-US" w:eastAsia="zh-CN"/>
        </w:rPr>
        <w:t>27</w:t>
      </w:r>
      <w:r>
        <w:rPr>
          <w:rFonts w:hint="eastAsia" w:asciiTheme="minorEastAsia" w:hAnsiTheme="minorEastAsia" w:eastAsiaTheme="minorEastAsia"/>
          <w:color w:val="auto"/>
          <w:sz w:val="32"/>
          <w:szCs w:val="32"/>
        </w:rPr>
        <w:t>人，内容为</w:t>
      </w:r>
      <w:r>
        <w:rPr>
          <w:rFonts w:hint="eastAsia" w:asciiTheme="minorEastAsia" w:hAnsiTheme="minorEastAsia" w:eastAsiaTheme="minorEastAsia"/>
          <w:color w:val="auto"/>
          <w:sz w:val="32"/>
          <w:szCs w:val="32"/>
          <w:lang w:val="en-US" w:eastAsia="zh-CN"/>
        </w:rPr>
        <w:t>2021年全省</w:t>
      </w:r>
      <w:r>
        <w:rPr>
          <w:rFonts w:hint="eastAsia" w:asciiTheme="minorEastAsia" w:hAnsiTheme="minorEastAsia" w:eastAsiaTheme="minorEastAsia"/>
          <w:color w:val="auto"/>
          <w:sz w:val="32"/>
          <w:szCs w:val="32"/>
          <w:lang w:eastAsia="zh-CN"/>
        </w:rPr>
        <w:t>事业单位工作人员培训及质量管理科室人员上岗培训等</w:t>
      </w:r>
      <w:r>
        <w:rPr>
          <w:rFonts w:hint="eastAsia" w:asciiTheme="minorEastAsia" w:hAnsiTheme="minorEastAsia" w:eastAsiaTheme="minorEastAsia"/>
          <w:color w:val="auto"/>
          <w:sz w:val="32"/>
          <w:szCs w:val="32"/>
        </w:rPr>
        <w:t>；</w:t>
      </w:r>
    </w:p>
    <w:p w14:paraId="720ACA42">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2021年度我中心</w:t>
      </w:r>
      <w:r>
        <w:rPr>
          <w:rFonts w:hint="eastAsia" w:asciiTheme="minorEastAsia" w:hAnsiTheme="minorEastAsia" w:eastAsiaTheme="minorEastAsia"/>
          <w:sz w:val="32"/>
          <w:szCs w:val="32"/>
          <w:lang w:eastAsia="zh-CN"/>
        </w:rPr>
        <w:t>未举办</w:t>
      </w:r>
      <w:r>
        <w:rPr>
          <w:rFonts w:hint="eastAsia" w:asciiTheme="minorEastAsia" w:hAnsiTheme="minorEastAsia" w:eastAsiaTheme="minorEastAsia"/>
          <w:sz w:val="32"/>
          <w:szCs w:val="32"/>
        </w:rPr>
        <w:t>节庆、晚会、论坛、赛事活动</w:t>
      </w:r>
      <w:r>
        <w:rPr>
          <w:rFonts w:hint="eastAsia" w:asciiTheme="minorEastAsia" w:hAnsiTheme="minorEastAsia" w:eastAsiaTheme="minorEastAsia"/>
          <w:sz w:val="32"/>
          <w:szCs w:val="32"/>
          <w:lang w:eastAsia="zh-CN"/>
        </w:rPr>
        <w:t>。</w:t>
      </w:r>
    </w:p>
    <w:p w14:paraId="30790DE3">
      <w:pPr>
        <w:pStyle w:val="14"/>
        <w:rPr>
          <w:rFonts w:hAnsi="黑体"/>
          <w:b/>
          <w:sz w:val="32"/>
          <w:szCs w:val="32"/>
        </w:rPr>
      </w:pPr>
      <w:r>
        <w:rPr>
          <w:rFonts w:hint="eastAsia" w:hAnsi="黑体"/>
          <w:b/>
          <w:sz w:val="32"/>
          <w:szCs w:val="32"/>
        </w:rPr>
        <w:t>十一、政府采购支出说明</w:t>
      </w:r>
    </w:p>
    <w:p w14:paraId="177E6BF3">
      <w:pPr>
        <w:pStyle w:val="14"/>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rPr>
        <w:t>本部门2021年度政府采购支出总额</w:t>
      </w:r>
      <w:r>
        <w:rPr>
          <w:rFonts w:hint="eastAsia" w:asciiTheme="minorEastAsia" w:hAnsiTheme="minorEastAsia" w:eastAsiaTheme="minorEastAsia"/>
          <w:color w:val="auto"/>
          <w:sz w:val="32"/>
          <w:szCs w:val="32"/>
          <w:lang w:val="en-US" w:eastAsia="zh-CN"/>
        </w:rPr>
        <w:t>651.31</w:t>
      </w:r>
      <w:r>
        <w:rPr>
          <w:rFonts w:hint="eastAsia" w:asciiTheme="minorEastAsia" w:hAnsiTheme="minorEastAsia" w:eastAsiaTheme="minorEastAsia"/>
          <w:color w:val="auto"/>
          <w:sz w:val="32"/>
          <w:szCs w:val="32"/>
        </w:rPr>
        <w:t>万元，其中：政府采购货物支出</w:t>
      </w:r>
      <w:r>
        <w:rPr>
          <w:rFonts w:hint="eastAsia" w:asciiTheme="minorEastAsia" w:hAnsiTheme="minorEastAsia" w:eastAsiaTheme="minorEastAsia"/>
          <w:color w:val="auto"/>
          <w:sz w:val="32"/>
          <w:szCs w:val="32"/>
          <w:lang w:val="en-US" w:eastAsia="zh-CN"/>
        </w:rPr>
        <w:t>277.14</w:t>
      </w:r>
      <w:r>
        <w:rPr>
          <w:rFonts w:hint="eastAsia" w:asciiTheme="minorEastAsia" w:hAnsiTheme="minorEastAsia" w:eastAsiaTheme="minorEastAsia"/>
          <w:color w:val="auto"/>
          <w:sz w:val="32"/>
          <w:szCs w:val="32"/>
        </w:rPr>
        <w:t>万元、政府采购工程支出</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万元、政府采购服务支出</w:t>
      </w:r>
      <w:r>
        <w:rPr>
          <w:rFonts w:hint="eastAsia" w:asciiTheme="minorEastAsia" w:hAnsiTheme="minorEastAsia" w:eastAsiaTheme="minorEastAsia"/>
          <w:color w:val="auto"/>
          <w:sz w:val="32"/>
          <w:szCs w:val="32"/>
          <w:lang w:val="en-US" w:eastAsia="zh-CN"/>
        </w:rPr>
        <w:t>374.17</w:t>
      </w:r>
      <w:r>
        <w:rPr>
          <w:rFonts w:hint="eastAsia" w:asciiTheme="minorEastAsia" w:hAnsiTheme="minorEastAsia" w:eastAsiaTheme="minorEastAsia"/>
          <w:color w:val="auto"/>
          <w:sz w:val="32"/>
          <w:szCs w:val="32"/>
        </w:rPr>
        <w:t>万元。授予中小企业合同金额</w:t>
      </w:r>
      <w:r>
        <w:rPr>
          <w:rFonts w:hint="eastAsia" w:asciiTheme="minorEastAsia" w:hAnsiTheme="minorEastAsia" w:eastAsiaTheme="minorEastAsia"/>
          <w:color w:val="auto"/>
          <w:sz w:val="32"/>
          <w:szCs w:val="32"/>
          <w:lang w:val="en-US" w:eastAsia="zh-CN"/>
        </w:rPr>
        <w:t>5</w:t>
      </w:r>
      <w:r>
        <w:rPr>
          <w:rFonts w:hint="eastAsia" w:asciiTheme="minorEastAsia" w:hAnsiTheme="minorEastAsia" w:eastAsiaTheme="minorEastAsia"/>
          <w:color w:val="auto"/>
          <w:sz w:val="32"/>
          <w:szCs w:val="32"/>
        </w:rPr>
        <w:t>万元，占政府采购支出总额的</w:t>
      </w:r>
      <w:r>
        <w:rPr>
          <w:rFonts w:hint="eastAsia" w:asciiTheme="minorEastAsia" w:hAnsiTheme="minorEastAsia" w:eastAsiaTheme="minorEastAsia"/>
          <w:color w:val="auto"/>
          <w:sz w:val="32"/>
          <w:szCs w:val="32"/>
          <w:lang w:val="en-US" w:eastAsia="zh-CN"/>
        </w:rPr>
        <w:t>0.77</w:t>
      </w:r>
      <w:r>
        <w:rPr>
          <w:rFonts w:hint="eastAsia" w:asciiTheme="minorEastAsia" w:hAnsiTheme="minorEastAsia" w:eastAsiaTheme="minorEastAsia"/>
          <w:color w:val="auto"/>
          <w:sz w:val="32"/>
          <w:szCs w:val="32"/>
        </w:rPr>
        <w:t>%，其中：授予小微企业合同金额</w:t>
      </w:r>
      <w:r>
        <w:rPr>
          <w:rFonts w:hint="eastAsia" w:asciiTheme="minorEastAsia" w:hAnsiTheme="minorEastAsia" w:eastAsiaTheme="minorEastAsia"/>
          <w:color w:val="auto"/>
          <w:sz w:val="32"/>
          <w:szCs w:val="32"/>
          <w:lang w:val="en-US" w:eastAsia="zh-CN"/>
        </w:rPr>
        <w:t>5</w:t>
      </w:r>
      <w:r>
        <w:rPr>
          <w:rFonts w:hint="eastAsia" w:asciiTheme="minorEastAsia" w:hAnsiTheme="minorEastAsia" w:eastAsiaTheme="minorEastAsia"/>
          <w:color w:val="auto"/>
          <w:sz w:val="32"/>
          <w:szCs w:val="32"/>
        </w:rPr>
        <w:t>万元，占政府采购支出总额的</w:t>
      </w:r>
      <w:r>
        <w:rPr>
          <w:rFonts w:hint="eastAsia" w:asciiTheme="minorEastAsia" w:hAnsiTheme="minorEastAsia" w:eastAsiaTheme="minorEastAsia"/>
          <w:color w:val="auto"/>
          <w:sz w:val="32"/>
          <w:szCs w:val="32"/>
          <w:lang w:val="en-US" w:eastAsia="zh-CN"/>
        </w:rPr>
        <w:t>0.77</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eastAsia="zh-CN"/>
        </w:rPr>
        <w:t>。</w:t>
      </w:r>
    </w:p>
    <w:p w14:paraId="5C523171">
      <w:pPr>
        <w:pStyle w:val="14"/>
        <w:rPr>
          <w:rFonts w:hAnsi="黑体"/>
          <w:b/>
          <w:sz w:val="32"/>
          <w:szCs w:val="32"/>
        </w:rPr>
      </w:pPr>
      <w:r>
        <w:rPr>
          <w:rFonts w:hint="eastAsia" w:hAnsi="黑体"/>
          <w:b/>
          <w:sz w:val="32"/>
          <w:szCs w:val="32"/>
        </w:rPr>
        <w:t>十二、国有资产占用情况说明</w:t>
      </w:r>
    </w:p>
    <w:p w14:paraId="1ECD6B59">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截至2021年12月31日，部门（单位）共有车辆</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w:t>
      </w:r>
      <w:r>
        <w:rPr>
          <w:rFonts w:hint="eastAsia" w:asciiTheme="minorEastAsia" w:hAnsiTheme="minorEastAsia" w:eastAsiaTheme="minorEastAsia"/>
          <w:color w:val="auto"/>
          <w:sz w:val="32"/>
          <w:szCs w:val="32"/>
        </w:rPr>
        <w:t>单位价值50万元以上通用设备</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台（套）；单位价值100万元以上专用设备</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台（套）。</w:t>
      </w:r>
    </w:p>
    <w:p w14:paraId="1F42CD94">
      <w:pPr>
        <w:pStyle w:val="14"/>
        <w:rPr>
          <w:rFonts w:hAnsi="黑体"/>
          <w:b/>
          <w:sz w:val="32"/>
          <w:szCs w:val="32"/>
        </w:rPr>
      </w:pPr>
      <w:r>
        <w:rPr>
          <w:rFonts w:hint="eastAsia" w:hAnsi="黑体"/>
          <w:b/>
          <w:sz w:val="32"/>
          <w:szCs w:val="32"/>
        </w:rPr>
        <w:t>十三、2021年度预算绩效情况说明</w:t>
      </w:r>
    </w:p>
    <w:p w14:paraId="1D0998F7">
      <w:pPr>
        <w:pStyle w:val="14"/>
        <w:ind w:firstLine="640" w:firstLineChars="200"/>
        <w:rPr>
          <w:rFonts w:hint="eastAsia" w:cs="黑体" w:asciiTheme="minorEastAsia" w:hAnsiTheme="minorEastAsia" w:eastAsiaTheme="minorEastAsia"/>
          <w:color w:val="000000"/>
          <w:kern w:val="0"/>
          <w:sz w:val="32"/>
          <w:szCs w:val="32"/>
          <w:highlight w:val="none"/>
        </w:rPr>
      </w:pPr>
      <w:r>
        <w:rPr>
          <w:rFonts w:hint="eastAsia" w:cs="黑体" w:asciiTheme="minorEastAsia" w:hAnsiTheme="minorEastAsia"/>
          <w:b/>
          <w:color w:val="000000"/>
          <w:kern w:val="0"/>
          <w:sz w:val="32"/>
          <w:szCs w:val="32"/>
          <w:lang w:val="en-US" w:eastAsia="zh-CN"/>
        </w:rPr>
        <w:t xml:space="preserve"> </w:t>
      </w:r>
      <w:r>
        <w:rPr>
          <w:rFonts w:hint="eastAsia" w:cs="黑体" w:asciiTheme="minorEastAsia" w:hAnsiTheme="minorEastAsia" w:eastAsiaTheme="minorEastAsia"/>
          <w:color w:val="000000"/>
          <w:kern w:val="0"/>
          <w:sz w:val="32"/>
          <w:szCs w:val="32"/>
          <w:highlight w:val="none"/>
        </w:rPr>
        <w:t>为进一步规范财政资金管理，强化绩效和责任意识，切实提高财政资金使用效益，</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我部门组织对2021年部门整体支出进行绩效自评，涉及财政资金</w:t>
      </w:r>
      <w:r>
        <w:rPr>
          <w:rFonts w:hint="eastAsia" w:cs="黑体" w:asciiTheme="minorEastAsia" w:hAnsiTheme="minorEastAsia" w:eastAsiaTheme="minorEastAsia"/>
          <w:kern w:val="0"/>
          <w:sz w:val="32"/>
          <w:szCs w:val="32"/>
          <w:highlight w:val="none"/>
          <w:shd w:val="clear" w:fill="auto"/>
        </w:rPr>
        <w:t>1</w:t>
      </w:r>
      <w:r>
        <w:rPr>
          <w:rFonts w:hint="eastAsia" w:cs="黑体" w:asciiTheme="minorEastAsia" w:hAnsiTheme="minorEastAsia" w:eastAsiaTheme="minorEastAsia"/>
          <w:kern w:val="0"/>
          <w:sz w:val="32"/>
          <w:szCs w:val="32"/>
          <w:highlight w:val="none"/>
          <w:shd w:val="clear" w:fill="auto"/>
          <w:lang w:val="en-US" w:eastAsia="zh-CN"/>
        </w:rPr>
        <w:t>2</w:t>
      </w:r>
      <w:r>
        <w:rPr>
          <w:rFonts w:hint="eastAsia" w:cs="黑体" w:asciiTheme="minorEastAsia" w:hAnsiTheme="minorEastAsia" w:eastAsiaTheme="minorEastAsia"/>
          <w:kern w:val="0"/>
          <w:sz w:val="32"/>
          <w:szCs w:val="32"/>
          <w:highlight w:val="none"/>
          <w:shd w:val="clear" w:fill="auto"/>
        </w:rPr>
        <w:t>5</w:t>
      </w:r>
      <w:r>
        <w:rPr>
          <w:rFonts w:hint="eastAsia" w:cs="黑体" w:asciiTheme="minorEastAsia" w:hAnsiTheme="minorEastAsia" w:eastAsiaTheme="minorEastAsia"/>
          <w:kern w:val="0"/>
          <w:sz w:val="32"/>
          <w:szCs w:val="32"/>
          <w:highlight w:val="none"/>
          <w:shd w:val="clear" w:fill="auto"/>
          <w:lang w:val="en-US" w:eastAsia="zh-CN"/>
        </w:rPr>
        <w:t>3</w:t>
      </w:r>
      <w:r>
        <w:rPr>
          <w:rFonts w:hint="eastAsia" w:cs="黑体" w:asciiTheme="minorEastAsia" w:hAnsiTheme="minorEastAsia" w:eastAsiaTheme="minorEastAsia"/>
          <w:kern w:val="0"/>
          <w:sz w:val="32"/>
          <w:szCs w:val="32"/>
          <w:highlight w:val="none"/>
          <w:shd w:val="clear" w:fill="auto"/>
        </w:rPr>
        <w:t>.0</w:t>
      </w:r>
      <w:r>
        <w:rPr>
          <w:rFonts w:hint="eastAsia" w:cs="黑体" w:asciiTheme="minorEastAsia" w:hAnsiTheme="minorEastAsia" w:eastAsiaTheme="minorEastAsia"/>
          <w:kern w:val="0"/>
          <w:sz w:val="32"/>
          <w:szCs w:val="32"/>
          <w:highlight w:val="none"/>
          <w:shd w:val="clear" w:fill="auto"/>
          <w:lang w:val="en-US" w:eastAsia="zh-CN"/>
        </w:rPr>
        <w:t>7</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万元，其中：基本支出</w:t>
      </w:r>
      <w:r>
        <w:rPr>
          <w:rFonts w:hint="eastAsia" w:cs="黑体" w:asciiTheme="minorEastAsia" w:hAnsiTheme="minorEastAsia" w:eastAsiaTheme="minorEastAsia"/>
          <w:kern w:val="0"/>
          <w:sz w:val="32"/>
          <w:szCs w:val="32"/>
          <w:highlight w:val="none"/>
          <w:shd w:val="clear" w:fill="auto"/>
          <w:lang w:val="en-US" w:eastAsia="zh-CN"/>
        </w:rPr>
        <w:t>424</w:t>
      </w:r>
      <w:r>
        <w:rPr>
          <w:rFonts w:hint="eastAsia" w:cs="黑体" w:asciiTheme="minorEastAsia" w:hAnsiTheme="minorEastAsia" w:eastAsiaTheme="minorEastAsia"/>
          <w:kern w:val="0"/>
          <w:sz w:val="32"/>
          <w:szCs w:val="32"/>
          <w:highlight w:val="none"/>
          <w:shd w:val="clear" w:fill="auto"/>
        </w:rPr>
        <w:t>.</w:t>
      </w:r>
      <w:r>
        <w:rPr>
          <w:rFonts w:hint="eastAsia" w:cs="黑体" w:asciiTheme="minorEastAsia" w:hAnsiTheme="minorEastAsia" w:eastAsiaTheme="minorEastAsia"/>
          <w:kern w:val="0"/>
          <w:sz w:val="32"/>
          <w:szCs w:val="32"/>
          <w:highlight w:val="none"/>
          <w:shd w:val="clear" w:fill="auto"/>
          <w:lang w:val="en-US" w:eastAsia="zh-CN"/>
        </w:rPr>
        <w:t>26</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万元，项目支出</w:t>
      </w:r>
      <w:r>
        <w:rPr>
          <w:rFonts w:hint="eastAsia" w:cs="黑体" w:asciiTheme="minorEastAsia" w:hAnsiTheme="minorEastAsia" w:eastAsiaTheme="minorEastAsia"/>
          <w:kern w:val="0"/>
          <w:sz w:val="32"/>
          <w:szCs w:val="32"/>
          <w:highlight w:val="none"/>
          <w:shd w:val="clear" w:fill="auto"/>
          <w:lang w:val="en-US" w:eastAsia="zh-CN"/>
        </w:rPr>
        <w:t>828</w:t>
      </w:r>
      <w:r>
        <w:rPr>
          <w:rFonts w:hint="eastAsia" w:cs="黑体" w:asciiTheme="minorEastAsia" w:hAnsiTheme="minorEastAsia" w:eastAsiaTheme="minorEastAsia"/>
          <w:kern w:val="0"/>
          <w:sz w:val="32"/>
          <w:szCs w:val="32"/>
          <w:highlight w:val="none"/>
          <w:shd w:val="clear" w:fill="auto"/>
        </w:rPr>
        <w:t>.</w:t>
      </w:r>
      <w:r>
        <w:rPr>
          <w:rFonts w:hint="eastAsia" w:cs="黑体" w:asciiTheme="minorEastAsia" w:hAnsiTheme="minorEastAsia" w:eastAsiaTheme="minorEastAsia"/>
          <w:kern w:val="0"/>
          <w:sz w:val="32"/>
          <w:szCs w:val="32"/>
          <w:highlight w:val="none"/>
          <w:shd w:val="clear" w:fill="auto"/>
          <w:lang w:val="en-US" w:eastAsia="zh-CN"/>
        </w:rPr>
        <w:t>81</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万元。从评价结果看，资金使用效益较好，</w:t>
      </w:r>
      <w:r>
        <w:rPr>
          <w:rFonts w:hint="eastAsia" w:cs="黑体" w:asciiTheme="minorEastAsia" w:hAnsiTheme="minorEastAsia" w:eastAsiaTheme="minorEastAsia"/>
          <w:i w:val="0"/>
          <w:iCs w:val="0"/>
          <w:caps w:val="0"/>
          <w:color w:val="000000"/>
          <w:spacing w:val="0"/>
          <w:kern w:val="0"/>
          <w:sz w:val="32"/>
          <w:szCs w:val="32"/>
          <w:highlight w:val="none"/>
          <w:shd w:val="clear" w:fill="auto"/>
        </w:rPr>
        <w:t>达到了预期绩效目标。</w:t>
      </w:r>
    </w:p>
    <w:p w14:paraId="7E14CA11">
      <w:pPr>
        <w:pStyle w:val="14"/>
        <w:ind w:firstLine="640" w:firstLineChars="200"/>
        <w:jc w:val="left"/>
        <w:rPr>
          <w:rFonts w:hint="eastAsia" w:asciiTheme="minorEastAsia" w:hAnsiTheme="minorEastAsia" w:eastAsiaTheme="minorEastAsia"/>
          <w:sz w:val="32"/>
          <w:szCs w:val="32"/>
          <w:highlight w:val="none"/>
        </w:rPr>
      </w:pPr>
      <w:r>
        <w:rPr>
          <w:rFonts w:hint="eastAsia" w:cs="黑体" w:asciiTheme="minorEastAsia" w:hAnsiTheme="minorEastAsia" w:eastAsiaTheme="minorEastAsia"/>
          <w:color w:val="000000"/>
          <w:kern w:val="0"/>
          <w:sz w:val="32"/>
          <w:szCs w:val="32"/>
          <w:highlight w:val="none"/>
        </w:rPr>
        <w:t>本部门预算绩效管理开展情况、绩效目标和绩效评价报告等详见附件</w:t>
      </w:r>
      <w:r>
        <w:rPr>
          <w:rFonts w:hint="eastAsia" w:cs="黑体" w:asciiTheme="minorEastAsia" w:hAnsiTheme="minorEastAsia" w:eastAsiaTheme="minorEastAsia"/>
          <w:color w:val="000000"/>
          <w:kern w:val="0"/>
          <w:sz w:val="32"/>
          <w:szCs w:val="32"/>
          <w:highlight w:val="none"/>
          <w:lang w:eastAsia="zh-CN"/>
        </w:rPr>
        <w:t>。</w:t>
      </w:r>
    </w:p>
    <w:p w14:paraId="6203E744">
      <w:pPr>
        <w:pStyle w:val="14"/>
        <w:jc w:val="center"/>
        <w:rPr>
          <w:rFonts w:hint="eastAsia" w:asciiTheme="minorEastAsia" w:hAnsiTheme="minorEastAsia" w:eastAsiaTheme="minorEastAsia" w:cstheme="minorEastAsia"/>
          <w:b w:val="0"/>
          <w:bCs/>
          <w:sz w:val="32"/>
          <w:szCs w:val="32"/>
        </w:rPr>
      </w:pPr>
    </w:p>
    <w:p w14:paraId="48B8F833">
      <w:pPr>
        <w:pStyle w:val="14"/>
        <w:jc w:val="center"/>
        <w:rPr>
          <w:sz w:val="72"/>
          <w:szCs w:val="72"/>
        </w:rPr>
      </w:pPr>
    </w:p>
    <w:p w14:paraId="5279D754">
      <w:pPr>
        <w:pStyle w:val="14"/>
        <w:jc w:val="center"/>
        <w:rPr>
          <w:sz w:val="72"/>
          <w:szCs w:val="72"/>
        </w:rPr>
      </w:pPr>
    </w:p>
    <w:p w14:paraId="6347E24B">
      <w:pPr>
        <w:pStyle w:val="14"/>
        <w:rPr>
          <w:sz w:val="72"/>
          <w:szCs w:val="72"/>
        </w:rPr>
      </w:pPr>
    </w:p>
    <w:p w14:paraId="17F79119">
      <w:pPr>
        <w:pStyle w:val="14"/>
        <w:jc w:val="center"/>
        <w:rPr>
          <w:sz w:val="72"/>
          <w:szCs w:val="72"/>
        </w:rPr>
      </w:pPr>
    </w:p>
    <w:p w14:paraId="3EBEC9B3">
      <w:pPr>
        <w:pStyle w:val="14"/>
        <w:jc w:val="center"/>
        <w:rPr>
          <w:sz w:val="72"/>
          <w:szCs w:val="72"/>
        </w:rPr>
      </w:pPr>
    </w:p>
    <w:p w14:paraId="0FDC5AB3">
      <w:pPr>
        <w:pStyle w:val="14"/>
        <w:jc w:val="center"/>
        <w:rPr>
          <w:sz w:val="72"/>
          <w:szCs w:val="72"/>
        </w:rPr>
      </w:pPr>
    </w:p>
    <w:p w14:paraId="5CE20FCD">
      <w:pPr>
        <w:pStyle w:val="14"/>
        <w:jc w:val="center"/>
        <w:rPr>
          <w:sz w:val="72"/>
          <w:szCs w:val="72"/>
        </w:rPr>
      </w:pPr>
      <w:r>
        <w:rPr>
          <w:rFonts w:hint="eastAsia"/>
          <w:sz w:val="72"/>
          <w:szCs w:val="72"/>
        </w:rPr>
        <w:t>第四部分</w:t>
      </w:r>
    </w:p>
    <w:p w14:paraId="2E58FAE1">
      <w:pPr>
        <w:jc w:val="center"/>
        <w:rPr>
          <w:rFonts w:ascii="黑体" w:eastAsia="黑体" w:cs="黑体"/>
          <w:color w:val="000000"/>
          <w:kern w:val="0"/>
          <w:sz w:val="70"/>
          <w:szCs w:val="70"/>
        </w:rPr>
      </w:pPr>
    </w:p>
    <w:p w14:paraId="607F9817">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14:paraId="6387B4AA">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14:paraId="3CA53A00">
      <w:pPr>
        <w:ind w:firstLine="640" w:firstLineChars="200"/>
        <w:jc w:val="left"/>
        <w:rPr>
          <w:rFonts w:cs="黑体" w:asciiTheme="minorEastAsia" w:hAnsiTheme="minorEastAsia"/>
          <w:color w:val="000000"/>
          <w:kern w:val="0"/>
          <w:sz w:val="32"/>
          <w:szCs w:val="32"/>
        </w:rPr>
      </w:pPr>
    </w:p>
    <w:p w14:paraId="1A5CDB8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1</w:t>
      </w:r>
      <w:r>
        <w:rPr>
          <w:rFonts w:hint="eastAsia" w:ascii="仿宋_GB2312" w:hAnsi="仿宋_GB2312" w:eastAsia="仿宋_GB2312"/>
          <w:b/>
          <w:sz w:val="32"/>
          <w:lang w:eastAsia="zh-CN"/>
        </w:rPr>
        <w:t>、</w:t>
      </w:r>
      <w:r>
        <w:rPr>
          <w:rFonts w:ascii="仿宋_GB2312" w:hAnsi="仿宋_GB2312" w:eastAsia="仿宋_GB2312"/>
          <w:b/>
          <w:sz w:val="32"/>
        </w:rPr>
        <w:t>财政拨款收入</w:t>
      </w:r>
      <w:r>
        <w:rPr>
          <w:rFonts w:ascii="仿宋_GB2312" w:hAnsi="仿宋_GB2312" w:eastAsia="仿宋_GB2312"/>
          <w:sz w:val="32"/>
        </w:rPr>
        <w:t>：指财政当年拨付的资金。</w:t>
      </w:r>
    </w:p>
    <w:p w14:paraId="1690000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Times New Roman" w:hAnsi="Times New Roman" w:eastAsia="Times New Roman"/>
        </w:rPr>
      </w:pPr>
      <w:r>
        <w:rPr>
          <w:rFonts w:hint="eastAsia" w:ascii="仿宋_GB2312" w:hAnsi="仿宋_GB2312" w:eastAsia="仿宋_GB2312"/>
          <w:b/>
          <w:sz w:val="32"/>
          <w:lang w:val="en-US" w:eastAsia="zh-CN"/>
        </w:rPr>
        <w:t>2</w:t>
      </w:r>
      <w:r>
        <w:rPr>
          <w:rFonts w:hint="eastAsia" w:ascii="仿宋_GB2312" w:hAnsi="仿宋_GB2312" w:eastAsia="仿宋_GB2312"/>
          <w:b/>
          <w:sz w:val="32"/>
          <w:lang w:eastAsia="zh-CN"/>
        </w:rPr>
        <w:t>、</w:t>
      </w:r>
      <w:r>
        <w:rPr>
          <w:rFonts w:ascii="仿宋_GB2312" w:hAnsi="仿宋_GB2312" w:eastAsia="仿宋_GB2312"/>
          <w:b/>
          <w:sz w:val="32"/>
        </w:rPr>
        <w:t>事业收入</w:t>
      </w:r>
      <w:r>
        <w:rPr>
          <w:rFonts w:ascii="仿宋_GB2312" w:hAnsi="仿宋_GB2312" w:eastAsia="仿宋_GB2312"/>
          <w:sz w:val="32"/>
        </w:rPr>
        <w:t>：指事业单位开展专业业务活动及辅助活动所取得的收入。</w:t>
      </w:r>
    </w:p>
    <w:p w14:paraId="047D702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3、</w:t>
      </w:r>
      <w:r>
        <w:rPr>
          <w:rFonts w:ascii="仿宋_GB2312" w:hAnsi="仿宋_GB2312" w:eastAsia="仿宋_GB2312"/>
          <w:b/>
          <w:sz w:val="32"/>
        </w:rPr>
        <w:t>经营收入</w:t>
      </w:r>
      <w:r>
        <w:rPr>
          <w:rFonts w:ascii="仿宋_GB2312" w:hAnsi="仿宋_GB2312" w:eastAsia="仿宋_GB2312"/>
          <w:sz w:val="32"/>
        </w:rPr>
        <w:t>：指事业单位在专业业务活动及其辅助活动之外开展非独立核算经营活动取得的收入。</w:t>
      </w:r>
    </w:p>
    <w:p w14:paraId="0AA686D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4、</w:t>
      </w:r>
      <w:r>
        <w:rPr>
          <w:rFonts w:ascii="仿宋_GB2312" w:hAnsi="仿宋_GB2312" w:eastAsia="仿宋_GB2312"/>
          <w:b/>
          <w:sz w:val="32"/>
        </w:rPr>
        <w:t>其他收入</w:t>
      </w:r>
      <w:r>
        <w:rPr>
          <w:rFonts w:ascii="仿宋_GB2312" w:hAnsi="仿宋_GB2312" w:eastAsia="仿宋_GB2312"/>
          <w:sz w:val="32"/>
        </w:rPr>
        <w:t>：指除上述</w:t>
      </w:r>
      <w:r>
        <w:rPr>
          <w:rFonts w:ascii="Arial" w:hAnsi="Arial" w:eastAsia="Arial"/>
          <w:sz w:val="32"/>
        </w:rPr>
        <w:t>“</w:t>
      </w:r>
      <w:r>
        <w:rPr>
          <w:rFonts w:ascii="仿宋_GB2312" w:hAnsi="仿宋_GB2312" w:eastAsia="仿宋_GB2312"/>
          <w:sz w:val="32"/>
        </w:rPr>
        <w:t>财政拨款收入</w:t>
      </w:r>
      <w:r>
        <w:rPr>
          <w:rFonts w:hint="eastAsia" w:ascii="仿宋_GB2312" w:hAnsi="仿宋_GB2312" w:eastAsia="仿宋_GB2312"/>
          <w:sz w:val="32"/>
          <w:lang w:eastAsia="zh-CN"/>
        </w:rPr>
        <w:t>”“</w:t>
      </w:r>
      <w:r>
        <w:rPr>
          <w:rFonts w:ascii="仿宋_GB2312" w:hAnsi="仿宋_GB2312" w:eastAsia="仿宋_GB2312"/>
          <w:sz w:val="32"/>
        </w:rPr>
        <w:t>事业收入</w:t>
      </w:r>
      <w:r>
        <w:rPr>
          <w:rFonts w:hint="eastAsia" w:ascii="仿宋_GB2312" w:hAnsi="仿宋_GB2312" w:eastAsia="仿宋_GB2312"/>
          <w:sz w:val="32"/>
          <w:lang w:eastAsia="zh-CN"/>
        </w:rPr>
        <w:t>”“</w:t>
      </w:r>
      <w:r>
        <w:rPr>
          <w:rFonts w:ascii="仿宋_GB2312" w:hAnsi="仿宋_GB2312" w:eastAsia="仿宋_GB2312"/>
          <w:sz w:val="32"/>
        </w:rPr>
        <w:t>经营收入</w:t>
      </w:r>
      <w:r>
        <w:rPr>
          <w:rFonts w:ascii="Arial" w:hAnsi="Arial" w:eastAsia="Arial"/>
          <w:sz w:val="32"/>
        </w:rPr>
        <w:t>”</w:t>
      </w:r>
      <w:r>
        <w:rPr>
          <w:rFonts w:ascii="仿宋_GB2312" w:hAnsi="仿宋_GB2312" w:eastAsia="仿宋_GB2312"/>
          <w:sz w:val="32"/>
        </w:rPr>
        <w:t>等以外的收入。</w:t>
      </w:r>
    </w:p>
    <w:p w14:paraId="12C4295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5</w:t>
      </w:r>
      <w:r>
        <w:rPr>
          <w:rFonts w:ascii="仿宋_GB2312" w:hAnsi="仿宋_GB2312" w:eastAsia="仿宋_GB2312"/>
          <w:b/>
          <w:sz w:val="32"/>
        </w:rPr>
        <w:t>、用事业基金弥补收支差额</w:t>
      </w:r>
      <w:r>
        <w:rPr>
          <w:rFonts w:ascii="仿宋_GB2312" w:hAnsi="仿宋_GB2312" w:eastAsia="仿宋_GB2312"/>
          <w:sz w:val="32"/>
        </w:rPr>
        <w:t>：指事业单位在当年的</w:t>
      </w:r>
      <w:r>
        <w:rPr>
          <w:rFonts w:ascii="Arial" w:hAnsi="Arial" w:eastAsia="Arial"/>
          <w:sz w:val="32"/>
        </w:rPr>
        <w:t>“</w:t>
      </w:r>
      <w:r>
        <w:rPr>
          <w:rFonts w:ascii="仿宋_GB2312" w:hAnsi="仿宋_GB2312" w:eastAsia="仿宋_GB2312"/>
          <w:sz w:val="32"/>
        </w:rPr>
        <w:t>财政拨款收入</w:t>
      </w:r>
      <w:r>
        <w:rPr>
          <w:rFonts w:hint="eastAsia" w:ascii="仿宋_GB2312" w:hAnsi="仿宋_GB2312" w:eastAsia="仿宋_GB2312"/>
          <w:sz w:val="32"/>
          <w:lang w:eastAsia="zh-CN"/>
        </w:rPr>
        <w:t>”“</w:t>
      </w:r>
      <w:r>
        <w:rPr>
          <w:rFonts w:ascii="仿宋_GB2312" w:hAnsi="仿宋_GB2312" w:eastAsia="仿宋_GB2312"/>
          <w:sz w:val="32"/>
        </w:rPr>
        <w:t>事业收入</w:t>
      </w:r>
      <w:r>
        <w:rPr>
          <w:rFonts w:hint="eastAsia" w:ascii="仿宋_GB2312" w:hAnsi="仿宋_GB2312" w:eastAsia="仿宋_GB2312"/>
          <w:sz w:val="32"/>
          <w:lang w:eastAsia="zh-CN"/>
        </w:rPr>
        <w:t>”“</w:t>
      </w:r>
      <w:r>
        <w:rPr>
          <w:rFonts w:ascii="仿宋_GB2312" w:hAnsi="仿宋_GB2312" w:eastAsia="仿宋_GB2312"/>
          <w:sz w:val="32"/>
        </w:rPr>
        <w:t>经营收入</w:t>
      </w:r>
      <w:r>
        <w:rPr>
          <w:rFonts w:hint="eastAsia" w:ascii="仿宋_GB2312" w:hAnsi="仿宋_GB2312" w:eastAsia="仿宋_GB2312"/>
          <w:sz w:val="32"/>
          <w:lang w:eastAsia="zh-CN"/>
        </w:rPr>
        <w:t>”“</w:t>
      </w:r>
      <w:r>
        <w:rPr>
          <w:rFonts w:ascii="仿宋_GB2312" w:hAnsi="仿宋_GB2312" w:eastAsia="仿宋_GB2312"/>
          <w:sz w:val="32"/>
        </w:rPr>
        <w:t>其他收入</w:t>
      </w:r>
      <w:r>
        <w:rPr>
          <w:rFonts w:ascii="Arial" w:hAnsi="Arial" w:eastAsia="Arial"/>
          <w:sz w:val="32"/>
        </w:rPr>
        <w:t>”</w:t>
      </w:r>
      <w:r>
        <w:rPr>
          <w:rFonts w:ascii="仿宋_GB2312" w:hAnsi="仿宋_GB2312" w:eastAsia="仿宋_GB2312"/>
          <w:sz w:val="32"/>
        </w:rPr>
        <w:t>不足以安排当年支出的情况下，使用以前年度积累的事业基金（事业单位当年收支相抵后按国家规定提取、用于弥补以后年度收支差额的基金）弥补本年度收支缺口的资金。</w:t>
      </w:r>
    </w:p>
    <w:p w14:paraId="59027F3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Times New Roman" w:hAnsi="Times New Roman" w:eastAsia="Times New Roman"/>
        </w:rPr>
      </w:pPr>
      <w:r>
        <w:rPr>
          <w:rFonts w:hint="eastAsia" w:ascii="仿宋_GB2312" w:hAnsi="仿宋_GB2312" w:eastAsia="仿宋_GB2312"/>
          <w:b/>
          <w:sz w:val="32"/>
          <w:lang w:val="en-US" w:eastAsia="zh-CN"/>
        </w:rPr>
        <w:t>6</w:t>
      </w:r>
      <w:r>
        <w:rPr>
          <w:rFonts w:ascii="仿宋_GB2312" w:hAnsi="仿宋_GB2312" w:eastAsia="仿宋_GB2312"/>
          <w:b/>
          <w:sz w:val="32"/>
        </w:rPr>
        <w:t>、年初结转和结余</w:t>
      </w:r>
      <w:r>
        <w:rPr>
          <w:rFonts w:ascii="仿宋_GB2312" w:hAnsi="仿宋_GB2312" w:eastAsia="仿宋_GB2312"/>
          <w:sz w:val="32"/>
        </w:rPr>
        <w:t>：指以前年度尚未完成、结转到本年按有关规定继续使用的资金。</w:t>
      </w:r>
    </w:p>
    <w:p w14:paraId="3BA61E2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7</w:t>
      </w:r>
      <w:r>
        <w:rPr>
          <w:rFonts w:ascii="仿宋_GB2312" w:hAnsi="仿宋_GB2312" w:eastAsia="仿宋_GB2312"/>
          <w:b/>
          <w:sz w:val="32"/>
        </w:rPr>
        <w:t>、结余分配</w:t>
      </w:r>
      <w:r>
        <w:rPr>
          <w:rFonts w:ascii="仿宋_GB2312" w:hAnsi="仿宋_GB2312" w:eastAsia="仿宋_GB2312"/>
          <w:sz w:val="32"/>
        </w:rPr>
        <w:t>：指事业单位按规定提取的职工福利基金、事业基金和缴纳的所得税，以及建设单位按规定应交回的基本建设竣工项目结余资金。</w:t>
      </w:r>
    </w:p>
    <w:p w14:paraId="5E89641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00" w:firstLineChars="200"/>
        <w:jc w:val="both"/>
        <w:textAlignment w:val="auto"/>
        <w:outlineLvl w:val="9"/>
        <w:rPr>
          <w:rFonts w:ascii="仿宋_GB2312" w:hAnsi="仿宋_GB2312" w:eastAsia="仿宋_GB2312"/>
          <w:sz w:val="32"/>
        </w:rPr>
      </w:pPr>
      <w:r>
        <w:rPr>
          <w:rFonts w:hint="eastAsia" w:ascii="仿宋_GB2312" w:hAnsi="仿宋_GB2312" w:eastAsia="仿宋_GB2312"/>
          <w:b/>
          <w:bCs w:val="0"/>
          <w:sz w:val="30"/>
          <w:lang w:val="en-US" w:eastAsia="zh-CN"/>
        </w:rPr>
        <w:t>8</w:t>
      </w:r>
      <w:r>
        <w:rPr>
          <w:rFonts w:ascii="仿宋_GB2312" w:hAnsi="仿宋_GB2312" w:eastAsia="仿宋_GB2312"/>
          <w:b/>
          <w:bCs w:val="0"/>
          <w:sz w:val="30"/>
        </w:rPr>
        <w:t>、年末结转和结余</w:t>
      </w:r>
      <w:r>
        <w:rPr>
          <w:rFonts w:hint="eastAsia" w:ascii="仿宋_GB2312" w:hAnsi="仿宋_GB2312" w:eastAsia="仿宋_GB2312"/>
          <w:b/>
          <w:bCs w:val="0"/>
          <w:sz w:val="30"/>
          <w:lang w:eastAsia="zh-CN"/>
        </w:rPr>
        <w:t>：</w:t>
      </w:r>
      <w:r>
        <w:rPr>
          <w:rFonts w:ascii="仿宋_GB2312" w:hAnsi="仿宋_GB2312" w:eastAsia="仿宋_GB2312"/>
          <w:sz w:val="30"/>
        </w:rPr>
        <w:t>指本年度或以前年度预算安排、</w:t>
      </w:r>
      <w:r>
        <w:rPr>
          <w:rFonts w:ascii="仿宋_GB2312" w:hAnsi="仿宋_GB2312" w:eastAsia="仿宋_GB2312"/>
          <w:sz w:val="32"/>
        </w:rPr>
        <w:t>因客观条件发生变化无法按原计划实施，需延迟到以后年度按</w:t>
      </w:r>
    </w:p>
    <w:p w14:paraId="61DBE00B">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both"/>
        <w:textAlignment w:val="auto"/>
        <w:outlineLvl w:val="9"/>
        <w:rPr>
          <w:rFonts w:ascii="仿宋_GB2312" w:hAnsi="仿宋_GB2312" w:eastAsia="仿宋_GB2312"/>
          <w:sz w:val="32"/>
        </w:rPr>
      </w:pPr>
      <w:r>
        <w:rPr>
          <w:rFonts w:ascii="仿宋_GB2312" w:hAnsi="仿宋_GB2312" w:eastAsia="仿宋_GB2312"/>
          <w:sz w:val="32"/>
        </w:rPr>
        <w:t>有关规定继续使用的资金。</w:t>
      </w:r>
    </w:p>
    <w:p w14:paraId="36AA6603">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9</w:t>
      </w:r>
      <w:r>
        <w:rPr>
          <w:rFonts w:ascii="仿宋_GB2312" w:hAnsi="仿宋_GB2312" w:eastAsia="仿宋_GB2312"/>
          <w:b/>
          <w:sz w:val="32"/>
        </w:rPr>
        <w:t>、基本支出</w:t>
      </w:r>
      <w:r>
        <w:rPr>
          <w:rFonts w:ascii="仿宋_GB2312" w:hAnsi="仿宋_GB2312" w:eastAsia="仿宋_GB2312"/>
          <w:sz w:val="32"/>
        </w:rPr>
        <w:t>：指为保障机构正常运转、完成日常工作任务而发生的人员支出和公用支出。</w:t>
      </w:r>
    </w:p>
    <w:p w14:paraId="278FA2F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rPr>
        <w:t>、项目支出</w:t>
      </w:r>
      <w:r>
        <w:rPr>
          <w:rFonts w:ascii="仿宋_GB2312" w:hAnsi="仿宋_GB2312" w:eastAsia="仿宋_GB2312"/>
          <w:sz w:val="32"/>
        </w:rPr>
        <w:t>：指在基本支出之外为完成特定行政任务和事业发展目标所发生的支出。</w:t>
      </w:r>
    </w:p>
    <w:p w14:paraId="3AD2EB4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11</w:t>
      </w:r>
      <w:r>
        <w:rPr>
          <w:rFonts w:hint="eastAsia" w:ascii="仿宋_GB2312" w:hAnsi="仿宋_GB2312" w:eastAsia="仿宋_GB2312" w:cs="仿宋_GB2312"/>
          <w:b/>
          <w:bCs/>
          <w:sz w:val="32"/>
          <w:szCs w:val="32"/>
        </w:rPr>
        <w:t>、经营支出</w:t>
      </w:r>
      <w:r>
        <w:rPr>
          <w:rFonts w:ascii="仿宋_GB2312" w:hAnsi="仿宋_GB2312" w:eastAsia="仿宋_GB2312"/>
          <w:sz w:val="32"/>
        </w:rPr>
        <w:t>：指事业单位在专业业务活动及其辅助活动之外开展非独立核算经营活动发生的支出。</w:t>
      </w:r>
    </w:p>
    <w:p w14:paraId="482C640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12、</w:t>
      </w:r>
      <w:r>
        <w:rPr>
          <w:rFonts w:ascii="Arial" w:hAnsi="Arial" w:eastAsia="Arial"/>
          <w:b/>
          <w:sz w:val="32"/>
        </w:rPr>
        <w:t>“</w:t>
      </w:r>
      <w:r>
        <w:rPr>
          <w:rFonts w:ascii="仿宋_GB2312" w:hAnsi="仿宋_GB2312" w:eastAsia="仿宋_GB2312"/>
          <w:b/>
          <w:sz w:val="32"/>
        </w:rPr>
        <w:t>三公</w:t>
      </w:r>
      <w:r>
        <w:rPr>
          <w:rFonts w:ascii="Arial" w:hAnsi="Arial" w:eastAsia="Arial"/>
          <w:b/>
          <w:sz w:val="32"/>
        </w:rPr>
        <w:t>”</w:t>
      </w:r>
      <w:r>
        <w:rPr>
          <w:rFonts w:ascii="仿宋_GB2312" w:hAnsi="仿宋_GB2312" w:eastAsia="仿宋_GB2312"/>
          <w:b/>
          <w:sz w:val="32"/>
        </w:rPr>
        <w:t>经费</w:t>
      </w:r>
      <w:r>
        <w:rPr>
          <w:rFonts w:ascii="仿宋_GB2312" w:hAnsi="仿宋_GB2312" w:eastAsia="仿宋_GB2312"/>
          <w:sz w:val="32"/>
        </w:rPr>
        <w:t>：纳入财政预决算管理的</w:t>
      </w:r>
      <w:r>
        <w:rPr>
          <w:rFonts w:ascii="Arial" w:hAnsi="Arial" w:eastAsia="Arial"/>
          <w:sz w:val="32"/>
        </w:rPr>
        <w:t>“</w:t>
      </w:r>
      <w:r>
        <w:rPr>
          <w:rFonts w:ascii="仿宋_GB2312" w:hAnsi="仿宋_GB2312" w:eastAsia="仿宋_GB2312"/>
          <w:sz w:val="32"/>
        </w:rPr>
        <w:t>三</w:t>
      </w:r>
      <w:r>
        <w:rPr>
          <w:rFonts w:ascii="仿宋_GB2312" w:hAnsi="仿宋_GB2312" w:eastAsia="仿宋_GB2312"/>
          <w:sz w:val="31"/>
        </w:rPr>
        <w:t>公</w:t>
      </w:r>
      <w:r>
        <w:rPr>
          <w:rFonts w:ascii="Arial" w:hAnsi="Arial" w:eastAsia="Arial"/>
          <w:sz w:val="31"/>
        </w:rPr>
        <w:t>”</w:t>
      </w:r>
      <w:r>
        <w:rPr>
          <w:rFonts w:ascii="仿宋_GB2312" w:hAnsi="仿宋_GB2312" w:eastAsia="仿宋_GB2312"/>
          <w:sz w:val="31"/>
        </w:rPr>
        <w:t>经费，是指部门用财政拨款安排的因公出国（境）费、</w:t>
      </w:r>
      <w:r>
        <w:rPr>
          <w:rFonts w:ascii="仿宋_GB2312" w:hAnsi="仿宋_GB2312" w:eastAsia="仿宋_GB2312"/>
          <w:sz w:val="32"/>
        </w:rPr>
        <w:t>公务用车购置及运行费和公务接待费。其中，因公出国（境）费反映单位公务出国（境）的国际旅费、国外城市间交通费</w:t>
      </w:r>
      <w:r>
        <w:rPr>
          <w:rFonts w:hint="eastAsia" w:ascii="仿宋_GB2312" w:hAnsi="仿宋_GB2312" w:eastAsia="仿宋_GB2312"/>
          <w:sz w:val="32"/>
          <w:lang w:eastAsia="zh-CN"/>
        </w:rPr>
        <w:t>、</w:t>
      </w:r>
      <w:r>
        <w:rPr>
          <w:rFonts w:ascii="仿宋_GB2312" w:hAnsi="仿宋_GB2312" w:eastAsia="仿宋_GB2312"/>
          <w:sz w:val="32"/>
        </w:rPr>
        <w:t>住宿费、伙食费、培训费、公杂费等支出；公务用车购置及运</w:t>
      </w:r>
      <w:bookmarkStart w:id="2" w:name="page51"/>
      <w:bookmarkEnd w:id="2"/>
      <w:r>
        <w:rPr>
          <w:rFonts w:ascii="仿宋_GB2312" w:hAnsi="仿宋_GB2312" w:eastAsia="仿宋_GB2312"/>
          <w:sz w:val="31"/>
        </w:rPr>
        <w:t>行费反映单位公务用车车辆购置支出（含车辆购置税）及租用费、燃料费、维修费、过路过桥费、保险费、安全奖励费用等支出；公务接待费反映单位按规定开支的各类公务接待（含外</w:t>
      </w:r>
      <w:r>
        <w:rPr>
          <w:rFonts w:ascii="仿宋_GB2312" w:hAnsi="仿宋_GB2312" w:eastAsia="仿宋_GB2312"/>
          <w:sz w:val="32"/>
        </w:rPr>
        <w:t>宾接待）支出。</w:t>
      </w:r>
    </w:p>
    <w:p w14:paraId="5FAA169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0" w:firstLineChars="200"/>
        <w:jc w:val="both"/>
        <w:textAlignment w:val="auto"/>
        <w:outlineLvl w:val="9"/>
        <w:rPr>
          <w:rFonts w:hint="eastAsia" w:ascii="仿宋_GB2312" w:hAnsi="仿宋_GB2312" w:eastAsia="仿宋_GB2312"/>
          <w:sz w:val="32"/>
          <w:lang w:val="en-US" w:eastAsia="zh-CN"/>
        </w:rPr>
      </w:pPr>
      <w:r>
        <w:rPr>
          <w:rFonts w:hint="eastAsia" w:ascii="仿宋_GB2312" w:hAnsi="仿宋_GB2312" w:eastAsia="仿宋_GB2312"/>
          <w:b/>
          <w:sz w:val="31"/>
          <w:lang w:val="en-US" w:eastAsia="zh-CN"/>
        </w:rPr>
        <w:t>13</w:t>
      </w:r>
      <w:r>
        <w:rPr>
          <w:rFonts w:ascii="仿宋_GB2312" w:hAnsi="仿宋_GB2312" w:eastAsia="仿宋_GB2312"/>
          <w:b/>
          <w:sz w:val="31"/>
        </w:rPr>
        <w:t>、机关运行经费</w:t>
      </w:r>
      <w:r>
        <w:rPr>
          <w:rFonts w:ascii="仿宋_GB2312" w:hAnsi="仿宋_GB2312" w:eastAsia="仿宋_GB2312"/>
          <w:sz w:val="31"/>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w:t>
      </w:r>
      <w:r>
        <w:rPr>
          <w:rFonts w:ascii="仿宋_GB2312" w:hAnsi="仿宋_GB2312" w:eastAsia="仿宋_GB2312"/>
          <w:sz w:val="32"/>
        </w:rPr>
        <w:t>他费用。</w:t>
      </w:r>
    </w:p>
    <w:p w14:paraId="51D8766B">
      <w:pPr>
        <w:pStyle w:val="14"/>
        <w:jc w:val="center"/>
        <w:rPr>
          <w:sz w:val="72"/>
          <w:szCs w:val="72"/>
        </w:rPr>
      </w:pPr>
    </w:p>
    <w:p w14:paraId="44EE72D5">
      <w:pPr>
        <w:pStyle w:val="14"/>
        <w:jc w:val="center"/>
        <w:rPr>
          <w:sz w:val="72"/>
          <w:szCs w:val="72"/>
        </w:rPr>
      </w:pPr>
    </w:p>
    <w:p w14:paraId="6AE70039">
      <w:pPr>
        <w:pStyle w:val="14"/>
        <w:jc w:val="center"/>
        <w:rPr>
          <w:sz w:val="72"/>
          <w:szCs w:val="72"/>
        </w:rPr>
      </w:pPr>
    </w:p>
    <w:p w14:paraId="704EE70B">
      <w:pPr>
        <w:pStyle w:val="14"/>
        <w:jc w:val="center"/>
        <w:rPr>
          <w:sz w:val="72"/>
          <w:szCs w:val="72"/>
        </w:rPr>
      </w:pPr>
    </w:p>
    <w:p w14:paraId="30C3C05F">
      <w:pPr>
        <w:pStyle w:val="14"/>
        <w:jc w:val="center"/>
        <w:rPr>
          <w:sz w:val="72"/>
          <w:szCs w:val="72"/>
        </w:rPr>
      </w:pPr>
    </w:p>
    <w:p w14:paraId="54CF2DBE">
      <w:pPr>
        <w:pStyle w:val="14"/>
        <w:jc w:val="center"/>
        <w:rPr>
          <w:sz w:val="72"/>
          <w:szCs w:val="72"/>
        </w:rPr>
      </w:pPr>
    </w:p>
    <w:p w14:paraId="2649AB48">
      <w:pPr>
        <w:pStyle w:val="14"/>
        <w:jc w:val="center"/>
        <w:rPr>
          <w:sz w:val="72"/>
          <w:szCs w:val="72"/>
        </w:rPr>
      </w:pPr>
    </w:p>
    <w:p w14:paraId="3E35318A">
      <w:pPr>
        <w:pStyle w:val="14"/>
        <w:jc w:val="center"/>
        <w:rPr>
          <w:sz w:val="72"/>
          <w:szCs w:val="72"/>
        </w:rPr>
      </w:pPr>
    </w:p>
    <w:p w14:paraId="05154D4D">
      <w:pPr>
        <w:pStyle w:val="14"/>
        <w:jc w:val="center"/>
        <w:rPr>
          <w:sz w:val="72"/>
          <w:szCs w:val="72"/>
        </w:rPr>
      </w:pPr>
    </w:p>
    <w:p w14:paraId="4BFCD0A4">
      <w:pPr>
        <w:pStyle w:val="14"/>
        <w:jc w:val="center"/>
        <w:rPr>
          <w:sz w:val="72"/>
          <w:szCs w:val="72"/>
        </w:rPr>
      </w:pPr>
    </w:p>
    <w:p w14:paraId="25A7B308">
      <w:pPr>
        <w:pStyle w:val="14"/>
        <w:jc w:val="center"/>
        <w:rPr>
          <w:sz w:val="72"/>
          <w:szCs w:val="72"/>
        </w:rPr>
      </w:pPr>
    </w:p>
    <w:p w14:paraId="0F041EE3">
      <w:pPr>
        <w:pStyle w:val="14"/>
        <w:jc w:val="center"/>
        <w:rPr>
          <w:sz w:val="72"/>
          <w:szCs w:val="72"/>
        </w:rPr>
      </w:pPr>
    </w:p>
    <w:p w14:paraId="5E3BCA39">
      <w:pPr>
        <w:pStyle w:val="14"/>
        <w:jc w:val="center"/>
        <w:rPr>
          <w:sz w:val="72"/>
          <w:szCs w:val="72"/>
        </w:rPr>
      </w:pPr>
      <w:r>
        <w:rPr>
          <w:rFonts w:hint="eastAsia"/>
          <w:sz w:val="72"/>
          <w:szCs w:val="72"/>
        </w:rPr>
        <w:t>第五部分</w:t>
      </w:r>
    </w:p>
    <w:p w14:paraId="38B78813">
      <w:pPr>
        <w:jc w:val="center"/>
        <w:rPr>
          <w:rFonts w:ascii="黑体" w:eastAsia="黑体" w:cs="黑体"/>
          <w:color w:val="000000"/>
          <w:kern w:val="0"/>
          <w:sz w:val="70"/>
          <w:szCs w:val="70"/>
        </w:rPr>
      </w:pPr>
    </w:p>
    <w:p w14:paraId="53D7FF35">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14:paraId="48244B0F">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14:paraId="742DB203">
      <w:pPr>
        <w:jc w:val="center"/>
        <w:rPr>
          <w:rFonts w:ascii="黑体" w:eastAsia="黑体" w:cs="黑体"/>
          <w:color w:val="000000"/>
          <w:kern w:val="0"/>
          <w:sz w:val="70"/>
          <w:szCs w:val="70"/>
        </w:rPr>
      </w:pPr>
    </w:p>
    <w:p w14:paraId="06CB2254">
      <w:pPr>
        <w:jc w:val="center"/>
        <w:rPr>
          <w:rFonts w:hint="eastAsia" w:ascii="方正小标宋_GBK" w:eastAsia="方正小标宋_GBK"/>
          <w:sz w:val="48"/>
          <w:szCs w:val="48"/>
          <w:lang w:val="en-US" w:eastAsia="zh-CN"/>
        </w:rPr>
      </w:pPr>
    </w:p>
    <w:p w14:paraId="10FA768B">
      <w:pPr>
        <w:jc w:val="center"/>
        <w:rPr>
          <w:rFonts w:hint="eastAsia" w:ascii="方正小标宋_GBK" w:eastAsia="方正小标宋_GBK"/>
          <w:sz w:val="48"/>
          <w:szCs w:val="48"/>
          <w:lang w:val="en-US" w:eastAsia="zh-CN"/>
        </w:rPr>
      </w:pPr>
    </w:p>
    <w:p w14:paraId="51627AC7">
      <w:pPr>
        <w:jc w:val="center"/>
        <w:rPr>
          <w:rFonts w:hint="eastAsia" w:ascii="方正小标宋_GBK" w:eastAsia="方正小标宋_GBK"/>
          <w:sz w:val="48"/>
          <w:szCs w:val="48"/>
          <w:lang w:val="en-US" w:eastAsia="zh-CN"/>
        </w:rPr>
      </w:pPr>
    </w:p>
    <w:p w14:paraId="65AD2C06">
      <w:pPr>
        <w:jc w:val="center"/>
        <w:rPr>
          <w:rFonts w:hint="eastAsia" w:ascii="方正小标宋_GBK" w:eastAsia="方正小标宋_GBK"/>
          <w:sz w:val="48"/>
          <w:szCs w:val="48"/>
          <w:lang w:val="en-US" w:eastAsia="zh-CN"/>
        </w:rPr>
      </w:pPr>
    </w:p>
    <w:p w14:paraId="0CB3D1ED">
      <w:pPr>
        <w:jc w:val="center"/>
        <w:rPr>
          <w:rFonts w:hint="eastAsia" w:ascii="方正小标宋_GBK" w:eastAsia="方正小标宋_GBK"/>
          <w:sz w:val="48"/>
          <w:szCs w:val="48"/>
          <w:lang w:val="en-US" w:eastAsia="zh-CN"/>
        </w:rPr>
      </w:pPr>
    </w:p>
    <w:p w14:paraId="651301F1">
      <w:pPr>
        <w:jc w:val="center"/>
        <w:rPr>
          <w:rFonts w:hint="eastAsia" w:ascii="方正小标宋_GBK" w:eastAsia="方正小标宋_GBK"/>
          <w:sz w:val="48"/>
          <w:szCs w:val="48"/>
        </w:rPr>
      </w:pPr>
      <w:r>
        <w:rPr>
          <w:rFonts w:hint="eastAsia" w:ascii="方正小标宋_GBK" w:eastAsia="方正小标宋_GBK"/>
          <w:sz w:val="48"/>
          <w:szCs w:val="48"/>
          <w:lang w:val="en-US" w:eastAsia="zh-CN"/>
        </w:rPr>
        <w:t>2021</w:t>
      </w:r>
      <w:r>
        <w:rPr>
          <w:rFonts w:hint="eastAsia" w:ascii="方正小标宋_GBK" w:eastAsia="方正小标宋_GBK"/>
          <w:sz w:val="48"/>
          <w:szCs w:val="48"/>
        </w:rPr>
        <w:t>年度</w:t>
      </w:r>
    </w:p>
    <w:p w14:paraId="329B3861">
      <w:pPr>
        <w:jc w:val="center"/>
        <w:rPr>
          <w:rFonts w:hint="eastAsia" w:eastAsia="方正小标宋_GBK"/>
          <w:sz w:val="48"/>
          <w:szCs w:val="48"/>
          <w:lang w:eastAsia="zh-CN"/>
        </w:rPr>
      </w:pPr>
      <w:r>
        <w:rPr>
          <w:rFonts w:hint="eastAsia" w:eastAsia="方正小标宋_GBK"/>
          <w:sz w:val="48"/>
          <w:szCs w:val="48"/>
          <w:lang w:eastAsia="zh-CN"/>
        </w:rPr>
        <w:t>湖南省湘西生态环境监测中心</w:t>
      </w:r>
    </w:p>
    <w:p w14:paraId="353A4F4A">
      <w:pPr>
        <w:jc w:val="center"/>
        <w:rPr>
          <w:rFonts w:hint="eastAsia" w:ascii="方正小标宋_GBK" w:eastAsia="方正小标宋_GBK"/>
          <w:sz w:val="48"/>
          <w:szCs w:val="48"/>
        </w:rPr>
      </w:pPr>
      <w:r>
        <w:rPr>
          <w:rFonts w:hint="eastAsia" w:ascii="方正小标宋_GBK" w:eastAsia="方正小标宋_GBK"/>
          <w:sz w:val="48"/>
          <w:szCs w:val="48"/>
        </w:rPr>
        <w:t>部门整体支出绩效自评报告</w:t>
      </w:r>
    </w:p>
    <w:p w14:paraId="541C12C2">
      <w:pPr>
        <w:ind w:firstLine="640" w:firstLineChars="200"/>
        <w:jc w:val="left"/>
        <w:rPr>
          <w:rFonts w:cs="黑体" w:asciiTheme="minorEastAsia" w:hAnsiTheme="minorEastAsia"/>
          <w:color w:val="000000"/>
          <w:kern w:val="0"/>
          <w:sz w:val="32"/>
          <w:szCs w:val="32"/>
        </w:rPr>
      </w:pPr>
    </w:p>
    <w:p w14:paraId="31096F0A">
      <w:pPr>
        <w:ind w:firstLine="640" w:firstLineChars="200"/>
        <w:jc w:val="left"/>
        <w:rPr>
          <w:rFonts w:cs="黑体" w:asciiTheme="minorEastAsia" w:hAnsiTheme="minorEastAsia"/>
          <w:color w:val="000000"/>
          <w:kern w:val="0"/>
          <w:sz w:val="32"/>
          <w:szCs w:val="32"/>
        </w:rPr>
      </w:pPr>
    </w:p>
    <w:p w14:paraId="010E1D2D">
      <w:pPr>
        <w:ind w:firstLine="640" w:firstLineChars="200"/>
        <w:jc w:val="left"/>
        <w:rPr>
          <w:rFonts w:cs="黑体" w:asciiTheme="minorEastAsia" w:hAnsiTheme="minorEastAsia"/>
          <w:color w:val="000000"/>
          <w:kern w:val="0"/>
          <w:sz w:val="32"/>
          <w:szCs w:val="32"/>
        </w:rPr>
      </w:pPr>
    </w:p>
    <w:p w14:paraId="589B270C">
      <w:pPr>
        <w:ind w:firstLine="640" w:firstLineChars="200"/>
        <w:jc w:val="left"/>
        <w:rPr>
          <w:rFonts w:cs="黑体" w:asciiTheme="minorEastAsia" w:hAnsiTheme="minorEastAsia"/>
          <w:color w:val="000000"/>
          <w:kern w:val="0"/>
          <w:sz w:val="32"/>
          <w:szCs w:val="32"/>
        </w:rPr>
      </w:pPr>
    </w:p>
    <w:p w14:paraId="1C2ACB68">
      <w:pPr>
        <w:ind w:firstLine="640" w:firstLineChars="200"/>
        <w:jc w:val="left"/>
        <w:rPr>
          <w:rFonts w:cs="黑体" w:asciiTheme="minorEastAsia" w:hAnsiTheme="minorEastAsia"/>
          <w:color w:val="000000"/>
          <w:kern w:val="0"/>
          <w:sz w:val="32"/>
          <w:szCs w:val="32"/>
        </w:rPr>
      </w:pPr>
    </w:p>
    <w:p w14:paraId="44BBFEC5">
      <w:pPr>
        <w:ind w:firstLine="640" w:firstLineChars="200"/>
        <w:jc w:val="left"/>
        <w:rPr>
          <w:rFonts w:cs="黑体" w:asciiTheme="minorEastAsia" w:hAnsiTheme="minorEastAsia"/>
          <w:color w:val="000000"/>
          <w:kern w:val="0"/>
          <w:sz w:val="32"/>
          <w:szCs w:val="32"/>
        </w:rPr>
      </w:pPr>
    </w:p>
    <w:p w14:paraId="69B1DEDF">
      <w:pPr>
        <w:ind w:firstLine="640" w:firstLineChars="200"/>
        <w:jc w:val="left"/>
        <w:rPr>
          <w:rFonts w:cs="黑体" w:asciiTheme="minorEastAsia" w:hAnsiTheme="minorEastAsia"/>
          <w:color w:val="000000"/>
          <w:kern w:val="0"/>
          <w:sz w:val="32"/>
          <w:szCs w:val="32"/>
        </w:rPr>
      </w:pPr>
    </w:p>
    <w:p w14:paraId="0C1950DA">
      <w:pPr>
        <w:ind w:firstLine="640" w:firstLineChars="200"/>
        <w:jc w:val="left"/>
        <w:rPr>
          <w:rFonts w:cs="黑体" w:asciiTheme="minorEastAsia" w:hAnsiTheme="minorEastAsia"/>
          <w:color w:val="000000"/>
          <w:kern w:val="0"/>
          <w:sz w:val="32"/>
          <w:szCs w:val="32"/>
        </w:rPr>
      </w:pPr>
    </w:p>
    <w:p w14:paraId="5C2BEF43">
      <w:pPr>
        <w:pStyle w:val="2"/>
      </w:pPr>
    </w:p>
    <w:p w14:paraId="225040E7">
      <w:pPr>
        <w:jc w:val="left"/>
        <w:rPr>
          <w:rFonts w:cs="黑体" w:asciiTheme="minorEastAsia" w:hAnsiTheme="minorEastAsia"/>
          <w:color w:val="000000"/>
          <w:kern w:val="0"/>
          <w:sz w:val="32"/>
          <w:szCs w:val="32"/>
        </w:rPr>
      </w:pPr>
    </w:p>
    <w:p w14:paraId="3CEC64D9">
      <w:pPr>
        <w:pStyle w:val="15"/>
        <w:widowControl/>
        <w:numPr>
          <w:ilvl w:val="0"/>
          <w:numId w:val="4"/>
        </w:numPr>
        <w:spacing w:line="600" w:lineRule="exact"/>
        <w:ind w:firstLine="640"/>
        <w:rPr>
          <w:rFonts w:hint="eastAsia" w:ascii="黑体" w:hAnsi="黑体" w:eastAsia="黑体"/>
          <w:sz w:val="32"/>
          <w:szCs w:val="32"/>
        </w:rPr>
      </w:pPr>
      <w:r>
        <w:rPr>
          <w:rFonts w:hint="eastAsia" w:ascii="黑体" w:hAnsi="黑体" w:eastAsia="黑体"/>
          <w:sz w:val="32"/>
          <w:szCs w:val="32"/>
        </w:rPr>
        <w:t>单位基本情况</w:t>
      </w:r>
    </w:p>
    <w:p w14:paraId="0CA7812C">
      <w:pPr>
        <w:pStyle w:val="15"/>
        <w:widowControl/>
        <w:numPr>
          <w:ilvl w:val="0"/>
          <w:numId w:val="0"/>
        </w:num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1.我中心为省生态环境厅驻湘西州生态环境监测机构，为副处级公益一类事业单位，由省生态环境厅主管。</w:t>
      </w:r>
    </w:p>
    <w:p w14:paraId="77AB60D7">
      <w:pPr>
        <w:pStyle w:val="15"/>
        <w:widowControl/>
        <w:numPr>
          <w:ilvl w:val="0"/>
          <w:numId w:val="0"/>
        </w:num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主要职能：主要负责派驻行政区域内生态环境质量监测、分析评价工作；负责派驻行政区域内环境质量监测网络和信息系统的维护管理；指导和协助市州生态环境局开展生态环境应急监测、执法监测、污染源监测等工作；负责对县级环境监测机构开展技术和业务指导；负责承办上级部门交办的其他环境监测工作。</w:t>
      </w:r>
    </w:p>
    <w:p w14:paraId="50FB756F">
      <w:pPr>
        <w:pStyle w:val="15"/>
        <w:widowControl/>
        <w:numPr>
          <w:ilvl w:val="0"/>
          <w:numId w:val="0"/>
        </w:num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3.我中心编制数29人、退休人员10人。2021年末在编人数27人。</w:t>
      </w:r>
    </w:p>
    <w:p w14:paraId="0C52424D">
      <w:pPr>
        <w:pStyle w:val="15"/>
        <w:widowControl/>
        <w:spacing w:line="600" w:lineRule="exact"/>
        <w:ind w:firstLine="640"/>
        <w:rPr>
          <w:rFonts w:hint="eastAsia" w:ascii="黑体" w:hAnsi="黑体" w:eastAsia="黑体"/>
          <w:sz w:val="32"/>
          <w:szCs w:val="32"/>
        </w:rPr>
      </w:pPr>
      <w:r>
        <w:rPr>
          <w:rFonts w:hint="eastAsia" w:ascii="黑体" w:hAnsi="黑体" w:eastAsia="黑体"/>
          <w:sz w:val="32"/>
          <w:szCs w:val="32"/>
        </w:rPr>
        <w:t>二、基本支出情况</w:t>
      </w:r>
    </w:p>
    <w:p w14:paraId="73D03362">
      <w:pPr>
        <w:pStyle w:val="15"/>
        <w:widowControl/>
        <w:spacing w:line="600" w:lineRule="exact"/>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2021年年初基本预算394.71万元，实际支出394.71万元.其中人员经费356.23万元，占比90.25%；公用经费38.48万元，占比9.75%。</w:t>
      </w:r>
    </w:p>
    <w:p w14:paraId="45AC485D">
      <w:pPr>
        <w:pStyle w:val="15"/>
        <w:widowControl/>
        <w:spacing w:line="600" w:lineRule="exact"/>
        <w:ind w:firstLine="640"/>
        <w:rPr>
          <w:rFonts w:hint="eastAsia" w:ascii="黑体" w:hAnsi="黑体" w:eastAsia="黑体"/>
          <w:sz w:val="32"/>
          <w:szCs w:val="32"/>
        </w:rPr>
      </w:pPr>
      <w:r>
        <w:rPr>
          <w:rFonts w:hint="eastAsia" w:ascii="黑体" w:hAnsi="黑体" w:eastAsia="黑体"/>
          <w:sz w:val="32"/>
          <w:szCs w:val="32"/>
        </w:rPr>
        <w:t>三、项目支出情况</w:t>
      </w:r>
    </w:p>
    <w:p w14:paraId="7D045B63">
      <w:pPr>
        <w:pStyle w:val="15"/>
        <w:widowControl/>
        <w:spacing w:line="600" w:lineRule="exact"/>
        <w:ind w:firstLine="64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2021年年初项目预算220.64万元，实际支出215.10万元。</w:t>
      </w:r>
    </w:p>
    <w:p w14:paraId="4FBAAD8B">
      <w:pPr>
        <w:pStyle w:val="15"/>
        <w:widowControl/>
        <w:numPr>
          <w:ilvl w:val="0"/>
          <w:numId w:val="0"/>
        </w:numPr>
        <w:spacing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追加预算安排及支出情况。2021年度预算安排总计1127.36万元。其中年初结转结余356.11万元，年初安排基本预算394.71万元，项目预算220.64万元，年中追加项目资金141.90万元，本年年末追加人员经费14万元，实际支出1087.97万元，年末结转结余39.39万元。</w:t>
      </w:r>
    </w:p>
    <w:p w14:paraId="104F8B47">
      <w:pPr>
        <w:widowControl/>
        <w:spacing w:line="600" w:lineRule="exact"/>
        <w:ind w:firstLine="645"/>
        <w:jc w:val="left"/>
        <w:rPr>
          <w:rFonts w:hint="eastAsia" w:ascii="黑体" w:hAnsi="黑体" w:eastAsia="黑体"/>
          <w:sz w:val="32"/>
          <w:szCs w:val="32"/>
        </w:rPr>
      </w:pPr>
      <w:r>
        <w:rPr>
          <w:rFonts w:ascii="黑体" w:hAnsi="黑体" w:eastAsia="黑体"/>
          <w:sz w:val="32"/>
          <w:szCs w:val="32"/>
        </w:rPr>
        <w:t>四、部门</w:t>
      </w:r>
      <w:r>
        <w:rPr>
          <w:rFonts w:hint="eastAsia" w:ascii="黑体" w:hAnsi="黑体" w:eastAsia="黑体"/>
          <w:sz w:val="32"/>
          <w:szCs w:val="32"/>
        </w:rPr>
        <w:t>整体支出绩效情况</w:t>
      </w:r>
    </w:p>
    <w:p w14:paraId="10BE3B09">
      <w:pPr>
        <w:spacing w:line="580" w:lineRule="exact"/>
        <w:ind w:firstLine="640" w:firstLineChars="200"/>
        <w:rPr>
          <w:rFonts w:hint="eastAsia" w:ascii="仿宋" w:hAnsi="仿宋" w:eastAsia="仿宋" w:cs="仿宋"/>
          <w:b w:val="0"/>
          <w:bCs w:val="0"/>
          <w:color w:val="000000"/>
          <w:sz w:val="32"/>
          <w:szCs w:val="32"/>
          <w:lang w:val="en-US" w:eastAsia="zh-CN"/>
        </w:rPr>
      </w:pPr>
      <w:r>
        <w:rPr>
          <w:rFonts w:hint="eastAsia" w:ascii="仿宋" w:hAnsi="仿宋" w:eastAsia="仿宋" w:cs="仿宋"/>
          <w:color w:val="000000"/>
          <w:sz w:val="32"/>
          <w:szCs w:val="32"/>
          <w:lang w:eastAsia="zh-CN"/>
        </w:rPr>
        <w:t>全年总体目标是保障生态环境监测中心正常运转，完成环境保护监测任务，实际完成情况是根据工作安排基本完成环境保护监测任务，基本完成绩效目标任务。全年预算数基本支出</w:t>
      </w:r>
      <w:r>
        <w:rPr>
          <w:rFonts w:hint="eastAsia" w:ascii="仿宋" w:hAnsi="仿宋" w:eastAsia="仿宋" w:cs="仿宋"/>
          <w:color w:val="000000"/>
          <w:sz w:val="32"/>
          <w:szCs w:val="32"/>
          <w:lang w:val="en-US" w:eastAsia="zh-CN"/>
        </w:rPr>
        <w:t>394.71万元，实际完成数394.71万元；项目支出220.64万元，实际完成数215.10万元。基本上已按要求完成各项绩效指标，</w:t>
      </w:r>
      <w:r>
        <w:rPr>
          <w:rFonts w:hint="eastAsia" w:ascii="仿宋" w:hAnsi="仿宋" w:eastAsia="仿宋" w:cs="仿宋"/>
          <w:b w:val="0"/>
          <w:bCs w:val="0"/>
          <w:color w:val="000000"/>
          <w:sz w:val="32"/>
          <w:szCs w:val="32"/>
          <w:lang w:val="en-US" w:eastAsia="zh-CN"/>
        </w:rPr>
        <w:t>总体目标绩效执行情况如下：</w:t>
      </w:r>
    </w:p>
    <w:p w14:paraId="50F34CA0">
      <w:pPr>
        <w:spacing w:line="580" w:lineRule="exact"/>
        <w:ind w:firstLine="640" w:firstLineChars="200"/>
        <w:rPr>
          <w:rFonts w:hint="eastAsia" w:ascii="仿宋" w:hAnsi="仿宋" w:eastAsia="仿宋" w:cs="仿宋"/>
          <w:sz w:val="32"/>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始终坚持党建引领，激发党群活力。</w:t>
      </w:r>
      <w:r>
        <w:rPr>
          <w:rFonts w:hint="eastAsia" w:ascii="仿宋" w:hAnsi="仿宋" w:eastAsia="仿宋" w:cs="仿宋"/>
          <w:sz w:val="32"/>
          <w:szCs w:val="32"/>
          <w:lang w:val="en-US" w:eastAsia="zh-CN"/>
        </w:rPr>
        <w:t>2021年</w:t>
      </w:r>
      <w:r>
        <w:rPr>
          <w:rFonts w:hint="eastAsia" w:ascii="仿宋" w:hAnsi="仿宋" w:eastAsia="仿宋" w:cs="仿宋"/>
          <w:sz w:val="32"/>
          <w:szCs w:val="32"/>
        </w:rPr>
        <w:t>，我中心自觉履行抓党建的政治担当，按照“围绕主线抓党建，抓好党建促业务”的工作思路，坚持抓党建和抓业务两手都要硬，以党建促发展，实现了党建工作与业务工作深度融合、共同促进的良好态势。对照“五化”标准，建强支部战斗堡垒，坚持以党建统领全局，推动党建和业务两促进，以支部党建为统领，并将党建工作与创建工作、业务工作紧密结合、相互促进，不断增强自身发展的动力与活力。</w:t>
      </w:r>
      <w:r>
        <w:rPr>
          <w:rFonts w:hint="eastAsia" w:ascii="仿宋" w:hAnsi="仿宋" w:eastAsia="仿宋" w:cs="仿宋"/>
          <w:b/>
          <w:bCs/>
          <w:sz w:val="32"/>
          <w:szCs w:val="32"/>
        </w:rPr>
        <w:t>一是</w:t>
      </w:r>
      <w:r>
        <w:rPr>
          <w:rFonts w:hint="eastAsia" w:ascii="仿宋" w:hAnsi="仿宋" w:eastAsia="仿宋" w:cs="仿宋"/>
          <w:sz w:val="32"/>
          <w:szCs w:val="32"/>
        </w:rPr>
        <w:t>通过换届选举选优配强支部委员会班子，破解了原监测站党政班子“两张皮”的问题。</w:t>
      </w:r>
      <w:r>
        <w:rPr>
          <w:rFonts w:hint="eastAsia" w:ascii="仿宋" w:hAnsi="仿宋" w:eastAsia="仿宋" w:cs="仿宋"/>
          <w:b/>
          <w:bCs/>
          <w:sz w:val="32"/>
          <w:szCs w:val="32"/>
        </w:rPr>
        <w:t>二是</w:t>
      </w:r>
      <w:r>
        <w:rPr>
          <w:rFonts w:hint="eastAsia" w:ascii="仿宋" w:hAnsi="仿宋" w:eastAsia="仿宋" w:cs="仿宋"/>
          <w:sz w:val="32"/>
          <w:szCs w:val="32"/>
        </w:rPr>
        <w:t>严格落实党的组织生活制度，严格落实“三会一课”、主题党日、谈心谈话、组织生活会等制度。</w:t>
      </w:r>
      <w:r>
        <w:rPr>
          <w:rFonts w:hint="eastAsia" w:ascii="仿宋" w:hAnsi="仿宋" w:eastAsia="仿宋" w:cs="仿宋"/>
          <w:b/>
          <w:bCs/>
          <w:sz w:val="32"/>
          <w:szCs w:val="32"/>
        </w:rPr>
        <w:t>三是</w:t>
      </w:r>
      <w:r>
        <w:rPr>
          <w:rFonts w:hint="eastAsia" w:ascii="仿宋" w:hAnsi="仿宋" w:eastAsia="仿宋" w:cs="仿宋"/>
          <w:sz w:val="32"/>
          <w:szCs w:val="32"/>
        </w:rPr>
        <w:t>积极开展全面从严治党和党风廉政建设，不断创新形式、丰富内容，使组织生活成为政治学习的阵地、思想交流的平台、党性锻炼的“熔炉”。</w:t>
      </w:r>
      <w:r>
        <w:rPr>
          <w:rFonts w:hint="eastAsia" w:ascii="仿宋" w:hAnsi="仿宋" w:eastAsia="仿宋" w:cs="仿宋"/>
          <w:b/>
          <w:bCs/>
          <w:sz w:val="32"/>
          <w:szCs w:val="32"/>
        </w:rPr>
        <w:t>四是</w:t>
      </w:r>
      <w:r>
        <w:rPr>
          <w:rFonts w:hint="eastAsia" w:ascii="仿宋" w:hAnsi="仿宋" w:eastAsia="仿宋" w:cs="仿宋"/>
          <w:sz w:val="32"/>
          <w:szCs w:val="32"/>
        </w:rPr>
        <w:t>加强党员队伍建设，初步形成了党支部组织委员专抓、办公室主任专管、专人专干的党建工作模式，推动了党建工作向专而实的方向发展，同时注重把业务骨干培养成党员，把党员培养成业务骨干，</w:t>
      </w:r>
      <w:r>
        <w:rPr>
          <w:rFonts w:hint="eastAsia" w:ascii="仿宋" w:hAnsi="仿宋" w:eastAsia="仿宋" w:cs="仿宋"/>
          <w:sz w:val="32"/>
          <w:szCs w:val="32"/>
          <w:lang w:eastAsia="zh-CN"/>
        </w:rPr>
        <w:t>今年</w:t>
      </w:r>
      <w:r>
        <w:rPr>
          <w:rFonts w:hint="eastAsia" w:ascii="仿宋" w:hAnsi="仿宋" w:eastAsia="仿宋" w:cs="仿宋"/>
          <w:sz w:val="32"/>
          <w:szCs w:val="32"/>
        </w:rPr>
        <w:t>共发展培养对象2名。</w:t>
      </w:r>
      <w:r>
        <w:rPr>
          <w:rFonts w:hint="eastAsia" w:ascii="仿宋" w:hAnsi="仿宋" w:eastAsia="仿宋" w:cs="仿宋"/>
          <w:b/>
          <w:bCs/>
          <w:sz w:val="32"/>
          <w:szCs w:val="32"/>
        </w:rPr>
        <w:t>五是</w:t>
      </w:r>
      <w:r>
        <w:rPr>
          <w:rFonts w:hint="eastAsia" w:ascii="仿宋" w:hAnsi="仿宋" w:eastAsia="仿宋" w:cs="仿宋"/>
          <w:sz w:val="32"/>
          <w:szCs w:val="32"/>
        </w:rPr>
        <w:t>强化支部阵地建设，因地制宜、规范运作，将4楼的小会议室改建为功能完备的“党员活动室”。</w:t>
      </w:r>
      <w:r>
        <w:rPr>
          <w:rFonts w:hint="eastAsia" w:ascii="仿宋" w:hAnsi="仿宋" w:eastAsia="仿宋" w:cs="仿宋"/>
          <w:b/>
          <w:bCs/>
          <w:sz w:val="32"/>
          <w:szCs w:val="32"/>
        </w:rPr>
        <w:t>六是</w:t>
      </w:r>
      <w:r>
        <w:rPr>
          <w:rFonts w:hint="eastAsia" w:ascii="仿宋" w:hAnsi="仿宋" w:eastAsia="仿宋" w:cs="仿宋"/>
          <w:sz w:val="32"/>
          <w:szCs w:val="32"/>
        </w:rPr>
        <w:t>加强党员教育培训，在日常个人自学的基础上，通过组织集中学习、外出见学等方式强化党员干部的学习培训，积极参加省中心组织的读书分享会、中青年干部培训班等。</w:t>
      </w:r>
      <w:r>
        <w:rPr>
          <w:rFonts w:hint="eastAsia" w:ascii="仿宋" w:hAnsi="仿宋" w:eastAsia="仿宋" w:cs="仿宋"/>
          <w:b/>
          <w:bCs/>
          <w:sz w:val="32"/>
          <w:szCs w:val="32"/>
        </w:rPr>
        <w:t>七是</w:t>
      </w:r>
      <w:r>
        <w:rPr>
          <w:rFonts w:hint="eastAsia" w:ascii="仿宋" w:hAnsi="仿宋" w:eastAsia="仿宋" w:cs="仿宋"/>
          <w:sz w:val="32"/>
          <w:szCs w:val="32"/>
        </w:rPr>
        <w:t>以党建促进创建工作的开展。</w:t>
      </w:r>
      <w:r>
        <w:rPr>
          <w:rFonts w:hint="eastAsia" w:ascii="仿宋" w:hAnsi="仿宋" w:eastAsia="仿宋" w:cs="仿宋"/>
          <w:color w:val="000000"/>
          <w:kern w:val="0"/>
          <w:sz w:val="32"/>
          <w:szCs w:val="32"/>
        </w:rPr>
        <w:t>多次组织单位干部职工深入到革命老区、党史教育基地、乡村振兴村寨等开展实践活动，结合“文明创建”学美德，结合“民族团结进步创建”学凝聚。</w:t>
      </w:r>
    </w:p>
    <w:p w14:paraId="652801FC">
      <w:pPr>
        <w:spacing w:line="580" w:lineRule="exact"/>
        <w:ind w:firstLine="616" w:firstLineChars="200"/>
        <w:rPr>
          <w:rFonts w:hint="eastAsia" w:ascii="仿宋" w:hAnsi="仿宋" w:eastAsia="仿宋" w:cs="仿宋"/>
          <w:b/>
          <w:bCs/>
          <w:color w:val="000000"/>
          <w:sz w:val="32"/>
          <w:szCs w:val="32"/>
          <w:lang w:val="en-US" w:eastAsia="zh-CN"/>
        </w:rPr>
      </w:pPr>
      <w:r>
        <w:rPr>
          <w:rFonts w:hint="eastAsia" w:ascii="黑体" w:hAnsi="黑体" w:eastAsia="黑体" w:cs="黑体"/>
          <w:b w:val="0"/>
          <w:bCs w:val="0"/>
          <w:spacing w:val="-6"/>
          <w:sz w:val="32"/>
          <w:szCs w:val="32"/>
          <w:lang w:eastAsia="zh-CN"/>
        </w:rPr>
        <w:t>（二）</w:t>
      </w:r>
      <w:r>
        <w:rPr>
          <w:rFonts w:hint="eastAsia" w:ascii="黑体" w:hAnsi="黑体" w:eastAsia="黑体" w:cs="黑体"/>
          <w:b w:val="0"/>
          <w:bCs w:val="0"/>
          <w:spacing w:val="-6"/>
          <w:sz w:val="32"/>
          <w:szCs w:val="32"/>
        </w:rPr>
        <w:t>深入推进党史学习教育，扎实开展“我为群众办实事”。</w:t>
      </w:r>
      <w:r>
        <w:rPr>
          <w:rFonts w:hint="eastAsia" w:ascii="仿宋" w:hAnsi="仿宋" w:eastAsia="仿宋" w:cs="仿宋"/>
          <w:sz w:val="32"/>
          <w:szCs w:val="32"/>
        </w:rPr>
        <w:t>我中心紧扣“中国共产党成立100周年”主题，深入开展党史学习教育，切实把个人自学与集中学习、现场教学、分享互学、组织促学、指导督学结合起来，引导全体党员干部“在传承红色基因</w:t>
      </w:r>
      <w:r>
        <w:rPr>
          <w:rFonts w:hint="eastAsia" w:ascii="仿宋" w:hAnsi="仿宋" w:eastAsia="仿宋" w:cs="仿宋"/>
          <w:sz w:val="32"/>
          <w:szCs w:val="32"/>
          <w:lang w:eastAsia="zh-CN"/>
        </w:rPr>
        <w:t>上做</w:t>
      </w:r>
      <w:r>
        <w:rPr>
          <w:rFonts w:hint="eastAsia" w:ascii="仿宋" w:hAnsi="仿宋" w:eastAsia="仿宋" w:cs="仿宋"/>
          <w:sz w:val="32"/>
          <w:szCs w:val="32"/>
        </w:rPr>
        <w:t>表率，在坚定信仰信念上作表率，在强化宗旨意识上作表率，在增强时代担当上作表率”。</w:t>
      </w:r>
      <w:r>
        <w:rPr>
          <w:rFonts w:hint="eastAsia" w:ascii="仿宋" w:hAnsi="仿宋" w:eastAsia="仿宋" w:cs="仿宋"/>
          <w:b/>
          <w:bCs/>
          <w:sz w:val="32"/>
          <w:szCs w:val="32"/>
        </w:rPr>
        <w:t>一是</w:t>
      </w:r>
      <w:r>
        <w:rPr>
          <w:rFonts w:hint="eastAsia" w:ascii="仿宋" w:hAnsi="仿宋" w:eastAsia="仿宋" w:cs="仿宋"/>
          <w:sz w:val="32"/>
          <w:szCs w:val="32"/>
        </w:rPr>
        <w:t>精心组织“专题学习”。我中心始终按照省委党史学习教育领导小组关于“学史明理”“学史增信”“学史崇德”“学史力行”四次专题学习的要求，在个人自学的基础上，先后组织现场教学4次，专题研讨交流4次，专题党课2次，观看红色电影4次，组织了“百年风华·青春向党”读书分享会，推送理论文章4篇，并积极参加上级组织庆祝建党100周年文体活动；</w:t>
      </w:r>
      <w:r>
        <w:rPr>
          <w:rFonts w:hint="eastAsia" w:ascii="仿宋" w:hAnsi="仿宋" w:eastAsia="仿宋" w:cs="仿宋"/>
          <w:b/>
          <w:bCs/>
          <w:sz w:val="32"/>
          <w:szCs w:val="32"/>
        </w:rPr>
        <w:t>二是</w:t>
      </w:r>
      <w:r>
        <w:rPr>
          <w:rFonts w:hint="eastAsia" w:ascii="仿宋" w:hAnsi="仿宋" w:eastAsia="仿宋" w:cs="仿宋"/>
          <w:sz w:val="32"/>
          <w:szCs w:val="32"/>
        </w:rPr>
        <w:t>深入开展“我为群众办实事”实践活动。</w:t>
      </w:r>
      <w:r>
        <w:rPr>
          <w:rFonts w:hint="eastAsia" w:ascii="仿宋" w:hAnsi="仿宋" w:eastAsia="仿宋" w:cs="仿宋"/>
          <w:color w:val="000000"/>
          <w:kern w:val="0"/>
          <w:sz w:val="32"/>
          <w:szCs w:val="32"/>
        </w:rPr>
        <w:t>按照《“我为群众办实事”实践活动实施方案》，通过开展“群众微心愿·党员帮你圆</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一起赶场学党史”等活动，为院内群众解决</w:t>
      </w:r>
      <w:r>
        <w:rPr>
          <w:rFonts w:hint="eastAsia" w:ascii="仿宋" w:hAnsi="仿宋" w:eastAsia="仿宋" w:cs="仿宋"/>
          <w:sz w:val="32"/>
          <w:szCs w:val="32"/>
        </w:rPr>
        <w:t>困难8次，</w:t>
      </w:r>
      <w:r>
        <w:rPr>
          <w:rFonts w:hint="eastAsia" w:ascii="仿宋" w:hAnsi="仿宋" w:eastAsia="仿宋" w:cs="仿宋"/>
          <w:sz w:val="32"/>
          <w:szCs w:val="32"/>
          <w:lang w:eastAsia="zh-CN"/>
        </w:rPr>
        <w:t>乡村</w:t>
      </w:r>
      <w:r>
        <w:rPr>
          <w:rFonts w:hint="eastAsia" w:ascii="仿宋" w:hAnsi="仿宋" w:eastAsia="仿宋" w:cs="仿宋"/>
          <w:sz w:val="32"/>
          <w:szCs w:val="32"/>
        </w:rPr>
        <w:t>振兴驻点村办实事6次，为县级生态环境部门提供“技术帮扶”4次；</w:t>
      </w:r>
      <w:r>
        <w:rPr>
          <w:rFonts w:hint="eastAsia" w:ascii="仿宋" w:hAnsi="仿宋" w:eastAsia="仿宋" w:cs="仿宋"/>
          <w:b/>
          <w:bCs/>
          <w:sz w:val="32"/>
          <w:szCs w:val="32"/>
        </w:rPr>
        <w:t>三是</w:t>
      </w:r>
      <w:r>
        <w:rPr>
          <w:rFonts w:hint="eastAsia" w:ascii="仿宋" w:hAnsi="仿宋" w:eastAsia="仿宋" w:cs="仿宋"/>
          <w:sz w:val="32"/>
          <w:szCs w:val="32"/>
        </w:rPr>
        <w:t>规范组织专题组织生活会。</w:t>
      </w:r>
      <w:r>
        <w:rPr>
          <w:rFonts w:hint="eastAsia" w:ascii="仿宋" w:hAnsi="仿宋" w:eastAsia="仿宋" w:cs="仿宋"/>
          <w:color w:val="000000"/>
          <w:kern w:val="0"/>
          <w:sz w:val="32"/>
          <w:szCs w:val="32"/>
        </w:rPr>
        <w:t>按时按质召开专题组织生活会，具体、实在、有“辣味”，起到了相互学习、相互教育、共同提高、共同进步的效果。</w:t>
      </w:r>
    </w:p>
    <w:p w14:paraId="32942CF8">
      <w:pPr>
        <w:widowControl/>
        <w:spacing w:line="600" w:lineRule="exact"/>
        <w:ind w:firstLine="645"/>
        <w:jc w:val="left"/>
        <w:rPr>
          <w:rFonts w:hint="eastAsia" w:ascii="仿宋" w:hAnsi="仿宋" w:eastAsia="仿宋" w:cs="仿宋"/>
          <w:color w:val="000000"/>
          <w:sz w:val="32"/>
          <w:szCs w:val="32"/>
          <w:lang w:val="en-US" w:eastAsia="zh-CN"/>
        </w:rPr>
      </w:pPr>
      <w:r>
        <w:rPr>
          <w:rFonts w:hint="eastAsia" w:ascii="黑体" w:hAnsi="黑体" w:eastAsia="黑体" w:cs="黑体"/>
          <w:b w:val="0"/>
          <w:bCs w:val="0"/>
          <w:color w:val="000000"/>
          <w:sz w:val="32"/>
          <w:szCs w:val="32"/>
          <w:lang w:val="en-US" w:eastAsia="zh-CN"/>
        </w:rPr>
        <w:t>（三）奋力抓好环境质量监测。</w:t>
      </w:r>
      <w:r>
        <w:rPr>
          <w:rFonts w:hint="eastAsia" w:ascii="仿宋" w:hAnsi="仿宋" w:eastAsia="仿宋" w:cs="仿宋"/>
          <w:color w:val="000000"/>
          <w:sz w:val="32"/>
          <w:szCs w:val="32"/>
          <w:lang w:val="en-US" w:eastAsia="zh-CN"/>
        </w:rPr>
        <w:t>严格按照《湖南省生态环境监测方案》和《湖南省生态环境监测工作任务责任清单》履职尽责，充分发挥“五个中心”职能作用，全面完成了区域内的水、气、土等生态环境质量监测工作任务。完成39个地表水环境质量考核断面手工监测，完成水质自动站和大气自动站的数据审核和质量检查，6月开始再次承担国家地表水采测分离任务，做好国家网基础点、国家网风险点、省级网公路沿线点等土壤和底泥样品的采集和分析及国家土壤环境质量监测网的土壤采样、底泥点位和交通干线土壤点位核查、企事业污染地块土壤调查等，完成边城断面加密监测21次、重点断面铊加密监测15次、饮用水断面重金属加密监测16次、降尘中重金属监测11次，及生态野外核查等其他工作任务；</w:t>
      </w:r>
    </w:p>
    <w:p w14:paraId="6653AD65">
      <w:pPr>
        <w:widowControl/>
        <w:spacing w:line="600" w:lineRule="exact"/>
        <w:ind w:firstLine="645"/>
        <w:jc w:val="left"/>
        <w:rPr>
          <w:rFonts w:hint="eastAsia" w:ascii="仿宋" w:hAnsi="仿宋" w:eastAsia="仿宋" w:cs="仿宋"/>
          <w:color w:val="000000"/>
          <w:sz w:val="32"/>
          <w:szCs w:val="32"/>
          <w:lang w:val="en-US" w:eastAsia="zh-CN"/>
        </w:rPr>
      </w:pPr>
      <w:r>
        <w:rPr>
          <w:rFonts w:hint="eastAsia" w:ascii="黑体" w:hAnsi="黑体" w:eastAsia="黑体" w:cs="黑体"/>
          <w:color w:val="000000"/>
          <w:sz w:val="32"/>
          <w:szCs w:val="32"/>
          <w:lang w:val="en-US" w:eastAsia="zh-CN"/>
        </w:rPr>
        <w:t>（四）抓实抓强质量管理。</w:t>
      </w:r>
      <w:r>
        <w:rPr>
          <w:rFonts w:hint="eastAsia" w:ascii="仿宋" w:hAnsi="仿宋" w:eastAsia="仿宋" w:cs="仿宋"/>
          <w:color w:val="000000"/>
          <w:sz w:val="32"/>
          <w:szCs w:val="32"/>
          <w:lang w:val="en-US" w:eastAsia="zh-CN"/>
        </w:rPr>
        <w:t>顺利完成质量体系文件的改版及资质认定评审工作，积极参加国家、省级能力验证工作，结果均为满意，加强实验室内部质量控制和外部质量控制，共对第三方检测公司开展质量核查11期，向中心内部实验室发放质控标准样品170个，合格率达100%；</w:t>
      </w:r>
    </w:p>
    <w:p w14:paraId="46532150">
      <w:pPr>
        <w:widowControl/>
        <w:spacing w:line="600" w:lineRule="exact"/>
        <w:ind w:firstLine="645"/>
        <w:jc w:val="left"/>
        <w:rPr>
          <w:rFonts w:hint="eastAsia" w:ascii="仿宋" w:hAnsi="仿宋" w:eastAsia="仿宋" w:cs="仿宋"/>
          <w:color w:val="000000"/>
          <w:sz w:val="32"/>
          <w:szCs w:val="32"/>
          <w:lang w:val="en-US" w:eastAsia="zh-CN"/>
        </w:rPr>
      </w:pPr>
      <w:r>
        <w:rPr>
          <w:rFonts w:hint="eastAsia" w:ascii="黑体" w:hAnsi="黑体" w:eastAsia="黑体" w:cs="黑体"/>
          <w:color w:val="000000"/>
          <w:sz w:val="32"/>
          <w:szCs w:val="32"/>
          <w:lang w:val="en-US" w:eastAsia="zh-CN"/>
        </w:rPr>
        <w:t>（五）全面“支撑”地方生态环境管理。</w:t>
      </w:r>
      <w:r>
        <w:rPr>
          <w:rFonts w:hint="eastAsia" w:ascii="仿宋" w:hAnsi="仿宋" w:eastAsia="仿宋" w:cs="仿宋"/>
          <w:color w:val="000000"/>
          <w:sz w:val="32"/>
          <w:szCs w:val="32"/>
          <w:lang w:val="en-US" w:eastAsia="zh-CN"/>
        </w:rPr>
        <w:t>完成了吉首市城区的102个区域噪声点位、27个交通噪声点位及7个功能区噪声点位的现场核查与监测工作，累计完成吉首市城市酸雨采样分析62次，参加消防应急演练、协助开展应急监测各1次，配合开展自动站数据异常排查5次，开展了数据异常断面复核、水质自动站手工比对、环保督察样品分析、污染源在线监测比对、污染源监测质量核查、生态环境专项治理监测等任务。</w:t>
      </w:r>
    </w:p>
    <w:p w14:paraId="2CE37A68">
      <w:pPr>
        <w:widowControl/>
        <w:spacing w:line="600" w:lineRule="exact"/>
        <w:ind w:firstLine="645"/>
        <w:jc w:val="left"/>
        <w:rPr>
          <w:rFonts w:hint="eastAsia" w:ascii="仿宋" w:hAnsi="仿宋" w:eastAsia="仿宋" w:cs="仿宋"/>
          <w:color w:val="000000"/>
          <w:sz w:val="32"/>
          <w:szCs w:val="32"/>
          <w:lang w:val="en-US" w:eastAsia="zh-CN"/>
        </w:rPr>
      </w:pPr>
      <w:r>
        <w:rPr>
          <w:rFonts w:hint="eastAsia" w:ascii="黑体" w:hAnsi="黑体" w:eastAsia="黑体" w:cs="黑体"/>
          <w:b w:val="0"/>
          <w:bCs w:val="0"/>
          <w:color w:val="000000"/>
          <w:sz w:val="32"/>
          <w:szCs w:val="32"/>
          <w:lang w:val="en-US" w:eastAsia="zh-CN"/>
        </w:rPr>
        <w:t>（六）加强监测队伍建设。</w:t>
      </w:r>
      <w:r>
        <w:rPr>
          <w:rFonts w:hint="eastAsia" w:ascii="仿宋" w:hAnsi="仿宋" w:eastAsia="仿宋" w:cs="仿宋"/>
          <w:color w:val="000000"/>
          <w:sz w:val="32"/>
          <w:szCs w:val="32"/>
          <w:lang w:val="en-US" w:eastAsia="zh-CN"/>
        </w:rPr>
        <w:t>今年来，共聘用11名专业技术人员充实监测队伍，强化思想教育，围绕重点工作、重点领域开展监测技术培训，派人参加国家、省级组织的专业培训，深入开展结对交流和纵向业务交流，提高监测队伍的整体素质，以适应现代化监测工作的需要；</w:t>
      </w:r>
    </w:p>
    <w:p w14:paraId="2B71AB6B">
      <w:pPr>
        <w:widowControl/>
        <w:spacing w:line="600" w:lineRule="exact"/>
        <w:ind w:firstLine="645"/>
        <w:jc w:val="left"/>
        <w:rPr>
          <w:rFonts w:hint="eastAsia" w:eastAsia="仿宋_GB2312"/>
          <w:color w:val="000000"/>
          <w:sz w:val="32"/>
          <w:szCs w:val="32"/>
          <w:lang w:val="en-US" w:eastAsia="zh-CN"/>
        </w:rPr>
      </w:pPr>
      <w:r>
        <w:rPr>
          <w:rFonts w:hint="eastAsia" w:ascii="黑体" w:hAnsi="黑体" w:eastAsia="黑体" w:cs="黑体"/>
          <w:color w:val="000000"/>
          <w:sz w:val="32"/>
          <w:szCs w:val="32"/>
          <w:lang w:val="en-US" w:eastAsia="zh-CN"/>
        </w:rPr>
        <w:t>（七）抓好计量认证扩项评审、复审。</w:t>
      </w:r>
      <w:r>
        <w:rPr>
          <w:rFonts w:hint="eastAsia" w:ascii="仿宋" w:hAnsi="仿宋" w:eastAsia="仿宋" w:cs="仿宋"/>
          <w:color w:val="000000"/>
          <w:sz w:val="32"/>
          <w:szCs w:val="32"/>
          <w:lang w:val="en-US" w:eastAsia="zh-CN"/>
        </w:rPr>
        <w:t>今年来，结合中心计量认证资质到期，抓实抓牢质量体系改版、检测项目自认定等工作，召开3次会议专门研究讨论相关工作，顺利通过了计量认证</w:t>
      </w:r>
      <w:r>
        <w:rPr>
          <w:rFonts w:hint="eastAsia" w:ascii="仿宋" w:hAnsi="仿宋" w:eastAsia="仿宋" w:cs="仿宋"/>
          <w:color w:val="000000"/>
          <w:sz w:val="32"/>
          <w:szCs w:val="32"/>
          <w:lang w:val="en-US" w:eastAsia="zh-CN"/>
        </w:rPr>
        <w:tab/>
      </w:r>
      <w:r>
        <w:rPr>
          <w:rFonts w:hint="eastAsia" w:ascii="仿宋" w:hAnsi="仿宋" w:eastAsia="仿宋" w:cs="仿宋"/>
          <w:color w:val="000000"/>
          <w:sz w:val="32"/>
          <w:szCs w:val="32"/>
          <w:lang w:val="en-US" w:eastAsia="zh-CN"/>
        </w:rPr>
        <w:t>评审，取得了6大类95个项目的检测资质；</w:t>
      </w:r>
    </w:p>
    <w:p w14:paraId="75D93D32">
      <w:pPr>
        <w:widowControl/>
        <w:spacing w:line="600" w:lineRule="exact"/>
        <w:ind w:firstLine="645"/>
        <w:jc w:val="left"/>
        <w:rPr>
          <w:rFonts w:hint="eastAsia" w:ascii="仿宋" w:hAnsi="仿宋" w:eastAsia="仿宋" w:cs="仿宋"/>
          <w:color w:val="000000"/>
          <w:sz w:val="32"/>
          <w:szCs w:val="32"/>
          <w:lang w:val="en-US" w:eastAsia="zh-CN"/>
        </w:rPr>
      </w:pPr>
      <w:r>
        <w:rPr>
          <w:rFonts w:hint="eastAsia" w:ascii="黑体" w:hAnsi="黑体" w:eastAsia="黑体" w:cs="黑体"/>
          <w:color w:val="000000"/>
          <w:sz w:val="32"/>
          <w:szCs w:val="32"/>
          <w:lang w:val="en-US" w:eastAsia="zh-CN"/>
        </w:rPr>
        <w:t>（八）抓实监测能力建设。</w:t>
      </w:r>
      <w:r>
        <w:rPr>
          <w:rFonts w:hint="eastAsia" w:ascii="仿宋" w:hAnsi="仿宋" w:eastAsia="仿宋" w:cs="仿宋"/>
          <w:color w:val="000000"/>
          <w:sz w:val="32"/>
          <w:szCs w:val="32"/>
          <w:lang w:val="en-US" w:eastAsia="zh-CN"/>
        </w:rPr>
        <w:t>今年来，我中心始终把提升监测能力、扩展监测项目作为立身之本，购置了酶底物法测粪大肠菌群、微波消解仪、全自动热解测汞仪等仪器设备，计划购置气相色谱仪、高压离子色谱系统、低本底α、β测量系统等仪器设备，加强实验室硬件设施建设，同时鼓励分析技术人员启用新方法、开发新项目，启用了ICP-MS等先进仪器设备，极大地提升了实验室的重金属分析能力。</w:t>
      </w:r>
    </w:p>
    <w:p w14:paraId="60BE9351">
      <w:pPr>
        <w:widowControl/>
        <w:numPr>
          <w:ilvl w:val="0"/>
          <w:numId w:val="5"/>
        </w:numPr>
        <w:spacing w:line="600" w:lineRule="exact"/>
        <w:ind w:firstLine="645"/>
        <w:jc w:val="left"/>
        <w:rPr>
          <w:rFonts w:hint="eastAsia" w:ascii="黑体" w:hAnsi="黑体" w:eastAsia="黑体"/>
          <w:sz w:val="32"/>
          <w:szCs w:val="32"/>
        </w:rPr>
      </w:pPr>
      <w:r>
        <w:rPr>
          <w:rFonts w:hint="eastAsia" w:ascii="黑体" w:hAnsi="黑体" w:eastAsia="黑体"/>
          <w:sz w:val="32"/>
          <w:szCs w:val="32"/>
        </w:rPr>
        <w:t>存在的主要问题及下一步改进措施</w:t>
      </w:r>
    </w:p>
    <w:p w14:paraId="05268A9D">
      <w:pPr>
        <w:widowControl/>
        <w:numPr>
          <w:ilvl w:val="0"/>
          <w:numId w:val="0"/>
        </w:numPr>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湘西生态环境监测中心下一步继续严格执行财务各项规章制度，严格把控各项财务支出，做到厉行节约，合理运用资金。</w:t>
      </w:r>
    </w:p>
    <w:p w14:paraId="21FDDFF9">
      <w:pPr>
        <w:widowControl/>
        <w:numPr>
          <w:ilvl w:val="0"/>
          <w:numId w:val="6"/>
        </w:numPr>
        <w:spacing w:line="600" w:lineRule="exact"/>
        <w:ind w:firstLine="645"/>
        <w:jc w:val="left"/>
        <w:rPr>
          <w:rFonts w:hint="eastAsia" w:ascii="黑体" w:hAnsi="黑体" w:eastAsia="黑体"/>
          <w:sz w:val="32"/>
          <w:szCs w:val="32"/>
        </w:rPr>
      </w:pPr>
      <w:r>
        <w:rPr>
          <w:rFonts w:hint="eastAsia" w:ascii="黑体" w:hAnsi="黑体" w:eastAsia="黑体"/>
          <w:sz w:val="32"/>
          <w:szCs w:val="32"/>
        </w:rPr>
        <w:t>绩效自评结果拟应用和公开情况</w:t>
      </w:r>
    </w:p>
    <w:p w14:paraId="293AC889">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lang w:val="en-US" w:eastAsia="zh-CN"/>
        </w:rPr>
        <w:t>2021年度，根据工作安排实现了湘西生态环境监测中心正常运转，完成环境保护监测任务，完成总体目标任务。截至2021年底，基本完成了各项绩效指标。</w:t>
      </w:r>
    </w:p>
    <w:p w14:paraId="242B1816">
      <w:pPr>
        <w:widowControl/>
        <w:numPr>
          <w:ilvl w:val="0"/>
          <w:numId w:val="6"/>
        </w:numPr>
        <w:spacing w:line="600" w:lineRule="exact"/>
        <w:ind w:left="0" w:leftChars="0" w:firstLine="645" w:firstLineChars="0"/>
        <w:jc w:val="left"/>
        <w:rPr>
          <w:rFonts w:hint="eastAsia" w:ascii="黑体" w:hAnsi="黑体" w:eastAsia="黑体"/>
          <w:sz w:val="32"/>
          <w:szCs w:val="32"/>
        </w:rPr>
      </w:pPr>
      <w:r>
        <w:rPr>
          <w:rFonts w:hint="eastAsia" w:ascii="黑体" w:hAnsi="黑体" w:eastAsia="黑体"/>
          <w:sz w:val="32"/>
          <w:szCs w:val="32"/>
        </w:rPr>
        <w:t>其他需要说明的情况</w:t>
      </w:r>
    </w:p>
    <w:p w14:paraId="2BF4164D">
      <w:pPr>
        <w:widowControl/>
        <w:numPr>
          <w:ilvl w:val="0"/>
          <w:numId w:val="0"/>
        </w:numPr>
        <w:spacing w:line="600" w:lineRule="exact"/>
        <w:ind w:left="645" w:left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无其他需要说明的情况。</w:t>
      </w:r>
    </w:p>
    <w:p w14:paraId="0781CEF3"/>
    <w:p w14:paraId="52960A5B">
      <w:pPr>
        <w:ind w:firstLine="640" w:firstLineChars="200"/>
        <w:jc w:val="left"/>
        <w:rPr>
          <w:rFonts w:cs="黑体" w:asciiTheme="minorEastAsia" w:hAnsiTheme="minorEastAsia"/>
          <w:color w:val="000000"/>
          <w:kern w:val="0"/>
          <w:sz w:val="32"/>
          <w:szCs w:val="32"/>
        </w:rPr>
      </w:pPr>
    </w:p>
    <w:sectPr>
      <w:pgSz w:w="11906" w:h="16838"/>
      <w:pgMar w:top="720" w:right="1803" w:bottom="720" w:left="1803" w:header="851" w:footer="992" w:gutter="0"/>
      <w:cols w:space="425" w:num="1"/>
      <w:docGrid w:type="linesAndChar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ylin" w:date="2023-09-07T17:08:46Z" w:initials="">
    <w:p w14:paraId="60945E54">
      <w:pPr>
        <w:pStyle w:val="3"/>
        <w:rPr>
          <w:rFonts w:hint="default" w:eastAsiaTheme="minorEastAsia"/>
          <w:lang w:val="en-US" w:eastAsia="zh-CN"/>
        </w:rPr>
      </w:pPr>
      <w:r>
        <w:rPr>
          <w:rFonts w:hint="eastAsia"/>
          <w:lang w:eastAsia="zh-CN"/>
        </w:rPr>
        <w:t>建议修改，我中心</w:t>
      </w:r>
      <w:r>
        <w:rPr>
          <w:rFonts w:hint="eastAsia"/>
          <w:lang w:val="en-US" w:eastAsia="zh-CN"/>
        </w:rPr>
        <w:t>2020年度三公经费均由湘西州财政拨款经费支出。</w:t>
      </w:r>
    </w:p>
  </w:comment>
  <w:comment w:id="1" w:author="Sylin" w:date="2023-09-07T17:09:58Z" w:initials="">
    <w:p w14:paraId="7152259E">
      <w:pPr>
        <w:pStyle w:val="3"/>
        <w:rPr>
          <w:rFonts w:hint="eastAsia" w:eastAsiaTheme="minorEastAsia"/>
          <w:lang w:eastAsia="zh-CN"/>
        </w:rPr>
      </w:pPr>
      <w:r>
        <w:rPr>
          <w:rFonts w:hint="eastAsia"/>
          <w:lang w:eastAsia="zh-CN"/>
        </w:rPr>
        <w:t>少一个字，主，已添加。</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0945E54" w15:done="0"/>
  <w15:commentEx w15:paraId="7152259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527008"/>
    <w:multiLevelType w:val="singleLevel"/>
    <w:tmpl w:val="E3527008"/>
    <w:lvl w:ilvl="0" w:tentative="0">
      <w:start w:val="5"/>
      <w:numFmt w:val="chineseCounting"/>
      <w:suff w:val="nothing"/>
      <w:lvlText w:val="%1、"/>
      <w:lvlJc w:val="left"/>
      <w:rPr>
        <w:rFonts w:hint="eastAsia"/>
      </w:rPr>
    </w:lvl>
  </w:abstractNum>
  <w:abstractNum w:abstractNumId="1">
    <w:nsid w:val="142C3087"/>
    <w:multiLevelType w:val="singleLevel"/>
    <w:tmpl w:val="142C3087"/>
    <w:lvl w:ilvl="0" w:tentative="0">
      <w:start w:val="1"/>
      <w:numFmt w:val="chineseCounting"/>
      <w:suff w:val="nothing"/>
      <w:lvlText w:val="（%1）"/>
      <w:lvlJc w:val="left"/>
      <w:rPr>
        <w:rFonts w:hint="eastAsia"/>
      </w:rPr>
    </w:lvl>
  </w:abstractNum>
  <w:abstractNum w:abstractNumId="2">
    <w:nsid w:val="262AE792"/>
    <w:multiLevelType w:val="singleLevel"/>
    <w:tmpl w:val="262AE792"/>
    <w:lvl w:ilvl="0" w:tentative="0">
      <w:start w:val="2"/>
      <w:numFmt w:val="chineseCounting"/>
      <w:suff w:val="nothing"/>
      <w:lvlText w:val="（%1）"/>
      <w:lvlJc w:val="left"/>
      <w:pPr>
        <w:ind w:left="480" w:leftChars="0" w:firstLine="0" w:firstLineChars="0"/>
      </w:pPr>
      <w:rPr>
        <w:rFonts w:hint="eastAsia"/>
      </w:rPr>
    </w:lvl>
  </w:abstractNum>
  <w:abstractNum w:abstractNumId="3">
    <w:nsid w:val="34F1748E"/>
    <w:multiLevelType w:val="singleLevel"/>
    <w:tmpl w:val="34F1748E"/>
    <w:lvl w:ilvl="0" w:tentative="0">
      <w:start w:val="6"/>
      <w:numFmt w:val="chineseCounting"/>
      <w:suff w:val="nothing"/>
      <w:lvlText w:val="%1、"/>
      <w:lvlJc w:val="left"/>
      <w:rPr>
        <w:rFonts w:hint="eastAsia"/>
      </w:rPr>
    </w:lvl>
  </w:abstractNum>
  <w:abstractNum w:abstractNumId="4">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B04DA14"/>
    <w:multiLevelType w:val="singleLevel"/>
    <w:tmpl w:val="3B04DA14"/>
    <w:lvl w:ilvl="0" w:tentative="0">
      <w:start w:val="1"/>
      <w:numFmt w:val="chineseCounting"/>
      <w:suff w:val="nothing"/>
      <w:lvlText w:val="%1、"/>
      <w:lvlJc w:val="left"/>
      <w:rPr>
        <w:rFonts w:hint="eastAsia"/>
      </w:rPr>
    </w:lvl>
  </w:abstractNum>
  <w:num w:numId="1">
    <w:abstractNumId w:val="4"/>
  </w:num>
  <w:num w:numId="2">
    <w:abstractNumId w:val="1"/>
  </w:num>
  <w:num w:numId="3">
    <w:abstractNumId w:val="2"/>
  </w:num>
  <w:num w:numId="4">
    <w:abstractNumId w:val="5"/>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ylin">
    <w15:presenceInfo w15:providerId="WPS Office" w15:userId="2148082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4506F9"/>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1A53200"/>
    <w:rsid w:val="01FA65AD"/>
    <w:rsid w:val="037C05B7"/>
    <w:rsid w:val="082874FD"/>
    <w:rsid w:val="08D77648"/>
    <w:rsid w:val="0C362374"/>
    <w:rsid w:val="1468384A"/>
    <w:rsid w:val="17EE050A"/>
    <w:rsid w:val="18D55391"/>
    <w:rsid w:val="1D1327C1"/>
    <w:rsid w:val="25C708E1"/>
    <w:rsid w:val="2B083239"/>
    <w:rsid w:val="2CB76BC9"/>
    <w:rsid w:val="2E040BD4"/>
    <w:rsid w:val="34E95E89"/>
    <w:rsid w:val="35BB493B"/>
    <w:rsid w:val="35E97E13"/>
    <w:rsid w:val="477C1B9F"/>
    <w:rsid w:val="51542671"/>
    <w:rsid w:val="52912207"/>
    <w:rsid w:val="5A1530F9"/>
    <w:rsid w:val="5B04432E"/>
    <w:rsid w:val="5CB43A14"/>
    <w:rsid w:val="6025396A"/>
    <w:rsid w:val="611F575B"/>
    <w:rsid w:val="615B67FC"/>
    <w:rsid w:val="69616B10"/>
    <w:rsid w:val="6E1F40EF"/>
    <w:rsid w:val="71874078"/>
    <w:rsid w:val="7D097D0C"/>
    <w:rsid w:val="7DA71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Heading1"/>
    <w:basedOn w:val="1"/>
    <w:next w:val="1"/>
    <w:qFormat/>
    <w:uiPriority w:val="0"/>
    <w:pPr>
      <w:spacing w:before="120" w:after="120"/>
      <w:textAlignment w:val="baseline"/>
    </w:pPr>
    <w:rPr>
      <w:rFonts w:ascii="Arial" w:hAnsi="Arial" w:eastAsia="黑体"/>
      <w:kern w:val="20"/>
      <w:sz w:val="30"/>
    </w:rPr>
  </w:style>
  <w:style w:type="paragraph" w:styleId="3">
    <w:name w:val="annotation text"/>
    <w:basedOn w:val="1"/>
    <w:semiHidden/>
    <w:unhideWhenUsed/>
    <w:qFormat/>
    <w:uiPriority w:val="99"/>
    <w:pPr>
      <w:jc w:val="left"/>
    </w:pPr>
  </w:style>
  <w:style w:type="paragraph" w:styleId="4">
    <w:name w:val="Body Text Indent"/>
    <w:basedOn w:val="1"/>
    <w:unhideWhenUsed/>
    <w:qFormat/>
    <w:uiPriority w:val="99"/>
    <w:pPr>
      <w:ind w:left="420" w:leftChars="200"/>
    </w:pPr>
  </w:style>
  <w:style w:type="paragraph" w:styleId="5">
    <w:name w:val="Balloon Text"/>
    <w:basedOn w:val="1"/>
    <w:link w:val="16"/>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4"/>
    <w:unhideWhenUsed/>
    <w:qFormat/>
    <w:uiPriority w:val="99"/>
    <w:pPr>
      <w:autoSpaceDE w:val="0"/>
      <w:autoSpaceDN w:val="0"/>
      <w:adjustRightInd w:val="0"/>
      <w:ind w:firstLine="420"/>
      <w:jc w:val="left"/>
    </w:pPr>
    <w:rPr>
      <w:rFonts w:ascii="Calibri" w:hAnsi="Calibri" w:eastAsia="仿宋_GB2312"/>
      <w:kern w:val="0"/>
    </w:rPr>
  </w:style>
  <w:style w:type="character" w:customStyle="1" w:styleId="12">
    <w:name w:val="页眉 Char"/>
    <w:basedOn w:val="11"/>
    <w:link w:val="7"/>
    <w:qFormat/>
    <w:uiPriority w:val="99"/>
    <w:rPr>
      <w:sz w:val="18"/>
      <w:szCs w:val="18"/>
    </w:rPr>
  </w:style>
  <w:style w:type="character" w:customStyle="1" w:styleId="13">
    <w:name w:val="页脚 Char"/>
    <w:basedOn w:val="11"/>
    <w:link w:val="6"/>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5"/>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7" Type="http://schemas.microsoft.com/office/2011/relationships/people" Target="people.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9.emf"/><Relationship Id="rId22" Type="http://schemas.openxmlformats.org/officeDocument/2006/relationships/oleObject" Target="embeddings/oleObject9.bin"/><Relationship Id="rId21" Type="http://schemas.openxmlformats.org/officeDocument/2006/relationships/image" Target="media/image8.e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33</Pages>
  <Words>7734</Words>
  <Characters>8475</Characters>
  <Lines>69</Lines>
  <Paragraphs>19</Paragraphs>
  <TotalTime>14</TotalTime>
  <ScaleCrop>false</ScaleCrop>
  <LinksUpToDate>false</LinksUpToDate>
  <CharactersWithSpaces>8504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Templar</cp:lastModifiedBy>
  <cp:lastPrinted>2022-09-13T11:34:00Z</cp:lastPrinted>
  <dcterms:modified xsi:type="dcterms:W3CDTF">2025-07-24T07:41:01Z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552275053BF64AEFBC348DDB31C53CA0_13</vt:lpwstr>
  </property>
  <property fmtid="{D5CDD505-2E9C-101B-9397-08002B2CF9AE}" pid="4" name="KSOTemplateDocerSaveRecord">
    <vt:lpwstr>eyJoZGlkIjoiZTI0MmNkMWQ1MjU0OTBhMjhjZGFlNzM2YjhkMzlkMzMiLCJ1c2VySWQiOiI1NDE0NjY4NDgifQ==</vt:lpwstr>
  </property>
</Properties>
</file>