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eastAsia="黑体"/>
          <w:sz w:val="56"/>
          <w:szCs w:val="56"/>
          <w:lang w:val="en-US" w:eastAsia="zh-CN"/>
        </w:rPr>
      </w:pPr>
      <w:r>
        <w:rPr>
          <w:rFonts w:hint="eastAsia"/>
          <w:sz w:val="56"/>
          <w:szCs w:val="56"/>
          <w:lang w:val="en-US" w:eastAsia="zh-CN"/>
        </w:rPr>
        <w:t>-</w:t>
      </w: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2021年度</w:t>
      </w:r>
    </w:p>
    <w:p>
      <w:pPr>
        <w:pStyle w:val="11"/>
        <w:jc w:val="center"/>
        <w:rPr>
          <w:sz w:val="84"/>
          <w:szCs w:val="84"/>
        </w:rPr>
      </w:pPr>
      <w:r>
        <w:rPr>
          <w:rFonts w:hint="eastAsia"/>
          <w:sz w:val="84"/>
          <w:szCs w:val="84"/>
          <w:lang w:val="en-US" w:eastAsia="zh-CN"/>
        </w:rPr>
        <w:t>湖南省邵阳生态环境监测中心</w:t>
      </w:r>
      <w:r>
        <w:rPr>
          <w:rFonts w:hint="eastAsia"/>
          <w:sz w:val="84"/>
          <w:szCs w:val="84"/>
        </w:rPr>
        <w:t>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00" w:lineRule="exact"/>
        <w:jc w:val="both"/>
        <w:rPr>
          <w:b/>
          <w:sz w:val="36"/>
          <w:szCs w:val="28"/>
        </w:rPr>
      </w:pPr>
    </w:p>
    <w:p>
      <w:pPr>
        <w:pStyle w:val="11"/>
        <w:spacing w:line="500" w:lineRule="exact"/>
        <w:jc w:val="center"/>
        <w:rPr>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湖南省邵阳生态环境监测中心</w:t>
      </w:r>
      <w:r>
        <w:rPr>
          <w:rFonts w:hint="eastAsia"/>
          <w:b/>
          <w:sz w:val="28"/>
          <w:szCs w:val="28"/>
        </w:rPr>
        <w:t>单位概况</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1"/>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八、政府性基金预算财政拨款收入支出决算表</w:t>
      </w:r>
    </w:p>
    <w:p>
      <w:pPr>
        <w:pStyle w:val="11"/>
        <w:spacing w:line="500" w:lineRule="exact"/>
        <w:ind w:firstLine="700" w:firstLineChars="250"/>
        <w:rPr>
          <w:rFonts w:cs="仿宋_GB2312" w:asciiTheme="minorEastAsia" w:hAnsiTheme="minorEastAsia" w:eastAsiaTheme="minorEastAsia"/>
          <w:color w:val="auto"/>
          <w:sz w:val="28"/>
          <w:szCs w:val="28"/>
        </w:rPr>
      </w:pPr>
      <w:r>
        <w:rPr>
          <w:rFonts w:hint="eastAsia" w:cs="仿宋_GB2312" w:asciiTheme="minorEastAsia" w:hAnsiTheme="minorEastAsia" w:eastAsiaTheme="minorEastAsia"/>
          <w:color w:val="auto"/>
          <w:sz w:val="28"/>
          <w:szCs w:val="28"/>
        </w:rPr>
        <w:t>九、国有资本经营预算财政拨款支出决算表</w:t>
      </w:r>
    </w:p>
    <w:p>
      <w:pPr>
        <w:pStyle w:val="11"/>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r>
        <w:rPr>
          <w:sz w:val="84"/>
          <w:szCs w:val="84"/>
        </w:rPr>
        <w:t xml:space="preserve"> </w:t>
      </w:r>
    </w:p>
    <w:p>
      <w:pPr>
        <w:pStyle w:val="11"/>
        <w:jc w:val="center"/>
        <w:rPr>
          <w:sz w:val="84"/>
          <w:szCs w:val="84"/>
        </w:rPr>
      </w:pPr>
    </w:p>
    <w:p>
      <w:pPr>
        <w:pStyle w:val="11"/>
        <w:jc w:val="center"/>
        <w:rPr>
          <w:rFonts w:hint="eastAsia"/>
          <w:sz w:val="72"/>
          <w:szCs w:val="72"/>
          <w:lang w:val="en-US" w:eastAsia="zh-CN"/>
        </w:rPr>
      </w:pPr>
      <w:r>
        <w:rPr>
          <w:rFonts w:hint="eastAsia"/>
          <w:sz w:val="72"/>
          <w:szCs w:val="72"/>
          <w:lang w:val="en-US" w:eastAsia="zh-CN"/>
        </w:rPr>
        <w:t>湖南省邵阳生态环境监测中心</w:t>
      </w:r>
    </w:p>
    <w:p>
      <w:pPr>
        <w:pStyle w:val="11"/>
        <w:jc w:val="center"/>
        <w:rPr>
          <w:sz w:val="72"/>
          <w:szCs w:val="72"/>
        </w:rPr>
      </w:pPr>
      <w:r>
        <w:rPr>
          <w:rFonts w:hint="eastAsia"/>
          <w:sz w:val="72"/>
          <w:szCs w:val="72"/>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numPr>
          <w:ilvl w:val="-1"/>
          <w:numId w:val="0"/>
        </w:numPr>
        <w:shd w:val="clear" w:color="auto" w:fill="FFFFFF"/>
        <w:spacing w:line="421" w:lineRule="atLeast"/>
        <w:ind w:left="0" w:leftChars="0"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一）</w:t>
      </w:r>
      <w:r>
        <w:rPr>
          <w:rFonts w:hint="eastAsia" w:asciiTheme="minorEastAsia" w:hAnsiTheme="minorEastAsia"/>
          <w:bCs/>
          <w:kern w:val="0"/>
          <w:sz w:val="32"/>
          <w:szCs w:val="32"/>
        </w:rPr>
        <w:t>承担邵阳市生态环境质量监测和生态状况监测、评价等工作</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二</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负责邵阳市生态环境监测数据采集、分析研判、信息推送等工作，开展生态环境监测领域科学研究；</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三</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负责邵阳市生态环境质量监测网络体系建设、质量管理控制等工作；</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四</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负责配合实施邵阳市生态环境监测能力建设等工作；</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五</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承担所在市辖区内辐射监测相关工作；参与重大、跨界执法监测和应急监测等工作；</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六</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承担市生态环境局委托的相关生态环境监测任务；</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七</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rPr>
        <w:t>承担上级交办的其他工作。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numPr>
          <w:ilvl w:val="-1"/>
          <w:numId w:val="0"/>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lang w:val="en-US" w:eastAsia="zh-CN"/>
        </w:rPr>
        <w:t>湖南省邵阳环境监测中心</w:t>
      </w:r>
      <w:r>
        <w:rPr>
          <w:rFonts w:hint="eastAsia" w:asciiTheme="minorEastAsia" w:hAnsiTheme="minorEastAsia"/>
          <w:bCs/>
          <w:kern w:val="0"/>
          <w:sz w:val="32"/>
          <w:szCs w:val="32"/>
        </w:rPr>
        <w:t>内设机构包括：办公室、</w:t>
      </w:r>
      <w:r>
        <w:rPr>
          <w:rFonts w:hint="eastAsia" w:asciiTheme="minorEastAsia" w:hAnsiTheme="minorEastAsia"/>
          <w:bCs/>
          <w:kern w:val="0"/>
          <w:sz w:val="32"/>
          <w:szCs w:val="32"/>
          <w:lang w:eastAsia="zh-CN"/>
        </w:rPr>
        <w:t>人事科、党建科</w:t>
      </w:r>
      <w:r>
        <w:rPr>
          <w:rFonts w:hint="eastAsia" w:asciiTheme="minorEastAsia" w:hAnsiTheme="minorEastAsia"/>
          <w:bCs/>
          <w:kern w:val="0"/>
          <w:sz w:val="32"/>
          <w:szCs w:val="32"/>
        </w:rPr>
        <w:t>、财务科、综合技术科、质量控制科、监测分析科、污染源监测科、自动监测科、生态</w:t>
      </w:r>
      <w:r>
        <w:rPr>
          <w:rFonts w:hint="eastAsia" w:asciiTheme="minorEastAsia" w:hAnsiTheme="minorEastAsia"/>
          <w:bCs/>
          <w:kern w:val="0"/>
          <w:sz w:val="32"/>
          <w:szCs w:val="32"/>
          <w:lang w:eastAsia="zh-CN"/>
        </w:rPr>
        <w:t>土壤</w:t>
      </w:r>
      <w:r>
        <w:rPr>
          <w:rFonts w:hint="eastAsia" w:asciiTheme="minorEastAsia" w:hAnsiTheme="minorEastAsia"/>
          <w:bCs/>
          <w:kern w:val="0"/>
          <w:sz w:val="32"/>
          <w:szCs w:val="32"/>
        </w:rPr>
        <w:t>监测科</w:t>
      </w:r>
      <w:r>
        <w:rPr>
          <w:rFonts w:hint="eastAsia" w:asciiTheme="minorEastAsia" w:hAnsiTheme="minorEastAsia"/>
          <w:bCs/>
          <w:kern w:val="0"/>
          <w:sz w:val="32"/>
          <w:szCs w:val="32"/>
          <w:lang w:eastAsia="zh-CN"/>
        </w:rPr>
        <w:t>、水环境监测科</w:t>
      </w:r>
      <w:r>
        <w:rPr>
          <w:rFonts w:hint="eastAsia" w:asciiTheme="minorEastAsia" w:hAnsiTheme="minorEastAsia"/>
          <w:bCs/>
          <w:kern w:val="0"/>
          <w:sz w:val="32"/>
          <w:szCs w:val="32"/>
        </w:rPr>
        <w:t>。</w:t>
      </w:r>
    </w:p>
    <w:p>
      <w:pPr>
        <w:widowControl/>
        <w:numPr>
          <w:ilvl w:val="0"/>
          <w:numId w:val="2"/>
        </w:numPr>
        <w:shd w:val="clear" w:color="auto" w:fill="FFFFFF"/>
        <w:spacing w:line="421" w:lineRule="atLeast"/>
        <w:ind w:firstLine="320" w:firstLineChars="100"/>
        <w:jc w:val="left"/>
        <w:rPr>
          <w:rFonts w:hint="eastAsia" w:asciiTheme="minorEastAsia" w:hAnsiTheme="minorEastAsia"/>
          <w:bCs/>
          <w:kern w:val="0"/>
          <w:sz w:val="32"/>
          <w:szCs w:val="32"/>
        </w:rPr>
      </w:pPr>
      <w:r>
        <w:rPr>
          <w:rFonts w:hint="eastAsia" w:asciiTheme="minorEastAsia" w:hAnsiTheme="minorEastAsia"/>
          <w:bCs/>
          <w:kern w:val="0"/>
          <w:sz w:val="32"/>
          <w:szCs w:val="32"/>
        </w:rPr>
        <w:t>决算单位构成。</w:t>
      </w:r>
    </w:p>
    <w:p>
      <w:pPr>
        <w:widowControl/>
        <w:numPr>
          <w:ilvl w:val="-1"/>
          <w:numId w:val="0"/>
        </w:numPr>
        <w:shd w:val="clear" w:color="auto" w:fill="FFFFFF"/>
        <w:spacing w:line="421" w:lineRule="atLeast"/>
        <w:ind w:firstLine="640" w:firstLineChars="200"/>
        <w:jc w:val="left"/>
        <w:rPr>
          <w:rFonts w:hint="eastAsia" w:asciiTheme="minorEastAsia" w:hAnsiTheme="minorEastAsia"/>
          <w:bCs/>
          <w:kern w:val="0"/>
          <w:sz w:val="32"/>
          <w:szCs w:val="32"/>
        </w:rPr>
      </w:pPr>
      <w:r>
        <w:rPr>
          <w:rFonts w:hint="eastAsia" w:asciiTheme="minorEastAsia" w:hAnsiTheme="minorEastAsia"/>
          <w:bCs/>
          <w:kern w:val="0"/>
          <w:sz w:val="32"/>
          <w:szCs w:val="32"/>
          <w:lang w:val="en-US" w:eastAsia="zh-CN"/>
        </w:rPr>
        <w:t>湖南省邵阳生态环境监测中心</w:t>
      </w:r>
      <w:r>
        <w:rPr>
          <w:rFonts w:hint="eastAsia" w:asciiTheme="minorEastAsia" w:hAnsiTheme="minorEastAsia"/>
          <w:bCs/>
          <w:kern w:val="0"/>
          <w:sz w:val="32"/>
          <w:szCs w:val="32"/>
        </w:rPr>
        <w:t>2021年部门决算汇总公开单位构成包括：</w:t>
      </w:r>
      <w:r>
        <w:rPr>
          <w:rFonts w:hint="eastAsia" w:asciiTheme="minorEastAsia" w:hAnsiTheme="minorEastAsia"/>
          <w:bCs/>
          <w:kern w:val="0"/>
          <w:sz w:val="32"/>
          <w:szCs w:val="32"/>
          <w:lang w:eastAsia="zh-CN"/>
        </w:rPr>
        <w:t>湖南省</w:t>
      </w:r>
      <w:r>
        <w:rPr>
          <w:rFonts w:hint="eastAsia" w:asciiTheme="minorEastAsia" w:hAnsiTheme="minorEastAsia"/>
          <w:bCs/>
          <w:kern w:val="0"/>
          <w:sz w:val="32"/>
          <w:szCs w:val="32"/>
        </w:rPr>
        <w:t>邵阳</w:t>
      </w:r>
      <w:r>
        <w:rPr>
          <w:rFonts w:hint="eastAsia" w:asciiTheme="minorEastAsia" w:hAnsiTheme="minorEastAsia"/>
          <w:bCs/>
          <w:kern w:val="0"/>
          <w:sz w:val="32"/>
          <w:szCs w:val="32"/>
          <w:lang w:eastAsia="zh-CN"/>
        </w:rPr>
        <w:t>生态</w:t>
      </w:r>
      <w:r>
        <w:rPr>
          <w:rFonts w:hint="eastAsia" w:asciiTheme="minorEastAsia" w:hAnsiTheme="minorEastAsia"/>
          <w:bCs/>
          <w:kern w:val="0"/>
          <w:sz w:val="32"/>
          <w:szCs w:val="32"/>
        </w:rPr>
        <w:t>环境监测</w:t>
      </w:r>
      <w:r>
        <w:rPr>
          <w:rFonts w:hint="eastAsia" w:asciiTheme="minorEastAsia" w:hAnsiTheme="minorEastAsia"/>
          <w:bCs/>
          <w:kern w:val="0"/>
          <w:sz w:val="32"/>
          <w:szCs w:val="32"/>
          <w:lang w:eastAsia="zh-CN"/>
        </w:rPr>
        <w:t>中心</w:t>
      </w:r>
      <w:r>
        <w:rPr>
          <w:rFonts w:hint="eastAsia" w:asciiTheme="minorEastAsia" w:hAnsiTheme="minorEastAsia"/>
          <w:bCs/>
          <w:kern w:val="0"/>
          <w:sz w:val="32"/>
          <w:szCs w:val="32"/>
        </w:rPr>
        <w:t>本级</w:t>
      </w:r>
      <w:r>
        <w:rPr>
          <w:rFonts w:hint="eastAsia" w:asciiTheme="minorEastAsia" w:hAnsiTheme="minorEastAsia"/>
          <w:bCs/>
          <w:kern w:val="0"/>
          <w:sz w:val="32"/>
          <w:szCs w:val="32"/>
          <w:lang w:eastAsia="zh-CN"/>
        </w:rPr>
        <w:t>。</w:t>
      </w:r>
    </w:p>
    <w:p>
      <w:pPr>
        <w:jc w:val="left"/>
        <w:rPr>
          <w:rFonts w:ascii="仿宋_GB2312" w:eastAsia="仿宋_GB2312" w:hAnsiTheme="minorEastAsia"/>
          <w:color w:val="auto"/>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1803" w:bottom="720" w:left="1803" w:header="851" w:footer="992" w:gutter="0"/>
          <w:pgBorders>
            <w:top w:val="none" w:sz="0" w:space="0"/>
            <w:left w:val="none" w:sz="0" w:space="0"/>
            <w:bottom w:val="none" w:sz="0" w:space="0"/>
            <w:right w:val="none" w:sz="0" w:space="0"/>
          </w:pgBorders>
          <w:cols w:space="425" w:num="1"/>
          <w:docGrid w:type="lines" w:linePitch="312" w:charSpace="0"/>
        </w:sectPr>
      </w:pPr>
    </w:p>
    <w:tbl>
      <w:tblPr>
        <w:tblStyle w:val="7"/>
        <w:tblW w:w="14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7"/>
        <w:gridCol w:w="776"/>
        <w:gridCol w:w="1557"/>
        <w:gridCol w:w="4052"/>
        <w:gridCol w:w="776"/>
        <w:gridCol w:w="2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081" w:type="dxa"/>
            <w:gridSpan w:val="6"/>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部门：湖南省邵阳生态环境监测中心</w:t>
            </w: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2021年度</w:t>
            </w: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0" w:type="auto"/>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1,458.59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四、上级补助收入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五、事业收入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六、经营收入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七、附属单位上缴收入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八、其他收入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1,908.79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3,442.82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使用非财政拨款结余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1,195.19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结余分配</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3,634.58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3,634.58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2.本套报表金额单位转换时可能存在尾数误差。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6"/>
            <w:tcBorders>
              <w:top w:val="nil"/>
              <w:left w:val="nil"/>
              <w:bottom w:val="nil"/>
              <w:right w:val="single" w:color="80808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bl>
    <w:p>
      <w:pPr>
        <w:jc w:val="center"/>
        <w:rPr>
          <w:rFonts w:ascii="黑体" w:hAnsi="黑体" w:eastAsia="黑体"/>
          <w:sz w:val="28"/>
          <w:szCs w:val="28"/>
        </w:rPr>
      </w:pPr>
    </w:p>
    <w:p>
      <w:pPr>
        <w:pStyle w:val="2"/>
        <w:rPr>
          <w:rFonts w:ascii="黑体" w:hAnsi="黑体" w:eastAsia="黑体"/>
          <w:sz w:val="28"/>
          <w:szCs w:val="28"/>
        </w:rPr>
      </w:pPr>
    </w:p>
    <w:p>
      <w:pPr>
        <w:pStyle w:val="2"/>
        <w:rPr>
          <w:rFonts w:ascii="黑体" w:hAnsi="黑体" w:eastAsia="黑体"/>
          <w:sz w:val="28"/>
          <w:szCs w:val="28"/>
        </w:rPr>
      </w:pPr>
    </w:p>
    <w:p>
      <w:pPr>
        <w:pStyle w:val="2"/>
        <w:rPr>
          <w:rFonts w:ascii="黑体" w:hAnsi="黑体" w:eastAsia="黑体"/>
          <w:sz w:val="28"/>
          <w:szCs w:val="28"/>
        </w:rPr>
      </w:pPr>
    </w:p>
    <w:p>
      <w:pPr>
        <w:pStyle w:val="2"/>
        <w:rPr>
          <w:rFonts w:ascii="黑体" w:hAnsi="黑体" w:eastAsia="黑体"/>
          <w:sz w:val="28"/>
          <w:szCs w:val="28"/>
        </w:rPr>
      </w:pPr>
    </w:p>
    <w:tbl>
      <w:tblPr>
        <w:tblStyle w:val="7"/>
        <w:tblpPr w:leftFromText="180" w:rightFromText="180" w:vertAnchor="text" w:horzAnchor="page" w:tblpXSpec="center" w:tblpY="507"/>
        <w:tblOverlap w:val="never"/>
        <w:tblW w:w="15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68"/>
        <w:gridCol w:w="240"/>
        <w:gridCol w:w="240"/>
        <w:gridCol w:w="2235"/>
        <w:gridCol w:w="1613"/>
        <w:gridCol w:w="1522"/>
        <w:gridCol w:w="1380"/>
        <w:gridCol w:w="1365"/>
        <w:gridCol w:w="1103"/>
        <w:gridCol w:w="1232"/>
        <w:gridCol w:w="11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5760" w:type="dxa"/>
            <w:gridSpan w:val="11"/>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3668"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235"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613"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522"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38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365"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103"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232"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162"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3668" w:type="dxa"/>
            <w:tcBorders>
              <w:top w:val="nil"/>
              <w:left w:val="nil"/>
              <w:bottom w:val="single" w:color="80808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部门：湖南省邵阳生态环境监测中心</w:t>
            </w:r>
          </w:p>
        </w:tc>
        <w:tc>
          <w:tcPr>
            <w:tcW w:w="240"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40"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235"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613"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522" w:type="dxa"/>
            <w:tcBorders>
              <w:top w:val="nil"/>
              <w:left w:val="nil"/>
              <w:bottom w:val="single" w:color="80808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380"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365"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103"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232"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162"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6383"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61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52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138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136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110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123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16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414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235"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8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0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3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414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35"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8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0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3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414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35"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8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0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3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6383"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61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8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6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0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3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6383"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1,908.79</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1,458.59</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123.29</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20808</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抚恤</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16.71</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2080801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死亡抚恤</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16.16</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2080899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其他优抚支出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0.55</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1,667.94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1,235.77</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432.17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889.75</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768.68</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768.68</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768.68</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其他环境保护管理事务支出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121.07</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343.39</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343.39</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343.39</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343.39</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123.70</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123.70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123.70</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123.70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21114</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能源管理事务</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229.14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2111499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其他能源管理事务支出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229.14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其他节能环保支出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81.97</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2119999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其他节能环保支出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81.97</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414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2299999</w:t>
            </w:r>
          </w:p>
        </w:tc>
        <w:tc>
          <w:tcPr>
            <w:tcW w:w="22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0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jc w:val="center"/>
        </w:trPr>
        <w:tc>
          <w:tcPr>
            <w:tcW w:w="15760" w:type="dxa"/>
            <w:gridSpan w:val="11"/>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pPr>
        <w:pStyle w:val="2"/>
        <w:rPr>
          <w:rFonts w:ascii="黑体" w:hAnsi="黑体" w:eastAsia="黑体"/>
          <w:sz w:val="28"/>
          <w:szCs w:val="28"/>
        </w:rPr>
      </w:pPr>
    </w:p>
    <w:p>
      <w:pPr>
        <w:pStyle w:val="2"/>
        <w:rPr>
          <w:rFonts w:ascii="黑体" w:hAnsi="黑体" w:eastAsia="黑体"/>
          <w:sz w:val="28"/>
          <w:szCs w:val="28"/>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425" w:num="1"/>
          <w:docGrid w:type="linesAndChar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7"/>
        <w:tblW w:w="14985" w:type="dxa"/>
        <w:tblInd w:w="4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82"/>
        <w:gridCol w:w="222"/>
        <w:gridCol w:w="222"/>
        <w:gridCol w:w="3616"/>
        <w:gridCol w:w="1277"/>
        <w:gridCol w:w="1277"/>
        <w:gridCol w:w="1277"/>
        <w:gridCol w:w="1114"/>
        <w:gridCol w:w="925"/>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trPr>
        <w:tc>
          <w:tcPr>
            <w:tcW w:w="14985" w:type="dxa"/>
            <w:gridSpan w:val="10"/>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38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61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7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7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7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114"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92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73" w:type="dxa"/>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382" w:type="dxa"/>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部门：湖南省邵阳生态环境监测中心</w:t>
            </w: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61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77" w:type="dxa"/>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277"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77"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114"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925"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73" w:type="dxa"/>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7442"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2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2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2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11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9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167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826"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61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7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826"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7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826"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7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7442"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27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7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7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1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2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7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7442"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3,442.82</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1,456.20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1,986.62</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123.29</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123.29</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20808</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抚恤</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16.71</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16.71</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2080801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死亡抚恤</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16.16</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16.16</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2080899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其他优抚支出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0.55</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0.55</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3,201.97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1,216.67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1,985.30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889.63</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889.63</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768.56</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768.56</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其他环境保护管理事务支出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270.98</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270.98</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270.98</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270.98</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407.46</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407.46</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其他污染防治支出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398.76</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398.76</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127.61</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127.61</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127.61</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127.61</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21114</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能源管理事务</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1,424.32</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245.07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1,179.26</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2111499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其他能源管理事务支出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1,424.32</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245.07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1,179.26</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其他节能环保支出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81.97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81.97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2119999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其他节能环保支出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81.97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81.97</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1.32</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826"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2299999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11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14985" w:type="dxa"/>
            <w:gridSpan w:val="10"/>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tbl>
      <w:tblPr>
        <w:tblStyle w:val="7"/>
        <w:tblW w:w="155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36"/>
        <w:gridCol w:w="483"/>
        <w:gridCol w:w="1402"/>
        <w:gridCol w:w="3216"/>
        <w:gridCol w:w="1151"/>
        <w:gridCol w:w="1016"/>
        <w:gridCol w:w="1402"/>
        <w:gridCol w:w="1359"/>
        <w:gridCol w:w="1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2" w:hRule="atLeast"/>
        </w:trPr>
        <w:tc>
          <w:tcPr>
            <w:tcW w:w="15521" w:type="dxa"/>
            <w:gridSpan w:val="9"/>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0" w:type="auto"/>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部门：湖南省邵阳生态环境监测中心</w:t>
            </w: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0" w:type="auto"/>
            <w:gridSpan w:val="6"/>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56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48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40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3073"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10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0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140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168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3568" w:type="dxa"/>
            <w:vMerge w:val="continue"/>
            <w:tcBorders>
              <w:top w:val="nil"/>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48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073" w:type="dxa"/>
            <w:vMerge w:val="continue"/>
            <w:tcBorders>
              <w:top w:val="nil"/>
              <w:left w:val="nil"/>
              <w:bottom w:val="single" w:color="000000" w:sz="4" w:space="0"/>
              <w:right w:val="single" w:color="000000" w:sz="4" w:space="0"/>
            </w:tcBorders>
            <w:shd w:val="clear" w:color="auto" w:fill="auto"/>
            <w:vAlign w:val="bottom"/>
          </w:tcPr>
          <w:p>
            <w:pPr>
              <w:jc w:val="both"/>
              <w:rPr>
                <w:rFonts w:hint="eastAsia" w:ascii="宋体" w:hAnsi="宋体" w:eastAsia="宋体" w:cs="宋体"/>
                <w:i w:val="0"/>
                <w:iCs w:val="0"/>
                <w:color w:val="000000"/>
                <w:sz w:val="20"/>
                <w:szCs w:val="20"/>
                <w:u w:val="none"/>
              </w:rPr>
            </w:pPr>
          </w:p>
        </w:tc>
        <w:tc>
          <w:tcPr>
            <w:tcW w:w="110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bottom"/>
          </w:tcPr>
          <w:p>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1,458.59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1,574.61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1,574.61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1,458.59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1,797.43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1,797.43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191.77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191.77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530.61</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1,989.20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1,989.20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1,989.20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0" w:type="auto"/>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r>
      <w:bookmarkEnd w:id="1"/>
    </w:tbl>
    <w:p>
      <w:pPr>
        <w:widowControl/>
        <w:jc w:val="left"/>
        <w:rPr>
          <w:rFonts w:ascii="Times New Roman" w:hAnsi="Times New Roman" w:eastAsia="仿宋_GB2312" w:cs="Times New Roman"/>
          <w:bCs/>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bCs/>
          <w:kern w:val="0"/>
          <w:szCs w:val="21"/>
        </w:rPr>
        <w:br w:type="page"/>
      </w:r>
    </w:p>
    <w:tbl>
      <w:tblPr>
        <w:tblStyle w:val="7"/>
        <w:tblW w:w="14711" w:type="dxa"/>
        <w:tblInd w:w="6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30"/>
        <w:gridCol w:w="1923"/>
        <w:gridCol w:w="78"/>
        <w:gridCol w:w="4"/>
        <w:gridCol w:w="9"/>
        <w:gridCol w:w="223"/>
        <w:gridCol w:w="4"/>
        <w:gridCol w:w="232"/>
        <w:gridCol w:w="4"/>
        <w:gridCol w:w="982"/>
        <w:gridCol w:w="716"/>
        <w:gridCol w:w="415"/>
        <w:gridCol w:w="1571"/>
        <w:gridCol w:w="382"/>
        <w:gridCol w:w="91"/>
        <w:gridCol w:w="1445"/>
        <w:gridCol w:w="107"/>
        <w:gridCol w:w="609"/>
        <w:gridCol w:w="580"/>
        <w:gridCol w:w="971"/>
        <w:gridCol w:w="1470"/>
        <w:gridCol w:w="424"/>
        <w:gridCol w:w="518"/>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75" w:hRule="atLeast"/>
        </w:trPr>
        <w:tc>
          <w:tcPr>
            <w:tcW w:w="13988" w:type="dxa"/>
            <w:gridSpan w:val="23"/>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1"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36"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36"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688" w:type="dxa"/>
            <w:gridSpan w:val="5"/>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025" w:type="dxa"/>
            <w:gridSpan w:val="4"/>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160"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412" w:type="dxa"/>
            <w:gridSpan w:val="3"/>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1" w:type="dxa"/>
            <w:gridSpan w:val="3"/>
            <w:tcBorders>
              <w:top w:val="nil"/>
              <w:left w:val="nil"/>
              <w:bottom w:val="single" w:color="80808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部门：湖南省邵阳生态环境监测中心</w:t>
            </w:r>
          </w:p>
        </w:tc>
        <w:tc>
          <w:tcPr>
            <w:tcW w:w="240" w:type="dxa"/>
            <w:gridSpan w:val="4"/>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36" w:type="dxa"/>
            <w:gridSpan w:val="2"/>
            <w:tcBorders>
              <w:top w:val="nil"/>
              <w:left w:val="nil"/>
              <w:bottom w:val="single" w:color="808080" w:sz="4" w:space="0"/>
              <w:right w:val="nil"/>
            </w:tcBorders>
            <w:shd w:val="clear" w:color="auto" w:fill="FFFFFF"/>
            <w:noWrap/>
            <w:vAlign w:val="top"/>
          </w:tcPr>
          <w:p>
            <w:pPr>
              <w:jc w:val="left"/>
              <w:rPr>
                <w:rFonts w:hint="eastAsia" w:ascii="宋体" w:hAnsi="宋体" w:eastAsia="宋体" w:cs="宋体"/>
                <w:i w:val="0"/>
                <w:iCs w:val="0"/>
                <w:color w:val="000000"/>
                <w:sz w:val="18"/>
                <w:szCs w:val="18"/>
                <w:u w:val="none"/>
              </w:rPr>
            </w:pPr>
          </w:p>
        </w:tc>
        <w:tc>
          <w:tcPr>
            <w:tcW w:w="3684" w:type="dxa"/>
            <w:gridSpan w:val="4"/>
            <w:tcBorders>
              <w:top w:val="nil"/>
              <w:left w:val="nil"/>
              <w:bottom w:val="single" w:color="80808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2025" w:type="dxa"/>
            <w:gridSpan w:val="4"/>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160" w:type="dxa"/>
            <w:gridSpan w:val="3"/>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412" w:type="dxa"/>
            <w:gridSpan w:val="3"/>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7391" w:type="dxa"/>
            <w:gridSpan w:val="1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597" w:type="dxa"/>
            <w:gridSpan w:val="10"/>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4156" w:type="dxa"/>
            <w:gridSpan w:val="9"/>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025" w:type="dxa"/>
            <w:gridSpan w:val="4"/>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160" w:type="dxa"/>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412" w:type="dxa"/>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270" w:hRule="atLeast"/>
        </w:trPr>
        <w:tc>
          <w:tcPr>
            <w:tcW w:w="3235" w:type="dxa"/>
            <w:gridSpan w:val="4"/>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56" w:type="dxa"/>
            <w:gridSpan w:val="9"/>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25" w:type="dxa"/>
            <w:gridSpan w:val="4"/>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60"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2"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156" w:type="dxa"/>
            <w:gridSpan w:val="9"/>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25" w:type="dxa"/>
            <w:gridSpan w:val="4"/>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60"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12"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7391" w:type="dxa"/>
            <w:gridSpan w:val="1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7391" w:type="dxa"/>
            <w:gridSpan w:val="1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1,797.43</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991.38</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106.58</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106.58</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46.24</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1,574.61</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768.56</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768.56</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768.56</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768.56</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768.56</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270.98</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270.98</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407.46</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8.70</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2110399</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其他污染防治支出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398.76</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127.61</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127.61</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3235"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4156" w:type="dxa"/>
            <w:gridSpan w:val="9"/>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2025"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2160"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70.00</w:t>
            </w:r>
          </w:p>
        </w:tc>
        <w:tc>
          <w:tcPr>
            <w:tcW w:w="241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23" w:type="dxa"/>
          <w:trHeight w:val="300" w:hRule="atLeast"/>
        </w:trPr>
        <w:tc>
          <w:tcPr>
            <w:tcW w:w="13988" w:type="dxa"/>
            <w:gridSpan w:val="23"/>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3" w:type="dxa"/>
          <w:trHeight w:val="300" w:hRule="atLeast"/>
        </w:trPr>
        <w:tc>
          <w:tcPr>
            <w:tcW w:w="13988" w:type="dxa"/>
            <w:gridSpan w:val="23"/>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8" w:hRule="atLeast"/>
        </w:trPr>
        <w:tc>
          <w:tcPr>
            <w:tcW w:w="14711" w:type="dxa"/>
            <w:gridSpan w:val="24"/>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p>
            <w:pPr>
              <w:jc w:val="center"/>
              <w:rPr>
                <w:rFonts w:hint="eastAsia" w:ascii="宋体" w:hAnsi="宋体" w:eastAsia="宋体" w:cs="宋体"/>
                <w:i w:val="0"/>
                <w:iCs w:val="0"/>
                <w:color w:val="000000"/>
                <w:sz w:val="22"/>
                <w:szCs w:val="22"/>
                <w:u w:val="none"/>
              </w:rPr>
            </w:pPr>
          </w:p>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014" w:type="dxa"/>
            <w:gridSpan w:val="4"/>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445" w:type="dxa"/>
            <w:gridSpan w:val="5"/>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131"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044"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445"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296"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865"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241" w:type="dxa"/>
            <w:gridSpan w:val="2"/>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153" w:type="dxa"/>
            <w:gridSpan w:val="2"/>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部门：湖南省邵阳生态环境监测中心</w:t>
            </w:r>
          </w:p>
        </w:tc>
        <w:tc>
          <w:tcPr>
            <w:tcW w:w="1536" w:type="dxa"/>
            <w:gridSpan w:val="8"/>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1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368" w:type="dxa"/>
            <w:gridSpan w:val="3"/>
            <w:tcBorders>
              <w:top w:val="nil"/>
              <w:left w:val="nil"/>
              <w:bottom w:val="single" w:color="808080" w:sz="4" w:space="0"/>
              <w:right w:val="nil"/>
            </w:tcBorders>
            <w:shd w:val="clear" w:color="auto" w:fill="auto"/>
            <w:noWrap/>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2021年度</w:t>
            </w:r>
          </w:p>
        </w:tc>
        <w:tc>
          <w:tcPr>
            <w:tcW w:w="1536" w:type="dxa"/>
            <w:gridSpan w:val="2"/>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16" w:type="dxa"/>
            <w:gridSpan w:val="2"/>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021" w:type="dxa"/>
            <w:gridSpan w:val="3"/>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65" w:type="dxa"/>
            <w:gridSpan w:val="3"/>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89" w:type="dxa"/>
            <w:gridSpan w:val="10"/>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10022" w:type="dxa"/>
            <w:gridSpan w:val="1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014" w:type="dxa"/>
            <w:gridSpan w:val="4"/>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45" w:type="dxa"/>
            <w:gridSpan w:val="5"/>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113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044" w:type="dxa"/>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4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1296" w:type="dxa"/>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865" w:type="dxa"/>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24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14" w:type="dxa"/>
            <w:gridSpan w:val="4"/>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45" w:type="dxa"/>
            <w:gridSpan w:val="5"/>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31"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44"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4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96"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65" w:type="dxa"/>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1"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832.56</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146.84</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299.58</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2.75</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29.45</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3.45</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49.28</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204.54</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82.69</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12.23</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72.17</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23.64</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12.85</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7.36</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70.61</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7.93</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11.99</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39906</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赠与</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36.55</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13.22</w:t>
            </w:r>
          </w:p>
        </w:tc>
        <w:tc>
          <w:tcPr>
            <w:tcW w:w="1296"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28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24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w:t>
            </w:r>
          </w:p>
        </w:tc>
        <w:tc>
          <w:tcPr>
            <w:tcW w:w="1296" w:type="dxa"/>
            <w:gridSpan w:val="3"/>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865" w:type="dxa"/>
            <w:gridSpan w:val="3"/>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41" w:type="dxa"/>
            <w:gridSpan w:val="2"/>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20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445"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8.98</w:t>
            </w: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96" w:type="dxa"/>
            <w:gridSpan w:val="3"/>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865" w:type="dxa"/>
            <w:gridSpan w:val="3"/>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41" w:type="dxa"/>
            <w:gridSpan w:val="2"/>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3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014" w:type="dxa"/>
            <w:gridSpan w:val="4"/>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445" w:type="dxa"/>
            <w:gridSpan w:val="5"/>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31"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204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144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22.72</w:t>
            </w:r>
          </w:p>
        </w:tc>
        <w:tc>
          <w:tcPr>
            <w:tcW w:w="1296" w:type="dxa"/>
            <w:gridSpan w:val="3"/>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865" w:type="dxa"/>
            <w:gridSpan w:val="3"/>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41" w:type="dxa"/>
            <w:gridSpan w:val="2"/>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53"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1536" w:type="dxa"/>
            <w:gridSpan w:val="8"/>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844.55</w:t>
            </w:r>
          </w:p>
        </w:tc>
        <w:tc>
          <w:tcPr>
            <w:tcW w:w="8357" w:type="dxa"/>
            <w:gridSpan w:val="11"/>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1665"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711" w:type="dxa"/>
            <w:gridSpan w:val="2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pPr>
        <w:widowControl/>
        <w:jc w:val="left"/>
        <w:rPr>
          <w:rFonts w:ascii="宋体" w:eastAsia="宋体" w:cs="宋体"/>
          <w:kern w:val="0"/>
          <w:sz w:val="24"/>
          <w:szCs w:val="24"/>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tbl>
      <w:tblPr>
        <w:tblStyle w:val="7"/>
        <w:tblW w:w="152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36"/>
        <w:gridCol w:w="892"/>
        <w:gridCol w:w="856"/>
        <w:gridCol w:w="747"/>
        <w:gridCol w:w="856"/>
        <w:gridCol w:w="1577"/>
        <w:gridCol w:w="990"/>
        <w:gridCol w:w="1162"/>
        <w:gridCol w:w="1043"/>
        <w:gridCol w:w="840"/>
        <w:gridCol w:w="862"/>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5211" w:type="dxa"/>
            <w:gridSpan w:val="12"/>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373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9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5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4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5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7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99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16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43"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4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6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50" w:type="dxa"/>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3736" w:type="dxa"/>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部门：湖南省邵阳生态环境监测中心</w:t>
            </w:r>
          </w:p>
        </w:tc>
        <w:tc>
          <w:tcPr>
            <w:tcW w:w="89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5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47"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5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77" w:type="dxa"/>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2021年12月</w:t>
            </w:r>
          </w:p>
        </w:tc>
        <w:tc>
          <w:tcPr>
            <w:tcW w:w="99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16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43"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4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6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50" w:type="dxa"/>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8664" w:type="dxa"/>
            <w:gridSpan w:val="6"/>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6547" w:type="dxa"/>
            <w:gridSpan w:val="6"/>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373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89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2459"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15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99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16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2745"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1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37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9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74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公务用车购置费</w:t>
            </w:r>
          </w:p>
        </w:tc>
        <w:tc>
          <w:tcPr>
            <w:tcW w:w="8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公务用车运行费</w:t>
            </w:r>
          </w:p>
        </w:tc>
        <w:tc>
          <w:tcPr>
            <w:tcW w:w="157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8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公务用车购置费</w:t>
            </w:r>
          </w:p>
        </w:tc>
        <w:tc>
          <w:tcPr>
            <w:tcW w:w="8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公务用车运行费</w:t>
            </w:r>
          </w:p>
        </w:tc>
        <w:tc>
          <w:tcPr>
            <w:tcW w:w="1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37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9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7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9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4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6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373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19.25</w:t>
            </w:r>
          </w:p>
        </w:tc>
        <w:tc>
          <w:tcPr>
            <w:tcW w:w="8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8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13.25</w:t>
            </w:r>
          </w:p>
        </w:tc>
        <w:tc>
          <w:tcPr>
            <w:tcW w:w="74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8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13.25</w:t>
            </w:r>
          </w:p>
        </w:tc>
        <w:tc>
          <w:tcPr>
            <w:tcW w:w="15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9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15.88</w:t>
            </w:r>
          </w:p>
        </w:tc>
        <w:tc>
          <w:tcPr>
            <w:tcW w:w="11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13.22</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13.22</w:t>
            </w:r>
          </w:p>
        </w:tc>
        <w:tc>
          <w:tcPr>
            <w:tcW w:w="1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15211"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湖南省邵阳生态环境监测中心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2021年12月31日</w:t>
      </w:r>
      <w:r>
        <w:rPr>
          <w:rFonts w:ascii="Times New Roman" w:hAnsi="Times New Roman" w:eastAsia="仿宋_GB2312" w:cs="Times New Roman"/>
          <w:color w:val="000000"/>
          <w:kern w:val="0"/>
          <w:szCs w:val="21"/>
        </w:rPr>
        <w:t xml:space="preserve">                                            公开08表</w:t>
      </w:r>
    </w:p>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7"/>
        <w:tblW w:w="1417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17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1737"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1737"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1737"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1737"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737" w:type="dxa"/>
            <w:tcBorders>
              <w:bottom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7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7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7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7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本表反映部门本年度政府性基金预算财政拨款收入、支出及结转和结余情况</w:t>
      </w:r>
    </w:p>
    <w:p>
      <w:pPr>
        <w:widowControl/>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7"/>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444"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3775" w:type="dxa"/>
            <w:gridSpan w:val="3"/>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湖南省邵阳生态环境监测中心</w:t>
            </w:r>
            <w:r>
              <w:rPr>
                <w:rFonts w:hint="eastAsia" w:ascii="宋体" w:hAnsi="宋体" w:eastAsia="宋体" w:cs="宋体"/>
                <w:kern w:val="0"/>
                <w:sz w:val="20"/>
                <w:szCs w:val="20"/>
              </w:rPr>
              <w:t>　</w:t>
            </w:r>
          </w:p>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hint="default" w:ascii="宋体" w:hAnsi="宋体" w:eastAsia="宋体" w:cs="宋体"/>
                <w:kern w:val="0"/>
                <w:sz w:val="20"/>
                <w:szCs w:val="20"/>
                <w:lang w:val="en-US"/>
              </w:rPr>
            </w:pPr>
            <w:r>
              <w:rPr>
                <w:rFonts w:hint="eastAsia" w:ascii="宋体" w:hAnsi="宋体" w:eastAsia="宋体" w:cs="宋体"/>
                <w:kern w:val="0"/>
                <w:sz w:val="20"/>
                <w:szCs w:val="20"/>
              </w:rPr>
              <w:t>　</w:t>
            </w:r>
            <w:r>
              <w:rPr>
                <w:rFonts w:hint="eastAsia" w:ascii="Times New Roman" w:hAnsi="Times New Roman" w:eastAsia="仿宋_GB2312" w:cs="Times New Roman"/>
                <w:color w:val="000000"/>
                <w:kern w:val="0"/>
                <w:szCs w:val="21"/>
                <w:lang w:val="en-US" w:eastAsia="zh-CN"/>
              </w:rPr>
              <w:t>2021年12月31日</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rPr>
            </w:pPr>
            <w:r>
              <w:rPr>
                <w:rFonts w:hint="eastAsia"/>
              </w:rPr>
              <w:t>本表反映部门本年度国有资本经营预算财政拨款支出情况。</w:t>
            </w:r>
          </w:p>
          <w:p>
            <w:pPr>
              <w:widowControl/>
              <w:jc w:val="left"/>
              <w:rPr>
                <w:rFonts w:hint="eastAsia" w:eastAsiaTheme="minorEastAsia"/>
                <w:lang w:val="en-US" w:eastAsia="zh-CN"/>
              </w:rPr>
            </w:pPr>
            <w:r>
              <w:rPr>
                <w:rFonts w:hint="eastAsia" w:ascii="宋体" w:hAnsi="宋体" w:eastAsia="宋体" w:cs="宋体"/>
                <w:kern w:val="0"/>
                <w:sz w:val="24"/>
                <w:szCs w:val="24"/>
              </w:rPr>
              <w:t>注：</w:t>
            </w:r>
            <w:r>
              <w:rPr>
                <w:rFonts w:hint="eastAsia" w:ascii="宋体" w:hAnsi="宋体" w:eastAsia="宋体" w:cs="宋体"/>
                <w:kern w:val="0"/>
                <w:sz w:val="24"/>
                <w:szCs w:val="24"/>
                <w:lang w:val="en-US" w:eastAsia="zh-CN"/>
              </w:rPr>
              <w:t>我单位无</w:t>
            </w:r>
            <w:r>
              <w:rPr>
                <w:rFonts w:hint="eastAsia"/>
              </w:rPr>
              <w:t>国有资本经营预算财政拨款支出</w:t>
            </w:r>
            <w:r>
              <w:rPr>
                <w:rFonts w:hint="eastAsia"/>
                <w:lang w:eastAsia="zh-CN"/>
              </w:rPr>
              <w:t>。</w:t>
            </w:r>
          </w:p>
        </w:tc>
      </w:tr>
    </w:tbl>
    <w:p>
      <w:pPr>
        <w:pStyle w:val="11"/>
        <w:rPr>
          <w:sz w:val="72"/>
          <w:szCs w:val="72"/>
        </w:rPr>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1"/>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一、收入支出决算总体情况说明</w:t>
      </w:r>
    </w:p>
    <w:p>
      <w:pPr>
        <w:pStyle w:val="6"/>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sz w:val="32"/>
          <w:szCs w:val="32"/>
        </w:rPr>
        <w:t>2021年度收</w:t>
      </w:r>
      <w:r>
        <w:rPr>
          <w:rFonts w:hint="eastAsia" w:asciiTheme="minorEastAsia" w:hAnsiTheme="minorEastAsia" w:eastAsiaTheme="minorEastAsia"/>
          <w:sz w:val="32"/>
          <w:szCs w:val="32"/>
          <w:lang w:val="en-US" w:eastAsia="zh-CN"/>
        </w:rPr>
        <w:t>入</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3634.58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（含年初结转和结余资金</w:t>
      </w:r>
      <w:r>
        <w:rPr>
          <w:rFonts w:hint="eastAsia" w:asciiTheme="minorEastAsia" w:hAnsiTheme="minorEastAsia" w:eastAsiaTheme="minorEastAsia"/>
          <w:sz w:val="32"/>
          <w:szCs w:val="32"/>
          <w:highlight w:val="none"/>
          <w:lang w:val="en-US" w:eastAsia="zh-CN"/>
        </w:rPr>
        <w:t>1725.8</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。与上年2768</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6</w:t>
      </w:r>
      <w:r>
        <w:rPr>
          <w:rFonts w:hint="eastAsia" w:asciiTheme="minorEastAsia" w:hAnsiTheme="minorEastAsia" w:eastAsiaTheme="minorEastAsia"/>
          <w:sz w:val="32"/>
          <w:szCs w:val="32"/>
          <w:lang w:val="en-US" w:eastAsia="zh-CN"/>
        </w:rPr>
        <w:t>4万</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865.94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31.28</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val="en-US" w:eastAsia="zh-CN"/>
        </w:rPr>
        <w:t>2020年垂改前期经费由邵阳市财政支出，2021年所有经费都从省级支出，本年</w:t>
      </w:r>
      <w:r>
        <w:rPr>
          <w:rFonts w:hint="eastAsia" w:asciiTheme="minorEastAsia" w:hAnsiTheme="minorEastAsia"/>
          <w:color w:val="auto"/>
          <w:sz w:val="32"/>
          <w:szCs w:val="32"/>
          <w:lang w:val="en-US" w:eastAsia="zh-CN"/>
        </w:rPr>
        <w:t>拨款</w:t>
      </w:r>
      <w:r>
        <w:rPr>
          <w:rFonts w:hint="eastAsia" w:asciiTheme="minorEastAsia" w:hAnsiTheme="minorEastAsia" w:eastAsiaTheme="minorEastAsia"/>
          <w:color w:val="auto"/>
          <w:sz w:val="32"/>
          <w:szCs w:val="32"/>
          <w:lang w:val="en-US" w:eastAsia="zh-CN"/>
        </w:rPr>
        <w:t>增加。</w:t>
      </w:r>
    </w:p>
    <w:p>
      <w:pPr>
        <w:pStyle w:val="6"/>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sz w:val="32"/>
          <w:szCs w:val="32"/>
        </w:rPr>
        <w:t>2021年度</w:t>
      </w:r>
      <w:r>
        <w:rPr>
          <w:rFonts w:hint="eastAsia" w:asciiTheme="minorEastAsia" w:hAnsiTheme="minorEastAsia"/>
          <w:sz w:val="32"/>
          <w:szCs w:val="32"/>
          <w:lang w:val="en-US" w:eastAsia="zh-CN"/>
        </w:rPr>
        <w:t>支出</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3634.58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highlight w:val="none"/>
        </w:rPr>
        <w:t>（含年</w:t>
      </w:r>
      <w:r>
        <w:rPr>
          <w:rFonts w:hint="eastAsia" w:asciiTheme="minorEastAsia" w:hAnsiTheme="minorEastAsia" w:eastAsiaTheme="minorEastAsia"/>
          <w:sz w:val="32"/>
          <w:szCs w:val="32"/>
          <w:highlight w:val="none"/>
          <w:lang w:val="en-US" w:eastAsia="zh-CN"/>
        </w:rPr>
        <w:t>末</w:t>
      </w:r>
      <w:r>
        <w:rPr>
          <w:rFonts w:hint="eastAsia" w:asciiTheme="minorEastAsia" w:hAnsiTheme="minorEastAsia" w:eastAsiaTheme="minorEastAsia"/>
          <w:sz w:val="32"/>
          <w:szCs w:val="32"/>
          <w:highlight w:val="none"/>
        </w:rPr>
        <w:t>结转和结余资金</w:t>
      </w:r>
      <w:r>
        <w:rPr>
          <w:rFonts w:hint="eastAsia" w:asciiTheme="minorEastAsia" w:hAnsiTheme="minorEastAsia"/>
          <w:sz w:val="32"/>
          <w:szCs w:val="32"/>
          <w:lang w:val="en-US" w:eastAsia="zh-CN"/>
        </w:rPr>
        <w:t>191</w:t>
      </w:r>
      <w:r>
        <w:rPr>
          <w:rFonts w:hint="eastAsia" w:asciiTheme="minorEastAsia" w:hAnsiTheme="minorEastAsia" w:eastAsiaTheme="minorEastAsia"/>
          <w:sz w:val="32"/>
          <w:szCs w:val="32"/>
          <w:highlight w:val="none"/>
          <w:lang w:val="en-US" w:eastAsia="zh-CN"/>
        </w:rPr>
        <w:t>.</w:t>
      </w:r>
      <w:r>
        <w:rPr>
          <w:rFonts w:hint="eastAsia" w:asciiTheme="minorEastAsia" w:hAnsiTheme="minorEastAsia"/>
          <w:sz w:val="32"/>
          <w:szCs w:val="32"/>
          <w:lang w:val="en-US" w:eastAsia="zh-CN"/>
        </w:rPr>
        <w:t>77</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。与上年2768</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6</w:t>
      </w:r>
      <w:r>
        <w:rPr>
          <w:rFonts w:hint="eastAsia" w:asciiTheme="minorEastAsia" w:hAnsiTheme="minorEastAsia" w:eastAsiaTheme="minorEastAsia"/>
          <w:sz w:val="32"/>
          <w:szCs w:val="32"/>
          <w:lang w:val="en-US" w:eastAsia="zh-CN"/>
        </w:rPr>
        <w:t>4万</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865.94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31.28</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val="en-US" w:eastAsia="zh-CN"/>
        </w:rPr>
        <w:t>2020年垂改前期经费由邵阳市财政支出，2021年所有经费都从省级支出，本年支出增加。</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1908.79</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不</w:t>
      </w:r>
      <w:r>
        <w:rPr>
          <w:rFonts w:hint="eastAsia" w:asciiTheme="minorEastAsia" w:hAnsiTheme="minorEastAsia" w:eastAsiaTheme="minorEastAsia"/>
          <w:sz w:val="32"/>
          <w:szCs w:val="32"/>
        </w:rPr>
        <w:t>含年初结转和结余资金</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，其中：财政拨款收入</w:t>
      </w:r>
      <w:r>
        <w:rPr>
          <w:rFonts w:hint="eastAsia" w:asciiTheme="minorEastAsia" w:hAnsiTheme="minorEastAsia" w:eastAsiaTheme="minorEastAsia"/>
          <w:sz w:val="32"/>
          <w:szCs w:val="32"/>
          <w:lang w:val="en-US" w:eastAsia="zh-CN"/>
        </w:rPr>
        <w:t>1458.59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76.42</w:t>
      </w:r>
      <w:r>
        <w:rPr>
          <w:rFonts w:hint="eastAsia" w:asciiTheme="minorEastAsia" w:hAnsiTheme="minorEastAsia" w:eastAsiaTheme="minorEastAsia"/>
          <w:sz w:val="32"/>
          <w:szCs w:val="32"/>
        </w:rPr>
        <w:t>%；</w:t>
      </w:r>
      <w:r>
        <w:rPr>
          <w:rFonts w:hint="eastAsia" w:cs="黑体" w:asciiTheme="minorEastAsia" w:hAnsiTheme="minorEastAsia" w:eastAsiaTheme="minorEastAsia"/>
          <w:i w:val="0"/>
          <w:iCs w:val="0"/>
          <w:caps w:val="0"/>
          <w:color w:val="000000"/>
          <w:spacing w:val="0"/>
          <w:kern w:val="0"/>
          <w:sz w:val="32"/>
          <w:szCs w:val="32"/>
          <w:shd w:val="clear" w:fill="auto"/>
          <w:lang w:val="en-US" w:eastAsia="zh-CN" w:bidi="ar"/>
        </w:rPr>
        <w:t>上级补助收入0万元，占0%；事业收入0万元，占0%；经营收入0万元，占0%；附属单位上缴收入0万元，占0%；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450.20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23.58</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3442.82</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不</w:t>
      </w:r>
      <w:r>
        <w:rPr>
          <w:rFonts w:hint="eastAsia" w:asciiTheme="minorEastAsia" w:hAnsiTheme="minorEastAsia" w:eastAsiaTheme="minorEastAsia"/>
          <w:sz w:val="32"/>
          <w:szCs w:val="32"/>
        </w:rPr>
        <w:t>含年</w:t>
      </w:r>
      <w:r>
        <w:rPr>
          <w:rFonts w:hint="eastAsia" w:asciiTheme="minorEastAsia" w:hAnsiTheme="minorEastAsia" w:eastAsiaTheme="minorEastAsia"/>
          <w:sz w:val="32"/>
          <w:szCs w:val="32"/>
          <w:lang w:val="en-US" w:eastAsia="zh-CN"/>
        </w:rPr>
        <w:t>末</w:t>
      </w:r>
      <w:r>
        <w:rPr>
          <w:rFonts w:hint="eastAsia" w:asciiTheme="minorEastAsia" w:hAnsiTheme="minorEastAsia" w:eastAsiaTheme="minorEastAsia"/>
          <w:sz w:val="32"/>
          <w:szCs w:val="32"/>
        </w:rPr>
        <w:t>结转和结余资金</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，其中：基本支出</w:t>
      </w:r>
      <w:r>
        <w:rPr>
          <w:rFonts w:hint="eastAsia" w:asciiTheme="minorEastAsia" w:hAnsiTheme="minorEastAsia" w:eastAsiaTheme="minorEastAsia"/>
          <w:sz w:val="32"/>
          <w:szCs w:val="32"/>
          <w:lang w:val="en-US" w:eastAsia="zh-CN"/>
        </w:rPr>
        <w:t>1456.20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42.30</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1986.62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57.7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cs="黑体" w:asciiTheme="minorEastAsia" w:hAnsiTheme="minorEastAsia" w:eastAsiaTheme="minorEastAsia"/>
          <w:i w:val="0"/>
          <w:iCs w:val="0"/>
          <w:caps w:val="0"/>
          <w:color w:val="000000"/>
          <w:spacing w:val="0"/>
          <w:kern w:val="0"/>
          <w:sz w:val="32"/>
          <w:szCs w:val="32"/>
          <w:shd w:val="clear" w:fill="auto"/>
          <w:lang w:val="en-US" w:eastAsia="zh-CN" w:bidi="ar"/>
        </w:rPr>
        <w:t>上缴上级支出0万元，占0%；经营支出0万元，占0%；对附属单位补助支出0万元，占0%</w:t>
      </w:r>
      <w:r>
        <w:rPr>
          <w:rFonts w:hint="eastAsia" w:asciiTheme="minorEastAsia" w:hAnsiTheme="minorEastAsia" w:eastAsiaTheme="minorEastAsia"/>
          <w:sz w:val="32"/>
          <w:szCs w:val="32"/>
          <w:lang w:eastAsia="zh-CN"/>
        </w:rPr>
        <w:t>。</w:t>
      </w:r>
    </w:p>
    <w:p>
      <w:pPr>
        <w:pStyle w:val="11"/>
        <w:rPr>
          <w:rFonts w:hAnsi="黑体"/>
          <w:b/>
          <w:sz w:val="32"/>
          <w:szCs w:val="32"/>
        </w:rPr>
      </w:pPr>
      <w:r>
        <w:rPr>
          <w:rFonts w:hint="eastAsia" w:hAnsi="黑体"/>
          <w:b/>
          <w:sz w:val="32"/>
          <w:szCs w:val="32"/>
        </w:rPr>
        <w:t>四、财政拨款收入支出决算总体情况说明</w:t>
      </w:r>
    </w:p>
    <w:p>
      <w:pPr>
        <w:pStyle w:val="11"/>
        <w:ind w:firstLine="0" w:firstLineChars="0"/>
        <w:rPr>
          <w:rFonts w:hint="eastAsia" w:asciiTheme="minorEastAsia" w:hAnsiTheme="minorEastAsia" w:eastAsiaTheme="minorEastAsia"/>
          <w:b w:val="0"/>
          <w:bCs w:val="0"/>
          <w:color w:val="000000"/>
          <w:sz w:val="32"/>
          <w:szCs w:val="32"/>
          <w:lang w:val="en-US" w:eastAsia="zh-CN"/>
        </w:rPr>
      </w:pPr>
      <w:r>
        <w:rPr>
          <w:rFonts w:hint="eastAsia" w:asciiTheme="minorEastAsia" w:hAnsiTheme="minorEastAsia" w:eastAsiaTheme="minorEastAsia"/>
          <w:sz w:val="32"/>
          <w:szCs w:val="32"/>
          <w:lang w:val="en-US" w:eastAsia="zh-CN"/>
        </w:rPr>
        <w:t xml:space="preserve">    </w:t>
      </w: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年度财政拨款收入合计</w:t>
      </w:r>
      <w:r>
        <w:rPr>
          <w:rFonts w:hint="eastAsia" w:asciiTheme="minorEastAsia" w:hAnsiTheme="minorEastAsia" w:eastAsiaTheme="minorEastAsia"/>
          <w:sz w:val="32"/>
          <w:szCs w:val="32"/>
          <w:lang w:val="en-US" w:eastAsia="zh-CN"/>
        </w:rPr>
        <w:t>1458.59</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不</w:t>
      </w:r>
      <w:r>
        <w:rPr>
          <w:rFonts w:hint="eastAsia" w:asciiTheme="minorEastAsia" w:hAnsiTheme="minorEastAsia" w:eastAsiaTheme="minorEastAsia"/>
          <w:sz w:val="32"/>
          <w:szCs w:val="32"/>
        </w:rPr>
        <w:t>含财政拨款年初结转和结余资金</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，与上年1282</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61相比，增加</w:t>
      </w:r>
      <w:r>
        <w:rPr>
          <w:rFonts w:hint="eastAsia" w:asciiTheme="minorEastAsia" w:hAnsiTheme="minorEastAsia" w:eastAsiaTheme="minorEastAsia"/>
          <w:sz w:val="32"/>
          <w:szCs w:val="32"/>
          <w:lang w:val="en-US" w:eastAsia="zh-CN"/>
        </w:rPr>
        <w:t>175.98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13.72</w:t>
      </w:r>
      <w:r>
        <w:rPr>
          <w:rFonts w:hint="eastAsia" w:asciiTheme="minorEastAsia" w:hAnsiTheme="minorEastAsia" w:eastAsiaTheme="minorEastAsia"/>
          <w:sz w:val="32"/>
          <w:szCs w:val="32"/>
        </w:rPr>
        <w:t>%，主要是因为2020年垂改前期经费由邵阳市财政支出，2021年所有经费都从省级支出，本年</w:t>
      </w:r>
      <w:r>
        <w:rPr>
          <w:rFonts w:hint="eastAsia" w:asciiTheme="minorEastAsia" w:hAnsiTheme="minorEastAsia" w:eastAsiaTheme="minorEastAsia"/>
          <w:sz w:val="32"/>
          <w:szCs w:val="32"/>
          <w:lang w:val="en-US" w:eastAsia="zh-CN"/>
        </w:rPr>
        <w:t>拨款</w:t>
      </w:r>
      <w:r>
        <w:rPr>
          <w:rFonts w:hint="eastAsia" w:asciiTheme="minorEastAsia" w:hAnsiTheme="minorEastAsia" w:eastAsiaTheme="minorEastAsia"/>
          <w:sz w:val="32"/>
          <w:szCs w:val="32"/>
        </w:rPr>
        <w:t>增加。</w:t>
      </w:r>
    </w:p>
    <w:p>
      <w:pPr>
        <w:pStyle w:val="11"/>
        <w:ind w:firstLine="640" w:firstLineChars="200"/>
        <w:rPr>
          <w:rFonts w:hint="default" w:ascii="宋体" w:hAnsi="宋体" w:eastAsia="宋体"/>
          <w:b/>
          <w:bCs/>
          <w:color w:val="FF0000"/>
          <w:sz w:val="28"/>
          <w:szCs w:val="28"/>
          <w:lang w:val="en-US" w:eastAsia="zh-CN"/>
        </w:rPr>
      </w:pPr>
      <w:r>
        <w:rPr>
          <w:rFonts w:hint="eastAsia" w:ascii="宋体" w:hAnsi="宋体" w:eastAsia="宋体"/>
          <w:sz w:val="32"/>
          <w:szCs w:val="32"/>
        </w:rPr>
        <w:t>202</w:t>
      </w:r>
      <w:r>
        <w:rPr>
          <w:rFonts w:hint="eastAsia" w:ascii="宋体" w:hAnsi="宋体" w:eastAsia="宋体"/>
          <w:sz w:val="32"/>
          <w:szCs w:val="32"/>
          <w:lang w:val="en-US" w:eastAsia="zh-CN"/>
        </w:rPr>
        <w:t>1</w:t>
      </w:r>
      <w:r>
        <w:rPr>
          <w:rFonts w:hint="eastAsia" w:ascii="宋体" w:hAnsi="宋体" w:eastAsia="宋体"/>
          <w:sz w:val="32"/>
          <w:szCs w:val="32"/>
        </w:rPr>
        <w:t>年度财政拨款支出合计</w:t>
      </w:r>
      <w:r>
        <w:rPr>
          <w:rFonts w:hint="eastAsia" w:asciiTheme="minorEastAsia" w:hAnsiTheme="minorEastAsia" w:eastAsiaTheme="minorEastAsia"/>
          <w:sz w:val="32"/>
          <w:szCs w:val="32"/>
          <w:lang w:val="en-US" w:eastAsia="zh-CN"/>
        </w:rPr>
        <w:t>1797.43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不</w:t>
      </w:r>
      <w:r>
        <w:rPr>
          <w:rFonts w:hint="eastAsia" w:asciiTheme="minorEastAsia" w:hAnsiTheme="minorEastAsia" w:eastAsiaTheme="minorEastAsia"/>
          <w:sz w:val="32"/>
          <w:szCs w:val="32"/>
        </w:rPr>
        <w:t>含财政拨款年</w:t>
      </w:r>
      <w:r>
        <w:rPr>
          <w:rFonts w:hint="eastAsia" w:asciiTheme="minorEastAsia" w:hAnsiTheme="minorEastAsia" w:eastAsiaTheme="minorEastAsia"/>
          <w:sz w:val="32"/>
          <w:szCs w:val="32"/>
          <w:lang w:val="en-US" w:eastAsia="zh-CN"/>
        </w:rPr>
        <w:t>末</w:t>
      </w:r>
      <w:r>
        <w:rPr>
          <w:rFonts w:hint="eastAsia" w:asciiTheme="minorEastAsia" w:hAnsiTheme="minorEastAsia" w:eastAsiaTheme="minorEastAsia"/>
          <w:sz w:val="32"/>
          <w:szCs w:val="32"/>
        </w:rPr>
        <w:t>结转和结余资金</w:t>
      </w:r>
      <w:r>
        <w:rPr>
          <w:rFonts w:hint="eastAsia" w:asciiTheme="minorEastAsia" w:hAnsiTheme="minorEastAsia" w:eastAsiaTheme="minorEastAsia"/>
          <w:sz w:val="32"/>
          <w:szCs w:val="32"/>
          <w:lang w:eastAsia="zh-CN"/>
        </w:rPr>
        <w:t>）</w:t>
      </w:r>
      <w:r>
        <w:rPr>
          <w:rFonts w:hint="eastAsia" w:ascii="宋体" w:hAnsi="宋体" w:eastAsia="宋体"/>
          <w:sz w:val="32"/>
          <w:szCs w:val="32"/>
        </w:rPr>
        <w:t>，与上年602</w:t>
      </w:r>
      <w:r>
        <w:rPr>
          <w:rFonts w:hint="eastAsia" w:ascii="宋体" w:hAnsi="宋体" w:eastAsia="宋体"/>
          <w:sz w:val="32"/>
          <w:szCs w:val="32"/>
          <w:lang w:val="en-US" w:eastAsia="zh-CN"/>
        </w:rPr>
        <w:t>.</w:t>
      </w:r>
      <w:r>
        <w:rPr>
          <w:rFonts w:hint="eastAsia" w:ascii="宋体" w:hAnsi="宋体" w:eastAsia="宋体"/>
          <w:sz w:val="32"/>
          <w:szCs w:val="32"/>
        </w:rPr>
        <w:t>57相比，增加</w:t>
      </w:r>
      <w:r>
        <w:rPr>
          <w:rFonts w:hint="eastAsia" w:ascii="宋体" w:hAnsi="宋体" w:eastAsia="宋体"/>
          <w:sz w:val="32"/>
          <w:szCs w:val="32"/>
          <w:lang w:val="en-US" w:eastAsia="zh-CN"/>
        </w:rPr>
        <w:t>1194.86</w:t>
      </w:r>
      <w:r>
        <w:rPr>
          <w:rFonts w:hint="eastAsia" w:ascii="宋体" w:hAnsi="宋体" w:eastAsia="宋体"/>
          <w:sz w:val="32"/>
          <w:szCs w:val="32"/>
        </w:rPr>
        <w:t>万元,增长</w:t>
      </w:r>
      <w:r>
        <w:rPr>
          <w:rFonts w:hint="eastAsia" w:ascii="宋体" w:hAnsi="宋体" w:eastAsia="宋体"/>
          <w:sz w:val="32"/>
          <w:szCs w:val="32"/>
          <w:lang w:val="en-US" w:eastAsia="zh-CN"/>
        </w:rPr>
        <w:t>198.29</w:t>
      </w:r>
      <w:r>
        <w:rPr>
          <w:rFonts w:hint="eastAsia" w:ascii="宋体" w:hAnsi="宋体" w:eastAsia="宋体"/>
          <w:sz w:val="32"/>
          <w:szCs w:val="32"/>
        </w:rPr>
        <w:t>%</w:t>
      </w:r>
      <w:r>
        <w:rPr>
          <w:rFonts w:hint="eastAsia" w:ascii="宋体" w:hAnsi="宋体" w:eastAsia="宋体"/>
          <w:sz w:val="32"/>
          <w:szCs w:val="32"/>
          <w:lang w:val="en-US" w:eastAsia="zh-CN"/>
        </w:rPr>
        <w:t>,</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val="en-US" w:eastAsia="zh-CN"/>
        </w:rPr>
        <w:t>2020年垂改前期经费由邵阳市财政支出，2021年所有经费都从省级支出，本年支出增加。</w:t>
      </w:r>
    </w:p>
    <w:p>
      <w:pPr>
        <w:pStyle w:val="11"/>
        <w:rPr>
          <w:rFonts w:hAnsi="黑体"/>
          <w:b/>
          <w:sz w:val="32"/>
          <w:szCs w:val="32"/>
        </w:rPr>
      </w:pPr>
      <w:r>
        <w:rPr>
          <w:rFonts w:hint="eastAsia" w:hAnsi="黑体"/>
          <w:b/>
          <w:sz w:val="32"/>
          <w:szCs w:val="32"/>
        </w:rPr>
        <w:t>五、一般公共预算财政拨款支出决算情况说明</w:t>
      </w:r>
    </w:p>
    <w:p>
      <w:pPr>
        <w:pStyle w:val="11"/>
        <w:ind w:firstLine="320"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1797.43</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52.21</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1194.86</w:t>
      </w:r>
      <w:r>
        <w:rPr>
          <w:rFonts w:hint="eastAsia" w:asciiTheme="minorEastAsia" w:hAnsiTheme="minorEastAsia" w:eastAsiaTheme="minorEastAsia"/>
          <w:sz w:val="32"/>
          <w:szCs w:val="32"/>
        </w:rPr>
        <w:t>万元，</w:t>
      </w:r>
      <w:r>
        <w:rPr>
          <w:rFonts w:hint="eastAsia" w:asciiTheme="minorEastAsia" w:hAnsiTheme="minorEastAsia" w:eastAsiaTheme="minorEastAsia"/>
          <w:color w:val="auto"/>
          <w:sz w:val="32"/>
          <w:szCs w:val="32"/>
        </w:rPr>
        <w:t>增长</w:t>
      </w:r>
      <w:r>
        <w:rPr>
          <w:rFonts w:hint="eastAsia" w:asciiTheme="minorEastAsia" w:hAnsiTheme="minorEastAsia" w:eastAsiaTheme="minorEastAsia"/>
          <w:color w:val="auto"/>
          <w:sz w:val="32"/>
          <w:szCs w:val="32"/>
          <w:lang w:val="en-US" w:eastAsia="zh-CN"/>
        </w:rPr>
        <w:t>198.29</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val="en-US" w:eastAsia="zh-CN"/>
        </w:rPr>
        <w:t>2020年垂改前期经费由邵阳市财政支出，2021年所有经费都从省级支出，本年支出增加。</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1797.43</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val="en-US" w:eastAsia="zh-CN"/>
        </w:rPr>
        <w:t>社会保障和就业</w:t>
      </w:r>
      <w:r>
        <w:rPr>
          <w:rFonts w:hint="eastAsia" w:asciiTheme="minorEastAsia" w:hAnsiTheme="minorEastAsia" w:eastAsiaTheme="minorEastAsia"/>
          <w:sz w:val="32"/>
          <w:szCs w:val="32"/>
        </w:rPr>
        <w:t>支出</w:t>
      </w:r>
      <w:r>
        <w:rPr>
          <w:rFonts w:hint="eastAsia" w:asciiTheme="minorEastAsia" w:hAnsiTheme="minorEastAsia" w:eastAsiaTheme="minorEastAsia"/>
          <w:sz w:val="32"/>
          <w:szCs w:val="32"/>
          <w:lang w:val="en-US" w:eastAsia="zh-CN"/>
        </w:rPr>
        <w:t>106.58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5.92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卫生健康支出46.24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2.57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节能环保支出1574.61万元，占87.60 %；住房保障支出70万元，占3.89%。</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w:t>
      </w:r>
      <w:r>
        <w:rPr>
          <w:rFonts w:hint="eastAsia" w:asciiTheme="minorEastAsia" w:hAnsiTheme="minorEastAsia" w:eastAsiaTheme="minorEastAsia"/>
          <w:color w:val="auto"/>
          <w:sz w:val="32"/>
          <w:szCs w:val="32"/>
        </w:rPr>
        <w:t>为</w:t>
      </w:r>
      <w:r>
        <w:rPr>
          <w:rFonts w:hint="eastAsia" w:asciiTheme="minorEastAsia" w:hAnsiTheme="minorEastAsia" w:eastAsiaTheme="minorEastAsia"/>
          <w:color w:val="auto"/>
          <w:sz w:val="32"/>
          <w:szCs w:val="32"/>
          <w:lang w:val="en-US" w:eastAsia="zh-CN"/>
        </w:rPr>
        <w:t>2021.99</w:t>
      </w:r>
      <w:r>
        <w:rPr>
          <w:rFonts w:hint="eastAsia" w:asciiTheme="minorEastAsia" w:hAnsiTheme="minorEastAsia" w:eastAsiaTheme="minorEastAsia"/>
          <w:color w:val="auto"/>
          <w:sz w:val="32"/>
          <w:szCs w:val="32"/>
        </w:rPr>
        <w:t>万</w:t>
      </w:r>
      <w:r>
        <w:rPr>
          <w:rFonts w:hint="eastAsia" w:asciiTheme="minorEastAsia" w:hAnsiTheme="minorEastAsia" w:eastAsiaTheme="minorEastAsia"/>
          <w:sz w:val="32"/>
          <w:szCs w:val="32"/>
        </w:rPr>
        <w:t>元，支出决算数为</w:t>
      </w:r>
      <w:r>
        <w:rPr>
          <w:rFonts w:hint="eastAsia" w:asciiTheme="minorEastAsia" w:hAnsiTheme="minorEastAsia" w:eastAsiaTheme="minorEastAsia"/>
          <w:sz w:val="32"/>
          <w:szCs w:val="32"/>
          <w:lang w:val="en-US" w:eastAsia="zh-CN"/>
        </w:rPr>
        <w:t>1797.43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88.89</w:t>
      </w:r>
      <w:r>
        <w:rPr>
          <w:rFonts w:hint="eastAsia" w:asciiTheme="minorEastAsia" w:hAnsiTheme="minorEastAsia" w:eastAsiaTheme="minorEastAsia"/>
          <w:sz w:val="32"/>
          <w:szCs w:val="32"/>
        </w:rPr>
        <w:t>%，其中：</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eastAsia="zh-CN"/>
        </w:rPr>
        <w:t>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机关事业单位基本养老保险缴费支出</w:t>
      </w:r>
      <w:r>
        <w:rPr>
          <w:rFonts w:hint="eastAsia" w:asciiTheme="minorEastAsia" w:hAnsiTheme="minorEastAsia" w:eastAsiaTheme="minorEastAsia"/>
          <w:sz w:val="32"/>
          <w:szCs w:val="32"/>
        </w:rPr>
        <w:t>（项）。</w:t>
      </w:r>
    </w:p>
    <w:p>
      <w:pPr>
        <w:pStyle w:val="11"/>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106.58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106.58</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我单位严格按预算执行决算</w:t>
      </w:r>
      <w:r>
        <w:rPr>
          <w:rFonts w:hint="eastAsia" w:asciiTheme="minorEastAsia" w:hAnsiTheme="minorEastAsia" w:eastAsiaTheme="minorEastAsia"/>
          <w:color w:val="auto"/>
          <w:sz w:val="32"/>
          <w:szCs w:val="32"/>
          <w:lang w:eastAsia="zh-CN"/>
        </w:rPr>
        <w:t>。</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行政事业单位医疗</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事业单位医疗</w:t>
      </w:r>
      <w:r>
        <w:rPr>
          <w:rFonts w:hint="eastAsia" w:asciiTheme="minorEastAsia" w:hAnsiTheme="minorEastAsia" w:eastAsiaTheme="minorEastAsia"/>
          <w:sz w:val="32"/>
          <w:szCs w:val="32"/>
        </w:rPr>
        <w:t>（项）。</w:t>
      </w:r>
    </w:p>
    <w:p>
      <w:pPr>
        <w:pStyle w:val="11"/>
        <w:ind w:firstLine="640" w:firstLineChars="20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 xml:space="preserve"> 46.24万元，</w:t>
      </w:r>
      <w:r>
        <w:rPr>
          <w:rFonts w:hint="eastAsia" w:asciiTheme="minorEastAsia" w:hAnsiTheme="minorEastAsia" w:eastAsiaTheme="minorEastAsia"/>
          <w:color w:val="auto"/>
          <w:sz w:val="32"/>
          <w:szCs w:val="32"/>
        </w:rPr>
        <w:t>支出决算为</w:t>
      </w:r>
      <w:r>
        <w:rPr>
          <w:rFonts w:hint="eastAsia" w:asciiTheme="minorEastAsia" w:hAnsiTheme="minorEastAsia" w:eastAsiaTheme="minorEastAsia"/>
          <w:color w:val="auto"/>
          <w:sz w:val="32"/>
          <w:szCs w:val="32"/>
          <w:lang w:val="en-US" w:eastAsia="zh-CN"/>
        </w:rPr>
        <w:t>46.24</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我单位严格按预算执行决算</w:t>
      </w:r>
      <w:r>
        <w:rPr>
          <w:rFonts w:hint="eastAsia" w:asciiTheme="minorEastAsia" w:hAnsiTheme="minorEastAsia" w:eastAsiaTheme="minorEastAsia"/>
          <w:color w:val="auto"/>
          <w:sz w:val="32"/>
          <w:szCs w:val="32"/>
          <w:lang w:eastAsia="zh-CN"/>
        </w:rPr>
        <w:t>。</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环境保护管理事务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行政运行</w:t>
      </w:r>
      <w:r>
        <w:rPr>
          <w:rFonts w:hint="eastAsia" w:asciiTheme="minorEastAsia" w:hAnsiTheme="minorEastAsia" w:eastAsiaTheme="minorEastAsia"/>
          <w:sz w:val="32"/>
          <w:szCs w:val="32"/>
        </w:rPr>
        <w:t>（项）。</w:t>
      </w:r>
    </w:p>
    <w:p>
      <w:pPr>
        <w:pStyle w:val="11"/>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768.68</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768.56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color w:val="auto"/>
          <w:sz w:val="32"/>
          <w:szCs w:val="32"/>
          <w:lang w:val="en-US" w:eastAsia="zh-CN"/>
        </w:rPr>
        <w:t>99.98</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项目未完成，结转下年度支付。</w:t>
      </w:r>
    </w:p>
    <w:p>
      <w:pPr>
        <w:pStyle w:val="11"/>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4、</w:t>
      </w:r>
      <w:r>
        <w:rPr>
          <w:rFonts w:hint="eastAsia" w:asciiTheme="minorEastAsia" w:hAnsiTheme="minorEastAsia" w:eastAsiaTheme="minorEastAsia"/>
          <w:color w:val="000000" w:themeColor="text1"/>
          <w:sz w:val="32"/>
          <w:szCs w:val="32"/>
          <w:lang w:eastAsia="zh-CN"/>
          <w14:textFill>
            <w14:solidFill>
              <w14:schemeClr w14:val="tx1"/>
            </w14:solidFill>
          </w14:textFill>
        </w:rPr>
        <w:t>节能环保支出</w:t>
      </w:r>
      <w:r>
        <w:rPr>
          <w:rFonts w:hint="eastAsia" w:asciiTheme="minorEastAsia" w:hAnsiTheme="minorEastAsia" w:eastAsiaTheme="minorEastAsia"/>
          <w:color w:val="000000" w:themeColor="text1"/>
          <w:sz w:val="32"/>
          <w:szCs w:val="32"/>
          <w14:textFill>
            <w14:solidFill>
              <w14:schemeClr w14:val="tx1"/>
            </w14:solidFill>
          </w14:textFill>
        </w:rPr>
        <w:t>（类）</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环境监测与监察</w:t>
      </w:r>
      <w:r>
        <w:rPr>
          <w:rFonts w:hint="eastAsia" w:asciiTheme="minorEastAsia" w:hAnsiTheme="minorEastAsia" w:eastAsiaTheme="minorEastAsia"/>
          <w:color w:val="000000" w:themeColor="text1"/>
          <w:sz w:val="32"/>
          <w:szCs w:val="32"/>
          <w14:textFill>
            <w14:solidFill>
              <w14:schemeClr w14:val="tx1"/>
            </w14:solidFill>
          </w14:textFill>
        </w:rPr>
        <w:t>（款）</w:t>
      </w:r>
      <w:r>
        <w:rPr>
          <w:rFonts w:hint="eastAsia" w:asciiTheme="minorEastAsia" w:hAnsiTheme="minorEastAsia" w:eastAsiaTheme="minorEastAsia"/>
          <w:color w:val="000000" w:themeColor="text1"/>
          <w:sz w:val="32"/>
          <w:szCs w:val="32"/>
          <w:lang w:eastAsia="zh-CN"/>
          <w14:textFill>
            <w14:solidFill>
              <w14:schemeClr w14:val="tx1"/>
            </w14:solidFill>
          </w14:textFill>
        </w:rPr>
        <w:t>其他</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环境监测与监察</w:t>
      </w:r>
      <w:r>
        <w:rPr>
          <w:rFonts w:hint="eastAsia" w:asciiTheme="minorEastAsia" w:hAnsiTheme="minorEastAsia" w:eastAsiaTheme="minorEastAsia"/>
          <w:color w:val="000000" w:themeColor="text1"/>
          <w:sz w:val="32"/>
          <w:szCs w:val="32"/>
          <w:lang w:eastAsia="zh-CN"/>
          <w14:textFill>
            <w14:solidFill>
              <w14:schemeClr w14:val="tx1"/>
            </w14:solidFill>
          </w14:textFill>
        </w:rPr>
        <w:t>支出</w:t>
      </w:r>
      <w:r>
        <w:rPr>
          <w:rFonts w:hint="eastAsia" w:asciiTheme="minorEastAsia" w:hAnsiTheme="minorEastAsia" w:eastAsiaTheme="minorEastAsia"/>
          <w:color w:val="000000" w:themeColor="text1"/>
          <w:sz w:val="32"/>
          <w:szCs w:val="32"/>
          <w14:textFill>
            <w14:solidFill>
              <w14:schemeClr w14:val="tx1"/>
            </w14:solidFill>
          </w14:textFill>
        </w:rPr>
        <w:t>（项）。</w:t>
      </w:r>
    </w:p>
    <w:p>
      <w:pPr>
        <w:pStyle w:val="11"/>
        <w:ind w:firstLine="640" w:firstLineChars="200"/>
        <w:rPr>
          <w:rFonts w:hint="default" w:asciiTheme="minorEastAsia" w:hAnsiTheme="minorEastAsia" w:eastAsia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325.39</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270.98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color w:val="auto"/>
          <w:sz w:val="32"/>
          <w:szCs w:val="32"/>
          <w:lang w:val="en-US" w:eastAsia="zh-CN"/>
        </w:rPr>
        <w:t>83.27</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项目未完成，结转下年度支付。</w:t>
      </w:r>
    </w:p>
    <w:p>
      <w:pPr>
        <w:pStyle w:val="11"/>
        <w:numPr>
          <w:ilvl w:val="-1"/>
          <w:numId w:val="0"/>
        </w:numPr>
        <w:ind w:firstLine="640" w:firstLineChars="200"/>
        <w:rPr>
          <w:rFonts w:hint="eastAsia"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5、</w:t>
      </w:r>
      <w:r>
        <w:rPr>
          <w:rFonts w:hint="eastAsia" w:asciiTheme="minorEastAsia" w:hAnsiTheme="minorEastAsia" w:eastAsiaTheme="minorEastAsia"/>
          <w:color w:val="000000" w:themeColor="text1"/>
          <w:sz w:val="32"/>
          <w:szCs w:val="32"/>
          <w:lang w:eastAsia="zh-CN"/>
          <w14:textFill>
            <w14:solidFill>
              <w14:schemeClr w14:val="tx1"/>
            </w14:solidFill>
          </w14:textFill>
        </w:rPr>
        <w:t>节能环保支出</w:t>
      </w:r>
      <w:r>
        <w:rPr>
          <w:rFonts w:hint="eastAsia" w:asciiTheme="minorEastAsia" w:hAnsiTheme="minorEastAsia" w:eastAsiaTheme="minorEastAsia"/>
          <w:color w:val="000000" w:themeColor="text1"/>
          <w:sz w:val="32"/>
          <w:szCs w:val="32"/>
          <w14:textFill>
            <w14:solidFill>
              <w14:schemeClr w14:val="tx1"/>
            </w14:solidFill>
          </w14:textFill>
        </w:rPr>
        <w:t>（类）</w:t>
      </w:r>
      <w:r>
        <w:rPr>
          <w:rFonts w:hint="eastAsia" w:asciiTheme="minorEastAsia" w:hAnsiTheme="minorEastAsia" w:eastAsiaTheme="minorEastAsia"/>
          <w:color w:val="000000" w:themeColor="text1"/>
          <w:sz w:val="32"/>
          <w:szCs w:val="32"/>
          <w:lang w:eastAsia="zh-CN"/>
          <w14:textFill>
            <w14:solidFill>
              <w14:schemeClr w14:val="tx1"/>
            </w14:solidFill>
          </w14:textFill>
        </w:rPr>
        <w:t>污染</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防治</w:t>
      </w:r>
      <w:r>
        <w:rPr>
          <w:rFonts w:hint="eastAsia" w:asciiTheme="minorEastAsia" w:hAnsiTheme="minorEastAsia" w:eastAsiaTheme="minorEastAsia"/>
          <w:color w:val="000000" w:themeColor="text1"/>
          <w:sz w:val="32"/>
          <w:szCs w:val="32"/>
          <w14:textFill>
            <w14:solidFill>
              <w14:schemeClr w14:val="tx1"/>
            </w14:solidFill>
          </w14:textFill>
        </w:rPr>
        <w:t>（款）</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土壤</w:t>
      </w:r>
      <w:r>
        <w:rPr>
          <w:rFonts w:hint="eastAsia" w:asciiTheme="minorEastAsia" w:hAnsiTheme="minorEastAsia" w:eastAsiaTheme="minorEastAsia"/>
          <w:color w:val="000000" w:themeColor="text1"/>
          <w:sz w:val="32"/>
          <w:szCs w:val="32"/>
          <w14:textFill>
            <w14:solidFill>
              <w14:schemeClr w14:val="tx1"/>
            </w14:solidFill>
          </w14:textFill>
        </w:rPr>
        <w:t>（项）。</w:t>
      </w:r>
    </w:p>
    <w:p>
      <w:pPr>
        <w:pStyle w:val="11"/>
        <w:ind w:firstLine="640" w:firstLineChars="200"/>
        <w:rPr>
          <w:rFonts w:hint="default" w:asciiTheme="minorEastAsia" w:hAnsiTheme="minorEastAsia" w:eastAsia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支出决算为8.7万元，决算数大于年初预算数，主要原因为年中追加的项目支出。</w:t>
      </w:r>
    </w:p>
    <w:p>
      <w:pPr>
        <w:pStyle w:val="11"/>
        <w:numPr>
          <w:ilvl w:val="0"/>
          <w:numId w:val="0"/>
        </w:numPr>
        <w:rPr>
          <w:rFonts w:hint="default" w:asciiTheme="minorEastAsia" w:hAnsiTheme="minorEastAsia" w:eastAsiaTheme="minorEastAsia"/>
          <w:color w:val="000000" w:themeColor="text1"/>
          <w:sz w:val="32"/>
          <w:szCs w:val="32"/>
          <w:lang w:val="en-US" w:eastAsia="zh-CN"/>
          <w14:textFill>
            <w14:solidFill>
              <w14:schemeClr w14:val="tx1"/>
            </w14:solidFill>
          </w14:textFill>
        </w:rPr>
      </w:pPr>
    </w:p>
    <w:p>
      <w:pPr>
        <w:pStyle w:val="11"/>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6、</w:t>
      </w:r>
      <w:r>
        <w:rPr>
          <w:rFonts w:hint="eastAsia" w:asciiTheme="minorEastAsia" w:hAnsiTheme="minorEastAsia" w:eastAsiaTheme="minorEastAsia"/>
          <w:color w:val="000000" w:themeColor="text1"/>
          <w:sz w:val="32"/>
          <w:szCs w:val="32"/>
          <w:lang w:eastAsia="zh-CN"/>
          <w14:textFill>
            <w14:solidFill>
              <w14:schemeClr w14:val="tx1"/>
            </w14:solidFill>
          </w14:textFill>
        </w:rPr>
        <w:t>节能环保支出</w:t>
      </w:r>
      <w:r>
        <w:rPr>
          <w:rFonts w:hint="eastAsia" w:asciiTheme="minorEastAsia" w:hAnsiTheme="minorEastAsia" w:eastAsiaTheme="minorEastAsia"/>
          <w:color w:val="000000" w:themeColor="text1"/>
          <w:sz w:val="32"/>
          <w:szCs w:val="32"/>
          <w14:textFill>
            <w14:solidFill>
              <w14:schemeClr w14:val="tx1"/>
            </w14:solidFill>
          </w14:textFill>
        </w:rPr>
        <w:t>（类）</w:t>
      </w:r>
      <w:r>
        <w:rPr>
          <w:rFonts w:hint="eastAsia" w:asciiTheme="minorEastAsia" w:hAnsiTheme="minorEastAsia" w:eastAsiaTheme="minorEastAsia"/>
          <w:color w:val="000000" w:themeColor="text1"/>
          <w:sz w:val="32"/>
          <w:szCs w:val="32"/>
          <w:lang w:eastAsia="zh-CN"/>
          <w14:textFill>
            <w14:solidFill>
              <w14:schemeClr w14:val="tx1"/>
            </w14:solidFill>
          </w14:textFill>
        </w:rPr>
        <w:t>污染</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防治</w:t>
      </w:r>
      <w:r>
        <w:rPr>
          <w:rFonts w:hint="eastAsia" w:asciiTheme="minorEastAsia" w:hAnsiTheme="minorEastAsia" w:eastAsiaTheme="minorEastAsia"/>
          <w:color w:val="000000" w:themeColor="text1"/>
          <w:sz w:val="32"/>
          <w:szCs w:val="32"/>
          <w14:textFill>
            <w14:solidFill>
              <w14:schemeClr w14:val="tx1"/>
            </w14:solidFill>
          </w14:textFill>
        </w:rPr>
        <w:t>（款）</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其他污染防治支出</w:t>
      </w:r>
      <w:r>
        <w:rPr>
          <w:rFonts w:hint="eastAsia" w:asciiTheme="minorEastAsia" w:hAnsiTheme="minorEastAsia" w:eastAsiaTheme="minorEastAsia"/>
          <w:color w:val="000000" w:themeColor="text1"/>
          <w:sz w:val="32"/>
          <w:szCs w:val="32"/>
          <w14:textFill>
            <w14:solidFill>
              <w14:schemeClr w14:val="tx1"/>
            </w14:solidFill>
          </w14:textFill>
        </w:rPr>
        <w:t>（项）。</w:t>
      </w:r>
    </w:p>
    <w:p>
      <w:pPr>
        <w:pStyle w:val="11"/>
        <w:ind w:firstLine="640" w:firstLineChars="20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403</w:t>
      </w:r>
      <w:r>
        <w:rPr>
          <w:rFonts w:hint="eastAsia" w:asciiTheme="minorEastAsia" w:hAnsiTheme="minorEastAsia" w:eastAsiaTheme="minorEastAsia"/>
          <w:color w:val="auto"/>
          <w:sz w:val="32"/>
          <w:szCs w:val="32"/>
        </w:rPr>
        <w:t>万元，支</w:t>
      </w:r>
      <w:r>
        <w:rPr>
          <w:rFonts w:hint="eastAsia" w:asciiTheme="minorEastAsia" w:hAnsiTheme="minorEastAsia" w:eastAsiaTheme="minorEastAsia"/>
          <w:sz w:val="32"/>
          <w:szCs w:val="32"/>
        </w:rPr>
        <w:t>出决算为</w:t>
      </w:r>
      <w:r>
        <w:rPr>
          <w:rFonts w:hint="eastAsia" w:asciiTheme="minorEastAsia" w:hAnsiTheme="minorEastAsia" w:eastAsiaTheme="minorEastAsia"/>
          <w:sz w:val="32"/>
          <w:szCs w:val="32"/>
          <w:lang w:val="en-US" w:eastAsia="zh-CN"/>
        </w:rPr>
        <w:t>398.76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98.9</w:t>
      </w: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经政府公开招标项目，招标金额小于预算数。</w:t>
      </w:r>
    </w:p>
    <w:p>
      <w:pPr>
        <w:pStyle w:val="11"/>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7、</w:t>
      </w:r>
      <w:r>
        <w:rPr>
          <w:rFonts w:hint="eastAsia" w:asciiTheme="minorEastAsia" w:hAnsiTheme="minorEastAsia" w:eastAsiaTheme="minorEastAsia"/>
          <w:color w:val="000000" w:themeColor="text1"/>
          <w:sz w:val="32"/>
          <w:szCs w:val="32"/>
          <w:lang w:eastAsia="zh-CN"/>
          <w14:textFill>
            <w14:solidFill>
              <w14:schemeClr w14:val="tx1"/>
            </w14:solidFill>
          </w14:textFill>
        </w:rPr>
        <w:t>节能环保支出</w:t>
      </w:r>
      <w:r>
        <w:rPr>
          <w:rFonts w:hint="eastAsia" w:asciiTheme="minorEastAsia" w:hAnsiTheme="minorEastAsia" w:eastAsiaTheme="minorEastAsia"/>
          <w:color w:val="000000" w:themeColor="text1"/>
          <w:sz w:val="32"/>
          <w:szCs w:val="32"/>
          <w14:textFill>
            <w14:solidFill>
              <w14:schemeClr w14:val="tx1"/>
            </w14:solidFill>
          </w14:textFill>
        </w:rPr>
        <w:t>（类）</w:t>
      </w:r>
      <w:r>
        <w:rPr>
          <w:rFonts w:hint="eastAsia" w:asciiTheme="minorEastAsia" w:hAnsiTheme="minorEastAsia" w:eastAsiaTheme="minorEastAsia"/>
          <w:color w:val="000000" w:themeColor="text1"/>
          <w:sz w:val="32"/>
          <w:szCs w:val="32"/>
          <w:lang w:eastAsia="zh-CN"/>
          <w14:textFill>
            <w14:solidFill>
              <w14:schemeClr w14:val="tx1"/>
            </w14:solidFill>
          </w14:textFill>
        </w:rPr>
        <w:t>污染减排</w:t>
      </w:r>
      <w:r>
        <w:rPr>
          <w:rFonts w:hint="eastAsia" w:asciiTheme="minorEastAsia" w:hAnsiTheme="minorEastAsia" w:eastAsiaTheme="minorEastAsia"/>
          <w:color w:val="000000" w:themeColor="text1"/>
          <w:sz w:val="32"/>
          <w:szCs w:val="32"/>
          <w14:textFill>
            <w14:solidFill>
              <w14:schemeClr w14:val="tx1"/>
            </w14:solidFill>
          </w14:textFill>
        </w:rPr>
        <w:t>（款）</w:t>
      </w:r>
      <w:r>
        <w:rPr>
          <w:rFonts w:hint="eastAsia" w:asciiTheme="minorEastAsia" w:hAnsiTheme="minorEastAsia" w:eastAsiaTheme="minorEastAsia"/>
          <w:color w:val="000000" w:themeColor="text1"/>
          <w:sz w:val="32"/>
          <w:szCs w:val="32"/>
          <w:lang w:val="en-US" w:eastAsia="zh-CN"/>
          <w14:textFill>
            <w14:solidFill>
              <w14:schemeClr w14:val="tx1"/>
            </w14:solidFill>
          </w14:textFill>
        </w:rPr>
        <w:t>生态环境监测与信息</w:t>
      </w:r>
      <w:r>
        <w:rPr>
          <w:rFonts w:hint="eastAsia" w:asciiTheme="minorEastAsia" w:hAnsiTheme="minorEastAsia" w:eastAsiaTheme="minorEastAsia"/>
          <w:color w:val="000000" w:themeColor="text1"/>
          <w:sz w:val="32"/>
          <w:szCs w:val="32"/>
          <w14:textFill>
            <w14:solidFill>
              <w14:schemeClr w14:val="tx1"/>
            </w14:solidFill>
          </w14:textFill>
        </w:rPr>
        <w:t>（项）。</w:t>
      </w:r>
    </w:p>
    <w:p>
      <w:pPr>
        <w:pStyle w:val="11"/>
        <w:ind w:firstLine="640" w:firstLineChars="200"/>
        <w:rPr>
          <w:rFonts w:hint="default" w:asciiTheme="minorEastAsia" w:hAnsiTheme="minorEastAsia" w:eastAsia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lang w:val="en-US" w:eastAsia="zh-CN"/>
        </w:rPr>
        <w:t>302.1</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127.61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color w:val="auto"/>
          <w:sz w:val="32"/>
          <w:szCs w:val="32"/>
          <w:lang w:val="en-US" w:eastAsia="zh-CN"/>
        </w:rPr>
        <w:t>42.24%</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项目未完成，结转下年度支付。</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lang w:eastAsia="zh-CN"/>
        </w:rPr>
        <w:t>住房保障支出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eastAsia="zh-CN"/>
        </w:rPr>
        <w:t>住房改革支出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住房公积金</w:t>
      </w:r>
      <w:r>
        <w:rPr>
          <w:rFonts w:hint="eastAsia" w:asciiTheme="minorEastAsia" w:hAnsiTheme="minorEastAsia" w:eastAsiaTheme="minorEastAsia"/>
          <w:sz w:val="32"/>
          <w:szCs w:val="32"/>
        </w:rPr>
        <w:t>（项）。</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70.00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70.00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我单位严格按预算执行决算</w:t>
      </w:r>
      <w:r>
        <w:rPr>
          <w:rFonts w:hint="eastAsia" w:asciiTheme="minorEastAsia" w:hAnsiTheme="minorEastAsia" w:eastAsiaTheme="minorEastAsia"/>
          <w:sz w:val="32"/>
          <w:szCs w:val="32"/>
          <w:lang w:eastAsia="zh-CN"/>
        </w:rPr>
        <w:t>。</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991.39</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844.55</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85.18</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val="en-US" w:eastAsia="zh-CN"/>
        </w:rPr>
        <w:t>等</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146.84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14.82</w:t>
      </w:r>
      <w:r>
        <w:rPr>
          <w:rFonts w:hint="eastAsia" w:asciiTheme="minorEastAsia" w:hAnsiTheme="minorEastAsia" w:eastAsiaTheme="minorEastAsia"/>
          <w:sz w:val="32"/>
          <w:szCs w:val="32"/>
        </w:rPr>
        <w:t>%，主要包括办公费、印刷费、咨询费、手续</w:t>
      </w:r>
      <w:r>
        <w:rPr>
          <w:rFonts w:hint="eastAsia" w:asciiTheme="minorEastAsia" w:hAnsiTheme="minorEastAsia" w:eastAsiaTheme="minorEastAsia"/>
          <w:sz w:val="32"/>
          <w:szCs w:val="32"/>
          <w:lang w:val="en-US" w:eastAsia="zh-CN"/>
        </w:rPr>
        <w:t>费等</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19.25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15.88</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82.5</w:t>
      </w:r>
      <w:r>
        <w:rPr>
          <w:rFonts w:hint="eastAsia" w:asciiTheme="minorEastAsia" w:hAnsiTheme="minorEastAsia" w:eastAsiaTheme="minorEastAsia"/>
          <w:sz w:val="32"/>
          <w:szCs w:val="32"/>
        </w:rPr>
        <w:t>%，其中：</w:t>
      </w:r>
    </w:p>
    <w:p>
      <w:pPr>
        <w:pStyle w:val="11"/>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color w:val="000000"/>
          <w:sz w:val="32"/>
          <w:szCs w:val="32"/>
          <w:highlight w:val="none"/>
        </w:rPr>
        <w:t>决算数等于预算数的</w:t>
      </w:r>
      <w:r>
        <w:rPr>
          <w:rFonts w:hint="eastAsia" w:asciiTheme="minorEastAsia" w:hAnsiTheme="minorEastAsia" w:eastAsiaTheme="minorEastAsia"/>
          <w:color w:val="000000"/>
          <w:sz w:val="32"/>
          <w:szCs w:val="32"/>
          <w:highlight w:val="none"/>
          <w:lang w:val="en-US" w:eastAsia="zh-CN"/>
        </w:rPr>
        <w:t>原因</w:t>
      </w:r>
      <w:r>
        <w:rPr>
          <w:rFonts w:hint="eastAsia" w:asciiTheme="minorEastAsia" w:hAnsiTheme="minorEastAsia" w:eastAsiaTheme="minorEastAsia"/>
          <w:color w:val="000000"/>
          <w:sz w:val="32"/>
          <w:szCs w:val="32"/>
          <w:highlight w:val="none"/>
        </w:rPr>
        <w:t>主要是疫情影响，今年未安排出国出境</w:t>
      </w:r>
      <w:r>
        <w:rPr>
          <w:rFonts w:hint="eastAsia" w:asciiTheme="minorEastAsia" w:hAnsiTheme="minorEastAsia" w:eastAsiaTheme="minorEastAsia"/>
          <w:color w:val="000000"/>
          <w:sz w:val="32"/>
          <w:szCs w:val="32"/>
        </w:rPr>
        <w:t>，</w:t>
      </w:r>
      <w:r>
        <w:rPr>
          <w:rFonts w:hint="eastAsia" w:asciiTheme="minorEastAsia" w:hAnsiTheme="minorEastAsia" w:eastAsiaTheme="minorEastAsia"/>
          <w:color w:val="000000"/>
          <w:sz w:val="32"/>
          <w:szCs w:val="32"/>
          <w:highlight w:val="none"/>
        </w:rPr>
        <w:t>与上年相比无变化，主要原因是主要是疫情影响，今年及去年均未安排出国出境</w:t>
      </w:r>
      <w:r>
        <w:rPr>
          <w:rFonts w:hint="eastAsia" w:asciiTheme="minorEastAsia" w:hAnsiTheme="minorEastAsia" w:eastAsiaTheme="minorEastAsia"/>
          <w:sz w:val="32"/>
          <w:szCs w:val="32"/>
          <w:lang w:eastAsia="zh-CN"/>
        </w:rPr>
        <w:t>。</w:t>
      </w:r>
    </w:p>
    <w:p>
      <w:pPr>
        <w:pStyle w:val="11"/>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2.66</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43.3</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color w:val="auto"/>
          <w:sz w:val="32"/>
          <w:szCs w:val="32"/>
          <w:lang w:val="en-US" w:eastAsia="zh-CN"/>
        </w:rPr>
        <w:t>我单位积极响应“过紧日子”精神，厉行节约</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rPr>
        <w:t>与上年相比增加</w:t>
      </w:r>
      <w:r>
        <w:rPr>
          <w:rFonts w:hint="eastAsia" w:asciiTheme="minorEastAsia" w:hAnsiTheme="minorEastAsia" w:eastAsiaTheme="minorEastAsia"/>
          <w:color w:val="auto"/>
          <w:sz w:val="32"/>
          <w:szCs w:val="32"/>
          <w:lang w:val="en-US" w:eastAsia="zh-CN"/>
        </w:rPr>
        <w:t>2.66</w:t>
      </w:r>
      <w:r>
        <w:rPr>
          <w:rFonts w:hint="eastAsia" w:asciiTheme="minorEastAsia" w:hAnsiTheme="minorEastAsia" w:eastAsiaTheme="minorEastAsia"/>
          <w:color w:val="auto"/>
          <w:sz w:val="32"/>
          <w:szCs w:val="32"/>
        </w:rPr>
        <w:t>万元，增长</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%,增长的主要原因是主要是因为</w:t>
      </w:r>
      <w:r>
        <w:rPr>
          <w:rFonts w:hint="eastAsia" w:asciiTheme="minorEastAsia" w:hAnsiTheme="minorEastAsia" w:eastAsiaTheme="minorEastAsia"/>
          <w:color w:val="auto"/>
          <w:sz w:val="32"/>
          <w:szCs w:val="32"/>
          <w:lang w:val="en-US" w:eastAsia="zh-CN"/>
        </w:rPr>
        <w:t>2020年垂改前期经费由邵阳市财政支出，2021年从省级支出，本年支出增加</w:t>
      </w:r>
      <w:r>
        <w:rPr>
          <w:rFonts w:hint="eastAsia" w:asciiTheme="minorEastAsia" w:hAnsiTheme="minorEastAsia" w:eastAsiaTheme="minorEastAsia"/>
          <w:color w:val="auto"/>
          <w:sz w:val="32"/>
          <w:szCs w:val="32"/>
        </w:rPr>
        <w:t>。</w:t>
      </w:r>
    </w:p>
    <w:p>
      <w:pPr>
        <w:pStyle w:val="11"/>
        <w:ind w:firstLine="640" w:firstLineChars="200"/>
        <w:jc w:val="left"/>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决算数与预算数一致，与上年相比持平。</w:t>
      </w:r>
      <w:bookmarkStart w:id="2" w:name="_GoBack"/>
      <w:bookmarkEnd w:id="2"/>
    </w:p>
    <w:p>
      <w:pPr>
        <w:pStyle w:val="11"/>
        <w:ind w:firstLine="640" w:firstLineChars="200"/>
        <w:jc w:val="left"/>
        <w:rPr>
          <w:rFonts w:hint="eastAsia" w:asciiTheme="minorEastAsia" w:hAnsiTheme="minorEastAsia" w:eastAsiaTheme="minorEastAsia"/>
          <w:color w:val="auto"/>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13.25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13.22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99.7</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color w:val="auto"/>
          <w:sz w:val="32"/>
          <w:szCs w:val="32"/>
          <w:lang w:val="en-US" w:eastAsia="zh-CN"/>
        </w:rPr>
        <w:t>我单位积极响应“过紧日子”精神，厉行节约</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8.88</w:t>
      </w:r>
      <w:r>
        <w:rPr>
          <w:rFonts w:hint="eastAsia" w:asciiTheme="minorEastAsia" w:hAnsiTheme="minorEastAsia" w:eastAsiaTheme="minorEastAsia"/>
          <w:sz w:val="32"/>
          <w:szCs w:val="32"/>
        </w:rPr>
        <w:t>万元，</w:t>
      </w:r>
      <w:r>
        <w:rPr>
          <w:rFonts w:hint="eastAsia" w:asciiTheme="minorEastAsia" w:hAnsiTheme="minorEastAsia" w:eastAsiaTheme="minorEastAsia"/>
          <w:color w:val="auto"/>
          <w:sz w:val="32"/>
          <w:szCs w:val="32"/>
        </w:rPr>
        <w:t>增长</w:t>
      </w:r>
      <w:r>
        <w:rPr>
          <w:rFonts w:hint="eastAsia" w:asciiTheme="minorEastAsia" w:hAnsiTheme="minorEastAsia" w:eastAsiaTheme="minorEastAsia"/>
          <w:color w:val="auto"/>
          <w:sz w:val="32"/>
          <w:szCs w:val="32"/>
          <w:lang w:val="en-US" w:eastAsia="zh-CN"/>
        </w:rPr>
        <w:t>204.61</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rPr>
        <w:t>增长的主要原因是</w:t>
      </w:r>
      <w:r>
        <w:rPr>
          <w:rFonts w:hint="eastAsia" w:asciiTheme="minorEastAsia" w:hAnsiTheme="minorEastAsia" w:eastAsiaTheme="minorEastAsia"/>
          <w:color w:val="auto"/>
          <w:sz w:val="32"/>
          <w:szCs w:val="32"/>
        </w:rPr>
        <w:t>因为</w:t>
      </w:r>
      <w:r>
        <w:rPr>
          <w:rFonts w:hint="eastAsia" w:asciiTheme="minorEastAsia" w:hAnsiTheme="minorEastAsia" w:eastAsiaTheme="minorEastAsia"/>
          <w:color w:val="auto"/>
          <w:sz w:val="32"/>
          <w:szCs w:val="32"/>
          <w:lang w:val="en-US" w:eastAsia="zh-CN"/>
        </w:rPr>
        <w:t>2020年垂改前期经费由邵阳市财政支出，2021年从省级支出，本年支出增加</w:t>
      </w:r>
      <w:r>
        <w:rPr>
          <w:rFonts w:hint="eastAsia" w:asciiTheme="minorEastAsia" w:hAnsiTheme="minorEastAsia" w:eastAsiaTheme="minorEastAsia"/>
          <w:color w:val="auto"/>
          <w:sz w:val="32"/>
          <w:szCs w:val="32"/>
        </w:rPr>
        <w:t>。</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2.66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16.76</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13.22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83.24</w:t>
      </w:r>
      <w:r>
        <w:rPr>
          <w:rFonts w:hint="eastAsia" w:asciiTheme="minorEastAsia" w:hAnsiTheme="minorEastAsia" w:eastAsiaTheme="minorEastAsia"/>
          <w:sz w:val="32"/>
          <w:szCs w:val="32"/>
        </w:rPr>
        <w:t>%。其中：</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color w:val="000000"/>
          <w:sz w:val="32"/>
          <w:szCs w:val="32"/>
        </w:rPr>
        <w:t>全年安排因公出国（境）团组0个，累计0人次</w:t>
      </w:r>
      <w:r>
        <w:rPr>
          <w:rFonts w:hint="eastAsia" w:asciiTheme="minorEastAsia" w:hAnsiTheme="minorEastAsia" w:eastAsiaTheme="minorEastAsia"/>
          <w:sz w:val="32"/>
          <w:szCs w:val="32"/>
          <w:lang w:eastAsia="zh-CN"/>
        </w:rPr>
        <w:t>。</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2.66</w:t>
      </w:r>
      <w:r>
        <w:rPr>
          <w:rFonts w:hint="eastAsia" w:asciiTheme="minorEastAsia" w:hAnsiTheme="minorEastAsia" w:eastAsiaTheme="minorEastAsia"/>
          <w:sz w:val="32"/>
          <w:szCs w:val="32"/>
        </w:rPr>
        <w:t>万元，</w:t>
      </w:r>
      <w:r>
        <w:rPr>
          <w:rFonts w:hint="eastAsia" w:asciiTheme="minorEastAsia" w:hAnsiTheme="minorEastAsia" w:eastAsiaTheme="minorEastAsia"/>
          <w:color w:val="auto"/>
          <w:sz w:val="32"/>
          <w:szCs w:val="32"/>
        </w:rPr>
        <w:t>全年共接待来访团组</w:t>
      </w:r>
      <w:r>
        <w:rPr>
          <w:rFonts w:hint="eastAsia" w:asciiTheme="minorEastAsia" w:hAnsiTheme="minorEastAsia" w:eastAsiaTheme="minorEastAsia"/>
          <w:color w:val="auto"/>
          <w:sz w:val="32"/>
          <w:szCs w:val="32"/>
          <w:lang w:val="en-US" w:eastAsia="zh-CN"/>
        </w:rPr>
        <w:t>13</w:t>
      </w:r>
      <w:r>
        <w:rPr>
          <w:rFonts w:hint="eastAsia" w:asciiTheme="minorEastAsia" w:hAnsiTheme="minorEastAsia" w:eastAsiaTheme="minorEastAsia"/>
          <w:color w:val="auto"/>
          <w:sz w:val="32"/>
          <w:szCs w:val="32"/>
        </w:rPr>
        <w:t>个、来宾</w:t>
      </w:r>
      <w:r>
        <w:rPr>
          <w:rFonts w:hint="eastAsia" w:asciiTheme="minorEastAsia" w:hAnsiTheme="minorEastAsia" w:eastAsiaTheme="minorEastAsia"/>
          <w:color w:val="auto"/>
          <w:sz w:val="32"/>
          <w:szCs w:val="32"/>
          <w:lang w:val="en-US" w:eastAsia="zh-CN"/>
        </w:rPr>
        <w:t>144</w:t>
      </w:r>
      <w:r>
        <w:rPr>
          <w:rFonts w:hint="eastAsia" w:asciiTheme="minorEastAsia" w:hAnsiTheme="minorEastAsia" w:eastAsiaTheme="minorEastAsia"/>
          <w:color w:val="auto"/>
          <w:sz w:val="32"/>
          <w:szCs w:val="32"/>
        </w:rPr>
        <w:t>人次，</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val="en-US" w:eastAsia="zh-CN"/>
        </w:rPr>
        <w:t>各兄弟单位来邵</w:t>
      </w:r>
      <w:r>
        <w:rPr>
          <w:rFonts w:hint="eastAsia" w:asciiTheme="minorEastAsia" w:hAnsiTheme="minorEastAsia" w:eastAsiaTheme="minorEastAsia"/>
          <w:sz w:val="32"/>
          <w:szCs w:val="32"/>
        </w:rPr>
        <w:t>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13.22</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w:t>
      </w:r>
      <w:r>
        <w:rPr>
          <w:rFonts w:hint="eastAsia" w:asciiTheme="minorEastAsia" w:hAnsiTheme="minorEastAsia"/>
          <w:sz w:val="32"/>
          <w:szCs w:val="32"/>
          <w:lang w:val="en-US" w:eastAsia="zh-CN"/>
        </w:rPr>
        <w:t>本单位未更新公务用车；</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13.22</w:t>
      </w:r>
      <w:r>
        <w:rPr>
          <w:rFonts w:hint="eastAsia" w:asciiTheme="minorEastAsia" w:hAnsiTheme="minorEastAsia"/>
          <w:sz w:val="32"/>
          <w:szCs w:val="32"/>
        </w:rPr>
        <w:t>万元，主要是</w:t>
      </w:r>
      <w:r>
        <w:rPr>
          <w:rFonts w:hint="eastAsia" w:asciiTheme="minorEastAsia" w:hAnsiTheme="minorEastAsia"/>
          <w:sz w:val="32"/>
          <w:szCs w:val="32"/>
          <w:lang w:val="en-US" w:eastAsia="zh-CN"/>
        </w:rPr>
        <w:t>公务车保养及维修</w:t>
      </w:r>
      <w:r>
        <w:rPr>
          <w:rFonts w:hint="eastAsia" w:asciiTheme="minorEastAsia" w:hAnsiTheme="minorEastAsia"/>
          <w:sz w:val="32"/>
          <w:szCs w:val="32"/>
        </w:rPr>
        <w:t>支出</w:t>
      </w:r>
      <w:r>
        <w:rPr>
          <w:rFonts w:hint="eastAsia" w:asciiTheme="minorEastAsia" w:hAnsiTheme="minorEastAsia"/>
          <w:sz w:val="32"/>
          <w:szCs w:val="32"/>
          <w:lang w:eastAsia="zh-CN"/>
        </w:rPr>
        <w:t>。</w:t>
      </w:r>
      <w:r>
        <w:rPr>
          <w:rFonts w:hint="eastAsia" w:asciiTheme="minorEastAsia" w:hAnsiTheme="minorEastAsia"/>
          <w:sz w:val="32"/>
          <w:szCs w:val="32"/>
        </w:rPr>
        <w:t>截止2021年12月31日，我单位开支财政拨款的公务用车保有量为</w:t>
      </w:r>
      <w:r>
        <w:rPr>
          <w:rFonts w:hint="eastAsia" w:asciiTheme="minorEastAsia" w:hAnsiTheme="minorEastAsia"/>
          <w:color w:val="auto"/>
          <w:sz w:val="32"/>
          <w:szCs w:val="32"/>
          <w:lang w:val="en-US" w:eastAsia="zh-CN"/>
        </w:rPr>
        <w:t>2</w:t>
      </w:r>
      <w:r>
        <w:rPr>
          <w:rFonts w:hint="eastAsia" w:asciiTheme="minorEastAsia" w:hAnsiTheme="minorEastAsia"/>
          <w:color w:val="auto"/>
          <w:sz w:val="32"/>
          <w:szCs w:val="32"/>
        </w:rPr>
        <w:t>辆</w:t>
      </w:r>
      <w:r>
        <w:rPr>
          <w:rFonts w:hint="eastAsia" w:asciiTheme="minorEastAsia" w:hAnsiTheme="minorEastAsia"/>
          <w:sz w:val="32"/>
          <w:szCs w:val="32"/>
        </w:rPr>
        <w:t>。</w:t>
      </w:r>
    </w:p>
    <w:p>
      <w:pPr>
        <w:pStyle w:val="11"/>
        <w:rPr>
          <w:rFonts w:hAnsi="黑体"/>
          <w:b/>
          <w:sz w:val="32"/>
          <w:szCs w:val="32"/>
        </w:rPr>
      </w:pPr>
      <w:r>
        <w:rPr>
          <w:rFonts w:hint="eastAsia" w:hAnsi="黑体"/>
          <w:b/>
          <w:sz w:val="32"/>
          <w:szCs w:val="32"/>
        </w:rPr>
        <w:t>八、政府性基金预算收入支出决算情况</w:t>
      </w:r>
    </w:p>
    <w:p>
      <w:pPr>
        <w:pStyle w:val="11"/>
        <w:rPr>
          <w:rFonts w:hint="eastAsia" w:asciiTheme="minorEastAsia" w:hAnsiTheme="minorEastAsia" w:eastAsiaTheme="minorEastAsia"/>
          <w:i/>
          <w:color w:val="FF0000"/>
          <w:sz w:val="32"/>
          <w:szCs w:val="32"/>
          <w:lang w:eastAsia="zh-CN"/>
        </w:rPr>
      </w:pPr>
      <w:r>
        <w:rPr>
          <w:rFonts w:hint="eastAsia" w:asciiTheme="minorEastAsia" w:hAnsiTheme="minorEastAsia" w:eastAsiaTheme="minorEastAsia"/>
          <w:sz w:val="32"/>
          <w:szCs w:val="32"/>
        </w:rPr>
        <w:t xml:space="preserve">     </w:t>
      </w:r>
      <w:r>
        <w:rPr>
          <w:rFonts w:hint="eastAsia" w:asciiTheme="minorEastAsia" w:hAnsiTheme="minorEastAsia" w:eastAsiaTheme="minorEastAsia"/>
          <w:sz w:val="32"/>
          <w:szCs w:val="32"/>
          <w:lang w:val="en-US" w:eastAsia="zh-CN"/>
        </w:rPr>
        <w:t>本单位</w:t>
      </w:r>
      <w:r>
        <w:rPr>
          <w:rFonts w:hint="eastAsia" w:asciiTheme="minorEastAsia" w:hAnsiTheme="minorEastAsia" w:eastAsiaTheme="minorEastAsia"/>
          <w:sz w:val="32"/>
          <w:szCs w:val="32"/>
        </w:rPr>
        <w:t>2021年度</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政府性基金</w:t>
      </w:r>
      <w:r>
        <w:rPr>
          <w:rFonts w:hint="eastAsia" w:asciiTheme="minorEastAsia" w:hAnsiTheme="minorEastAsia" w:eastAsiaTheme="minorEastAsia"/>
          <w:sz w:val="32"/>
          <w:szCs w:val="32"/>
          <w:lang w:val="en-US" w:eastAsia="zh-CN"/>
        </w:rPr>
        <w:t>收支</w:t>
      </w:r>
      <w:r>
        <w:rPr>
          <w:rFonts w:hint="eastAsia" w:asciiTheme="minorEastAsia" w:hAnsiTheme="minorEastAsia" w:eastAsiaTheme="minorEastAsia"/>
          <w:sz w:val="32"/>
          <w:szCs w:val="32"/>
          <w:lang w:eastAsia="zh-CN"/>
        </w:rPr>
        <w:t>。</w:t>
      </w:r>
    </w:p>
    <w:p>
      <w:pPr>
        <w:pStyle w:val="11"/>
        <w:rPr>
          <w:rFonts w:hAnsi="黑体"/>
          <w:b/>
          <w:sz w:val="32"/>
          <w:szCs w:val="32"/>
        </w:rPr>
      </w:pPr>
      <w:r>
        <w:rPr>
          <w:rFonts w:hint="eastAsia" w:hAnsi="黑体"/>
          <w:b/>
          <w:sz w:val="32"/>
          <w:szCs w:val="32"/>
        </w:rPr>
        <w:t>九、机关运行经费支出说明</w:t>
      </w:r>
    </w:p>
    <w:p>
      <w:pPr>
        <w:pStyle w:val="11"/>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cstheme="minorBidi"/>
          <w:color w:val="auto"/>
          <w:kern w:val="2"/>
          <w:sz w:val="32"/>
          <w:szCs w:val="32"/>
          <w:lang w:val="en-US" w:eastAsia="zh-CN" w:bidi="ar-SA"/>
        </w:rPr>
        <w:t>本部门2021年度机关运行经费支出146.84万元，比年上年决算数增加19.49万元，增长15.3%。主要原因是：因为2020年垂改前期经费由邵阳市财政支出，2021年从省级支出，本年支出增加。</w:t>
      </w:r>
    </w:p>
    <w:p>
      <w:pPr>
        <w:pStyle w:val="11"/>
        <w:rPr>
          <w:rFonts w:hAnsi="黑体"/>
          <w:b/>
          <w:sz w:val="32"/>
          <w:szCs w:val="32"/>
        </w:rPr>
      </w:pPr>
      <w:r>
        <w:rPr>
          <w:rFonts w:hint="eastAsia" w:hAnsi="黑体"/>
          <w:b/>
          <w:sz w:val="32"/>
          <w:szCs w:val="32"/>
        </w:rPr>
        <w:t>十、一般性支出情况说明</w:t>
      </w:r>
    </w:p>
    <w:p>
      <w:pPr>
        <w:pStyle w:val="11"/>
        <w:ind w:firstLine="640" w:firstLineChars="20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未安排会议；开支培训费2万元，</w:t>
      </w:r>
      <w:r>
        <w:rPr>
          <w:rFonts w:hint="eastAsia" w:asciiTheme="minorEastAsia" w:hAnsiTheme="minorEastAsia" w:eastAsiaTheme="minorEastAsia"/>
          <w:color w:val="auto"/>
          <w:sz w:val="32"/>
          <w:szCs w:val="32"/>
        </w:rPr>
        <w:t>用于</w:t>
      </w:r>
      <w:r>
        <w:rPr>
          <w:rFonts w:hint="eastAsia" w:asciiTheme="minorEastAsia" w:hAnsiTheme="minorEastAsia" w:eastAsiaTheme="minorEastAsia"/>
          <w:color w:val="auto"/>
          <w:sz w:val="32"/>
          <w:szCs w:val="32"/>
          <w:lang w:val="en-US" w:eastAsia="zh-CN"/>
        </w:rPr>
        <w:t>开展业务培训</w:t>
      </w:r>
      <w:r>
        <w:rPr>
          <w:rFonts w:hint="eastAsia" w:asciiTheme="minorEastAsia" w:hAnsiTheme="minorEastAsia" w:eastAsiaTheme="minorEastAsia"/>
          <w:color w:val="auto"/>
          <w:sz w:val="32"/>
          <w:szCs w:val="32"/>
        </w:rPr>
        <w:t>，人数</w:t>
      </w:r>
      <w:r>
        <w:rPr>
          <w:rFonts w:hint="eastAsia" w:asciiTheme="minorEastAsia" w:hAnsiTheme="minorEastAsia" w:eastAsiaTheme="minorEastAsia"/>
          <w:color w:val="auto"/>
          <w:sz w:val="32"/>
          <w:szCs w:val="32"/>
          <w:lang w:val="en-US" w:eastAsia="zh-CN"/>
        </w:rPr>
        <w:t>50</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val="en-US" w:eastAsia="zh-CN"/>
        </w:rPr>
        <w:t>洞口锑异常应急监测复盘推演讨论及相应对策培训</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未举办节庆、晚会、论坛、赛事等活动。</w:t>
      </w:r>
    </w:p>
    <w:p>
      <w:pPr>
        <w:pStyle w:val="11"/>
        <w:rPr>
          <w:rFonts w:hAnsi="黑体"/>
          <w:b/>
          <w:sz w:val="32"/>
          <w:szCs w:val="32"/>
        </w:rPr>
      </w:pPr>
      <w:r>
        <w:rPr>
          <w:rFonts w:hint="eastAsia" w:hAnsi="黑体"/>
          <w:b/>
          <w:sz w:val="32"/>
          <w:szCs w:val="32"/>
        </w:rPr>
        <w:t>十一、政府采购支出说明</w:t>
      </w:r>
    </w:p>
    <w:p>
      <w:pPr>
        <w:pStyle w:val="11"/>
        <w:ind w:firstLine="640" w:firstLineChars="200"/>
        <w:rPr>
          <w:rFonts w:hint="eastAsia" w:hAnsi="黑体"/>
          <w:b/>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534.4</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534.4</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ind w:firstLine="640" w:firstLineChars="200"/>
        <w:rPr>
          <w:rFonts w:hAnsi="黑体"/>
          <w:b/>
          <w:sz w:val="32"/>
          <w:szCs w:val="32"/>
        </w:rPr>
      </w:pPr>
      <w:r>
        <w:rPr>
          <w:rFonts w:hint="eastAsia" w:hAnsi="黑体"/>
          <w:b/>
          <w:sz w:val="32"/>
          <w:szCs w:val="32"/>
        </w:rPr>
        <w:t>十二、国有资产占用情况说明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w:t>
      </w:r>
      <w:r>
        <w:rPr>
          <w:rFonts w:hint="eastAsia" w:asciiTheme="minorEastAsia" w:hAnsiTheme="minorEastAsia" w:eastAsiaTheme="minorEastAsia"/>
          <w:sz w:val="32"/>
          <w:szCs w:val="32"/>
          <w:lang w:val="en-US" w:eastAsia="zh-CN"/>
        </w:rPr>
        <w:t>本单位</w:t>
      </w:r>
      <w:r>
        <w:rPr>
          <w:rFonts w:hint="eastAsia" w:asciiTheme="minorEastAsia" w:hAnsiTheme="minorEastAsia" w:eastAsiaTheme="minorEastAsia"/>
          <w:sz w:val="32"/>
          <w:szCs w:val="32"/>
        </w:rPr>
        <w:t>共有车辆</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color w:val="auto"/>
          <w:sz w:val="32"/>
          <w:szCs w:val="32"/>
          <w:lang w:val="en-US" w:eastAsia="zh-CN"/>
        </w:rPr>
        <w:t>采样工作，日常工作用车</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台（套）。</w:t>
      </w:r>
    </w:p>
    <w:p>
      <w:pPr>
        <w:pStyle w:val="11"/>
        <w:rPr>
          <w:rFonts w:hAnsi="黑体"/>
          <w:b/>
          <w:sz w:val="32"/>
          <w:szCs w:val="32"/>
        </w:rPr>
      </w:pPr>
      <w:r>
        <w:rPr>
          <w:rFonts w:hint="eastAsia" w:hAnsi="黑体"/>
          <w:b/>
          <w:sz w:val="32"/>
          <w:szCs w:val="32"/>
        </w:rPr>
        <w:t>十三、2021年度预算绩效情况说明</w:t>
      </w:r>
    </w:p>
    <w:p>
      <w:pPr>
        <w:pStyle w:val="11"/>
        <w:ind w:firstLine="640" w:firstLineChars="200"/>
        <w:rPr>
          <w:rFonts w:hint="eastAsia" w:cs="黑体" w:asciiTheme="minorEastAsia" w:hAnsiTheme="minorEastAsia" w:eastAsiaTheme="minorEastAsia"/>
          <w:color w:val="000000"/>
          <w:kern w:val="0"/>
          <w:sz w:val="32"/>
          <w:szCs w:val="32"/>
          <w:highlight w:val="none"/>
        </w:rPr>
      </w:pPr>
      <w:r>
        <w:rPr>
          <w:rFonts w:hint="eastAsia" w:cs="黑体" w:asciiTheme="minorEastAsia" w:hAnsiTheme="minorEastAsia" w:eastAsiaTheme="minorEastAsia"/>
          <w:color w:val="000000"/>
          <w:kern w:val="0"/>
          <w:sz w:val="32"/>
          <w:szCs w:val="32"/>
          <w:highlight w:val="none"/>
        </w:rPr>
        <w:t>为进一步规范财政资金管理，强化绩效和责任意识，切实提高财政资金使用效益，</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我部门组织对2021年部门整体支出进行绩效自评，涉及财政资金</w:t>
      </w:r>
      <w:r>
        <w:rPr>
          <w:rFonts w:hint="eastAsia" w:cs="黑体" w:asciiTheme="minorEastAsia" w:hAnsiTheme="minorEastAsia" w:eastAsiaTheme="minorEastAsia"/>
          <w:b w:val="0"/>
          <w:bCs w:val="0"/>
          <w:i w:val="0"/>
          <w:iCs w:val="0"/>
          <w:color w:val="000000"/>
          <w:kern w:val="0"/>
          <w:sz w:val="32"/>
          <w:szCs w:val="32"/>
          <w:highlight w:val="none"/>
          <w:u w:val="none"/>
          <w:shd w:val="clear" w:fill="auto"/>
          <w:lang w:val="en-US" w:eastAsia="zh-CN" w:bidi="ar"/>
        </w:rPr>
        <w:t>3,442.82</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万元，其中：基本支出</w:t>
      </w:r>
      <w:r>
        <w:rPr>
          <w:rFonts w:hint="eastAsia" w:cs="黑体" w:asciiTheme="minorEastAsia" w:hAnsiTheme="minorEastAsia" w:eastAsiaTheme="minorEastAsia"/>
          <w:b w:val="0"/>
          <w:bCs w:val="0"/>
          <w:i w:val="0"/>
          <w:iCs w:val="0"/>
          <w:color w:val="000000"/>
          <w:kern w:val="0"/>
          <w:sz w:val="32"/>
          <w:szCs w:val="32"/>
          <w:highlight w:val="none"/>
          <w:u w:val="none"/>
          <w:shd w:val="clear" w:fill="auto"/>
          <w:lang w:val="en-US" w:eastAsia="zh-CN" w:bidi="ar"/>
        </w:rPr>
        <w:t>1,456.20</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万元，项目支出</w:t>
      </w:r>
      <w:r>
        <w:rPr>
          <w:rFonts w:hint="eastAsia" w:cs="黑体" w:asciiTheme="minorEastAsia" w:hAnsiTheme="minorEastAsia" w:eastAsiaTheme="minorEastAsia"/>
          <w:b w:val="0"/>
          <w:bCs w:val="0"/>
          <w:i w:val="0"/>
          <w:iCs w:val="0"/>
          <w:color w:val="000000"/>
          <w:kern w:val="0"/>
          <w:sz w:val="32"/>
          <w:szCs w:val="32"/>
          <w:highlight w:val="none"/>
          <w:u w:val="none"/>
          <w:shd w:val="clear" w:fill="auto"/>
          <w:lang w:val="en-US" w:eastAsia="zh-CN" w:bidi="ar"/>
        </w:rPr>
        <w:t>1,986.62</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万元。从评价结果看，资金使用效益较好，</w:t>
      </w:r>
      <w:r>
        <w:rPr>
          <w:rFonts w:hint="eastAsia" w:cs="黑体" w:asciiTheme="minorEastAsia" w:hAnsiTheme="minorEastAsia" w:eastAsiaTheme="minorEastAsia"/>
          <w:i w:val="0"/>
          <w:iCs w:val="0"/>
          <w:caps w:val="0"/>
          <w:color w:val="000000"/>
          <w:spacing w:val="0"/>
          <w:kern w:val="0"/>
          <w:sz w:val="32"/>
          <w:szCs w:val="32"/>
          <w:highlight w:val="none"/>
          <w:shd w:val="clear" w:fill="auto"/>
        </w:rPr>
        <w:t>达到了预期绩效目标。</w:t>
      </w:r>
    </w:p>
    <w:p>
      <w:pPr>
        <w:pStyle w:val="11"/>
        <w:ind w:firstLine="640" w:firstLineChars="200"/>
        <w:jc w:val="left"/>
        <w:rPr>
          <w:rFonts w:hint="eastAsia" w:asciiTheme="minorEastAsia" w:hAnsiTheme="minorEastAsia" w:eastAsiaTheme="minorEastAsia"/>
          <w:sz w:val="32"/>
          <w:szCs w:val="32"/>
          <w:highlight w:val="none"/>
        </w:rPr>
      </w:pPr>
      <w:r>
        <w:rPr>
          <w:rFonts w:hint="eastAsia" w:cs="黑体" w:asciiTheme="minorEastAsia" w:hAnsiTheme="minorEastAsia" w:eastAsiaTheme="minorEastAsia"/>
          <w:color w:val="000000"/>
          <w:kern w:val="0"/>
          <w:sz w:val="32"/>
          <w:szCs w:val="32"/>
          <w:highlight w:val="none"/>
        </w:rPr>
        <w:t>本部门预算绩效管理开展情况、绩效目标和绩效评价报告等详见附件</w:t>
      </w:r>
      <w:r>
        <w:rPr>
          <w:rFonts w:hint="eastAsia" w:cs="黑体" w:asciiTheme="minorEastAsia" w:hAnsiTheme="minorEastAsia" w:eastAsiaTheme="minorEastAsia"/>
          <w:color w:val="000000"/>
          <w:kern w:val="0"/>
          <w:sz w:val="32"/>
          <w:szCs w:val="32"/>
          <w:highlight w:val="none"/>
          <w:lang w:eastAsia="zh-CN"/>
        </w:rPr>
        <w:t>。</w:t>
      </w:r>
    </w:p>
    <w:p>
      <w:pPr>
        <w:pStyle w:val="11"/>
        <w:jc w:val="center"/>
        <w:rPr>
          <w:sz w:val="72"/>
          <w:szCs w:val="72"/>
        </w:rPr>
      </w:pPr>
    </w:p>
    <w:p>
      <w:pPr>
        <w:pStyle w:val="11"/>
        <w:jc w:val="center"/>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widowControl/>
        <w:suppressLineNumbers w:val="0"/>
        <w:ind w:firstLine="640" w:firstLineChars="200"/>
        <w:jc w:val="left"/>
      </w:pPr>
      <w:r>
        <w:rPr>
          <w:rFonts w:hint="eastAsia" w:cs="黑体" w:asciiTheme="minorEastAsia" w:hAnsiTheme="minorEastAsia"/>
          <w:color w:val="000000"/>
          <w:kern w:val="0"/>
          <w:sz w:val="32"/>
          <w:szCs w:val="32"/>
        </w:rPr>
        <w:t>一、</w:t>
      </w:r>
      <w:r>
        <w:rPr>
          <w:rFonts w:ascii="仿宋_GB2312" w:hAnsi="仿宋_GB2312" w:eastAsia="仿宋_GB2312" w:cs="仿宋_GB2312"/>
          <w:color w:val="000000"/>
          <w:kern w:val="0"/>
          <w:sz w:val="31"/>
          <w:szCs w:val="31"/>
          <w:lang w:val="en-US" w:eastAsia="zh-CN" w:bidi="ar"/>
        </w:rPr>
        <w:t xml:space="preserve">基本支出：指为保障机构正常运转、完成日常工作任务而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发生的各项支出，包括人员支出和公用支出。 </w:t>
      </w:r>
    </w:p>
    <w:p>
      <w:pPr>
        <w:keepNext w:val="0"/>
        <w:keepLines w:val="0"/>
        <w:widowControl/>
        <w:suppressLineNumbers w:val="0"/>
        <w:ind w:firstLine="640" w:firstLineChars="200"/>
        <w:jc w:val="left"/>
      </w:pPr>
      <w:r>
        <w:rPr>
          <w:rFonts w:hint="eastAsia" w:cs="黑体" w:asciiTheme="minorEastAsia" w:hAnsiTheme="minorEastAsia"/>
          <w:color w:val="000000"/>
          <w:kern w:val="0"/>
          <w:sz w:val="32"/>
          <w:szCs w:val="32"/>
        </w:rPr>
        <w:t>二、</w:t>
      </w:r>
      <w:r>
        <w:rPr>
          <w:rFonts w:ascii="仿宋_GB2312" w:hAnsi="仿宋_GB2312" w:eastAsia="仿宋_GB2312" w:cs="仿宋_GB2312"/>
          <w:color w:val="000000"/>
          <w:kern w:val="0"/>
          <w:sz w:val="31"/>
          <w:szCs w:val="31"/>
          <w:lang w:val="en-US" w:eastAsia="zh-CN" w:bidi="ar"/>
        </w:rPr>
        <w:t xml:space="preserve">项目支出：指在基本支出以外为完成相关行政任务和事业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发展目标所发生的各项支出。 </w:t>
      </w:r>
    </w:p>
    <w:p>
      <w:pPr>
        <w:keepNext w:val="0"/>
        <w:keepLines w:val="0"/>
        <w:widowControl/>
        <w:suppressLineNumbers w:val="0"/>
        <w:ind w:firstLine="640" w:firstLineChars="200"/>
        <w:jc w:val="left"/>
      </w:pPr>
      <w:r>
        <w:rPr>
          <w:rFonts w:hint="eastAsia" w:cs="黑体" w:asciiTheme="minorEastAsia" w:hAnsiTheme="minorEastAsia"/>
          <w:color w:val="000000"/>
          <w:kern w:val="0"/>
          <w:sz w:val="32"/>
          <w:szCs w:val="32"/>
        </w:rPr>
        <w:t>三、</w:t>
      </w:r>
      <w:r>
        <w:rPr>
          <w:rFonts w:hint="default" w:ascii="Times New Roman" w:hAnsi="Times New Roman" w:eastAsia="宋体" w:cs="Times New Roman"/>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三公</w:t>
      </w:r>
      <w:r>
        <w:rPr>
          <w:rFonts w:hint="default" w:ascii="Times New Roman" w:hAnsi="Times New Roman" w:eastAsia="宋体" w:cs="Times New Roman"/>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 xml:space="preserve">经费：指通过财政拨款资金安排的因公出国（境）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费、公务用车购置及运行费和公务接待费支出。 </w:t>
      </w:r>
    </w:p>
    <w:p>
      <w:pPr>
        <w:keepNext w:val="0"/>
        <w:keepLines w:val="0"/>
        <w:widowControl/>
        <w:suppressLineNumbers w:val="0"/>
        <w:ind w:firstLine="640" w:firstLineChars="200"/>
        <w:jc w:val="left"/>
      </w:pPr>
      <w:r>
        <w:rPr>
          <w:rFonts w:hint="eastAsia" w:cs="黑体" w:asciiTheme="minorEastAsia" w:hAnsiTheme="minorEastAsia"/>
          <w:color w:val="000000"/>
          <w:kern w:val="0"/>
          <w:sz w:val="32"/>
          <w:szCs w:val="32"/>
          <w:lang w:val="en-US" w:eastAsia="zh-CN"/>
        </w:rPr>
        <w:t>四、</w:t>
      </w:r>
      <w:r>
        <w:rPr>
          <w:rFonts w:ascii="仿宋_GB2312" w:hAnsi="仿宋_GB2312" w:eastAsia="仿宋_GB2312" w:cs="仿宋_GB2312"/>
          <w:color w:val="000000"/>
          <w:kern w:val="0"/>
          <w:sz w:val="31"/>
          <w:szCs w:val="31"/>
          <w:lang w:val="en-US" w:eastAsia="zh-CN" w:bidi="ar"/>
        </w:rPr>
        <w:t xml:space="preserve">机关运行经费：是指各部门的公用经费，包括办公及印刷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费、邮电费、差旅费、会议费、福利费、日常维修费、专用材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料及一般设备购置费、办公用房水电费、办公用房取暖费、办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公用房物业管理费、公务用车运行维护费以及其他费用。 </w:t>
      </w:r>
    </w:p>
    <w:p>
      <w:pPr>
        <w:widowControl/>
        <w:jc w:val="left"/>
        <w:rPr>
          <w:rFonts w:eastAsia="黑体" w:cs="黑体" w:asciiTheme="minorEastAsia" w:hAnsiTheme="minorEastAsia"/>
          <w:color w:val="000000"/>
          <w:kern w:val="0"/>
          <w:sz w:val="28"/>
          <w:szCs w:val="32"/>
        </w:rPr>
      </w:pPr>
      <w:r>
        <w:rPr>
          <w:rFonts w:hint="eastAsia" w:asciiTheme="minorEastAsia" w:hAnsiTheme="minorEastAsia"/>
          <w:sz w:val="28"/>
          <w:szCs w:val="32"/>
        </w:rPr>
        <w:t>（名词解释应包含本部门专有名词，如省财政厅应有对“财政事务”科目的解释）</w:t>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both"/>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2021年度部门整体支出绩效评价报告</w:t>
      </w:r>
    </w:p>
    <w:p>
      <w:pPr>
        <w:adjustRightInd w:val="0"/>
        <w:snapToGrid w:val="0"/>
        <w:spacing w:line="600" w:lineRule="exact"/>
        <w:ind w:left="0" w:leftChars="0" w:firstLine="0" w:firstLineChars="0"/>
        <w:rPr>
          <w:rFonts w:eastAsia="黑体"/>
          <w:sz w:val="32"/>
          <w:szCs w:val="32"/>
        </w:rPr>
      </w:pPr>
      <w:r>
        <w:rPr>
          <w:rFonts w:eastAsia="黑体"/>
          <w:sz w:val="32"/>
          <w:szCs w:val="32"/>
        </w:rPr>
        <w:t>一、</w:t>
      </w:r>
      <w:r>
        <w:rPr>
          <w:rFonts w:hint="eastAsia" w:eastAsia="黑体"/>
          <w:sz w:val="32"/>
          <w:szCs w:val="32"/>
        </w:rPr>
        <w:t>部门</w:t>
      </w:r>
      <w:r>
        <w:rPr>
          <w:rFonts w:eastAsia="黑体"/>
          <w:sz w:val="32"/>
          <w:szCs w:val="32"/>
        </w:rPr>
        <w:t>概况</w:t>
      </w:r>
    </w:p>
    <w:p>
      <w:pPr>
        <w:pStyle w:val="14"/>
        <w:keepNext w:val="0"/>
        <w:keepLines w:val="0"/>
        <w:pageBreakBefore w:val="0"/>
        <w:kinsoku/>
        <w:wordWrap/>
        <w:overflowPunct/>
        <w:topLinePunct w:val="0"/>
        <w:autoSpaceDE/>
        <w:autoSpaceDN/>
        <w:bidi w:val="0"/>
        <w:spacing w:line="360" w:lineRule="auto"/>
        <w:ind w:left="0" w:lef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（一）机构组成</w:t>
      </w:r>
    </w:p>
    <w:p>
      <w:pPr>
        <w:spacing w:line="560" w:lineRule="exact"/>
        <w:ind w:firstLine="627" w:firstLineChars="196"/>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val="en-US" w:eastAsia="zh-CN"/>
        </w:rPr>
        <w:t>中心</w:t>
      </w:r>
      <w:r>
        <w:rPr>
          <w:rFonts w:hint="eastAsia" w:ascii="仿宋" w:hAnsi="仿宋" w:eastAsia="仿宋" w:cs="仿宋"/>
          <w:sz w:val="32"/>
          <w:szCs w:val="32"/>
        </w:rPr>
        <w:t>属</w:t>
      </w:r>
      <w:r>
        <w:rPr>
          <w:rFonts w:hint="eastAsia" w:ascii="仿宋_GB2312" w:hAnsi="仿宋_GB2312" w:eastAsia="仿宋_GB2312" w:cs="仿宋_GB2312"/>
          <w:sz w:val="32"/>
          <w:szCs w:val="32"/>
        </w:rPr>
        <w:t>湖南省生态环境厅直属副处级公益一类全额拨款事业单位。</w:t>
      </w:r>
    </w:p>
    <w:p>
      <w:pPr>
        <w:pStyle w:val="14"/>
        <w:keepNext w:val="0"/>
        <w:keepLines w:val="0"/>
        <w:pageBreakBefore w:val="0"/>
        <w:numPr>
          <w:ilvl w:val="0"/>
          <w:numId w:val="3"/>
        </w:numPr>
        <w:kinsoku/>
        <w:wordWrap/>
        <w:overflowPunct/>
        <w:topLinePunct w:val="0"/>
        <w:autoSpaceDE/>
        <w:autoSpaceDN/>
        <w:bidi w:val="0"/>
        <w:spacing w:line="360" w:lineRule="auto"/>
        <w:ind w:left="0" w:lef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机构职能</w:t>
      </w:r>
    </w:p>
    <w:p>
      <w:pPr>
        <w:spacing w:line="560" w:lineRule="exact"/>
        <w:ind w:firstLine="627" w:firstLineChars="196"/>
        <w:rPr>
          <w:rFonts w:hint="eastAsia" w:ascii="仿宋" w:hAnsi="仿宋" w:eastAsia="仿宋" w:cs="仿宋"/>
          <w:sz w:val="32"/>
          <w:szCs w:val="32"/>
          <w:lang w:eastAsia="zh-CN"/>
        </w:rPr>
      </w:pPr>
      <w:r>
        <w:rPr>
          <w:rFonts w:hint="eastAsia" w:ascii="仿宋_GB2312" w:hAnsi="仿宋_GB2312" w:eastAsia="仿宋_GB2312" w:cs="仿宋_GB2312"/>
          <w:sz w:val="32"/>
          <w:szCs w:val="32"/>
          <w:lang w:val="en-US" w:eastAsia="zh-CN"/>
        </w:rPr>
        <w:t>主要</w:t>
      </w:r>
      <w:r>
        <w:rPr>
          <w:rFonts w:hint="eastAsia" w:ascii="仿宋_GB2312" w:hAnsi="仿宋_GB2312" w:eastAsia="仿宋_GB2312" w:cs="仿宋_GB2312"/>
          <w:sz w:val="32"/>
          <w:szCs w:val="32"/>
        </w:rPr>
        <w:t>承担邵阳市生态环境质量监测和生态状况监测、评价等工作；负责邵阳市生态环境监测数据采集、分析研判、信息推送等工作，开展生态环境监测领域科学研究；负责邵阳市生态环境质量监测网络体系建设、质量管理控制等工作；负责配合实施邵阳市生态环境监测能力建设等工作；</w:t>
      </w:r>
      <w:r>
        <w:rPr>
          <w:rFonts w:hint="eastAsia" w:ascii="仿宋_GB2312" w:hAnsi="仿宋_GB2312" w:eastAsia="仿宋_GB2312" w:cs="仿宋_GB2312"/>
          <w:color w:val="000000"/>
          <w:sz w:val="32"/>
          <w:szCs w:val="32"/>
        </w:rPr>
        <w:t>承担所在市辖区内辐射监测相关工作；</w:t>
      </w:r>
      <w:r>
        <w:rPr>
          <w:rFonts w:hint="eastAsia" w:ascii="仿宋_GB2312" w:hAnsi="仿宋_GB2312" w:eastAsia="仿宋_GB2312" w:cs="仿宋_GB2312"/>
          <w:sz w:val="32"/>
          <w:szCs w:val="32"/>
        </w:rPr>
        <w:t>参与重大、跨界执法监测和应急监测等工作；</w:t>
      </w:r>
      <w:r>
        <w:rPr>
          <w:rFonts w:hint="eastAsia" w:ascii="仿宋_GB2312" w:hAnsi="仿宋_GB2312" w:eastAsia="仿宋_GB2312" w:cs="仿宋_GB2312"/>
          <w:color w:val="000000"/>
          <w:sz w:val="32"/>
          <w:szCs w:val="32"/>
        </w:rPr>
        <w:t>承担市生态环境局委托的相关生态环境监测任务；承担上级交办的其他工作。</w:t>
      </w:r>
    </w:p>
    <w:p>
      <w:pPr>
        <w:pStyle w:val="14"/>
        <w:keepNext w:val="0"/>
        <w:keepLines w:val="0"/>
        <w:pageBreakBefore w:val="0"/>
        <w:widowControl/>
        <w:numPr>
          <w:ilvl w:val="0"/>
          <w:numId w:val="3"/>
        </w:numPr>
        <w:kinsoku/>
        <w:wordWrap/>
        <w:overflowPunct/>
        <w:topLinePunct w:val="0"/>
        <w:autoSpaceDE/>
        <w:autoSpaceDN/>
        <w:bidi w:val="0"/>
        <w:spacing w:line="360" w:lineRule="auto"/>
        <w:ind w:left="0" w:leftChars="0" w:firstLine="960" w:firstLineChars="300"/>
        <w:jc w:val="both"/>
        <w:textAlignment w:val="auto"/>
        <w:outlineLvl w:val="9"/>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人员概况</w:t>
      </w:r>
    </w:p>
    <w:p>
      <w:pPr>
        <w:pStyle w:val="14"/>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
          <w:color w:val="000000" w:themeColor="text1"/>
          <w:sz w:val="32"/>
          <w:szCs w:val="32"/>
          <w:shd w:val="clear" w:color="auto" w:fill="FFFFFF"/>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2021年本单位</w:t>
      </w:r>
      <w:r>
        <w:rPr>
          <w:rFonts w:hint="eastAsia" w:ascii="仿宋" w:hAnsi="仿宋" w:eastAsia="仿宋" w:cs="仿宋"/>
          <w:color w:val="000000" w:themeColor="text1"/>
          <w:kern w:val="0"/>
          <w:sz w:val="32"/>
          <w:szCs w:val="32"/>
          <w14:textFill>
            <w14:solidFill>
              <w14:schemeClr w14:val="tx1"/>
            </w14:solidFill>
          </w14:textFill>
        </w:rPr>
        <w:t>人员编制52人，实有在册人数</w:t>
      </w:r>
      <w:r>
        <w:rPr>
          <w:rFonts w:hint="eastAsia" w:ascii="仿宋" w:hAnsi="仿宋" w:eastAsia="仿宋" w:cs="仿宋"/>
          <w:color w:val="000000" w:themeColor="text1"/>
          <w:kern w:val="0"/>
          <w:sz w:val="32"/>
          <w:szCs w:val="32"/>
          <w:lang w:val="en-US" w:eastAsia="zh-CN"/>
          <w14:textFill>
            <w14:solidFill>
              <w14:schemeClr w14:val="tx1"/>
            </w14:solidFill>
          </w14:textFill>
        </w:rPr>
        <w:t>79</w:t>
      </w:r>
      <w:r>
        <w:rPr>
          <w:rFonts w:hint="eastAsia" w:ascii="仿宋" w:hAnsi="仿宋" w:eastAsia="仿宋" w:cs="仿宋"/>
          <w:color w:val="000000" w:themeColor="text1"/>
          <w:kern w:val="0"/>
          <w:sz w:val="32"/>
          <w:szCs w:val="32"/>
          <w14:textFill>
            <w14:solidFill>
              <w14:schemeClr w14:val="tx1"/>
            </w14:solidFill>
          </w14:textFill>
        </w:rPr>
        <w:t>人，退休人员</w:t>
      </w:r>
      <w:r>
        <w:rPr>
          <w:rFonts w:hint="eastAsia" w:ascii="仿宋" w:hAnsi="仿宋" w:eastAsia="仿宋" w:cs="仿宋"/>
          <w:color w:val="000000" w:themeColor="text1"/>
          <w:kern w:val="0"/>
          <w:sz w:val="32"/>
          <w:szCs w:val="32"/>
          <w:lang w:val="en-US" w:eastAsia="zh-CN"/>
          <w14:textFill>
            <w14:solidFill>
              <w14:schemeClr w14:val="tx1"/>
            </w14:solidFill>
          </w14:textFill>
        </w:rPr>
        <w:t>40</w:t>
      </w:r>
      <w:r>
        <w:rPr>
          <w:rFonts w:hint="eastAsia" w:ascii="仿宋" w:hAnsi="仿宋" w:eastAsia="仿宋" w:cs="仿宋"/>
          <w:color w:val="000000" w:themeColor="text1"/>
          <w:kern w:val="0"/>
          <w:sz w:val="32"/>
          <w:szCs w:val="32"/>
          <w14:textFill>
            <w14:solidFill>
              <w14:schemeClr w14:val="tx1"/>
            </w14:solidFill>
          </w14:textFill>
        </w:rPr>
        <w:t>人，遗属供养人员1人。</w:t>
      </w:r>
    </w:p>
    <w:p>
      <w:pPr>
        <w:adjustRightInd w:val="0"/>
        <w:snapToGrid w:val="0"/>
        <w:spacing w:line="600" w:lineRule="exact"/>
        <w:rPr>
          <w:rFonts w:eastAsia="黑体"/>
          <w:sz w:val="32"/>
          <w:szCs w:val="32"/>
        </w:rPr>
      </w:pPr>
      <w:r>
        <w:rPr>
          <w:rFonts w:eastAsia="黑体"/>
          <w:sz w:val="32"/>
          <w:szCs w:val="32"/>
        </w:rPr>
        <w:t>二、</w:t>
      </w:r>
      <w:r>
        <w:rPr>
          <w:rFonts w:hint="eastAsia" w:eastAsia="黑体"/>
          <w:sz w:val="32"/>
          <w:szCs w:val="32"/>
        </w:rPr>
        <w:t>部门整体支出</w:t>
      </w:r>
      <w:r>
        <w:rPr>
          <w:rFonts w:eastAsia="黑体"/>
          <w:sz w:val="32"/>
          <w:szCs w:val="32"/>
        </w:rPr>
        <w:t>管理及使用情况</w:t>
      </w:r>
    </w:p>
    <w:p>
      <w:pPr>
        <w:adjustRightInd w:val="0"/>
        <w:snapToGrid w:val="0"/>
        <w:spacing w:line="600" w:lineRule="exact"/>
        <w:ind w:left="0" w:leftChars="0" w:firstLine="0" w:firstLineChars="0"/>
        <w:rPr>
          <w:rFonts w:hint="eastAsia" w:ascii="楷体_GB2312" w:eastAsia="楷体_GB2312"/>
          <w:b/>
          <w:sz w:val="32"/>
          <w:szCs w:val="32"/>
        </w:rPr>
      </w:pPr>
      <w:r>
        <w:rPr>
          <w:rFonts w:hint="eastAsia" w:ascii="楷体_GB2312" w:eastAsia="楷体_GB2312"/>
          <w:b/>
          <w:sz w:val="32"/>
          <w:szCs w:val="32"/>
        </w:rPr>
        <w:t>（一）预算执行情况</w:t>
      </w:r>
    </w:p>
    <w:p>
      <w:pPr>
        <w:adjustRightInd w:val="0"/>
        <w:snapToGrid w:val="0"/>
        <w:spacing w:line="600" w:lineRule="exact"/>
        <w:ind w:firstLine="640" w:firstLineChars="200"/>
        <w:rPr>
          <w:rFonts w:hint="eastAsia" w:eastAsia="仿宋_GB2312"/>
          <w:color w:val="000000" w:themeColor="text1"/>
          <w:sz w:val="32"/>
          <w:szCs w:val="32"/>
          <w14:textFill>
            <w14:solidFill>
              <w14:schemeClr w14:val="tx1"/>
            </w14:solidFill>
          </w14:textFill>
        </w:rPr>
      </w:pPr>
      <w:r>
        <w:rPr>
          <w:rFonts w:hint="eastAsia" w:ascii="仿宋" w:hAnsi="仿宋" w:eastAsia="仿宋" w:cs="仿宋"/>
          <w:b w:val="0"/>
          <w:bCs/>
          <w:color w:val="000000" w:themeColor="text1"/>
          <w:sz w:val="32"/>
          <w:szCs w:val="32"/>
          <w:lang w:val="en-US" w:eastAsia="zh-CN"/>
          <w14:textFill>
            <w14:solidFill>
              <w14:schemeClr w14:val="tx1"/>
            </w14:solidFill>
          </w14:textFill>
        </w:rPr>
        <w:t>2021年度财政部门批复给本单位预算为1989.19万元。本单位实际支出1797.43万元，其中人员支出844.54万元，日常公用经费支出146.84万元，项目支出806.05万元。2021年本单位严格按照预算安排进行支出。</w:t>
      </w:r>
    </w:p>
    <w:p>
      <w:pPr>
        <w:adjustRightInd w:val="0"/>
        <w:snapToGrid w:val="0"/>
        <w:spacing w:line="600" w:lineRule="exact"/>
        <w:ind w:left="0" w:leftChars="0" w:firstLine="0" w:firstLineChars="0"/>
        <w:rPr>
          <w:rFonts w:hint="eastAsia" w:ascii="楷体_GB2312" w:eastAsia="楷体_GB2312"/>
          <w:b/>
          <w:sz w:val="32"/>
          <w:szCs w:val="32"/>
        </w:rPr>
      </w:pPr>
      <w:r>
        <w:rPr>
          <w:rFonts w:hint="eastAsia" w:ascii="楷体_GB2312" w:eastAsia="楷体_GB2312"/>
          <w:b/>
          <w:sz w:val="32"/>
          <w:szCs w:val="32"/>
        </w:rPr>
        <w:t>（二）基本支出</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1、2021年本单位基本支出991.38万元，其中人员经费844.54万元；公用经费支出146.84万元。</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left"/>
        <w:textAlignment w:val="auto"/>
        <w:outlineLvl w:val="9"/>
        <w:rPr>
          <w:rFonts w:hint="default"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2021年度，本单位“三公”经费预算为19.25万元。本单位2021年度“三公”经费包括公务接待费，公务车运行费。本单位在2021年度“三公”经费支出为15.88万元，在支出过程严格审批、支出流程，做到每笔三公经费支出都合法合规。</w:t>
      </w:r>
    </w:p>
    <w:p>
      <w:pPr>
        <w:adjustRightInd w:val="0"/>
        <w:snapToGrid w:val="0"/>
        <w:spacing w:line="600" w:lineRule="exact"/>
        <w:ind w:left="0" w:leftChars="0" w:firstLine="0" w:firstLineChars="0"/>
        <w:rPr>
          <w:rFonts w:hint="eastAsia" w:eastAsia="黑体"/>
          <w:sz w:val="32"/>
          <w:szCs w:val="32"/>
        </w:rPr>
      </w:pPr>
      <w:r>
        <w:rPr>
          <w:rFonts w:hint="eastAsia" w:eastAsia="黑体"/>
          <w:sz w:val="32"/>
          <w:szCs w:val="32"/>
          <w:lang w:eastAsia="zh-CN"/>
        </w:rPr>
        <w:t>三</w:t>
      </w:r>
      <w:r>
        <w:rPr>
          <w:rFonts w:hint="eastAsia" w:eastAsia="黑体"/>
          <w:sz w:val="32"/>
          <w:szCs w:val="32"/>
        </w:rPr>
        <w:t>、资产管理情况</w:t>
      </w:r>
    </w:p>
    <w:p>
      <w:pPr>
        <w:ind w:left="0" w:leftChars="0" w:firstLine="617" w:firstLineChars="193"/>
        <w:rPr>
          <w:rFonts w:hint="default" w:ascii="仿宋_GB2312" w:eastAsia="仿宋_GB2312"/>
          <w:sz w:val="32"/>
          <w:szCs w:val="32"/>
          <w:lang w:val="en-US" w:eastAsia="zh-CN"/>
        </w:rPr>
      </w:pPr>
      <w:r>
        <w:rPr>
          <w:rFonts w:hint="eastAsia" w:ascii="仿宋_GB2312" w:eastAsia="仿宋_GB2312"/>
          <w:sz w:val="32"/>
          <w:szCs w:val="32"/>
          <w:lang w:val="en-US" w:eastAsia="zh-CN"/>
        </w:rPr>
        <w:t>我单位严格按照市财政局相关文件执行，固定资产已全部纳入资产管理系统管理，并定期做好资产折旧，按要求做好处置等。</w:t>
      </w:r>
    </w:p>
    <w:p>
      <w:pPr>
        <w:numPr>
          <w:ilvl w:val="0"/>
          <w:numId w:val="0"/>
        </w:numPr>
        <w:tabs>
          <w:tab w:val="left" w:pos="592"/>
        </w:tabs>
        <w:adjustRightInd w:val="0"/>
        <w:snapToGrid w:val="0"/>
        <w:spacing w:line="600" w:lineRule="exact"/>
        <w:ind w:left="0" w:leftChars="0" w:firstLine="0" w:firstLineChars="0"/>
        <w:rPr>
          <w:rFonts w:hint="eastAsia" w:eastAsia="黑体"/>
          <w:sz w:val="32"/>
          <w:szCs w:val="32"/>
        </w:rPr>
      </w:pPr>
      <w:r>
        <w:rPr>
          <w:rFonts w:hint="eastAsia" w:eastAsia="黑体"/>
          <w:sz w:val="32"/>
          <w:szCs w:val="32"/>
          <w:lang w:eastAsia="zh-CN"/>
        </w:rPr>
        <w:t>四、</w:t>
      </w:r>
      <w:r>
        <w:rPr>
          <w:rFonts w:hint="eastAsia" w:eastAsia="黑体"/>
          <w:sz w:val="32"/>
          <w:szCs w:val="32"/>
        </w:rPr>
        <w:t>绩效评价工作情况</w:t>
      </w:r>
    </w:p>
    <w:p>
      <w:pPr>
        <w:numPr>
          <w:ilvl w:val="0"/>
          <w:numId w:val="0"/>
        </w:numPr>
        <w:adjustRightInd w:val="0"/>
        <w:snapToGrid w:val="0"/>
        <w:spacing w:line="600" w:lineRule="exact"/>
        <w:ind w:left="0" w:leftChars="0" w:firstLine="297" w:firstLineChars="93"/>
        <w:rPr>
          <w:rFonts w:hint="default" w:eastAsia="黑体"/>
          <w:sz w:val="32"/>
          <w:szCs w:val="32"/>
          <w:lang w:val="en-US" w:eastAsia="zh-CN"/>
        </w:rPr>
      </w:pPr>
      <w:r>
        <w:rPr>
          <w:rFonts w:hint="eastAsia" w:ascii="仿宋" w:hAnsi="仿宋" w:eastAsia="仿宋" w:cs="仿宋"/>
          <w:sz w:val="32"/>
          <w:szCs w:val="32"/>
          <w:lang w:val="en-US" w:eastAsia="zh-CN"/>
        </w:rPr>
        <w:t>我中心根据文件要求，对预算配置、预算执行、预算管理、资产管理、绩效管理、职责履行、履职效益等方面进行了自评，形成了自评报告。</w:t>
      </w:r>
    </w:p>
    <w:p>
      <w:pPr>
        <w:numPr>
          <w:ilvl w:val="0"/>
          <w:numId w:val="0"/>
        </w:numPr>
        <w:tabs>
          <w:tab w:val="left" w:pos="617"/>
        </w:tabs>
        <w:adjustRightInd w:val="0"/>
        <w:snapToGrid w:val="0"/>
        <w:spacing w:line="600" w:lineRule="exact"/>
        <w:ind w:left="0" w:leftChars="0" w:firstLine="0" w:firstLineChars="0"/>
        <w:rPr>
          <w:rFonts w:hint="eastAsia" w:eastAsia="黑体"/>
          <w:sz w:val="32"/>
          <w:szCs w:val="32"/>
        </w:rPr>
      </w:pPr>
      <w:r>
        <w:rPr>
          <w:rFonts w:hint="eastAsia" w:eastAsia="黑体"/>
          <w:sz w:val="32"/>
          <w:szCs w:val="32"/>
          <w:lang w:eastAsia="zh-CN"/>
        </w:rPr>
        <w:t>五、</w:t>
      </w:r>
      <w:r>
        <w:rPr>
          <w:rFonts w:hint="eastAsia" w:eastAsia="黑体"/>
          <w:sz w:val="32"/>
          <w:szCs w:val="32"/>
        </w:rPr>
        <w:t>综合评价情况及评价结论</w:t>
      </w:r>
    </w:p>
    <w:p>
      <w:pPr>
        <w:numPr>
          <w:ilvl w:val="0"/>
          <w:numId w:val="0"/>
        </w:numPr>
        <w:adjustRightInd w:val="0"/>
        <w:snapToGrid w:val="0"/>
        <w:spacing w:line="600" w:lineRule="exact"/>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本单位按时按要求编报部门预、决算，并按要求在政府网站公开，拥有较为完善的财务会计制度。</w:t>
      </w:r>
    </w:p>
    <w:p>
      <w:pPr>
        <w:numPr>
          <w:ilvl w:val="0"/>
          <w:numId w:val="4"/>
        </w:numPr>
        <w:adjustRightInd w:val="0"/>
        <w:snapToGrid w:val="0"/>
        <w:spacing w:line="600" w:lineRule="exact"/>
        <w:rPr>
          <w:rFonts w:eastAsia="黑体"/>
          <w:sz w:val="32"/>
          <w:szCs w:val="32"/>
        </w:rPr>
      </w:pPr>
      <w:r>
        <w:rPr>
          <w:rFonts w:hint="eastAsia" w:eastAsia="黑体"/>
          <w:sz w:val="32"/>
          <w:szCs w:val="32"/>
        </w:rPr>
        <w:t>部门整体支出主要</w:t>
      </w:r>
      <w:r>
        <w:rPr>
          <w:rFonts w:eastAsia="黑体"/>
          <w:sz w:val="32"/>
          <w:szCs w:val="32"/>
        </w:rPr>
        <w:t>绩效</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进一步完善省控空气质量监测网，</w:t>
      </w:r>
      <w:r>
        <w:rPr>
          <w:rFonts w:hint="eastAsia" w:ascii="仿宋" w:hAnsi="仿宋" w:eastAsia="仿宋" w:cs="仿宋"/>
          <w:sz w:val="32"/>
          <w:szCs w:val="32"/>
          <w:lang w:val="en-US" w:eastAsia="zh-CN"/>
        </w:rPr>
        <w:t>完成“十四五”新增省控环境空气质量监测点位的验收及联网发布工作，新增酸雨点位设备安装调试工作，完成颗粒物组分站的招标参数设置工作；</w:t>
      </w:r>
      <w:r>
        <w:rPr>
          <w:rFonts w:hint="eastAsia" w:ascii="仿宋" w:hAnsi="仿宋" w:eastAsia="仿宋" w:cs="仿宋"/>
          <w:sz w:val="32"/>
          <w:szCs w:val="32"/>
        </w:rPr>
        <w:t>大幅提升运维质量，对全市9个县城镇空气</w:t>
      </w:r>
      <w:r>
        <w:rPr>
          <w:rFonts w:hint="eastAsia" w:ascii="仿宋" w:hAnsi="仿宋" w:eastAsia="仿宋" w:cs="仿宋"/>
          <w:sz w:val="32"/>
          <w:szCs w:val="32"/>
          <w:lang w:eastAsia="zh-CN"/>
        </w:rPr>
        <w:t>大气环境监测</w:t>
      </w:r>
      <w:r>
        <w:rPr>
          <w:rFonts w:hint="eastAsia" w:ascii="仿宋" w:hAnsi="仿宋" w:eastAsia="仿宋" w:cs="仿宋"/>
          <w:sz w:val="32"/>
          <w:szCs w:val="32"/>
        </w:rPr>
        <w:t>站点的运维情况进行质量监督核查</w:t>
      </w:r>
      <w:r>
        <w:rPr>
          <w:rFonts w:hint="eastAsia" w:ascii="仿宋" w:hAnsi="仿宋" w:eastAsia="仿宋" w:cs="仿宋"/>
          <w:sz w:val="32"/>
          <w:szCs w:val="32"/>
          <w:lang w:val="en-US" w:eastAsia="zh-CN"/>
        </w:rPr>
        <w:t>46</w:t>
      </w:r>
      <w:r>
        <w:rPr>
          <w:rFonts w:hint="eastAsia" w:ascii="仿宋" w:hAnsi="仿宋" w:eastAsia="仿宋" w:cs="仿宋"/>
          <w:sz w:val="32"/>
          <w:szCs w:val="32"/>
        </w:rPr>
        <w:t>次，每天对9个县市站的</w:t>
      </w:r>
      <w:r>
        <w:rPr>
          <w:rFonts w:hint="eastAsia" w:ascii="仿宋" w:hAnsi="仿宋" w:eastAsia="仿宋" w:cs="仿宋"/>
          <w:sz w:val="32"/>
          <w:szCs w:val="32"/>
          <w:lang w:eastAsia="zh-CN"/>
        </w:rPr>
        <w:t>监测</w:t>
      </w:r>
      <w:r>
        <w:rPr>
          <w:rFonts w:hint="eastAsia" w:ascii="仿宋" w:hAnsi="仿宋" w:eastAsia="仿宋" w:cs="仿宋"/>
          <w:sz w:val="32"/>
          <w:szCs w:val="32"/>
        </w:rPr>
        <w:t>数据进行了审核并上报省站，</w:t>
      </w:r>
      <w:r>
        <w:rPr>
          <w:rFonts w:hint="eastAsia" w:ascii="仿宋" w:hAnsi="仿宋" w:eastAsia="仿宋" w:cs="仿宋"/>
          <w:sz w:val="32"/>
          <w:szCs w:val="32"/>
          <w:lang w:val="en-US" w:eastAsia="zh-CN"/>
        </w:rPr>
        <w:t>累计审核数据477504个，</w:t>
      </w:r>
      <w:r>
        <w:rPr>
          <w:rFonts w:hint="eastAsia" w:ascii="仿宋" w:hAnsi="仿宋" w:eastAsia="仿宋" w:cs="仿宋"/>
          <w:sz w:val="32"/>
          <w:szCs w:val="32"/>
        </w:rPr>
        <w:t>积极服务地方污染防治攻坚战，</w:t>
      </w:r>
      <w:r>
        <w:rPr>
          <w:rFonts w:hint="eastAsia" w:ascii="仿宋" w:hAnsi="仿宋" w:eastAsia="仿宋" w:cs="仿宋"/>
          <w:sz w:val="32"/>
          <w:szCs w:val="32"/>
          <w:lang w:val="en-US" w:eastAsia="zh-CN"/>
        </w:rPr>
        <w:t>完成全市酸雨样品的采集和数据上报工作，累计上报数据1956个</w:t>
      </w:r>
      <w:r>
        <w:rPr>
          <w:rFonts w:hint="eastAsia" w:ascii="仿宋" w:hAnsi="仿宋" w:eastAsia="仿宋" w:cs="仿宋"/>
          <w:sz w:val="32"/>
          <w:szCs w:val="32"/>
        </w:rPr>
        <w:t>；加强与市气象局开展深入合作，对未来七天的空气质量变化情况同市气象台会商，做出分析和预判并上报省</w:t>
      </w:r>
      <w:r>
        <w:rPr>
          <w:rFonts w:hint="eastAsia" w:ascii="仿宋" w:hAnsi="仿宋" w:eastAsia="仿宋" w:cs="仿宋"/>
          <w:sz w:val="32"/>
          <w:szCs w:val="32"/>
          <w:lang w:eastAsia="zh-CN"/>
        </w:rPr>
        <w:t>中心。</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进一步完善水环境质量监测网建设，高质量按期完成辖区内地表水和饮用水、采测分离等常规监测及数据分析上报；</w:t>
      </w:r>
      <w:r>
        <w:rPr>
          <w:rFonts w:hint="eastAsia" w:ascii="仿宋" w:hAnsi="仿宋" w:eastAsia="仿宋" w:cs="仿宋"/>
          <w:sz w:val="32"/>
          <w:szCs w:val="32"/>
          <w:lang w:eastAsia="zh-CN"/>
        </w:rPr>
        <w:t>全市共有</w:t>
      </w:r>
      <w:r>
        <w:rPr>
          <w:rFonts w:hint="eastAsia" w:ascii="仿宋" w:hAnsi="仿宋" w:eastAsia="仿宋" w:cs="仿宋"/>
          <w:sz w:val="32"/>
          <w:szCs w:val="32"/>
        </w:rPr>
        <w:t>河水月报监测断面48个</w:t>
      </w:r>
      <w:r>
        <w:rPr>
          <w:rFonts w:hint="eastAsia" w:ascii="仿宋" w:hAnsi="仿宋" w:eastAsia="仿宋" w:cs="仿宋"/>
          <w:sz w:val="32"/>
          <w:szCs w:val="32"/>
          <w:lang w:eastAsia="zh-CN"/>
        </w:rPr>
        <w:t>、</w:t>
      </w:r>
      <w:r>
        <w:rPr>
          <w:rFonts w:hint="eastAsia" w:ascii="仿宋" w:hAnsi="仿宋" w:eastAsia="仿宋" w:cs="仿宋"/>
          <w:sz w:val="32"/>
          <w:szCs w:val="32"/>
        </w:rPr>
        <w:t>饮用水监测断面18个</w:t>
      </w:r>
      <w:r>
        <w:rPr>
          <w:rFonts w:hint="eastAsia" w:ascii="仿宋" w:hAnsi="仿宋" w:eastAsia="仿宋" w:cs="仿宋"/>
          <w:sz w:val="32"/>
          <w:szCs w:val="32"/>
          <w:lang w:eastAsia="zh-CN"/>
        </w:rPr>
        <w:t>、</w:t>
      </w:r>
      <w:r>
        <w:rPr>
          <w:rFonts w:hint="eastAsia" w:ascii="仿宋" w:hAnsi="仿宋" w:eastAsia="仿宋" w:cs="仿宋"/>
          <w:sz w:val="32"/>
          <w:szCs w:val="32"/>
        </w:rPr>
        <w:t>重金属监测断面7个</w:t>
      </w:r>
      <w:r>
        <w:rPr>
          <w:rFonts w:hint="eastAsia" w:ascii="仿宋" w:hAnsi="仿宋" w:eastAsia="仿宋" w:cs="仿宋"/>
          <w:sz w:val="32"/>
          <w:szCs w:val="32"/>
          <w:lang w:eastAsia="zh-CN"/>
        </w:rPr>
        <w:t>、</w:t>
      </w:r>
      <w:r>
        <w:rPr>
          <w:rFonts w:hint="eastAsia" w:ascii="仿宋" w:hAnsi="仿宋" w:eastAsia="仿宋" w:cs="仿宋"/>
          <w:sz w:val="32"/>
          <w:szCs w:val="32"/>
        </w:rPr>
        <w:t>黑臭水体监测断面15个</w:t>
      </w:r>
      <w:r>
        <w:rPr>
          <w:rFonts w:hint="eastAsia" w:ascii="仿宋" w:hAnsi="仿宋" w:eastAsia="仿宋" w:cs="仿宋"/>
          <w:sz w:val="32"/>
          <w:szCs w:val="32"/>
          <w:lang w:eastAsia="zh-CN"/>
        </w:rPr>
        <w:t>、</w:t>
      </w:r>
      <w:r>
        <w:rPr>
          <w:rFonts w:hint="eastAsia" w:ascii="仿宋" w:hAnsi="仿宋" w:eastAsia="仿宋" w:cs="仿宋"/>
          <w:sz w:val="32"/>
          <w:szCs w:val="32"/>
        </w:rPr>
        <w:t>饮用水加密监测断面14个</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河水加密</w:t>
      </w:r>
      <w:r>
        <w:rPr>
          <w:rFonts w:hint="eastAsia" w:ascii="仿宋" w:hAnsi="仿宋" w:eastAsia="仿宋" w:cs="仿宋"/>
          <w:sz w:val="32"/>
          <w:szCs w:val="32"/>
        </w:rPr>
        <w:t>监测断面4个</w:t>
      </w:r>
      <w:r>
        <w:rPr>
          <w:rFonts w:hint="eastAsia" w:ascii="仿宋" w:hAnsi="仿宋" w:eastAsia="仿宋" w:cs="仿宋"/>
          <w:sz w:val="32"/>
          <w:szCs w:val="32"/>
          <w:lang w:eastAsia="zh-CN"/>
        </w:rPr>
        <w:t>、</w:t>
      </w:r>
      <w:r>
        <w:rPr>
          <w:rFonts w:hint="eastAsia" w:ascii="仿宋" w:hAnsi="仿宋" w:eastAsia="仿宋" w:cs="仿宋"/>
          <w:sz w:val="32"/>
          <w:szCs w:val="32"/>
        </w:rPr>
        <w:t>水自动站长江经济带水质自动站14个，国控断面6个</w:t>
      </w:r>
      <w:r>
        <w:rPr>
          <w:rFonts w:hint="eastAsia" w:ascii="仿宋" w:hAnsi="仿宋" w:eastAsia="仿宋" w:cs="仿宋"/>
          <w:sz w:val="32"/>
          <w:szCs w:val="32"/>
          <w:lang w:val="en-US" w:eastAsia="zh-CN"/>
        </w:rPr>
        <w:t>。</w:t>
      </w:r>
      <w:r>
        <w:rPr>
          <w:rFonts w:hint="eastAsia" w:ascii="仿宋" w:hAnsi="仿宋" w:eastAsia="仿宋" w:cs="仿宋"/>
          <w:sz w:val="32"/>
          <w:szCs w:val="32"/>
        </w:rPr>
        <w:t>每月审核上报河水数据、监测数据、加密监测数据</w:t>
      </w:r>
      <w:r>
        <w:rPr>
          <w:rFonts w:hint="eastAsia" w:ascii="仿宋" w:hAnsi="仿宋" w:eastAsia="仿宋" w:cs="仿宋"/>
          <w:sz w:val="32"/>
          <w:szCs w:val="32"/>
          <w:lang w:eastAsia="zh-CN"/>
        </w:rPr>
        <w:t>、</w:t>
      </w:r>
      <w:r>
        <w:rPr>
          <w:rFonts w:hint="eastAsia" w:ascii="仿宋" w:hAnsi="仿宋" w:eastAsia="仿宋" w:cs="仿宋"/>
          <w:sz w:val="32"/>
          <w:szCs w:val="32"/>
        </w:rPr>
        <w:t>国控数据共</w:t>
      </w:r>
      <w:r>
        <w:rPr>
          <w:rFonts w:hint="eastAsia" w:ascii="仿宋" w:hAnsi="仿宋" w:eastAsia="仿宋" w:cs="仿宋"/>
          <w:sz w:val="32"/>
          <w:szCs w:val="32"/>
          <w:lang w:val="en-US" w:eastAsia="zh-CN"/>
        </w:rPr>
        <w:t>15</w:t>
      </w:r>
      <w:r>
        <w:rPr>
          <w:rFonts w:hint="eastAsia" w:ascii="仿宋" w:hAnsi="仿宋" w:eastAsia="仿宋" w:cs="仿宋"/>
          <w:sz w:val="32"/>
          <w:szCs w:val="32"/>
        </w:rPr>
        <w:t>000个</w:t>
      </w:r>
      <w:r>
        <w:rPr>
          <w:rFonts w:hint="eastAsia" w:ascii="仿宋" w:hAnsi="仿宋" w:eastAsia="仿宋" w:cs="仿宋"/>
          <w:sz w:val="32"/>
          <w:szCs w:val="32"/>
          <w:lang w:eastAsia="zh-CN"/>
        </w:rPr>
        <w:t>、</w:t>
      </w:r>
      <w:r>
        <w:rPr>
          <w:rFonts w:hint="eastAsia" w:ascii="仿宋" w:hAnsi="仿宋" w:eastAsia="仿宋" w:cs="仿宋"/>
          <w:sz w:val="32"/>
          <w:szCs w:val="32"/>
        </w:rPr>
        <w:t>饮用水和饮用水加密监测数据</w:t>
      </w:r>
      <w:r>
        <w:rPr>
          <w:rFonts w:hint="eastAsia" w:ascii="仿宋" w:hAnsi="仿宋" w:eastAsia="仿宋" w:cs="仿宋"/>
          <w:sz w:val="32"/>
          <w:szCs w:val="32"/>
          <w:lang w:val="en-US" w:eastAsia="zh-CN"/>
        </w:rPr>
        <w:t>80</w:t>
      </w:r>
      <w:r>
        <w:rPr>
          <w:rFonts w:hint="eastAsia" w:ascii="仿宋" w:hAnsi="仿宋" w:eastAsia="仿宋" w:cs="仿宋"/>
          <w:sz w:val="32"/>
          <w:szCs w:val="32"/>
        </w:rPr>
        <w:t>00个</w:t>
      </w:r>
      <w:r>
        <w:rPr>
          <w:rFonts w:hint="eastAsia" w:ascii="仿宋" w:hAnsi="仿宋" w:eastAsia="仿宋" w:cs="仿宋"/>
          <w:sz w:val="32"/>
          <w:szCs w:val="32"/>
          <w:lang w:eastAsia="zh-CN"/>
        </w:rPr>
        <w:t>、</w:t>
      </w:r>
      <w:r>
        <w:rPr>
          <w:rFonts w:hint="eastAsia" w:ascii="仿宋" w:hAnsi="仿宋" w:eastAsia="仿宋" w:cs="仿宋"/>
          <w:sz w:val="32"/>
          <w:szCs w:val="32"/>
        </w:rPr>
        <w:t>黑臭水体监测数据审核</w:t>
      </w:r>
      <w:r>
        <w:rPr>
          <w:rFonts w:hint="eastAsia" w:ascii="仿宋" w:hAnsi="仿宋" w:eastAsia="仿宋" w:cs="仿宋"/>
          <w:sz w:val="32"/>
          <w:szCs w:val="32"/>
          <w:lang w:val="en-US" w:eastAsia="zh-CN"/>
        </w:rPr>
        <w:t>90</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采测分离监测数据6200个</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按照《2021年湖南省土壤环境监测计划》优化采样方案和采样路线，按期完成2</w:t>
      </w:r>
      <w:r>
        <w:rPr>
          <w:rFonts w:hint="eastAsia" w:ascii="仿宋" w:hAnsi="仿宋" w:eastAsia="仿宋" w:cs="仿宋"/>
          <w:sz w:val="32"/>
          <w:szCs w:val="32"/>
          <w:lang w:val="en-US" w:eastAsia="zh-CN"/>
        </w:rPr>
        <w:t>0</w:t>
      </w:r>
      <w:r>
        <w:rPr>
          <w:rFonts w:hint="eastAsia" w:ascii="仿宋" w:hAnsi="仿宋" w:eastAsia="仿宋" w:cs="仿宋"/>
          <w:sz w:val="32"/>
          <w:szCs w:val="32"/>
        </w:rPr>
        <w:t>个国家网基础点、</w:t>
      </w:r>
      <w:r>
        <w:rPr>
          <w:rFonts w:hint="eastAsia" w:ascii="仿宋" w:hAnsi="仿宋" w:eastAsia="仿宋" w:cs="仿宋"/>
          <w:sz w:val="32"/>
          <w:szCs w:val="32"/>
          <w:lang w:val="en-US" w:eastAsia="zh-CN"/>
        </w:rPr>
        <w:t>5</w:t>
      </w:r>
      <w:r>
        <w:rPr>
          <w:rFonts w:hint="eastAsia" w:ascii="仿宋" w:hAnsi="仿宋" w:eastAsia="仿宋" w:cs="仿宋"/>
          <w:sz w:val="32"/>
          <w:szCs w:val="32"/>
        </w:rPr>
        <w:t>个国家网一般风险监控点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4个湖南省网土壤环境监测交通干线监控点、</w:t>
      </w:r>
      <w:r>
        <w:rPr>
          <w:rFonts w:hint="eastAsia" w:ascii="仿宋" w:hAnsi="仿宋" w:eastAsia="仿宋" w:cs="仿宋"/>
          <w:sz w:val="32"/>
          <w:szCs w:val="32"/>
        </w:rPr>
        <w:t>3个底泥监测点位的土壤网现场采集及样品流转工作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共报出有效数据1060个</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黑体"/>
          <w:sz w:val="32"/>
          <w:szCs w:val="32"/>
        </w:rPr>
      </w:pPr>
      <w:r>
        <w:rPr>
          <w:rFonts w:hint="eastAsia" w:ascii="仿宋" w:hAnsi="仿宋" w:eastAsia="仿宋" w:cs="仿宋"/>
          <w:sz w:val="32"/>
          <w:szCs w:val="32"/>
          <w:lang w:val="en-US" w:eastAsia="zh-CN"/>
        </w:rPr>
        <w:t>充分发挥中心技术优势，协助市生态环境局完成《邵阳市生态环境局突发环境事件应急预案（2021年）》的编制工作。积极配合市生态环境局开展废气、废水、土壤及底泥等执法监测，完成了涉铊企业环境问题专项监测工作；快速响应全力配合中央环保督察专项监测工作，完成省生态环境厅和省住建厅联合进行的垃圾填埋场监测工作；高效完成1.19洞口锑、4.17隆回铊两次应急监测工作、隆回南岳庙镇油罐车泄漏事件应急监测工作；洞口锑污染事件</w:t>
      </w:r>
      <w:r>
        <w:rPr>
          <w:rFonts w:hint="eastAsia" w:ascii="仿宋" w:hAnsi="仿宋" w:eastAsia="仿宋" w:cs="仿宋"/>
          <w:sz w:val="32"/>
          <w:szCs w:val="32"/>
        </w:rPr>
        <w:t>共调动50</w:t>
      </w:r>
      <w:r>
        <w:rPr>
          <w:rFonts w:hint="eastAsia" w:ascii="仿宋" w:hAnsi="仿宋" w:eastAsia="仿宋" w:cs="仿宋"/>
          <w:sz w:val="32"/>
          <w:szCs w:val="32"/>
          <w:lang w:val="en-US" w:eastAsia="zh-CN"/>
        </w:rPr>
        <w:t>余</w:t>
      </w:r>
      <w:r>
        <w:rPr>
          <w:rFonts w:hint="eastAsia" w:ascii="仿宋" w:hAnsi="仿宋" w:eastAsia="仿宋" w:cs="仿宋"/>
          <w:sz w:val="32"/>
          <w:szCs w:val="32"/>
        </w:rPr>
        <w:t>人</w:t>
      </w:r>
      <w:r>
        <w:rPr>
          <w:rFonts w:hint="eastAsia" w:ascii="仿宋" w:hAnsi="仿宋" w:eastAsia="仿宋" w:cs="仿宋"/>
          <w:sz w:val="32"/>
          <w:szCs w:val="32"/>
          <w:lang w:val="en-US" w:eastAsia="zh-CN"/>
        </w:rPr>
        <w:t>赴</w:t>
      </w:r>
      <w:r>
        <w:rPr>
          <w:rFonts w:hint="eastAsia" w:ascii="仿宋" w:hAnsi="仿宋" w:eastAsia="仿宋" w:cs="仿宋"/>
          <w:sz w:val="32"/>
          <w:szCs w:val="32"/>
        </w:rPr>
        <w:t>洞口参与应急监测</w:t>
      </w:r>
      <w:r>
        <w:rPr>
          <w:rFonts w:hint="eastAsia" w:ascii="仿宋" w:hAnsi="仿宋" w:eastAsia="仿宋" w:cs="仿宋"/>
          <w:sz w:val="32"/>
          <w:szCs w:val="32"/>
          <w:lang w:eastAsia="zh-CN"/>
        </w:rPr>
        <w:t>，</w:t>
      </w:r>
      <w:r>
        <w:rPr>
          <w:rFonts w:hint="eastAsia" w:ascii="仿宋" w:hAnsi="仿宋" w:eastAsia="仿宋" w:cs="仿宋"/>
          <w:sz w:val="32"/>
          <w:szCs w:val="32"/>
        </w:rPr>
        <w:t>承担7个断面</w:t>
      </w:r>
      <w:r>
        <w:rPr>
          <w:rFonts w:hint="eastAsia" w:ascii="仿宋" w:hAnsi="仿宋" w:eastAsia="仿宋" w:cs="仿宋"/>
          <w:sz w:val="32"/>
          <w:szCs w:val="32"/>
          <w:lang w:val="en-US" w:eastAsia="zh-CN"/>
        </w:rPr>
        <w:t>的</w:t>
      </w:r>
      <w:r>
        <w:rPr>
          <w:rFonts w:hint="eastAsia" w:ascii="仿宋" w:hAnsi="仿宋" w:eastAsia="仿宋" w:cs="仿宋"/>
          <w:sz w:val="32"/>
          <w:szCs w:val="32"/>
        </w:rPr>
        <w:t>监测工作</w:t>
      </w:r>
      <w:r>
        <w:rPr>
          <w:rFonts w:hint="eastAsia" w:ascii="仿宋" w:hAnsi="仿宋" w:eastAsia="仿宋" w:cs="仿宋"/>
          <w:sz w:val="32"/>
          <w:szCs w:val="32"/>
          <w:lang w:eastAsia="zh-CN"/>
        </w:rPr>
        <w:t>，</w:t>
      </w:r>
      <w:r>
        <w:rPr>
          <w:rFonts w:hint="eastAsia" w:ascii="仿宋" w:hAnsi="仿宋" w:eastAsia="仿宋" w:cs="仿宋"/>
          <w:sz w:val="32"/>
          <w:szCs w:val="32"/>
        </w:rPr>
        <w:t>用时14天</w:t>
      </w:r>
      <w:r>
        <w:rPr>
          <w:rFonts w:hint="eastAsia" w:ascii="仿宋" w:hAnsi="仿宋" w:eastAsia="仿宋" w:cs="仿宋"/>
          <w:sz w:val="32"/>
          <w:szCs w:val="32"/>
          <w:lang w:eastAsia="zh-CN"/>
        </w:rPr>
        <w:t>，</w:t>
      </w:r>
      <w:r>
        <w:rPr>
          <w:rFonts w:hint="eastAsia" w:ascii="仿宋" w:hAnsi="仿宋" w:eastAsia="仿宋" w:cs="仿宋"/>
          <w:sz w:val="32"/>
          <w:szCs w:val="32"/>
        </w:rPr>
        <w:t>出台了应急监测方案</w:t>
      </w:r>
      <w:r>
        <w:rPr>
          <w:rFonts w:hint="eastAsia" w:ascii="仿宋" w:hAnsi="仿宋" w:eastAsia="仿宋" w:cs="仿宋"/>
          <w:sz w:val="32"/>
          <w:szCs w:val="32"/>
          <w:lang w:val="en-US" w:eastAsia="zh-CN"/>
        </w:rPr>
        <w:t>8</w:t>
      </w:r>
      <w:r>
        <w:rPr>
          <w:rFonts w:hint="eastAsia" w:ascii="仿宋" w:hAnsi="仿宋" w:eastAsia="仿宋" w:cs="仿宋"/>
          <w:sz w:val="32"/>
          <w:szCs w:val="32"/>
        </w:rPr>
        <w:t>期</w:t>
      </w:r>
      <w:r>
        <w:rPr>
          <w:rFonts w:hint="eastAsia" w:ascii="仿宋" w:hAnsi="仿宋" w:eastAsia="仿宋" w:cs="仿宋"/>
          <w:sz w:val="32"/>
          <w:szCs w:val="32"/>
          <w:lang w:eastAsia="zh-CN"/>
        </w:rPr>
        <w:t>，</w:t>
      </w:r>
      <w:r>
        <w:rPr>
          <w:rFonts w:hint="eastAsia" w:ascii="仿宋" w:hAnsi="仿宋" w:eastAsia="仿宋" w:cs="仿宋"/>
          <w:sz w:val="32"/>
          <w:szCs w:val="32"/>
        </w:rPr>
        <w:t>累计报出数据1658个</w:t>
      </w:r>
      <w:r>
        <w:rPr>
          <w:rFonts w:hint="eastAsia" w:ascii="仿宋" w:hAnsi="仿宋" w:eastAsia="仿宋" w:cs="仿宋"/>
          <w:sz w:val="32"/>
          <w:szCs w:val="32"/>
          <w:lang w:eastAsia="zh-CN"/>
        </w:rPr>
        <w:t>；隆回</w:t>
      </w:r>
      <w:r>
        <w:rPr>
          <w:rFonts w:hint="eastAsia" w:ascii="仿宋" w:hAnsi="仿宋" w:eastAsia="仿宋" w:cs="仿宋"/>
          <w:sz w:val="32"/>
          <w:szCs w:val="32"/>
          <w:lang w:val="en-US" w:eastAsia="zh-CN"/>
        </w:rPr>
        <w:t xml:space="preserve">铊污染事件省、市、县三级监测部门共同出动，100余人开展采样、监测分析、质量控制、数据分析等应急监测工作，共监测样品1066个,出具监测数据1280个、应急监测简报24期。三次环境应急监测工作共编制应急监测报告162期，上报数据4623个。在应急处置过程中，我中心响应迅速、准备充分，科学制定应急监测方案，有序开展监测断面布点、采样、分析等监测工作，有效控制污染程度和范围，监测人员素质过硬、表现良好，为三起突发环境事件处置提供准确及时的技术支持。 </w:t>
      </w:r>
    </w:p>
    <w:p>
      <w:pPr>
        <w:adjustRightInd w:val="0"/>
        <w:snapToGrid w:val="0"/>
        <w:spacing w:line="600" w:lineRule="exact"/>
        <w:rPr>
          <w:rFonts w:hint="eastAsia" w:ascii="黑体" w:eastAsia="黑体"/>
          <w:sz w:val="32"/>
          <w:szCs w:val="32"/>
        </w:rPr>
      </w:pPr>
      <w:r>
        <w:rPr>
          <w:rFonts w:hint="eastAsia" w:ascii="黑体" w:eastAsia="黑体"/>
          <w:sz w:val="32"/>
          <w:szCs w:val="32"/>
          <w:lang w:eastAsia="zh-CN"/>
        </w:rPr>
        <w:t>七</w:t>
      </w:r>
      <w:r>
        <w:rPr>
          <w:rFonts w:hint="eastAsia" w:ascii="黑体" w:eastAsia="黑体"/>
          <w:sz w:val="32"/>
          <w:szCs w:val="32"/>
        </w:rPr>
        <w:t>、存在的问题</w:t>
      </w:r>
    </w:p>
    <w:p>
      <w:pPr>
        <w:adjustRightInd w:val="0"/>
        <w:snapToGrid w:val="0"/>
        <w:spacing w:line="600" w:lineRule="exact"/>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资产管理过程中存在问题，因人员的调整、固定资产存放地点及使用人员的调整，未在固定资产台账中及时反映。</w:t>
      </w:r>
    </w:p>
    <w:p>
      <w:pPr>
        <w:adjustRightInd w:val="0"/>
        <w:snapToGrid w:val="0"/>
        <w:spacing w:line="600" w:lineRule="exact"/>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八</w:t>
      </w:r>
      <w:r>
        <w:rPr>
          <w:rFonts w:hint="eastAsia" w:ascii="仿宋" w:hAnsi="仿宋" w:eastAsia="仿宋" w:cs="仿宋"/>
          <w:b w:val="0"/>
          <w:bCs w:val="0"/>
          <w:color w:val="auto"/>
          <w:sz w:val="32"/>
          <w:szCs w:val="32"/>
        </w:rPr>
        <w:t>、改进措施和有关建议</w:t>
      </w:r>
    </w:p>
    <w:p>
      <w:pPr>
        <w:ind w:firstLine="640" w:firstLineChars="200"/>
        <w:jc w:val="left"/>
        <w:rPr>
          <w:rFonts w:cs="黑体" w:asciiTheme="minorEastAsia" w:hAnsiTheme="minorEastAsia"/>
          <w:color w:val="000000"/>
          <w:kern w:val="0"/>
          <w:sz w:val="32"/>
          <w:szCs w:val="32"/>
        </w:rPr>
      </w:pPr>
      <w:r>
        <w:rPr>
          <w:rFonts w:hint="eastAsia" w:ascii="仿宋" w:hAnsi="仿宋" w:eastAsia="仿宋" w:cs="仿宋"/>
          <w:sz w:val="32"/>
          <w:szCs w:val="32"/>
        </w:rPr>
        <w:t>我</w:t>
      </w:r>
      <w:r>
        <w:rPr>
          <w:rFonts w:hint="eastAsia" w:ascii="仿宋" w:hAnsi="仿宋" w:eastAsia="仿宋" w:cs="仿宋"/>
          <w:sz w:val="32"/>
          <w:szCs w:val="32"/>
          <w:lang w:val="en-US" w:eastAsia="zh-CN"/>
        </w:rPr>
        <w:t>单位</w:t>
      </w:r>
      <w:r>
        <w:rPr>
          <w:rFonts w:hint="eastAsia" w:ascii="仿宋" w:hAnsi="仿宋" w:eastAsia="仿宋" w:cs="仿宋"/>
          <w:sz w:val="32"/>
          <w:szCs w:val="32"/>
        </w:rPr>
        <w:t>将</w:t>
      </w:r>
      <w:r>
        <w:rPr>
          <w:rFonts w:hint="eastAsia" w:ascii="仿宋" w:hAnsi="仿宋" w:eastAsia="仿宋" w:cs="仿宋"/>
          <w:sz w:val="32"/>
          <w:szCs w:val="32"/>
          <w:lang w:eastAsia="zh-CN"/>
        </w:rPr>
        <w:t>资金的</w:t>
      </w:r>
      <w:r>
        <w:rPr>
          <w:rFonts w:hint="eastAsia" w:ascii="仿宋" w:hAnsi="仿宋" w:eastAsia="仿宋" w:cs="仿宋"/>
          <w:sz w:val="32"/>
          <w:szCs w:val="32"/>
        </w:rPr>
        <w:t>合理安排</w:t>
      </w:r>
      <w:r>
        <w:rPr>
          <w:rFonts w:hint="eastAsia" w:ascii="仿宋" w:hAnsi="仿宋" w:eastAsia="仿宋" w:cs="仿宋"/>
          <w:sz w:val="32"/>
          <w:szCs w:val="32"/>
          <w:lang w:eastAsia="zh-CN"/>
        </w:rPr>
        <w:t>和使用</w:t>
      </w:r>
      <w:r>
        <w:rPr>
          <w:rFonts w:hint="eastAsia" w:ascii="仿宋" w:hAnsi="仿宋" w:eastAsia="仿宋" w:cs="仿宋"/>
          <w:sz w:val="32"/>
          <w:szCs w:val="32"/>
        </w:rPr>
        <w:t>，力争把各项工作有序推进</w:t>
      </w:r>
      <w:r>
        <w:rPr>
          <w:rFonts w:hint="eastAsia" w:ascii="仿宋" w:hAnsi="仿宋" w:eastAsia="仿宋" w:cs="仿宋"/>
          <w:sz w:val="32"/>
          <w:szCs w:val="32"/>
          <w:lang w:eastAsia="zh-CN"/>
        </w:rPr>
        <w:t>；资产管理方面，应及时对固定资产台账进行更改。</w:t>
      </w:r>
    </w:p>
    <w:p>
      <w:pPr>
        <w:ind w:firstLine="640" w:firstLineChars="200"/>
        <w:jc w:val="left"/>
        <w:rPr>
          <w:rFonts w:cs="黑体" w:asciiTheme="minorEastAsia" w:hAnsiTheme="minorEastAsia"/>
          <w:color w:val="000000"/>
          <w:kern w:val="0"/>
          <w:sz w:val="32"/>
          <w:szCs w:val="32"/>
        </w:rPr>
      </w:pPr>
    </w:p>
    <w:sectPr>
      <w:pgSz w:w="11906" w:h="16838"/>
      <w:pgMar w:top="720" w:right="1803" w:bottom="720" w:left="1803"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Malgun Gothic Semilight"/>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Malgun Gothic Semilight">
    <w:panose1 w:val="020B0502040204020203"/>
    <w:charset w:val="86"/>
    <w:family w:val="auto"/>
    <w:pitch w:val="default"/>
    <w:sig w:usb0="900002AF" w:usb1="01D77CFB" w:usb2="00000012" w:usb3="00000000" w:csb0="203E01BD" w:csb1="D7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60193"/>
    <w:multiLevelType w:val="singleLevel"/>
    <w:tmpl w:val="98F60193"/>
    <w:lvl w:ilvl="0" w:tentative="0">
      <w:start w:val="6"/>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FE534E"/>
    <w:multiLevelType w:val="singleLevel"/>
    <w:tmpl w:val="5CFE534E"/>
    <w:lvl w:ilvl="0" w:tentative="0">
      <w:start w:val="2"/>
      <w:numFmt w:val="chineseCounting"/>
      <w:suff w:val="nothing"/>
      <w:lvlText w:val="（%1）"/>
      <w:lvlJc w:val="left"/>
      <w:rPr>
        <w:rFonts w:hint="eastAsia"/>
      </w:rPr>
    </w:lvl>
  </w:abstractNum>
  <w:abstractNum w:abstractNumId="3">
    <w:nsid w:val="6E5854D3"/>
    <w:multiLevelType w:val="singleLevel"/>
    <w:tmpl w:val="6E5854D3"/>
    <w:lvl w:ilvl="0" w:tentative="0">
      <w:start w:val="2"/>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B4EC1"/>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0829"/>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525658"/>
    <w:rsid w:val="01C04E49"/>
    <w:rsid w:val="01EF572E"/>
    <w:rsid w:val="03241BD1"/>
    <w:rsid w:val="03EB4DA4"/>
    <w:rsid w:val="049C7E3A"/>
    <w:rsid w:val="04D31337"/>
    <w:rsid w:val="05F4145A"/>
    <w:rsid w:val="05F8288B"/>
    <w:rsid w:val="07D8650E"/>
    <w:rsid w:val="08566507"/>
    <w:rsid w:val="090441B5"/>
    <w:rsid w:val="09634100"/>
    <w:rsid w:val="096702A5"/>
    <w:rsid w:val="0A1C2F56"/>
    <w:rsid w:val="0AC91B69"/>
    <w:rsid w:val="0E9953A0"/>
    <w:rsid w:val="0EA55AF2"/>
    <w:rsid w:val="0F1B5567"/>
    <w:rsid w:val="0FEA718C"/>
    <w:rsid w:val="1129789D"/>
    <w:rsid w:val="113B0990"/>
    <w:rsid w:val="116E48C1"/>
    <w:rsid w:val="118245F5"/>
    <w:rsid w:val="1186727F"/>
    <w:rsid w:val="11F272A1"/>
    <w:rsid w:val="12511EB9"/>
    <w:rsid w:val="12E10CD7"/>
    <w:rsid w:val="12FB371F"/>
    <w:rsid w:val="14233499"/>
    <w:rsid w:val="14BC50EF"/>
    <w:rsid w:val="15634011"/>
    <w:rsid w:val="16014D9C"/>
    <w:rsid w:val="160862F7"/>
    <w:rsid w:val="1A22578F"/>
    <w:rsid w:val="1B260DEC"/>
    <w:rsid w:val="1B2D1349"/>
    <w:rsid w:val="1E0048C8"/>
    <w:rsid w:val="1F2E5690"/>
    <w:rsid w:val="1FA80182"/>
    <w:rsid w:val="201517E3"/>
    <w:rsid w:val="203E029F"/>
    <w:rsid w:val="22087D58"/>
    <w:rsid w:val="22BE39EC"/>
    <w:rsid w:val="245F4340"/>
    <w:rsid w:val="24AA32E6"/>
    <w:rsid w:val="26FA4D81"/>
    <w:rsid w:val="28333A13"/>
    <w:rsid w:val="2844122B"/>
    <w:rsid w:val="28687E65"/>
    <w:rsid w:val="294D321E"/>
    <w:rsid w:val="295A5311"/>
    <w:rsid w:val="29815EB3"/>
    <w:rsid w:val="29AF73CD"/>
    <w:rsid w:val="2A04469F"/>
    <w:rsid w:val="2A3917A2"/>
    <w:rsid w:val="2C2F0ECE"/>
    <w:rsid w:val="2C8E6527"/>
    <w:rsid w:val="2DBC6977"/>
    <w:rsid w:val="2E0221C2"/>
    <w:rsid w:val="2F2E4A11"/>
    <w:rsid w:val="2FCA14B6"/>
    <w:rsid w:val="311C4A56"/>
    <w:rsid w:val="315A7EEB"/>
    <w:rsid w:val="33480B85"/>
    <w:rsid w:val="337E4B60"/>
    <w:rsid w:val="338C5C79"/>
    <w:rsid w:val="34E7529C"/>
    <w:rsid w:val="363E28E1"/>
    <w:rsid w:val="372C780E"/>
    <w:rsid w:val="377372B8"/>
    <w:rsid w:val="37AA1F30"/>
    <w:rsid w:val="37BC1633"/>
    <w:rsid w:val="37E8144C"/>
    <w:rsid w:val="388F6779"/>
    <w:rsid w:val="3A067668"/>
    <w:rsid w:val="3A211757"/>
    <w:rsid w:val="3B007184"/>
    <w:rsid w:val="3B7A783B"/>
    <w:rsid w:val="3CE348BF"/>
    <w:rsid w:val="3CF50936"/>
    <w:rsid w:val="3D926DB8"/>
    <w:rsid w:val="3E37074B"/>
    <w:rsid w:val="3F984734"/>
    <w:rsid w:val="3FAF7CCF"/>
    <w:rsid w:val="402141CB"/>
    <w:rsid w:val="40557EB1"/>
    <w:rsid w:val="41295B9F"/>
    <w:rsid w:val="42B60F6D"/>
    <w:rsid w:val="431C0C38"/>
    <w:rsid w:val="434B755F"/>
    <w:rsid w:val="43533330"/>
    <w:rsid w:val="43FC05D7"/>
    <w:rsid w:val="445B2D1B"/>
    <w:rsid w:val="457572C5"/>
    <w:rsid w:val="46E75FA1"/>
    <w:rsid w:val="47680E90"/>
    <w:rsid w:val="47971775"/>
    <w:rsid w:val="47D53B6B"/>
    <w:rsid w:val="4849243F"/>
    <w:rsid w:val="486844E5"/>
    <w:rsid w:val="48D77244"/>
    <w:rsid w:val="48DA400F"/>
    <w:rsid w:val="493B229A"/>
    <w:rsid w:val="49A12DF3"/>
    <w:rsid w:val="4A4F1860"/>
    <w:rsid w:val="4A8A3A31"/>
    <w:rsid w:val="4AC77AB6"/>
    <w:rsid w:val="4AD12F96"/>
    <w:rsid w:val="4B683B54"/>
    <w:rsid w:val="4CC07105"/>
    <w:rsid w:val="4CE2021B"/>
    <w:rsid w:val="4CF13EEF"/>
    <w:rsid w:val="4D0F5372"/>
    <w:rsid w:val="4D317F76"/>
    <w:rsid w:val="4E05698E"/>
    <w:rsid w:val="4EBA2206"/>
    <w:rsid w:val="4F714FA1"/>
    <w:rsid w:val="513A0CEB"/>
    <w:rsid w:val="51C85C7B"/>
    <w:rsid w:val="559560A5"/>
    <w:rsid w:val="562D7CA8"/>
    <w:rsid w:val="57CD14B1"/>
    <w:rsid w:val="589D2963"/>
    <w:rsid w:val="5908115A"/>
    <w:rsid w:val="59393564"/>
    <w:rsid w:val="5A4967FA"/>
    <w:rsid w:val="5A6C1CCC"/>
    <w:rsid w:val="5A8C0219"/>
    <w:rsid w:val="5AF65419"/>
    <w:rsid w:val="5BD112A2"/>
    <w:rsid w:val="5C89392A"/>
    <w:rsid w:val="5CD64764"/>
    <w:rsid w:val="5D6A57FF"/>
    <w:rsid w:val="5E4A4DFA"/>
    <w:rsid w:val="5E7708C8"/>
    <w:rsid w:val="5EFB36ED"/>
    <w:rsid w:val="5FB83DCB"/>
    <w:rsid w:val="60001041"/>
    <w:rsid w:val="60B44CEE"/>
    <w:rsid w:val="61C13B66"/>
    <w:rsid w:val="622D6B06"/>
    <w:rsid w:val="62856942"/>
    <w:rsid w:val="63491372"/>
    <w:rsid w:val="649E20B0"/>
    <w:rsid w:val="657E7395"/>
    <w:rsid w:val="65E2561F"/>
    <w:rsid w:val="65E67F08"/>
    <w:rsid w:val="66556B04"/>
    <w:rsid w:val="66BC521A"/>
    <w:rsid w:val="66BC609B"/>
    <w:rsid w:val="69D1246D"/>
    <w:rsid w:val="69FB448B"/>
    <w:rsid w:val="6AA34996"/>
    <w:rsid w:val="6B0D225C"/>
    <w:rsid w:val="6B4F21E3"/>
    <w:rsid w:val="6B930816"/>
    <w:rsid w:val="6D2D7F07"/>
    <w:rsid w:val="6D70286F"/>
    <w:rsid w:val="6DDA2FDE"/>
    <w:rsid w:val="6DF826BE"/>
    <w:rsid w:val="6EAF1C32"/>
    <w:rsid w:val="6EE3336E"/>
    <w:rsid w:val="70675880"/>
    <w:rsid w:val="70810C88"/>
    <w:rsid w:val="71CA611F"/>
    <w:rsid w:val="73335F46"/>
    <w:rsid w:val="760D6F22"/>
    <w:rsid w:val="76565707"/>
    <w:rsid w:val="76677D59"/>
    <w:rsid w:val="76C96013"/>
    <w:rsid w:val="77DE12E7"/>
    <w:rsid w:val="784F5A4F"/>
    <w:rsid w:val="7A805FF9"/>
    <w:rsid w:val="7AB95F5F"/>
    <w:rsid w:val="7C8D4919"/>
    <w:rsid w:val="7D04083D"/>
    <w:rsid w:val="7D5F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_Style 1"/>
    <w:basedOn w:val="1"/>
    <w:qFormat/>
    <w:uiPriority w:val="0"/>
    <w:pPr>
      <w:spacing w:line="481" w:lineRule="atLeast"/>
      <w:ind w:firstLine="623"/>
      <w:textAlignment w:val="baseline"/>
    </w:pPr>
    <w:rPr>
      <w:rFonts w:ascii="Times New Roman" w:hAnsi="Times New Roman"/>
      <w:color w:val="000000"/>
      <w:sz w:val="31"/>
    </w:r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sz w:val="18"/>
      <w:szCs w:val="18"/>
    </w:rPr>
  </w:style>
  <w:style w:type="paragraph" w:customStyle="1" w:styleId="14">
    <w:name w:val="p0"/>
    <w:basedOn w:val="1"/>
    <w:qFormat/>
    <w:uiPriority w:val="99"/>
    <w:pPr>
      <w:widowControl/>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986DC-971B-438E-8F84-A2E87F5156A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9804</Words>
  <Characters>13839</Characters>
  <Lines>69</Lines>
  <Paragraphs>19</Paragraphs>
  <TotalTime>2</TotalTime>
  <ScaleCrop>false</ScaleCrop>
  <LinksUpToDate>false</LinksUpToDate>
  <CharactersWithSpaces>14460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2022-09-13T01:53:00Z</dcterms:created>
  <dc:creator>李航 null</dc:creator>
  <cp:lastModifiedBy>rani</cp:lastModifiedBy>
  <cp:lastPrinted>2022-09-14T00:41:00Z</cp:lastPrinted>
  <dcterms:modified xsi:type="dcterms:W3CDTF">2023-09-24T11:00:14Z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A2437980D95A4E9A87028EE8DE80F746_13</vt:lpwstr>
  </property>
</Properties>
</file>