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color w:val="auto"/>
          <w:sz w:val="56"/>
          <w:szCs w:val="56"/>
          <w:highlight w:val="none"/>
        </w:rPr>
      </w:pPr>
    </w:p>
    <w:p>
      <w:pPr>
        <w:pStyle w:val="10"/>
        <w:jc w:val="center"/>
        <w:rPr>
          <w:color w:val="auto"/>
          <w:sz w:val="56"/>
          <w:szCs w:val="56"/>
          <w:highlight w:val="none"/>
        </w:rPr>
      </w:pPr>
    </w:p>
    <w:p>
      <w:pPr>
        <w:pStyle w:val="10"/>
        <w:jc w:val="center"/>
        <w:rPr>
          <w:color w:val="auto"/>
          <w:sz w:val="84"/>
          <w:szCs w:val="84"/>
          <w:highlight w:val="none"/>
        </w:rPr>
      </w:pPr>
    </w:p>
    <w:p>
      <w:pPr>
        <w:pStyle w:val="10"/>
        <w:jc w:val="center"/>
        <w:rPr>
          <w:color w:val="auto"/>
          <w:sz w:val="84"/>
          <w:szCs w:val="84"/>
          <w:highlight w:val="none"/>
        </w:rPr>
      </w:pPr>
    </w:p>
    <w:p>
      <w:pPr>
        <w:pStyle w:val="10"/>
        <w:jc w:val="center"/>
        <w:rPr>
          <w:color w:val="auto"/>
          <w:sz w:val="84"/>
          <w:szCs w:val="84"/>
          <w:highlight w:val="none"/>
        </w:rPr>
      </w:pPr>
      <w:r>
        <w:rPr>
          <w:rFonts w:hint="eastAsia"/>
          <w:color w:val="auto"/>
          <w:sz w:val="84"/>
          <w:szCs w:val="84"/>
          <w:highlight w:val="none"/>
        </w:rPr>
        <w:t>2021年度</w:t>
      </w:r>
    </w:p>
    <w:p>
      <w:pPr>
        <w:pStyle w:val="10"/>
        <w:jc w:val="center"/>
        <w:rPr>
          <w:color w:val="auto"/>
          <w:sz w:val="84"/>
          <w:szCs w:val="84"/>
          <w:highlight w:val="none"/>
        </w:rPr>
      </w:pPr>
      <w:r>
        <w:rPr>
          <w:rFonts w:hint="eastAsia"/>
          <w:color w:val="auto"/>
          <w:sz w:val="84"/>
          <w:szCs w:val="84"/>
          <w:highlight w:val="none"/>
        </w:rPr>
        <w:t>湖南省怀化生态环境监测中心部门（单位）部门决算</w:t>
      </w:r>
    </w:p>
    <w:p>
      <w:pPr>
        <w:pStyle w:val="10"/>
        <w:jc w:val="center"/>
        <w:rPr>
          <w:color w:val="auto"/>
          <w:sz w:val="56"/>
          <w:szCs w:val="56"/>
          <w:highlight w:val="none"/>
        </w:rPr>
      </w:pPr>
    </w:p>
    <w:p>
      <w:pPr>
        <w:pStyle w:val="10"/>
        <w:rPr>
          <w:color w:val="auto"/>
          <w:sz w:val="56"/>
          <w:szCs w:val="56"/>
          <w:highlight w:val="none"/>
        </w:rPr>
      </w:pPr>
    </w:p>
    <w:p>
      <w:pPr>
        <w:pStyle w:val="10"/>
        <w:rPr>
          <w:color w:val="auto"/>
          <w:sz w:val="56"/>
          <w:szCs w:val="56"/>
          <w:highlight w:val="none"/>
        </w:rPr>
      </w:pPr>
    </w:p>
    <w:p>
      <w:pPr>
        <w:pStyle w:val="10"/>
        <w:jc w:val="center"/>
        <w:rPr>
          <w:color w:val="auto"/>
          <w:sz w:val="32"/>
          <w:szCs w:val="32"/>
          <w:highlight w:val="none"/>
        </w:rPr>
      </w:pPr>
    </w:p>
    <w:p>
      <w:pPr>
        <w:pStyle w:val="10"/>
        <w:jc w:val="center"/>
        <w:rPr>
          <w:color w:val="auto"/>
          <w:sz w:val="32"/>
          <w:szCs w:val="32"/>
          <w:highlight w:val="none"/>
        </w:rPr>
      </w:pPr>
    </w:p>
    <w:p>
      <w:pPr>
        <w:pStyle w:val="10"/>
        <w:jc w:val="center"/>
        <w:rPr>
          <w:color w:val="auto"/>
          <w:sz w:val="32"/>
          <w:szCs w:val="32"/>
          <w:highlight w:val="none"/>
        </w:rPr>
      </w:pPr>
    </w:p>
    <w:p>
      <w:pPr>
        <w:pStyle w:val="10"/>
        <w:jc w:val="center"/>
        <w:rPr>
          <w:color w:val="auto"/>
          <w:sz w:val="32"/>
          <w:szCs w:val="32"/>
          <w:highlight w:val="none"/>
        </w:rPr>
      </w:pPr>
    </w:p>
    <w:p>
      <w:pPr>
        <w:pStyle w:val="10"/>
        <w:jc w:val="center"/>
        <w:rPr>
          <w:color w:val="auto"/>
          <w:sz w:val="32"/>
          <w:szCs w:val="32"/>
          <w:highlight w:val="none"/>
        </w:rPr>
      </w:pPr>
    </w:p>
    <w:p>
      <w:pPr>
        <w:pStyle w:val="10"/>
        <w:spacing w:line="540" w:lineRule="exact"/>
        <w:jc w:val="center"/>
        <w:rPr>
          <w:color w:val="auto"/>
          <w:sz w:val="56"/>
          <w:szCs w:val="56"/>
          <w:highlight w:val="none"/>
        </w:rPr>
      </w:pPr>
    </w:p>
    <w:p>
      <w:pPr>
        <w:pStyle w:val="10"/>
        <w:spacing w:line="500" w:lineRule="exact"/>
        <w:jc w:val="center"/>
        <w:rPr>
          <w:b/>
          <w:color w:val="auto"/>
          <w:sz w:val="36"/>
          <w:szCs w:val="28"/>
          <w:highlight w:val="none"/>
        </w:rPr>
      </w:pPr>
    </w:p>
    <w:p>
      <w:pPr>
        <w:pStyle w:val="10"/>
        <w:spacing w:line="500" w:lineRule="exact"/>
        <w:jc w:val="center"/>
        <w:rPr>
          <w:b/>
          <w:color w:val="auto"/>
          <w:sz w:val="36"/>
          <w:szCs w:val="28"/>
          <w:highlight w:val="none"/>
        </w:rPr>
      </w:pPr>
      <w:r>
        <w:rPr>
          <w:rFonts w:hint="eastAsia"/>
          <w:b/>
          <w:color w:val="auto"/>
          <w:sz w:val="36"/>
          <w:szCs w:val="28"/>
          <w:highlight w:val="none"/>
        </w:rPr>
        <w:t>目录</w:t>
      </w:r>
    </w:p>
    <w:p>
      <w:pPr>
        <w:pStyle w:val="10"/>
        <w:spacing w:line="500" w:lineRule="exact"/>
        <w:rPr>
          <w:rFonts w:ascii="仿宋_GB2312" w:hAnsi="仿宋_GB2312" w:cs="仿宋_GB2312"/>
          <w:b/>
          <w:color w:val="auto"/>
          <w:sz w:val="28"/>
          <w:szCs w:val="28"/>
          <w:highlight w:val="none"/>
        </w:rPr>
      </w:pPr>
      <w:r>
        <w:rPr>
          <w:rFonts w:hint="eastAsia"/>
          <w:b/>
          <w:color w:val="auto"/>
          <w:sz w:val="28"/>
          <w:szCs w:val="28"/>
          <w:highlight w:val="none"/>
        </w:rPr>
        <w:t>第一部分湖南省怀化生态环境监测中心单位概况</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cs="仿宋_GB2312" w:asciiTheme="minorEastAsia" w:hAnsiTheme="minorEastAsia" w:eastAsiaTheme="minorEastAsia"/>
          <w:color w:val="auto"/>
          <w:sz w:val="28"/>
          <w:szCs w:val="28"/>
          <w:highlight w:val="none"/>
        </w:rPr>
        <w:t>一、部门职责</w:t>
      </w:r>
    </w:p>
    <w:p>
      <w:pPr>
        <w:pStyle w:val="10"/>
        <w:spacing w:line="500" w:lineRule="exact"/>
        <w:ind w:firstLine="700" w:firstLineChars="250"/>
        <w:rPr>
          <w:rFonts w:hint="default" w:cs="仿宋_GB2312" w:asciiTheme="minorEastAsia" w:hAnsiTheme="minorEastAsia" w:eastAsiaTheme="minorEastAsia"/>
          <w:color w:val="auto"/>
          <w:sz w:val="28"/>
          <w:szCs w:val="28"/>
          <w:highlight w:val="none"/>
          <w:lang w:val="en-US" w:eastAsia="zh-CN"/>
        </w:rPr>
      </w:pPr>
      <w:r>
        <w:rPr>
          <w:rFonts w:cs="仿宋_GB2312" w:asciiTheme="minorEastAsia" w:hAnsiTheme="minorEastAsia" w:eastAsiaTheme="minorEastAsia"/>
          <w:color w:val="auto"/>
          <w:sz w:val="28"/>
          <w:szCs w:val="28"/>
          <w:highlight w:val="none"/>
        </w:rPr>
        <w:t>二、机构设置</w:t>
      </w:r>
      <w:r>
        <w:rPr>
          <w:rFonts w:hint="eastAsia" w:cs="仿宋_GB2312" w:asciiTheme="minorEastAsia" w:hAnsiTheme="minorEastAsia" w:eastAsiaTheme="minorEastAsia"/>
          <w:color w:val="auto"/>
          <w:sz w:val="28"/>
          <w:szCs w:val="28"/>
          <w:highlight w:val="none"/>
          <w:lang w:val="en-US" w:eastAsia="zh-CN"/>
        </w:rPr>
        <w:t>及决算单位构成</w:t>
      </w:r>
    </w:p>
    <w:p>
      <w:pPr>
        <w:pStyle w:val="10"/>
        <w:spacing w:line="500" w:lineRule="exact"/>
        <w:rPr>
          <w:rFonts w:ascii="仿宋_GB2312" w:hAnsi="仿宋_GB2312" w:cs="仿宋_GB2312"/>
          <w:b/>
          <w:color w:val="auto"/>
          <w:sz w:val="28"/>
          <w:szCs w:val="28"/>
          <w:highlight w:val="none"/>
        </w:rPr>
      </w:pPr>
      <w:r>
        <w:rPr>
          <w:rFonts w:hint="eastAsia" w:hAnsi="仿宋_GB2312"/>
          <w:b/>
          <w:color w:val="auto"/>
          <w:sz w:val="28"/>
          <w:szCs w:val="28"/>
          <w:highlight w:val="none"/>
        </w:rPr>
        <w:t>第二部分</w:t>
      </w:r>
      <w:r>
        <w:rPr>
          <w:rFonts w:hAnsi="仿宋_GB2312"/>
          <w:b/>
          <w:color w:val="auto"/>
          <w:sz w:val="28"/>
          <w:szCs w:val="28"/>
          <w:highlight w:val="none"/>
        </w:rPr>
        <w:t>20</w:t>
      </w:r>
      <w:r>
        <w:rPr>
          <w:rFonts w:hint="eastAsia" w:hAnsi="仿宋_GB2312"/>
          <w:b/>
          <w:color w:val="auto"/>
          <w:sz w:val="28"/>
          <w:szCs w:val="28"/>
          <w:highlight w:val="none"/>
        </w:rPr>
        <w:t>21年度部门决算表</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cs="仿宋_GB2312" w:asciiTheme="minorEastAsia" w:hAnsiTheme="minorEastAsia" w:eastAsiaTheme="minorEastAsia"/>
          <w:color w:val="auto"/>
          <w:sz w:val="28"/>
          <w:szCs w:val="28"/>
          <w:highlight w:val="none"/>
        </w:rPr>
        <w:t>一、收入支出决算总表</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cs="仿宋_GB2312" w:asciiTheme="minorEastAsia" w:hAnsiTheme="minorEastAsia" w:eastAsiaTheme="minorEastAsia"/>
          <w:color w:val="auto"/>
          <w:sz w:val="28"/>
          <w:szCs w:val="28"/>
          <w:highlight w:val="none"/>
        </w:rPr>
        <w:t>二、收入决算表</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cs="仿宋_GB2312" w:asciiTheme="minorEastAsia" w:hAnsiTheme="minorEastAsia" w:eastAsiaTheme="minorEastAsia"/>
          <w:color w:val="auto"/>
          <w:sz w:val="28"/>
          <w:szCs w:val="28"/>
          <w:highlight w:val="none"/>
        </w:rPr>
        <w:t>三、支出决算表</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cs="仿宋_GB2312" w:asciiTheme="minorEastAsia" w:hAnsiTheme="minorEastAsia" w:eastAsiaTheme="minorEastAsia"/>
          <w:color w:val="auto"/>
          <w:sz w:val="28"/>
          <w:szCs w:val="28"/>
          <w:highlight w:val="none"/>
        </w:rPr>
        <w:t>四、财政拨款收入支出决算总表</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cs="仿宋_GB2312" w:asciiTheme="minorEastAsia" w:hAnsiTheme="minorEastAsia" w:eastAsiaTheme="minorEastAsia"/>
          <w:color w:val="auto"/>
          <w:sz w:val="28"/>
          <w:szCs w:val="28"/>
          <w:highlight w:val="none"/>
        </w:rPr>
        <w:t>五、一般公共预算财政拨款支出决算表</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cs="仿宋_GB2312" w:asciiTheme="minorEastAsia" w:hAnsiTheme="minorEastAsia" w:eastAsiaTheme="minorEastAsia"/>
          <w:color w:val="auto"/>
          <w:sz w:val="28"/>
          <w:szCs w:val="28"/>
          <w:highlight w:val="none"/>
        </w:rPr>
        <w:t>六、一般公共预算财政拨款基本支出决算</w:t>
      </w:r>
      <w:r>
        <w:rPr>
          <w:rFonts w:hint="eastAsia" w:cs="仿宋_GB2312" w:asciiTheme="minorEastAsia" w:hAnsiTheme="minorEastAsia" w:eastAsiaTheme="minorEastAsia"/>
          <w:color w:val="auto"/>
          <w:sz w:val="28"/>
          <w:szCs w:val="28"/>
          <w:highlight w:val="none"/>
        </w:rPr>
        <w:t>明细</w:t>
      </w:r>
      <w:r>
        <w:rPr>
          <w:rFonts w:cs="仿宋_GB2312" w:asciiTheme="minorEastAsia" w:hAnsiTheme="minorEastAsia" w:eastAsiaTheme="minorEastAsia"/>
          <w:color w:val="auto"/>
          <w:sz w:val="28"/>
          <w:szCs w:val="28"/>
          <w:highlight w:val="none"/>
        </w:rPr>
        <w:t>表</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cs="仿宋_GB2312" w:asciiTheme="minorEastAsia" w:hAnsiTheme="minorEastAsia" w:eastAsiaTheme="minorEastAsia"/>
          <w:color w:val="auto"/>
          <w:sz w:val="28"/>
          <w:szCs w:val="28"/>
          <w:highlight w:val="none"/>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cs="仿宋_GB2312" w:asciiTheme="minorEastAsia" w:hAnsiTheme="minorEastAsia" w:eastAsiaTheme="minorEastAsia"/>
          <w:color w:val="auto"/>
          <w:sz w:val="28"/>
          <w:szCs w:val="28"/>
          <w:highlight w:val="none"/>
        </w:rPr>
        <w:t>八、政府性基金预算财政拨款收入支出决算表</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hint="eastAsia" w:cs="仿宋_GB2312" w:asciiTheme="minorEastAsia" w:hAnsiTheme="minorEastAsia" w:eastAsiaTheme="minorEastAsia"/>
          <w:color w:val="auto"/>
          <w:sz w:val="28"/>
          <w:szCs w:val="28"/>
          <w:highlight w:val="none"/>
        </w:rPr>
        <w:t>九、国有资本经营预算财政拨款支出决算表</w:t>
      </w:r>
    </w:p>
    <w:p>
      <w:pPr>
        <w:pStyle w:val="10"/>
        <w:spacing w:line="500" w:lineRule="exact"/>
        <w:rPr>
          <w:rFonts w:ascii="仿宋_GB2312" w:hAnsi="仿宋_GB2312" w:cs="仿宋_GB2312"/>
          <w:b/>
          <w:color w:val="auto"/>
          <w:sz w:val="28"/>
          <w:szCs w:val="28"/>
          <w:highlight w:val="none"/>
        </w:rPr>
      </w:pPr>
      <w:r>
        <w:rPr>
          <w:rFonts w:hint="eastAsia" w:hAnsi="仿宋_GB2312"/>
          <w:b/>
          <w:color w:val="auto"/>
          <w:sz w:val="28"/>
          <w:szCs w:val="28"/>
          <w:highlight w:val="none"/>
        </w:rPr>
        <w:t>第三部分</w:t>
      </w:r>
      <w:r>
        <w:rPr>
          <w:rFonts w:hAnsi="仿宋_GB2312"/>
          <w:b/>
          <w:color w:val="auto"/>
          <w:sz w:val="28"/>
          <w:szCs w:val="28"/>
          <w:highlight w:val="none"/>
        </w:rPr>
        <w:t>20</w:t>
      </w:r>
      <w:r>
        <w:rPr>
          <w:rFonts w:hint="eastAsia" w:hAnsi="仿宋_GB2312"/>
          <w:b/>
          <w:color w:val="auto"/>
          <w:sz w:val="28"/>
          <w:szCs w:val="28"/>
          <w:highlight w:val="none"/>
        </w:rPr>
        <w:t>21年度部门决算情况说明</w:t>
      </w:r>
    </w:p>
    <w:p>
      <w:pPr>
        <w:pStyle w:val="10"/>
        <w:spacing w:line="500" w:lineRule="exact"/>
        <w:ind w:firstLine="700" w:firstLineChars="250"/>
        <w:rPr>
          <w:rFonts w:cs="仿宋_GB2312" w:asciiTheme="minorEastAsia" w:hAnsiTheme="minorEastAsia" w:eastAsiaTheme="minorEastAsia"/>
          <w:color w:val="auto"/>
          <w:sz w:val="28"/>
          <w:szCs w:val="28"/>
          <w:highlight w:val="none"/>
        </w:rPr>
      </w:pPr>
      <w:r>
        <w:rPr>
          <w:rFonts w:cs="仿宋_GB2312" w:asciiTheme="minorEastAsia" w:hAnsiTheme="minorEastAsia" w:eastAsiaTheme="minorEastAsia"/>
          <w:color w:val="auto"/>
          <w:sz w:val="28"/>
          <w:szCs w:val="28"/>
          <w:highlight w:val="none"/>
        </w:rPr>
        <w:t>一、收入支出决算总体情况说明</w:t>
      </w:r>
    </w:p>
    <w:p>
      <w:pPr>
        <w:spacing w:line="500" w:lineRule="exact"/>
        <w:ind w:firstLine="700" w:firstLineChars="250"/>
        <w:jc w:val="left"/>
        <w:rPr>
          <w:rFonts w:ascii="仿宋_GB2312" w:hAnsi="仿宋_GB2312" w:cs="仿宋_GB2312"/>
          <w:color w:val="auto"/>
          <w:sz w:val="28"/>
          <w:szCs w:val="28"/>
          <w:highlight w:val="none"/>
        </w:rPr>
      </w:pPr>
      <w:r>
        <w:rPr>
          <w:rFonts w:ascii="仿宋_GB2312" w:hAnsi="仿宋_GB2312" w:cs="仿宋_GB2312"/>
          <w:color w:val="auto"/>
          <w:sz w:val="28"/>
          <w:szCs w:val="28"/>
          <w:highlight w:val="none"/>
        </w:rPr>
        <w:t>二、收入决算情况说明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highlight w:val="none"/>
        </w:rPr>
      </w:pPr>
      <w:r>
        <w:rPr>
          <w:rFonts w:ascii="仿宋_GB2312" w:hAnsi="仿宋_GB2312" w:cs="仿宋_GB2312"/>
          <w:color w:val="auto"/>
          <w:kern w:val="0"/>
          <w:sz w:val="28"/>
          <w:szCs w:val="28"/>
          <w:highlight w:val="none"/>
        </w:rPr>
        <w:t>三、支出决算情况说明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highlight w:val="none"/>
        </w:rPr>
      </w:pPr>
      <w:r>
        <w:rPr>
          <w:rFonts w:ascii="仿宋_GB2312" w:hAnsi="仿宋_GB2312" w:cs="仿宋_GB2312"/>
          <w:color w:val="auto"/>
          <w:kern w:val="0"/>
          <w:sz w:val="28"/>
          <w:szCs w:val="28"/>
          <w:highlight w:val="none"/>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highlight w:val="none"/>
        </w:rPr>
      </w:pPr>
      <w:r>
        <w:rPr>
          <w:rFonts w:ascii="仿宋_GB2312" w:hAnsi="仿宋_GB2312" w:cs="仿宋_GB2312"/>
          <w:color w:val="auto"/>
          <w:kern w:val="0"/>
          <w:sz w:val="28"/>
          <w:szCs w:val="28"/>
          <w:highlight w:val="none"/>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highlight w:val="none"/>
        </w:rPr>
      </w:pPr>
      <w:r>
        <w:rPr>
          <w:rFonts w:ascii="仿宋_GB2312" w:hAnsi="仿宋_GB2312" w:cs="仿宋_GB2312"/>
          <w:color w:val="auto"/>
          <w:kern w:val="0"/>
          <w:sz w:val="28"/>
          <w:szCs w:val="28"/>
          <w:highlight w:val="none"/>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highlight w:val="none"/>
        </w:rPr>
      </w:pPr>
      <w:r>
        <w:rPr>
          <w:rFonts w:ascii="仿宋_GB2312" w:hAnsi="仿宋_GB2312" w:cs="仿宋_GB2312"/>
          <w:color w:val="auto"/>
          <w:kern w:val="0"/>
          <w:sz w:val="28"/>
          <w:szCs w:val="28"/>
          <w:highlight w:val="none"/>
        </w:rPr>
        <w:t>七、一般公共预算财政拨款</w:t>
      </w:r>
      <w:r>
        <w:rPr>
          <w:rFonts w:hint="eastAsia" w:ascii="仿宋_GB2312" w:hAnsi="仿宋_GB2312" w:cs="仿宋_GB2312"/>
          <w:color w:val="auto"/>
          <w:kern w:val="0"/>
          <w:sz w:val="28"/>
          <w:szCs w:val="28"/>
          <w:highlight w:val="none"/>
        </w:rPr>
        <w:t>“</w:t>
      </w:r>
      <w:r>
        <w:rPr>
          <w:rFonts w:ascii="仿宋_GB2312" w:hAnsi="仿宋_GB2312" w:cs="仿宋_GB2312"/>
          <w:color w:val="auto"/>
          <w:kern w:val="0"/>
          <w:sz w:val="28"/>
          <w:szCs w:val="28"/>
          <w:highlight w:val="none"/>
        </w:rPr>
        <w:t>三公</w:t>
      </w:r>
      <w:r>
        <w:rPr>
          <w:rFonts w:hint="eastAsia" w:ascii="仿宋_GB2312" w:hAnsi="仿宋_GB2312" w:cs="仿宋_GB2312"/>
          <w:color w:val="auto"/>
          <w:kern w:val="0"/>
          <w:sz w:val="28"/>
          <w:szCs w:val="28"/>
          <w:highlight w:val="none"/>
        </w:rPr>
        <w:t>”</w:t>
      </w:r>
      <w:r>
        <w:rPr>
          <w:rFonts w:ascii="仿宋_GB2312" w:hAnsi="仿宋_GB2312" w:cs="仿宋_GB2312"/>
          <w:color w:val="auto"/>
          <w:kern w:val="0"/>
          <w:sz w:val="28"/>
          <w:szCs w:val="28"/>
          <w:highlight w:val="none"/>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highlight w:val="none"/>
        </w:rPr>
      </w:pPr>
      <w:r>
        <w:rPr>
          <w:rFonts w:hint="eastAsia" w:ascii="仿宋_GB2312" w:hAnsi="仿宋_GB2312" w:cs="仿宋_GB2312"/>
          <w:color w:val="auto"/>
          <w:kern w:val="0"/>
          <w:sz w:val="28"/>
          <w:szCs w:val="28"/>
          <w:highlight w:val="none"/>
        </w:rPr>
        <w:t>八</w:t>
      </w:r>
      <w:r>
        <w:rPr>
          <w:rFonts w:ascii="仿宋_GB2312" w:hAnsi="仿宋_GB2312" w:cs="仿宋_GB2312"/>
          <w:color w:val="auto"/>
          <w:kern w:val="0"/>
          <w:sz w:val="28"/>
          <w:szCs w:val="28"/>
          <w:highlight w:val="none"/>
        </w:rPr>
        <w:t>、</w:t>
      </w:r>
      <w:r>
        <w:rPr>
          <w:rFonts w:hint="eastAsia" w:ascii="仿宋_GB2312" w:hAnsi="仿宋_GB2312" w:cs="仿宋_GB2312"/>
          <w:color w:val="auto"/>
          <w:kern w:val="0"/>
          <w:sz w:val="28"/>
          <w:szCs w:val="28"/>
          <w:highlight w:val="none"/>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highlight w:val="none"/>
        </w:rPr>
      </w:pPr>
      <w:r>
        <w:rPr>
          <w:rFonts w:hint="eastAsia" w:ascii="仿宋_GB2312" w:hAnsi="仿宋_GB2312" w:cs="仿宋_GB2312"/>
          <w:color w:val="auto"/>
          <w:kern w:val="0"/>
          <w:sz w:val="28"/>
          <w:szCs w:val="28"/>
          <w:highlight w:val="none"/>
        </w:rPr>
        <w:t>九</w:t>
      </w:r>
      <w:r>
        <w:rPr>
          <w:rFonts w:ascii="仿宋_GB2312" w:hAnsi="仿宋_GB2312" w:cs="仿宋_GB2312"/>
          <w:color w:val="auto"/>
          <w:kern w:val="0"/>
          <w:sz w:val="28"/>
          <w:szCs w:val="28"/>
          <w:highlight w:val="none"/>
        </w:rPr>
        <w:t>、</w:t>
      </w:r>
      <w:r>
        <w:rPr>
          <w:rFonts w:hint="eastAsia" w:ascii="仿宋_GB2312" w:hAnsi="仿宋_GB2312" w:cs="仿宋_GB2312"/>
          <w:color w:val="auto"/>
          <w:kern w:val="0"/>
          <w:sz w:val="28"/>
          <w:szCs w:val="28"/>
          <w:highlight w:val="none"/>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highlight w:val="none"/>
        </w:rPr>
      </w:pPr>
      <w:r>
        <w:rPr>
          <w:rFonts w:hint="eastAsia" w:ascii="仿宋_GB2312" w:hAnsi="仿宋_GB2312" w:cs="仿宋_GB2312"/>
          <w:color w:val="auto"/>
          <w:kern w:val="0"/>
          <w:sz w:val="28"/>
          <w:szCs w:val="28"/>
          <w:highlight w:val="none"/>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auto"/>
          <w:kern w:val="0"/>
          <w:sz w:val="28"/>
          <w:szCs w:val="28"/>
          <w:highlight w:val="none"/>
        </w:rPr>
      </w:pPr>
      <w:r>
        <w:rPr>
          <w:rFonts w:hint="eastAsia" w:ascii="仿宋_GB2312" w:hAnsi="仿宋_GB2312" w:cs="仿宋_GB2312"/>
          <w:color w:val="auto"/>
          <w:kern w:val="0"/>
          <w:sz w:val="28"/>
          <w:szCs w:val="28"/>
          <w:highlight w:val="none"/>
        </w:rPr>
        <w:t>十一、政府采购支出说明</w:t>
      </w:r>
    </w:p>
    <w:p>
      <w:pPr>
        <w:pStyle w:val="10"/>
        <w:spacing w:line="500" w:lineRule="exact"/>
        <w:ind w:firstLine="700" w:firstLineChars="250"/>
        <w:rPr>
          <w:rFonts w:ascii="仿宋_GB2312" w:hAnsi="仿宋_GB2312" w:cs="仿宋_GB2312" w:eastAsiaTheme="minorEastAsia"/>
          <w:color w:val="auto"/>
          <w:sz w:val="28"/>
          <w:szCs w:val="28"/>
          <w:highlight w:val="none"/>
        </w:rPr>
      </w:pPr>
      <w:r>
        <w:rPr>
          <w:rFonts w:hint="eastAsia" w:ascii="仿宋_GB2312" w:hAnsi="仿宋_GB2312" w:cs="仿宋_GB2312" w:eastAsiaTheme="minorEastAsia"/>
          <w:color w:val="auto"/>
          <w:sz w:val="28"/>
          <w:szCs w:val="28"/>
          <w:highlight w:val="none"/>
        </w:rPr>
        <w:t>十二、国有资产占用情况说明</w:t>
      </w:r>
    </w:p>
    <w:p>
      <w:pPr>
        <w:pStyle w:val="10"/>
        <w:ind w:firstLine="560" w:firstLineChars="200"/>
        <w:rPr>
          <w:rFonts w:hint="eastAsia" w:ascii="仿宋_GB2312" w:hAnsi="仿宋_GB2312" w:eastAsia="宋体" w:cs="仿宋_GB2312"/>
          <w:sz w:val="28"/>
          <w:szCs w:val="28"/>
        </w:rPr>
      </w:pPr>
      <w:r>
        <w:rPr>
          <w:rFonts w:hint="eastAsia" w:ascii="仿宋_GB2312" w:hAnsi="仿宋_GB2312" w:cs="仿宋_GB2312" w:eastAsiaTheme="minorEastAsia"/>
          <w:color w:val="auto"/>
          <w:sz w:val="28"/>
          <w:szCs w:val="28"/>
          <w:highlight w:val="none"/>
        </w:rPr>
        <w:t>十三、</w:t>
      </w:r>
      <w:r>
        <w:rPr>
          <w:rFonts w:hint="eastAsia" w:ascii="仿宋_GB2312" w:hAnsi="仿宋_GB2312" w:eastAsia="宋体" w:cs="仿宋_GB2312"/>
          <w:sz w:val="28"/>
          <w:szCs w:val="28"/>
        </w:rPr>
        <w:t>关于部门整体支出、单位项目支出、重点（专项）项目支出绩效自评情况说明</w:t>
      </w:r>
    </w:p>
    <w:p>
      <w:pPr>
        <w:pStyle w:val="10"/>
        <w:spacing w:line="500" w:lineRule="exact"/>
        <w:ind w:firstLine="700" w:firstLineChars="250"/>
        <w:rPr>
          <w:rFonts w:ascii="仿宋_GB2312" w:hAnsi="仿宋_GB2312" w:cs="仿宋_GB2312" w:eastAsiaTheme="minorEastAsia"/>
          <w:color w:val="auto"/>
          <w:sz w:val="28"/>
          <w:szCs w:val="28"/>
          <w:highlight w:val="none"/>
        </w:rPr>
      </w:pPr>
    </w:p>
    <w:p>
      <w:pPr>
        <w:autoSpaceDE w:val="0"/>
        <w:autoSpaceDN w:val="0"/>
        <w:adjustRightInd w:val="0"/>
        <w:spacing w:line="500" w:lineRule="exact"/>
        <w:jc w:val="left"/>
        <w:rPr>
          <w:rFonts w:ascii="黑体" w:hAnsi="黑体" w:eastAsia="黑体" w:cs="黑体"/>
          <w:b/>
          <w:color w:val="auto"/>
          <w:kern w:val="0"/>
          <w:sz w:val="28"/>
          <w:szCs w:val="28"/>
          <w:highlight w:val="none"/>
        </w:rPr>
      </w:pPr>
      <w:r>
        <w:rPr>
          <w:rFonts w:ascii="黑体" w:hAnsi="黑体" w:eastAsia="黑体" w:cs="黑体"/>
          <w:b/>
          <w:color w:val="auto"/>
          <w:kern w:val="0"/>
          <w:sz w:val="28"/>
          <w:szCs w:val="28"/>
          <w:highlight w:val="none"/>
        </w:rPr>
        <w:t>第四部分名词解释</w:t>
      </w:r>
    </w:p>
    <w:p>
      <w:pPr>
        <w:autoSpaceDE w:val="0"/>
        <w:autoSpaceDN w:val="0"/>
        <w:adjustRightInd w:val="0"/>
        <w:spacing w:line="500" w:lineRule="exact"/>
        <w:jc w:val="left"/>
        <w:rPr>
          <w:rFonts w:ascii="黑体" w:hAnsi="黑体" w:eastAsia="黑体" w:cs="仿宋_GB2312"/>
          <w:b/>
          <w:color w:val="auto"/>
          <w:kern w:val="0"/>
          <w:sz w:val="28"/>
          <w:szCs w:val="28"/>
          <w:highlight w:val="none"/>
        </w:rPr>
      </w:pPr>
      <w:r>
        <w:rPr>
          <w:rFonts w:hint="eastAsia" w:ascii="黑体" w:hAnsi="黑体" w:eastAsia="黑体" w:cs="黑体"/>
          <w:b/>
          <w:color w:val="auto"/>
          <w:kern w:val="0"/>
          <w:sz w:val="28"/>
          <w:szCs w:val="28"/>
          <w:highlight w:val="none"/>
        </w:rPr>
        <w:t>第五部分附件</w:t>
      </w:r>
    </w:p>
    <w:p>
      <w:pPr>
        <w:rPr>
          <w:color w:val="auto"/>
          <w:sz w:val="72"/>
          <w:szCs w:val="72"/>
          <w:highlight w:val="none"/>
        </w:rPr>
      </w:pPr>
    </w:p>
    <w:p>
      <w:pPr>
        <w:pStyle w:val="10"/>
        <w:jc w:val="center"/>
        <w:rPr>
          <w:color w:val="auto"/>
          <w:sz w:val="84"/>
          <w:szCs w:val="84"/>
          <w:highlight w:val="none"/>
        </w:rPr>
      </w:pPr>
      <w:r>
        <w:rPr>
          <w:rFonts w:hint="eastAsia"/>
          <w:color w:val="auto"/>
          <w:sz w:val="84"/>
          <w:szCs w:val="84"/>
          <w:highlight w:val="none"/>
        </w:rPr>
        <w:t>第一部分</w:t>
      </w:r>
    </w:p>
    <w:p>
      <w:pPr>
        <w:pStyle w:val="10"/>
        <w:jc w:val="center"/>
        <w:rPr>
          <w:color w:val="auto"/>
          <w:sz w:val="84"/>
          <w:szCs w:val="84"/>
          <w:highlight w:val="none"/>
        </w:rPr>
      </w:pPr>
    </w:p>
    <w:p>
      <w:pPr>
        <w:pStyle w:val="10"/>
        <w:jc w:val="center"/>
        <w:rPr>
          <w:color w:val="auto"/>
          <w:sz w:val="84"/>
          <w:szCs w:val="84"/>
          <w:highlight w:val="none"/>
        </w:rPr>
      </w:pPr>
      <w:r>
        <w:rPr>
          <w:rFonts w:hint="eastAsia"/>
          <w:color w:val="auto"/>
          <w:sz w:val="84"/>
          <w:szCs w:val="84"/>
          <w:highlight w:val="none"/>
        </w:rPr>
        <w:t>湖南省怀化生态环境监测中心单位概况</w:t>
      </w:r>
    </w:p>
    <w:p>
      <w:pPr>
        <w:jc w:val="center"/>
        <w:rPr>
          <w:color w:val="auto"/>
          <w:sz w:val="72"/>
          <w:szCs w:val="72"/>
          <w:highlight w:val="none"/>
        </w:rPr>
      </w:pPr>
    </w:p>
    <w:p>
      <w:pPr>
        <w:jc w:val="center"/>
        <w:rPr>
          <w:color w:val="auto"/>
          <w:sz w:val="72"/>
          <w:szCs w:val="72"/>
          <w:highlight w:val="none"/>
        </w:rPr>
      </w:pPr>
    </w:p>
    <w:p>
      <w:pPr>
        <w:jc w:val="center"/>
        <w:rPr>
          <w:color w:val="auto"/>
          <w:sz w:val="72"/>
          <w:szCs w:val="72"/>
          <w:highlight w:val="none"/>
        </w:rPr>
      </w:pPr>
    </w:p>
    <w:p>
      <w:pPr>
        <w:jc w:val="center"/>
        <w:rPr>
          <w:color w:val="auto"/>
          <w:sz w:val="72"/>
          <w:szCs w:val="72"/>
          <w:highlight w:val="none"/>
        </w:rPr>
      </w:pPr>
    </w:p>
    <w:p>
      <w:pPr>
        <w:jc w:val="center"/>
        <w:rPr>
          <w:color w:val="auto"/>
          <w:sz w:val="72"/>
          <w:szCs w:val="72"/>
          <w:highlight w:val="none"/>
        </w:rPr>
      </w:pPr>
    </w:p>
    <w:p>
      <w:pPr>
        <w:pStyle w:val="11"/>
        <w:ind w:left="720" w:firstLine="0" w:firstLineChars="0"/>
        <w:jc w:val="left"/>
        <w:rPr>
          <w:rFonts w:ascii="黑体" w:hAnsi="黑体" w:eastAsia="黑体"/>
          <w:color w:val="auto"/>
          <w:sz w:val="32"/>
          <w:szCs w:val="32"/>
          <w:highlight w:val="none"/>
        </w:rPr>
      </w:pPr>
    </w:p>
    <w:p>
      <w:pPr>
        <w:pStyle w:val="11"/>
        <w:ind w:left="720" w:firstLine="0" w:firstLineChars="0"/>
        <w:jc w:val="left"/>
        <w:rPr>
          <w:rFonts w:ascii="黑体" w:hAnsi="黑体" w:eastAsia="黑体"/>
          <w:color w:val="auto"/>
          <w:sz w:val="32"/>
          <w:szCs w:val="32"/>
          <w:highlight w:val="none"/>
        </w:rPr>
      </w:pPr>
    </w:p>
    <w:p>
      <w:pPr>
        <w:pStyle w:val="11"/>
        <w:ind w:left="720" w:firstLine="0" w:firstLineChars="0"/>
        <w:jc w:val="left"/>
        <w:rPr>
          <w:rFonts w:ascii="黑体" w:hAnsi="黑体" w:eastAsia="黑体"/>
          <w:color w:val="auto"/>
          <w:sz w:val="32"/>
          <w:szCs w:val="32"/>
          <w:highlight w:val="none"/>
        </w:rPr>
      </w:pPr>
    </w:p>
    <w:p>
      <w:pPr>
        <w:pStyle w:val="11"/>
        <w:ind w:left="720" w:firstLine="0" w:firstLineChars="0"/>
        <w:jc w:val="left"/>
        <w:rPr>
          <w:rFonts w:ascii="黑体" w:hAnsi="黑体" w:eastAsia="黑体"/>
          <w:color w:val="auto"/>
          <w:sz w:val="32"/>
          <w:szCs w:val="32"/>
          <w:highlight w:val="none"/>
        </w:rPr>
      </w:pPr>
    </w:p>
    <w:p>
      <w:pPr>
        <w:pStyle w:val="11"/>
        <w:ind w:left="720" w:firstLine="0" w:firstLineChars="0"/>
        <w:jc w:val="left"/>
        <w:rPr>
          <w:rFonts w:ascii="黑体" w:hAnsi="黑体" w:eastAsia="黑体"/>
          <w:color w:val="auto"/>
          <w:sz w:val="32"/>
          <w:szCs w:val="32"/>
          <w:highlight w:val="none"/>
        </w:rPr>
      </w:pPr>
    </w:p>
    <w:p>
      <w:pPr>
        <w:pStyle w:val="11"/>
        <w:ind w:left="720" w:firstLine="0" w:firstLineChars="0"/>
        <w:jc w:val="left"/>
        <w:rPr>
          <w:rFonts w:hint="eastAsia" w:ascii="黑体" w:hAnsi="黑体" w:eastAsia="黑体"/>
          <w:color w:val="auto"/>
          <w:sz w:val="32"/>
          <w:szCs w:val="32"/>
          <w:highlight w:val="none"/>
        </w:rPr>
      </w:pPr>
    </w:p>
    <w:p>
      <w:pPr>
        <w:pStyle w:val="11"/>
        <w:ind w:left="720" w:firstLine="0" w:firstLineChars="0"/>
        <w:jc w:val="left"/>
        <w:rPr>
          <w:rFonts w:hint="eastAsia" w:ascii="黑体" w:hAnsi="黑体" w:eastAsia="黑体"/>
          <w:color w:val="auto"/>
          <w:sz w:val="32"/>
          <w:szCs w:val="32"/>
          <w:highlight w:val="none"/>
        </w:rPr>
      </w:pPr>
    </w:p>
    <w:p>
      <w:pPr>
        <w:pStyle w:val="11"/>
        <w:ind w:left="720" w:firstLine="0" w:firstLineChars="0"/>
        <w:jc w:val="left"/>
        <w:rPr>
          <w:rFonts w:ascii="黑体" w:hAnsi="黑体" w:eastAsia="黑体"/>
          <w:color w:val="auto"/>
          <w:sz w:val="32"/>
          <w:szCs w:val="32"/>
          <w:highlight w:val="none"/>
        </w:rPr>
      </w:pPr>
    </w:p>
    <w:p>
      <w:pPr>
        <w:pStyle w:val="11"/>
        <w:ind w:left="720" w:firstLine="0" w:firstLineChars="0"/>
        <w:jc w:val="left"/>
        <w:rPr>
          <w:rFonts w:ascii="黑体" w:hAnsi="黑体" w:eastAsia="黑体"/>
          <w:color w:val="auto"/>
          <w:sz w:val="32"/>
          <w:szCs w:val="32"/>
          <w:highlight w:val="none"/>
        </w:rPr>
      </w:pPr>
    </w:p>
    <w:p>
      <w:pPr>
        <w:pStyle w:val="11"/>
        <w:numPr>
          <w:ilvl w:val="0"/>
          <w:numId w:val="1"/>
        </w:numPr>
        <w:ind w:firstLineChars="0"/>
        <w:jc w:val="left"/>
        <w:rPr>
          <w:rFonts w:ascii="黑体" w:hAnsi="黑体" w:eastAsia="黑体"/>
          <w:color w:val="auto"/>
          <w:sz w:val="32"/>
          <w:szCs w:val="32"/>
          <w:highlight w:val="none"/>
        </w:rPr>
      </w:pPr>
      <w:r>
        <w:rPr>
          <w:rFonts w:ascii="黑体" w:hAnsi="黑体" w:eastAsia="黑体"/>
          <w:color w:val="auto"/>
          <w:sz w:val="32"/>
          <w:szCs w:val="32"/>
          <w:highlight w:val="none"/>
        </w:rPr>
        <w:t>部门职责</w:t>
      </w:r>
    </w:p>
    <w:p>
      <w:pPr>
        <w:widowControl/>
        <w:spacing w:line="600" w:lineRule="exact"/>
        <w:ind w:firstLine="627" w:firstLineChars="196"/>
        <w:jc w:val="left"/>
        <w:rPr>
          <w:rFonts w:ascii="Calibri" w:hAnsi="Calibri" w:eastAsia="仿宋_GB2312" w:cs="Times New Roman"/>
          <w:color w:val="auto"/>
          <w:sz w:val="32"/>
          <w:szCs w:val="32"/>
          <w:highlight w:val="none"/>
        </w:rPr>
      </w:pPr>
      <w:r>
        <w:rPr>
          <w:rFonts w:hint="eastAsia" w:asciiTheme="minorEastAsia" w:hAnsiTheme="minorEastAsia"/>
          <w:color w:val="auto"/>
          <w:sz w:val="32"/>
          <w:szCs w:val="32"/>
          <w:highlight w:val="none"/>
        </w:rPr>
        <w:t>（一）</w:t>
      </w:r>
      <w:r>
        <w:rPr>
          <w:rFonts w:hint="eastAsia" w:ascii="Calibri" w:hAnsi="Calibri" w:eastAsia="仿宋_GB2312" w:cs="Times New Roman"/>
          <w:color w:val="auto"/>
          <w:sz w:val="32"/>
          <w:szCs w:val="32"/>
          <w:highlight w:val="none"/>
        </w:rPr>
        <w:t>湖南省怀化生态环境监测中心于2019年11月挂牌成立，其前身为怀化市环境保护监测站，成立于1976年6月。40多年来，湖南省怀化生态环境监测中心经历了从无到有，从弱到强的不断发展，工作成绩突出，业绩斐然，多次荣获省部级、市级荣誉，为打好污染防治攻坚战提供了精准有力的技术支持。</w:t>
      </w:r>
    </w:p>
    <w:p>
      <w:pPr>
        <w:widowControl/>
        <w:spacing w:line="600" w:lineRule="exact"/>
        <w:ind w:firstLine="627" w:firstLineChars="196"/>
        <w:jc w:val="left"/>
        <w:rPr>
          <w:rFonts w:ascii="Calibri" w:hAnsi="Calibri" w:eastAsia="仿宋_GB2312" w:cs="Times New Roman"/>
          <w:color w:val="auto"/>
          <w:sz w:val="32"/>
          <w:szCs w:val="32"/>
          <w:highlight w:val="none"/>
        </w:rPr>
      </w:pPr>
      <w:r>
        <w:rPr>
          <w:rFonts w:hint="eastAsia" w:ascii="Calibri" w:hAnsi="Calibri" w:eastAsia="仿宋_GB2312" w:cs="Times New Roman"/>
          <w:color w:val="auto"/>
          <w:sz w:val="32"/>
          <w:szCs w:val="32"/>
          <w:highlight w:val="none"/>
        </w:rPr>
        <w:t>湖南省怀化生态环境监测中心属国家环境监测二级站，是湖南省财政全额拨款的事业单位，隶属于湖南省生态环境厅，是怀化市生态环境监测的网络中心、技术中心、质控中心、数据（信息）中心和培训中心。</w:t>
      </w:r>
    </w:p>
    <w:p>
      <w:pPr>
        <w:widowControl/>
        <w:spacing w:line="600" w:lineRule="exact"/>
        <w:ind w:firstLine="627" w:firstLineChars="196"/>
        <w:jc w:val="left"/>
        <w:rPr>
          <w:rFonts w:eastAsia="仿宋_GB2312"/>
          <w:color w:val="auto"/>
          <w:sz w:val="32"/>
          <w:szCs w:val="32"/>
          <w:highlight w:val="none"/>
        </w:rPr>
      </w:pPr>
      <w:r>
        <w:rPr>
          <w:rFonts w:hint="eastAsia" w:ascii="Calibri" w:hAnsi="Calibri" w:eastAsia="仿宋_GB2312" w:cs="Times New Roman"/>
          <w:color w:val="auto"/>
          <w:sz w:val="32"/>
          <w:szCs w:val="32"/>
          <w:highlight w:val="none"/>
        </w:rPr>
        <w:t>湖南省怀化生态环境监测中心拥有完善的质量保证体系。1991年通过首届国家“优质实验室”验收。1998年首次通过计量认证，2005年通过湖南省技术监督局、湖南省环境保护局的“计量认证复查”。</w:t>
      </w:r>
    </w:p>
    <w:p>
      <w:pPr>
        <w:widowControl/>
        <w:spacing w:line="600" w:lineRule="exact"/>
        <w:rPr>
          <w:rFonts w:ascii="黑体" w:hAnsi="黑体" w:eastAsia="黑体"/>
          <w:bCs/>
          <w:color w:val="auto"/>
          <w:kern w:val="0"/>
          <w:sz w:val="32"/>
          <w:szCs w:val="32"/>
          <w:highlight w:val="none"/>
        </w:rPr>
      </w:pPr>
      <w:r>
        <w:rPr>
          <w:rFonts w:hint="eastAsia" w:ascii="黑体" w:hAnsi="黑体" w:eastAsia="黑体"/>
          <w:bCs/>
          <w:color w:val="auto"/>
          <w:kern w:val="0"/>
          <w:sz w:val="32"/>
          <w:szCs w:val="32"/>
          <w:highlight w:val="none"/>
        </w:rPr>
        <w:t>二、机构设置及决算单位构成</w:t>
      </w:r>
    </w:p>
    <w:p>
      <w:pPr>
        <w:widowControl/>
        <w:spacing w:line="600" w:lineRule="exact"/>
        <w:ind w:firstLine="627" w:firstLineChars="196"/>
        <w:jc w:val="left"/>
        <w:rPr>
          <w:rFonts w:hint="eastAsia" w:ascii="Calibri" w:hAnsi="Calibri" w:eastAsia="仿宋_GB2312" w:cs="Times New Roman"/>
          <w:bCs w:val="0"/>
          <w:color w:val="auto"/>
          <w:kern w:val="2"/>
          <w:sz w:val="32"/>
          <w:szCs w:val="32"/>
          <w:highlight w:val="none"/>
        </w:rPr>
      </w:pPr>
      <w:r>
        <w:rPr>
          <w:rFonts w:hint="eastAsia" w:ascii="Calibri" w:hAnsi="Calibri" w:eastAsia="仿宋_GB2312" w:cs="Times New Roman"/>
          <w:bCs w:val="0"/>
          <w:color w:val="auto"/>
          <w:kern w:val="2"/>
          <w:sz w:val="32"/>
          <w:szCs w:val="32"/>
          <w:highlight w:val="none"/>
        </w:rPr>
        <w:t>（一）内设机构设置。</w:t>
      </w:r>
    </w:p>
    <w:p>
      <w:pPr>
        <w:widowControl/>
        <w:spacing w:line="600" w:lineRule="exact"/>
        <w:ind w:firstLine="627" w:firstLineChars="196"/>
        <w:jc w:val="left"/>
        <w:rPr>
          <w:rFonts w:hint="eastAsia" w:ascii="Calibri" w:hAnsi="Calibri" w:eastAsia="仿宋_GB2312" w:cs="Times New Roman"/>
          <w:color w:val="auto"/>
          <w:sz w:val="32"/>
          <w:szCs w:val="32"/>
          <w:highlight w:val="none"/>
        </w:rPr>
      </w:pPr>
      <w:r>
        <w:rPr>
          <w:rFonts w:hint="eastAsia" w:ascii="Calibri" w:hAnsi="Calibri" w:eastAsia="仿宋_GB2312" w:cs="Times New Roman"/>
          <w:color w:val="auto"/>
          <w:sz w:val="32"/>
          <w:szCs w:val="32"/>
          <w:highlight w:val="none"/>
        </w:rPr>
        <w:t>湖南省怀化生态环境监测中心</w:t>
      </w:r>
      <w:r>
        <w:rPr>
          <w:rFonts w:hint="eastAsia" w:ascii="Calibri" w:hAnsi="Calibri" w:eastAsia="仿宋_GB2312" w:cs="Times New Roman"/>
          <w:bCs w:val="0"/>
          <w:color w:val="auto"/>
          <w:kern w:val="2"/>
          <w:sz w:val="32"/>
          <w:szCs w:val="32"/>
          <w:highlight w:val="none"/>
        </w:rPr>
        <w:t>单位内设机构包括：</w:t>
      </w:r>
      <w:r>
        <w:rPr>
          <w:rFonts w:hint="eastAsia" w:ascii="Calibri" w:hAnsi="Calibri" w:eastAsia="仿宋_GB2312" w:cs="Times New Roman"/>
          <w:color w:val="auto"/>
          <w:sz w:val="32"/>
          <w:szCs w:val="32"/>
          <w:highlight w:val="none"/>
        </w:rPr>
        <w:t>办公室、党建人事科、质量管理科、综合技术科、现场监测科、分析技术科、辐射环境监测室。</w:t>
      </w:r>
    </w:p>
    <w:p>
      <w:pPr>
        <w:widowControl/>
        <w:spacing w:line="240" w:lineRule="auto"/>
        <w:ind w:firstLine="0" w:firstLineChars="0"/>
        <w:jc w:val="left"/>
        <w:rPr>
          <w:rFonts w:hint="eastAsia" w:ascii="Calibri" w:hAnsi="Calibri" w:eastAsia="仿宋_GB2312" w:cs="Times New Roman"/>
          <w:color w:val="auto"/>
          <w:sz w:val="32"/>
          <w:szCs w:val="32"/>
          <w:highlight w:val="none"/>
        </w:rPr>
      </w:pPr>
      <w:r>
        <w:rPr>
          <w:rFonts w:hint="eastAsia" w:ascii="Calibri" w:hAnsi="Calibri" w:eastAsia="仿宋_GB2312" w:cs="Times New Roman"/>
          <w:color w:val="auto"/>
          <w:sz w:val="32"/>
          <w:szCs w:val="32"/>
          <w:highlight w:val="none"/>
        </w:rPr>
        <w:br w:type="page"/>
      </w:r>
    </w:p>
    <w:p>
      <w:pPr>
        <w:widowControl/>
        <w:spacing w:line="600" w:lineRule="exact"/>
        <w:ind w:firstLine="627" w:firstLineChars="196"/>
        <w:jc w:val="left"/>
        <w:rPr>
          <w:rFonts w:hint="eastAsia" w:ascii="Calibri" w:hAnsi="Calibri" w:eastAsia="仿宋_GB2312" w:cs="Times New Roman"/>
          <w:color w:val="auto"/>
          <w:sz w:val="32"/>
          <w:szCs w:val="32"/>
          <w:highlight w:val="none"/>
        </w:rPr>
      </w:pPr>
    </w:p>
    <w:p>
      <w:pPr>
        <w:widowControl/>
        <w:numPr>
          <w:ilvl w:val="0"/>
          <w:numId w:val="2"/>
        </w:numPr>
        <w:spacing w:line="600" w:lineRule="exact"/>
        <w:ind w:firstLine="627" w:firstLineChars="196"/>
        <w:jc w:val="left"/>
        <w:rPr>
          <w:rFonts w:hint="eastAsia" w:ascii="Calibri" w:hAnsi="Calibri" w:eastAsia="仿宋_GB2312" w:cs="Times New Roman"/>
          <w:bCs w:val="0"/>
          <w:color w:val="auto"/>
          <w:kern w:val="2"/>
          <w:sz w:val="32"/>
          <w:szCs w:val="32"/>
          <w:highlight w:val="none"/>
        </w:rPr>
      </w:pPr>
      <w:r>
        <w:rPr>
          <w:rFonts w:hint="eastAsia" w:ascii="Calibri" w:hAnsi="Calibri" w:eastAsia="仿宋_GB2312" w:cs="Times New Roman"/>
          <w:bCs w:val="0"/>
          <w:color w:val="auto"/>
          <w:kern w:val="2"/>
          <w:sz w:val="32"/>
          <w:szCs w:val="32"/>
          <w:highlight w:val="none"/>
        </w:rPr>
        <w:t>决算单位构成。</w:t>
      </w:r>
    </w:p>
    <w:p>
      <w:pPr>
        <w:widowControl/>
        <w:numPr>
          <w:ilvl w:val="-1"/>
          <w:numId w:val="0"/>
        </w:numPr>
        <w:spacing w:line="600" w:lineRule="exact"/>
        <w:ind w:firstLine="640" w:firstLineChars="200"/>
        <w:jc w:val="left"/>
        <w:rPr>
          <w:rFonts w:hint="eastAsia" w:ascii="Calibri" w:hAnsi="Calibri" w:eastAsia="仿宋_GB2312" w:cs="Times New Roman"/>
          <w:bCs w:val="0"/>
          <w:color w:val="auto"/>
          <w:kern w:val="2"/>
          <w:sz w:val="32"/>
          <w:szCs w:val="32"/>
          <w:highlight w:val="none"/>
        </w:rPr>
      </w:pPr>
      <w:r>
        <w:rPr>
          <w:rFonts w:hint="eastAsia" w:ascii="Calibri" w:hAnsi="Calibri" w:eastAsia="仿宋_GB2312" w:cs="Times New Roman"/>
          <w:color w:val="auto"/>
          <w:sz w:val="32"/>
          <w:szCs w:val="32"/>
          <w:highlight w:val="none"/>
        </w:rPr>
        <w:t>湖南省怀化生态环境监测中心</w:t>
      </w:r>
      <w:r>
        <w:rPr>
          <w:rFonts w:hint="eastAsia" w:ascii="Calibri" w:hAnsi="Calibri" w:eastAsia="仿宋_GB2312" w:cs="Times New Roman"/>
          <w:bCs w:val="0"/>
          <w:color w:val="auto"/>
          <w:kern w:val="2"/>
          <w:sz w:val="32"/>
          <w:szCs w:val="32"/>
          <w:highlight w:val="none"/>
        </w:rPr>
        <w:t>2021年部门决算汇总公开单位构成包括：</w:t>
      </w:r>
      <w:r>
        <w:rPr>
          <w:rFonts w:hint="eastAsia" w:ascii="Calibri" w:hAnsi="Calibri" w:eastAsia="仿宋_GB2312" w:cs="Times New Roman"/>
          <w:color w:val="auto"/>
          <w:sz w:val="32"/>
          <w:szCs w:val="32"/>
          <w:highlight w:val="none"/>
        </w:rPr>
        <w:t>湖南省怀化生态环境监测中心</w:t>
      </w:r>
      <w:r>
        <w:rPr>
          <w:rFonts w:hint="eastAsia" w:ascii="Calibri" w:hAnsi="Calibri" w:eastAsia="仿宋_GB2312" w:cs="Times New Roman"/>
          <w:bCs w:val="0"/>
          <w:color w:val="auto"/>
          <w:kern w:val="2"/>
          <w:sz w:val="32"/>
          <w:szCs w:val="32"/>
          <w:highlight w:val="none"/>
        </w:rPr>
        <w:t>单位本级。</w:t>
      </w:r>
    </w:p>
    <w:p>
      <w:pPr>
        <w:jc w:val="left"/>
        <w:rPr>
          <w:rFonts w:ascii="仿宋_GB2312" w:eastAsia="仿宋_GB2312" w:hAnsiTheme="minorEastAsia"/>
          <w:color w:val="auto"/>
          <w:sz w:val="28"/>
          <w:szCs w:val="32"/>
          <w:highlight w:val="none"/>
        </w:rPr>
      </w:pPr>
    </w:p>
    <w:p>
      <w:pPr>
        <w:jc w:val="center"/>
        <w:rPr>
          <w:rFonts w:ascii="黑体" w:hAnsi="黑体" w:eastAsia="黑体"/>
          <w:color w:val="auto"/>
          <w:sz w:val="28"/>
          <w:szCs w:val="28"/>
          <w:highlight w:val="none"/>
        </w:rPr>
      </w:pPr>
    </w:p>
    <w:p>
      <w:pPr>
        <w:jc w:val="center"/>
        <w:rPr>
          <w:rFonts w:ascii="黑体" w:hAnsi="黑体" w:eastAsia="黑体"/>
          <w:color w:val="auto"/>
          <w:sz w:val="28"/>
          <w:szCs w:val="28"/>
          <w:highlight w:val="none"/>
        </w:rPr>
      </w:pPr>
    </w:p>
    <w:p>
      <w:pPr>
        <w:jc w:val="center"/>
        <w:rPr>
          <w:rFonts w:ascii="黑体" w:hAnsi="黑体" w:eastAsia="黑体"/>
          <w:color w:val="auto"/>
          <w:sz w:val="28"/>
          <w:szCs w:val="28"/>
          <w:highlight w:val="none"/>
        </w:rPr>
      </w:pPr>
    </w:p>
    <w:p>
      <w:pPr>
        <w:jc w:val="center"/>
        <w:rPr>
          <w:rFonts w:ascii="黑体" w:hAnsi="黑体" w:eastAsia="黑体"/>
          <w:color w:val="auto"/>
          <w:sz w:val="28"/>
          <w:szCs w:val="28"/>
          <w:highlight w:val="none"/>
        </w:rPr>
      </w:pPr>
    </w:p>
    <w:p>
      <w:pPr>
        <w:jc w:val="center"/>
        <w:rPr>
          <w:rFonts w:ascii="黑体" w:hAnsi="黑体" w:eastAsia="黑体"/>
          <w:color w:val="auto"/>
          <w:sz w:val="28"/>
          <w:szCs w:val="28"/>
          <w:highlight w:val="none"/>
        </w:rPr>
      </w:pPr>
    </w:p>
    <w:p>
      <w:pPr>
        <w:jc w:val="center"/>
        <w:rPr>
          <w:color w:val="auto"/>
          <w:sz w:val="72"/>
          <w:szCs w:val="72"/>
          <w:highlight w:val="none"/>
        </w:rPr>
      </w:pPr>
    </w:p>
    <w:p>
      <w:pPr>
        <w:jc w:val="center"/>
        <w:rPr>
          <w:rFonts w:hint="eastAsia"/>
          <w:color w:val="auto"/>
          <w:sz w:val="72"/>
          <w:szCs w:val="72"/>
          <w:highlight w:val="none"/>
        </w:rPr>
      </w:pPr>
    </w:p>
    <w:p>
      <w:pPr>
        <w:jc w:val="center"/>
        <w:rPr>
          <w:rFonts w:hint="eastAsia"/>
          <w:color w:val="auto"/>
          <w:sz w:val="72"/>
          <w:szCs w:val="72"/>
          <w:highlight w:val="none"/>
        </w:rPr>
      </w:pPr>
    </w:p>
    <w:p>
      <w:pPr>
        <w:jc w:val="center"/>
        <w:rPr>
          <w:rFonts w:hint="eastAsia"/>
          <w:color w:val="auto"/>
          <w:sz w:val="72"/>
          <w:szCs w:val="72"/>
          <w:highlight w:val="none"/>
        </w:rPr>
      </w:pPr>
    </w:p>
    <w:p>
      <w:pPr>
        <w:jc w:val="center"/>
        <w:rPr>
          <w:rFonts w:hint="eastAsia"/>
          <w:color w:val="auto"/>
          <w:sz w:val="72"/>
          <w:szCs w:val="72"/>
          <w:highlight w:val="none"/>
        </w:rPr>
      </w:pPr>
    </w:p>
    <w:p>
      <w:pPr>
        <w:jc w:val="center"/>
        <w:rPr>
          <w:rFonts w:hint="eastAsia"/>
          <w:color w:val="auto"/>
          <w:sz w:val="72"/>
          <w:szCs w:val="72"/>
          <w:highlight w:val="none"/>
        </w:rPr>
      </w:pPr>
    </w:p>
    <w:p>
      <w:pPr>
        <w:jc w:val="center"/>
        <w:rPr>
          <w:rFonts w:hint="eastAsia"/>
          <w:color w:val="auto"/>
          <w:sz w:val="72"/>
          <w:szCs w:val="72"/>
          <w:highlight w:val="none"/>
        </w:rPr>
      </w:pPr>
    </w:p>
    <w:p>
      <w:pPr>
        <w:jc w:val="center"/>
        <w:rPr>
          <w:rFonts w:hint="eastAsia"/>
          <w:color w:val="auto"/>
          <w:sz w:val="72"/>
          <w:szCs w:val="72"/>
          <w:highlight w:val="none"/>
        </w:rPr>
      </w:pPr>
    </w:p>
    <w:p>
      <w:pPr>
        <w:jc w:val="center"/>
        <w:rPr>
          <w:rFonts w:hint="eastAsia"/>
          <w:color w:val="auto"/>
          <w:sz w:val="72"/>
          <w:szCs w:val="72"/>
          <w:highlight w:val="none"/>
        </w:rPr>
      </w:pPr>
    </w:p>
    <w:p>
      <w:pPr>
        <w:jc w:val="center"/>
        <w:rPr>
          <w:rFonts w:hint="eastAsia"/>
          <w:color w:val="auto"/>
          <w:sz w:val="72"/>
          <w:szCs w:val="72"/>
          <w:highlight w:val="none"/>
        </w:rPr>
      </w:pPr>
    </w:p>
    <w:p>
      <w:pPr>
        <w:jc w:val="center"/>
        <w:rPr>
          <w:rFonts w:hint="eastAsia"/>
          <w:color w:val="auto"/>
          <w:sz w:val="72"/>
          <w:szCs w:val="72"/>
          <w:highlight w:val="none"/>
        </w:rPr>
      </w:pPr>
    </w:p>
    <w:p>
      <w:pPr>
        <w:jc w:val="center"/>
        <w:rPr>
          <w:rFonts w:hint="eastAsia"/>
          <w:color w:val="auto"/>
          <w:sz w:val="72"/>
          <w:szCs w:val="72"/>
          <w:highlight w:val="none"/>
        </w:rPr>
      </w:pPr>
    </w:p>
    <w:p>
      <w:pPr>
        <w:jc w:val="center"/>
        <w:rPr>
          <w:color w:val="auto"/>
          <w:sz w:val="72"/>
          <w:szCs w:val="72"/>
          <w:highlight w:val="none"/>
        </w:rPr>
      </w:pPr>
      <w:r>
        <w:rPr>
          <w:rFonts w:hint="eastAsia"/>
          <w:color w:val="auto"/>
          <w:sz w:val="72"/>
          <w:szCs w:val="72"/>
          <w:highlight w:val="none"/>
        </w:rPr>
        <w:t>第二部分</w:t>
      </w:r>
    </w:p>
    <w:p>
      <w:pPr>
        <w:jc w:val="center"/>
        <w:rPr>
          <w:color w:val="auto"/>
          <w:sz w:val="72"/>
          <w:szCs w:val="72"/>
          <w:highlight w:val="none"/>
        </w:rPr>
      </w:pPr>
    </w:p>
    <w:p>
      <w:pPr>
        <w:jc w:val="center"/>
        <w:rPr>
          <w:rFonts w:hint="eastAsia"/>
          <w:color w:val="auto"/>
          <w:sz w:val="72"/>
          <w:szCs w:val="72"/>
          <w:highlight w:val="none"/>
        </w:rPr>
      </w:pPr>
      <w:r>
        <w:rPr>
          <w:rFonts w:hint="eastAsia"/>
          <w:color w:val="auto"/>
          <w:sz w:val="72"/>
          <w:szCs w:val="72"/>
          <w:highlight w:val="none"/>
        </w:rPr>
        <w:t>部门决算表</w:t>
      </w:r>
    </w:p>
    <w:p>
      <w:pPr>
        <w:jc w:val="left"/>
        <w:rPr>
          <w:rFonts w:hint="eastAsia"/>
          <w:color w:val="auto"/>
          <w:sz w:val="72"/>
          <w:szCs w:val="72"/>
          <w:highlight w:val="none"/>
        </w:rPr>
      </w:pPr>
      <w:r>
        <w:rPr>
          <w:rFonts w:hint="eastAsia"/>
          <w:color w:val="auto"/>
          <w:sz w:val="72"/>
          <w:szCs w:val="72"/>
          <w:highlight w:val="none"/>
        </w:rPr>
        <w:br w:type="page"/>
      </w:r>
    </w:p>
    <w:p>
      <w:pPr>
        <w:jc w:val="center"/>
        <w:rPr>
          <w:rFonts w:hint="eastAsia"/>
          <w:color w:val="auto"/>
          <w:sz w:val="72"/>
          <w:szCs w:val="72"/>
          <w:highlight w:val="none"/>
        </w:rPr>
        <w:sectPr>
          <w:pgSz w:w="11906" w:h="16838"/>
          <w:pgMar w:top="720" w:right="720" w:bottom="720" w:left="720" w:header="851" w:footer="992" w:gutter="0"/>
          <w:cols w:space="425" w:num="1"/>
          <w:docGrid w:type="lines" w:linePitch="312" w:charSpace="0"/>
        </w:sectPr>
      </w:pPr>
    </w:p>
    <w:p>
      <w:pPr>
        <w:widowControl/>
        <w:jc w:val="left"/>
        <w:rPr>
          <w:rFonts w:ascii="Times New Roman" w:hAnsi="Times New Roman" w:eastAsia="黑体" w:cs="Times New Roman"/>
          <w:bCs/>
          <w:color w:val="auto"/>
          <w:kern w:val="0"/>
          <w:sz w:val="32"/>
          <w:szCs w:val="32"/>
          <w:highlight w:val="none"/>
        </w:rPr>
      </w:pPr>
    </w:p>
    <w:tbl>
      <w:tblPr>
        <w:tblStyle w:val="6"/>
        <w:tblW w:w="140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74"/>
        <w:gridCol w:w="721"/>
        <w:gridCol w:w="2220"/>
        <w:gridCol w:w="3765"/>
        <w:gridCol w:w="721"/>
        <w:gridCol w:w="22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050" w:type="dxa"/>
            <w:gridSpan w:val="6"/>
            <w:tcBorders>
              <w:top w:val="nil"/>
              <w:left w:val="nil"/>
              <w:bottom w:val="nil"/>
              <w:right w:val="single" w:color="808080" w:sz="4" w:space="0"/>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nil"/>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nil"/>
              <w:bottom w:val="single" w:color="80808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部门：湖南省怀化生态环境监测中心</w:t>
            </w: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2021年度</w:t>
            </w: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0" w:type="auto"/>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收入</w:t>
            </w:r>
          </w:p>
        </w:tc>
        <w:tc>
          <w:tcPr>
            <w:tcW w:w="0" w:type="auto"/>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8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867.70 </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三、国有资本经营预算财政拨款收入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四、上级补助收入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五、事业收入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六、经营收入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七、附属单位上缴收入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八、其他收入</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8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165.52 </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92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69.13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92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26.74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92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1,785.11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92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192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8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1,033.21 </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92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1,909.56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使用非财政拨款结余</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8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436.71 </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结余分配</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192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0.43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年初结转和结余</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8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460.88 </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年末结转和结余</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92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20.81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896"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921"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8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1,930.81 </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192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1,930.81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color w:val="auto"/>
          <w:kern w:val="0"/>
          <w:sz w:val="32"/>
          <w:szCs w:val="32"/>
          <w:highlight w:val="none"/>
        </w:rPr>
      </w:pPr>
    </w:p>
    <w:p>
      <w:pPr>
        <w:widowControl/>
        <w:jc w:val="left"/>
        <w:rPr>
          <w:rFonts w:ascii="宋体" w:eastAsia="宋体" w:cs="宋体"/>
          <w:color w:val="auto"/>
          <w:kern w:val="0"/>
          <w:sz w:val="24"/>
          <w:szCs w:val="24"/>
          <w:highlight w:val="none"/>
        </w:rPr>
      </w:pPr>
      <w:bookmarkStart w:id="0" w:name="RANGE!A1:I22"/>
      <w:bookmarkEnd w:id="0"/>
    </w:p>
    <w:p>
      <w:pPr>
        <w:autoSpaceDE w:val="0"/>
        <w:autoSpaceDN w:val="0"/>
        <w:adjustRightInd w:val="0"/>
        <w:ind w:left="315" w:leftChars="150"/>
        <w:jc w:val="left"/>
        <w:rPr>
          <w:rFonts w:ascii="宋体" w:eastAsia="宋体" w:cs="宋体"/>
          <w:color w:val="auto"/>
          <w:kern w:val="0"/>
          <w:sz w:val="24"/>
          <w:szCs w:val="24"/>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tbl>
      <w:tblPr>
        <w:tblStyle w:val="6"/>
        <w:tblW w:w="1458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36"/>
        <w:gridCol w:w="222"/>
        <w:gridCol w:w="240"/>
        <w:gridCol w:w="2989"/>
        <w:gridCol w:w="1530"/>
        <w:gridCol w:w="1402"/>
        <w:gridCol w:w="1046"/>
        <w:gridCol w:w="687"/>
        <w:gridCol w:w="750"/>
        <w:gridCol w:w="825"/>
        <w:gridCol w:w="11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582" w:type="dxa"/>
            <w:gridSpan w:val="11"/>
            <w:tcBorders>
              <w:top w:val="nil"/>
              <w:left w:val="nil"/>
              <w:bottom w:val="nil"/>
              <w:right w:val="single" w:color="808080" w:sz="4" w:space="0"/>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36"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989"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30"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0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046"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8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25"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155" w:type="dxa"/>
            <w:tcBorders>
              <w:top w:val="nil"/>
              <w:left w:val="nil"/>
              <w:bottom w:val="nil"/>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736" w:type="dxa"/>
            <w:tcBorders>
              <w:top w:val="nil"/>
              <w:left w:val="nil"/>
              <w:bottom w:val="single" w:color="80808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部门：湖南省怀化生态环境监测中心</w:t>
            </w:r>
          </w:p>
        </w:tc>
        <w:tc>
          <w:tcPr>
            <w:tcW w:w="22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0"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989"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30"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02" w:type="dxa"/>
            <w:tcBorders>
              <w:top w:val="nil"/>
              <w:left w:val="nil"/>
              <w:bottom w:val="single" w:color="80808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1046"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87"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750"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25"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155" w:type="dxa"/>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87"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53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140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财政拨款收入</w:t>
            </w:r>
          </w:p>
        </w:tc>
        <w:tc>
          <w:tcPr>
            <w:tcW w:w="104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68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事业收入</w:t>
            </w:r>
          </w:p>
        </w:tc>
        <w:tc>
          <w:tcPr>
            <w:tcW w:w="7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经营收入</w:t>
            </w:r>
          </w:p>
        </w:tc>
        <w:tc>
          <w:tcPr>
            <w:tcW w:w="82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附属单位上缴收入</w:t>
            </w:r>
          </w:p>
        </w:tc>
        <w:tc>
          <w:tcPr>
            <w:tcW w:w="115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2989"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53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0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989"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53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0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989"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53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0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8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7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5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87"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53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0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4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687"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75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2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5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187"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1,033.21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867.70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165.52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69.13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37.56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69.13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37.56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36.00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36.00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2080506</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2080599</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其他行政事业单位养老支出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31.57 </w:t>
            </w:r>
          </w:p>
        </w:tc>
        <w:tc>
          <w:tcPr>
            <w:tcW w:w="140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18.97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18.97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18.97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18.97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18.97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18.97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918.11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785.17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132.95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421.88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344.08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77.80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421.88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344.08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77.80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21102</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环境监测与监察</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363.83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308.69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55.14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2110299</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其他环境监测与监察支出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363.83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308.69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55.14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21103</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污染防治</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17.40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17.40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2110307</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土壤</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17.40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17.40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21111</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污染减排</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115.00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115.00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2111101</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生态环境监测与信息</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115.00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115.00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26.00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26.00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26.00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26.00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26.00 </w:t>
            </w: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1.00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22999</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1.00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9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2299999</w:t>
            </w:r>
          </w:p>
        </w:tc>
        <w:tc>
          <w:tcPr>
            <w:tcW w:w="298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40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0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6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7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15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582" w:type="dxa"/>
            <w:gridSpan w:val="11"/>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注：本表反映部门本年度取得的各项收入情况。</w:t>
            </w:r>
          </w:p>
        </w:tc>
      </w:tr>
    </w:tbl>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tbl>
      <w:tblPr>
        <w:tblStyle w:val="6"/>
        <w:tblW w:w="14510" w:type="dxa"/>
        <w:tblInd w:w="6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94"/>
        <w:gridCol w:w="222"/>
        <w:gridCol w:w="222"/>
        <w:gridCol w:w="3616"/>
        <w:gridCol w:w="1527"/>
        <w:gridCol w:w="1426"/>
        <w:gridCol w:w="1290"/>
        <w:gridCol w:w="857"/>
        <w:gridCol w:w="846"/>
        <w:gridCol w:w="13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4510" w:type="dxa"/>
            <w:gridSpan w:val="10"/>
            <w:tcBorders>
              <w:top w:val="nil"/>
              <w:left w:val="nil"/>
              <w:bottom w:val="nil"/>
              <w:right w:val="single" w:color="808080" w:sz="4" w:space="0"/>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194"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3616"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26"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90"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5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46"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10" w:type="dxa"/>
            <w:tcBorders>
              <w:top w:val="nil"/>
              <w:left w:val="nil"/>
              <w:bottom w:val="nil"/>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194" w:type="dxa"/>
            <w:tcBorders>
              <w:top w:val="nil"/>
              <w:left w:val="nil"/>
              <w:bottom w:val="single" w:color="80808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部门：湖南省怀化生态环境监测中心</w:t>
            </w:r>
          </w:p>
        </w:tc>
        <w:tc>
          <w:tcPr>
            <w:tcW w:w="22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3616"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27" w:type="dxa"/>
            <w:tcBorders>
              <w:top w:val="nil"/>
              <w:left w:val="nil"/>
              <w:bottom w:val="single" w:color="80808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1426"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290"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57"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156" w:type="dxa"/>
            <w:gridSpan w:val="2"/>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54"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52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42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29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85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上缴上级支出</w:t>
            </w:r>
          </w:p>
        </w:tc>
        <w:tc>
          <w:tcPr>
            <w:tcW w:w="84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经营支出</w:t>
            </w:r>
          </w:p>
        </w:tc>
        <w:tc>
          <w:tcPr>
            <w:tcW w:w="131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361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52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9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1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3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1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52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9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1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1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52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2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9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1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254"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527"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2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9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57"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4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1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254"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1,909.56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864.70 </w:t>
            </w: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1,044.86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69.13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69.13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69.13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69.13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36.00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36.00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2080506</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其他行政事业单位养老支出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31.57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31.57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26.74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26.74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26.74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26.74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26.74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26.74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1,785.11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740.81 </w:t>
            </w: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1,044.30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740.81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740.81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740.81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740.81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21102</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环境监测与监察</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456.77 </w:t>
            </w:r>
          </w:p>
        </w:tc>
        <w:tc>
          <w:tcPr>
            <w:tcW w:w="142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456.77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2110299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其他环境监测与监察支出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456.77 </w:t>
            </w:r>
          </w:p>
        </w:tc>
        <w:tc>
          <w:tcPr>
            <w:tcW w:w="142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456.77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21103</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污染防治</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13.79 </w:t>
            </w:r>
          </w:p>
        </w:tc>
        <w:tc>
          <w:tcPr>
            <w:tcW w:w="142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13.79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2110307</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土壤</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13.79 </w:t>
            </w:r>
          </w:p>
        </w:tc>
        <w:tc>
          <w:tcPr>
            <w:tcW w:w="142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13.79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21111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污染减排</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573.74 </w:t>
            </w:r>
          </w:p>
        </w:tc>
        <w:tc>
          <w:tcPr>
            <w:tcW w:w="142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573.74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2111101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生态环境监测与信息</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573.74 </w:t>
            </w:r>
          </w:p>
        </w:tc>
        <w:tc>
          <w:tcPr>
            <w:tcW w:w="142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573.74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26.00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26.00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26.00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26.00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26.00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26.00 </w:t>
            </w:r>
          </w:p>
        </w:tc>
        <w:tc>
          <w:tcPr>
            <w:tcW w:w="129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2.58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2.02 </w:t>
            </w: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0.57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22999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2.58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2.02 </w:t>
            </w: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0.57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63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2299999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5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2.58 </w:t>
            </w:r>
          </w:p>
        </w:tc>
        <w:tc>
          <w:tcPr>
            <w:tcW w:w="14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 </w:t>
            </w:r>
          </w:p>
        </w:tc>
        <w:tc>
          <w:tcPr>
            <w:tcW w:w="129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0.57 </w:t>
            </w:r>
          </w:p>
        </w:tc>
        <w:tc>
          <w:tcPr>
            <w:tcW w:w="85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8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31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510" w:type="dxa"/>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注：本表反映部门本年度各项支出情况。</w:t>
            </w:r>
          </w:p>
        </w:tc>
      </w:tr>
    </w:tbl>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tbl>
      <w:tblPr>
        <w:tblStyle w:val="6"/>
        <w:tblW w:w="152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52"/>
        <w:gridCol w:w="700"/>
        <w:gridCol w:w="1392"/>
        <w:gridCol w:w="3383"/>
        <w:gridCol w:w="817"/>
        <w:gridCol w:w="1553"/>
        <w:gridCol w:w="1425"/>
        <w:gridCol w:w="885"/>
        <w:gridCol w:w="16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5219" w:type="dxa"/>
            <w:gridSpan w:val="9"/>
            <w:tcBorders>
              <w:top w:val="nil"/>
              <w:left w:val="nil"/>
              <w:bottom w:val="nil"/>
              <w:right w:val="single" w:color="808080" w:sz="4" w:space="0"/>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700"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39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3383"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1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553"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25"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612" w:type="dxa"/>
            <w:tcBorders>
              <w:top w:val="nil"/>
              <w:left w:val="nil"/>
              <w:bottom w:val="nil"/>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152" w:type="dxa"/>
            <w:gridSpan w:val="2"/>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部门：湖南省怀化生态环境监测中心</w:t>
            </w:r>
          </w:p>
        </w:tc>
        <w:tc>
          <w:tcPr>
            <w:tcW w:w="139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3383" w:type="dxa"/>
            <w:tcBorders>
              <w:top w:val="nil"/>
              <w:left w:val="nil"/>
              <w:bottom w:val="single" w:color="808080" w:sz="4" w:space="0"/>
              <w:right w:val="nil"/>
            </w:tcBorders>
            <w:shd w:val="clear" w:color="auto" w:fill="auto"/>
            <w:noWrap/>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2021年度</w:t>
            </w:r>
          </w:p>
        </w:tc>
        <w:tc>
          <w:tcPr>
            <w:tcW w:w="817" w:type="dxa"/>
            <w:tcBorders>
              <w:top w:val="nil"/>
              <w:left w:val="nil"/>
              <w:bottom w:val="single" w:color="80808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553"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25"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497" w:type="dxa"/>
            <w:gridSpan w:val="2"/>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ind w:firstLine="660" w:firstLineChars="30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544"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     入</w:t>
            </w:r>
          </w:p>
        </w:tc>
        <w:tc>
          <w:tcPr>
            <w:tcW w:w="9675" w:type="dxa"/>
            <w:gridSpan w:val="6"/>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452"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70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139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3383"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81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1553"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42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一般公共预算财政拨款</w:t>
            </w:r>
          </w:p>
        </w:tc>
        <w:tc>
          <w:tcPr>
            <w:tcW w:w="88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政府性基金预算财政拨款</w:t>
            </w:r>
          </w:p>
        </w:tc>
        <w:tc>
          <w:tcPr>
            <w:tcW w:w="161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452" w:type="dxa"/>
            <w:vMerge w:val="continue"/>
            <w:tcBorders>
              <w:top w:val="nil"/>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70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9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383" w:type="dxa"/>
            <w:vMerge w:val="continue"/>
            <w:tcBorders>
              <w:top w:val="nil"/>
              <w:left w:val="nil"/>
              <w:bottom w:val="single" w:color="000000" w:sz="4" w:space="0"/>
              <w:right w:val="single" w:color="000000" w:sz="4" w:space="0"/>
            </w:tcBorders>
            <w:shd w:val="clear" w:color="auto" w:fill="auto"/>
            <w:vAlign w:val="bottom"/>
          </w:tcPr>
          <w:p>
            <w:pPr>
              <w:jc w:val="both"/>
              <w:rPr>
                <w:rFonts w:hint="eastAsia" w:ascii="宋体" w:hAnsi="宋体" w:eastAsia="宋体" w:cs="宋体"/>
                <w:i w:val="0"/>
                <w:iCs w:val="0"/>
                <w:color w:val="000000"/>
                <w:sz w:val="20"/>
                <w:szCs w:val="20"/>
                <w:u w:val="none"/>
              </w:rPr>
            </w:pPr>
          </w:p>
        </w:tc>
        <w:tc>
          <w:tcPr>
            <w:tcW w:w="81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53"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4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1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700"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3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383" w:type="dxa"/>
            <w:tcBorders>
              <w:top w:val="nil"/>
              <w:left w:val="nil"/>
              <w:bottom w:val="single" w:color="000000" w:sz="4" w:space="0"/>
              <w:right w:val="single" w:color="000000" w:sz="4" w:space="0"/>
            </w:tcBorders>
            <w:shd w:val="clear" w:color="auto" w:fill="auto"/>
            <w:noWrap/>
            <w:vAlign w:val="bottom"/>
          </w:tcPr>
          <w:p>
            <w:pPr>
              <w:keepNext w:val="0"/>
              <w:keepLines w:val="0"/>
              <w:widowControl/>
              <w:suppressLineNumbers w:val="0"/>
              <w:jc w:val="both"/>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817"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55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867.70 </w:t>
            </w: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三、国有资本经营财政拨款</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55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37.56 </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37.56 </w:t>
            </w: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55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18.97 </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18.97 </w:t>
            </w: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55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1,223.22 </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1,223.22 </w:t>
            </w: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55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26.00 </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26.00 </w:t>
            </w: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3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867.70 </w:t>
            </w: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155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1,305.75 </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1,305.75 </w:t>
            </w: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年初财政拨款结转和结余</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3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458.86 </w:t>
            </w: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年末财政拨款结转和结余</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55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20.81 </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20.81 </w:t>
            </w: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一般公共预算财政拨款</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3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458.86 </w:t>
            </w:r>
          </w:p>
        </w:tc>
        <w:tc>
          <w:tcPr>
            <w:tcW w:w="338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政府性基金预算财政拨款</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国有资本经营预算财政拨款</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39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38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553"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425"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88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3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1,326.56 </w:t>
            </w:r>
          </w:p>
        </w:tc>
        <w:tc>
          <w:tcPr>
            <w:tcW w:w="33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8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155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1,326.56 </w:t>
            </w:r>
          </w:p>
        </w:tc>
        <w:tc>
          <w:tcPr>
            <w:tcW w:w="14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1,326.56 </w:t>
            </w:r>
          </w:p>
        </w:tc>
        <w:tc>
          <w:tcPr>
            <w:tcW w:w="88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c>
          <w:tcPr>
            <w:tcW w:w="1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607"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注：本表反映部门本年度一般公共预算财政拨款、政府性基金预算财政拨款和国有资本经营预算财政拨款的总收支和年末结转结余情况。</w:t>
            </w:r>
          </w:p>
        </w:tc>
        <w:tc>
          <w:tcPr>
            <w:tcW w:w="161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20"/>
                <w:szCs w:val="20"/>
                <w:u w:val="none"/>
              </w:rPr>
            </w:pPr>
          </w:p>
        </w:tc>
      </w:tr>
    </w:tbl>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tbl>
      <w:tblPr>
        <w:tblStyle w:val="6"/>
        <w:tblW w:w="13815" w:type="dxa"/>
        <w:tblInd w:w="79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37"/>
        <w:gridCol w:w="222"/>
        <w:gridCol w:w="222"/>
        <w:gridCol w:w="3616"/>
        <w:gridCol w:w="2796"/>
        <w:gridCol w:w="2070"/>
        <w:gridCol w:w="18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3815" w:type="dxa"/>
            <w:gridSpan w:val="7"/>
            <w:tcBorders>
              <w:top w:val="nil"/>
              <w:left w:val="nil"/>
              <w:bottom w:val="nil"/>
              <w:right w:val="single" w:color="808080" w:sz="4" w:space="0"/>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3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2"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3616"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796"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070"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852" w:type="dxa"/>
            <w:tcBorders>
              <w:top w:val="nil"/>
              <w:left w:val="nil"/>
              <w:bottom w:val="nil"/>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37" w:type="dxa"/>
            <w:tcBorders>
              <w:top w:val="nil"/>
              <w:left w:val="nil"/>
              <w:bottom w:val="single" w:color="80808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部门：湖南省怀化生态环境监测中心</w:t>
            </w:r>
          </w:p>
        </w:tc>
        <w:tc>
          <w:tcPr>
            <w:tcW w:w="22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2"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3616" w:type="dxa"/>
            <w:tcBorders>
              <w:top w:val="nil"/>
              <w:left w:val="nil"/>
              <w:bottom w:val="single" w:color="80808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2021年度</w:t>
            </w:r>
          </w:p>
        </w:tc>
        <w:tc>
          <w:tcPr>
            <w:tcW w:w="2796"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070"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852" w:type="dxa"/>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97"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6718"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361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279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207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85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481"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1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79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7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5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1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79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07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5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97"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85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097" w:type="dxa"/>
            <w:gridSpan w:val="4"/>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1,305.75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426.29 </w:t>
            </w:r>
          </w:p>
        </w:tc>
        <w:tc>
          <w:tcPr>
            <w:tcW w:w="185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879.45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37.56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37.56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37.56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37.56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36.00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36.00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2080506</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1.56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1.56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18.97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18.97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21011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18.97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18.97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18.97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18.97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1,223.22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343.76 </w:t>
            </w:r>
          </w:p>
        </w:tc>
        <w:tc>
          <w:tcPr>
            <w:tcW w:w="185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879.45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环境保护管理事务</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343.76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343.76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2110101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343.76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343.76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21102</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环境监测与监察</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291.92 </w:t>
            </w:r>
          </w:p>
        </w:tc>
        <w:tc>
          <w:tcPr>
            <w:tcW w:w="2070"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85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291.92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2110299</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其他环境监测与监察支出</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291.92 </w:t>
            </w:r>
          </w:p>
        </w:tc>
        <w:tc>
          <w:tcPr>
            <w:tcW w:w="2070"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85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291.92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21103</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污染防治</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13.79 </w:t>
            </w:r>
          </w:p>
        </w:tc>
        <w:tc>
          <w:tcPr>
            <w:tcW w:w="2070"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85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13.79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2110307</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土壤</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13.79 </w:t>
            </w:r>
          </w:p>
        </w:tc>
        <w:tc>
          <w:tcPr>
            <w:tcW w:w="2070"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85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13.79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21111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污染减排</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573.74 </w:t>
            </w:r>
          </w:p>
        </w:tc>
        <w:tc>
          <w:tcPr>
            <w:tcW w:w="2070"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c>
          <w:tcPr>
            <w:tcW w:w="185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573.74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2111101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生态环境监测与信息</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573.74 </w:t>
            </w:r>
          </w:p>
        </w:tc>
        <w:tc>
          <w:tcPr>
            <w:tcW w:w="2070"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85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573.74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26.00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26.00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26.00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2"/>
                <w:szCs w:val="22"/>
                <w:u w:val="none"/>
                <w:lang w:val="en-US" w:eastAsia="zh-CN" w:bidi="ar"/>
              </w:rPr>
              <w:t xml:space="preserve">26.00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81"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361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279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26.00 </w:t>
            </w:r>
          </w:p>
        </w:tc>
        <w:tc>
          <w:tcPr>
            <w:tcW w:w="20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 xml:space="preserve">26.00 </w:t>
            </w:r>
          </w:p>
        </w:tc>
        <w:tc>
          <w:tcPr>
            <w:tcW w:w="1852" w:type="dxa"/>
            <w:tcBorders>
              <w:top w:val="nil"/>
              <w:left w:val="nil"/>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815"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注：本表反映部门本年度一般公共预算财政拨款支出情况。</w:t>
            </w:r>
          </w:p>
        </w:tc>
      </w:tr>
    </w:tbl>
    <w:p>
      <w:pPr>
        <w:widowControl/>
        <w:jc w:val="center"/>
        <w:rPr>
          <w:rFonts w:ascii="Times New Roman" w:hAnsi="Times New Roman" w:eastAsia="方正小标宋_GBK" w:cs="Times New Roman"/>
          <w:color w:val="auto"/>
          <w:kern w:val="0"/>
          <w:sz w:val="36"/>
          <w:szCs w:val="36"/>
          <w:highlight w:val="none"/>
        </w:rPr>
      </w:pPr>
    </w:p>
    <w:tbl>
      <w:tblPr>
        <w:tblStyle w:val="6"/>
        <w:tblW w:w="15023" w:type="dxa"/>
        <w:tblInd w:w="29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5"/>
        <w:gridCol w:w="2835"/>
        <w:gridCol w:w="1658"/>
        <w:gridCol w:w="1005"/>
        <w:gridCol w:w="2287"/>
        <w:gridCol w:w="960"/>
        <w:gridCol w:w="1017"/>
        <w:gridCol w:w="3054"/>
        <w:gridCol w:w="10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5023" w:type="dxa"/>
            <w:gridSpan w:val="9"/>
            <w:tcBorders>
              <w:top w:val="nil"/>
              <w:left w:val="nil"/>
              <w:bottom w:val="nil"/>
              <w:right w:val="single" w:color="808080" w:sz="4" w:space="0"/>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835"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658"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8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960"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017" w:type="dxa"/>
            <w:tcBorders>
              <w:top w:val="nil"/>
              <w:left w:val="nil"/>
              <w:bottom w:val="nil"/>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076" w:type="dxa"/>
            <w:gridSpan w:val="2"/>
            <w:tcBorders>
              <w:top w:val="nil"/>
              <w:left w:val="nil"/>
              <w:bottom w:val="nil"/>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020" w:type="dxa"/>
            <w:gridSpan w:val="2"/>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部门：湖南省怀化生态环境监测中心</w:t>
            </w:r>
          </w:p>
        </w:tc>
        <w:tc>
          <w:tcPr>
            <w:tcW w:w="1658"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005"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287" w:type="dxa"/>
            <w:tcBorders>
              <w:top w:val="nil"/>
              <w:left w:val="nil"/>
              <w:bottom w:val="single" w:color="80808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60"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017" w:type="dxa"/>
            <w:tcBorders>
              <w:top w:val="nil"/>
              <w:left w:val="nil"/>
              <w:bottom w:val="single" w:color="808080" w:sz="4" w:space="0"/>
              <w:right w:val="nil"/>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076" w:type="dxa"/>
            <w:gridSpan w:val="2"/>
            <w:tcBorders>
              <w:top w:val="nil"/>
              <w:left w:val="nil"/>
              <w:bottom w:val="single" w:color="808080" w:sz="4" w:space="0"/>
              <w:right w:val="single" w:color="80808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67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9345" w:type="dxa"/>
            <w:gridSpan w:val="6"/>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283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65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10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228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96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c>
          <w:tcPr>
            <w:tcW w:w="101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305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02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83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8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6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054"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363.72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57.09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债务利息及费用支出</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基本工资</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139.75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1.64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30701</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津贴补贴</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102.04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印刷费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0.35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30702</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奖金</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30203</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咨询费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伙食补助费</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15.28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手续费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31001</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绩效工资</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0.27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办公设备购置</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41.79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31003</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专用设备购置</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职业年金缴费</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邮电费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0.49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31005</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职工基本医疗保险缴费</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18.77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取暖费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31006</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公务员医疗补助缴费</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物业管理费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31007</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信息网络及软件购置更新</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其他社会保障缴费</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4.60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差旅费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1.07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31008</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物资储备</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40.29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31009</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土地补偿</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31010</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安置补助</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租赁费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31011</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地上附着物和青苗补偿</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5.49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0.24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31012</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拆迁补偿</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离休费</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31013</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退休费</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3.24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31019</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其他交通工具购置</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退职（役）费</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专用材料费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31021</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文物和陈列品购置</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抚恤金</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3.39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被装购置费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31022</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无形资产购置</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生活补助</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0.83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专用燃料费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31099</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救济费</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劳务费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0.51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其他支出</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医疗费补助</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39906</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赠与</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工会经费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17.50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39907</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奖励金</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0.18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16.78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39908</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对民间非营利组织和群众性自治组织补贴</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公务用车运行维护费</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5.89 </w:t>
            </w:r>
          </w:p>
        </w:tc>
        <w:tc>
          <w:tcPr>
            <w:tcW w:w="10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39999</w:t>
            </w:r>
          </w:p>
        </w:tc>
        <w:tc>
          <w:tcPr>
            <w:tcW w:w="305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代缴社会保险费</w:t>
            </w: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其他交通费用</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4.43 </w:t>
            </w:r>
          </w:p>
        </w:tc>
        <w:tc>
          <w:tcPr>
            <w:tcW w:w="1017"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3054"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0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283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 </w:t>
            </w: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税金及附加费用</w:t>
            </w:r>
          </w:p>
        </w:tc>
        <w:tc>
          <w:tcPr>
            <w:tcW w:w="96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17"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3054"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0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5"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283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65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0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22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其他商品和服务支出</w:t>
            </w:r>
          </w:p>
        </w:tc>
        <w:tc>
          <w:tcPr>
            <w:tcW w:w="96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3.17 </w:t>
            </w:r>
          </w:p>
        </w:tc>
        <w:tc>
          <w:tcPr>
            <w:tcW w:w="1017"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3054"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0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020"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人员经费合计</w:t>
            </w:r>
          </w:p>
        </w:tc>
        <w:tc>
          <w:tcPr>
            <w:tcW w:w="165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369.21 </w:t>
            </w:r>
          </w:p>
        </w:tc>
        <w:tc>
          <w:tcPr>
            <w:tcW w:w="8323"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公用经费合计</w:t>
            </w:r>
          </w:p>
        </w:tc>
        <w:tc>
          <w:tcPr>
            <w:tcW w:w="10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57.09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5023" w:type="dxa"/>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注：本表反映部门本年度一般公共预算财政拨款基本支出明细情况。</w:t>
            </w:r>
          </w:p>
        </w:tc>
      </w:tr>
    </w:tbl>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auto"/>
          <w:kern w:val="0"/>
          <w:sz w:val="36"/>
          <w:szCs w:val="36"/>
          <w:highlight w:val="none"/>
        </w:rPr>
      </w:pPr>
    </w:p>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ind w:left="14049" w:leftChars="290" w:hanging="13440" w:hangingChars="64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湖南省怀化生态环境监测中心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w:t>
      </w:r>
      <w:r>
        <w:rPr>
          <w:rFonts w:hint="eastAsia" w:ascii="Times New Roman" w:hAnsi="Times New Roman" w:eastAsia="仿宋_GB2312" w:cs="Times New Roman"/>
          <w:color w:val="000000"/>
          <w:kern w:val="0"/>
          <w:szCs w:val="21"/>
          <w:lang w:val="en-US" w:eastAsia="zh-CN"/>
        </w:rPr>
        <w:t>万</w:t>
      </w:r>
      <w:r>
        <w:rPr>
          <w:rFonts w:ascii="Times New Roman" w:hAnsi="Times New Roman" w:eastAsia="仿宋_GB2312" w:cs="Times New Roman"/>
          <w:color w:val="000000"/>
          <w:kern w:val="0"/>
          <w:szCs w:val="21"/>
        </w:rPr>
        <w:t>元</w:t>
      </w:r>
    </w:p>
    <w:tbl>
      <w:tblPr>
        <w:tblStyle w:val="6"/>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11</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6</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6</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5</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9.13</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5.89</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1220" w:type="dxa"/>
            <w:tcBorders>
              <w:top w:val="nil"/>
              <w:left w:val="nil"/>
              <w:bottom w:val="single" w:color="auto" w:sz="8" w:space="0"/>
              <w:right w:val="nil"/>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5.89</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3.24</w:t>
            </w:r>
          </w:p>
        </w:tc>
      </w:tr>
    </w:tbl>
    <w:p>
      <w:pPr>
        <w:widowControl/>
        <w:ind w:firstLine="480"/>
        <w:jc w:val="center"/>
        <w:rPr>
          <w:rFonts w:hint="eastAsia"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w:t>
      </w:r>
    </w:p>
    <w:p>
      <w:pPr>
        <w:widowControl/>
        <w:ind w:firstLine="1024" w:firstLineChars="427"/>
        <w:jc w:val="both"/>
        <w:rPr>
          <w:rFonts w:ascii="Times New Roman" w:hAnsi="Times New Roman" w:eastAsia="方正小标宋_GBK" w:cs="Times New Roman"/>
          <w:color w:val="auto"/>
          <w:kern w:val="0"/>
          <w:sz w:val="36"/>
          <w:szCs w:val="36"/>
          <w:highlight w:val="none"/>
        </w:rPr>
      </w:pPr>
      <w:r>
        <w:rPr>
          <w:rFonts w:hint="eastAsia" w:ascii="宋体" w:eastAsia="宋体" w:cs="宋体"/>
          <w:kern w:val="0"/>
          <w:sz w:val="24"/>
          <w:szCs w:val="24"/>
        </w:rPr>
        <w:t>决算数是包括当年一般公共预算财政拨款和以前年度结转资金安排的实际支出。</w:t>
      </w:r>
      <w:r>
        <w:rPr>
          <w:rFonts w:ascii="宋体" w:eastAsia="宋体" w:cs="宋体"/>
          <w:kern w:val="0"/>
          <w:sz w:val="24"/>
          <w:szCs w:val="24"/>
        </w:rPr>
        <w:br w:type="page"/>
      </w:r>
    </w:p>
    <w:p>
      <w:pPr>
        <w:widowControl/>
        <w:jc w:val="center"/>
        <w:rPr>
          <w:rFonts w:ascii="Times New Roman" w:hAnsi="Times New Roman" w:eastAsia="方正小标宋_GBK" w:cs="Times New Roman"/>
          <w:color w:val="auto"/>
          <w:kern w:val="0"/>
          <w:sz w:val="36"/>
          <w:szCs w:val="36"/>
          <w:highlight w:val="none"/>
        </w:rPr>
      </w:pPr>
    </w:p>
    <w:p>
      <w:pPr>
        <w:widowControl/>
        <w:ind w:firstLine="3240" w:firstLineChars="900"/>
        <w:jc w:val="both"/>
        <w:rPr>
          <w:rFonts w:ascii="Times New Roman" w:hAnsi="Times New Roman" w:eastAsia="方正小标宋_GBK" w:cs="Times New Roman"/>
          <w:color w:val="auto"/>
          <w:kern w:val="0"/>
          <w:sz w:val="36"/>
          <w:szCs w:val="36"/>
          <w:highlight w:val="none"/>
        </w:rPr>
      </w:pPr>
      <w:r>
        <w:rPr>
          <w:rFonts w:ascii="Times New Roman" w:hAnsi="Times New Roman" w:eastAsia="方正小标宋_GBK" w:cs="Times New Roman"/>
          <w:color w:val="auto"/>
          <w:kern w:val="0"/>
          <w:sz w:val="36"/>
          <w:szCs w:val="36"/>
          <w:highlight w:val="none"/>
        </w:rPr>
        <w:t>政府性基金预算财政拨款收入支出决算表</w:t>
      </w:r>
    </w:p>
    <w:p>
      <w:pPr>
        <w:widowControl/>
        <w:wordWrap w:val="0"/>
        <w:jc w:val="center"/>
        <w:rPr>
          <w:rFonts w:ascii="Times New Roman" w:hAnsi="Times New Roman" w:eastAsia="仿宋_GB2312" w:cs="Times New Roman"/>
          <w:color w:val="auto"/>
          <w:kern w:val="0"/>
          <w:szCs w:val="21"/>
          <w:highlight w:val="none"/>
        </w:rPr>
      </w:pPr>
      <w:r>
        <w:rPr>
          <w:rFonts w:hint="eastAsia" w:ascii="Times New Roman" w:hAnsi="Times New Roman" w:eastAsia="仿宋_GB2312" w:cs="Times New Roman"/>
          <w:color w:val="auto"/>
          <w:kern w:val="0"/>
          <w:szCs w:val="21"/>
          <w:highlight w:val="none"/>
          <w:lang w:val="en-US" w:eastAsia="zh-CN"/>
        </w:rPr>
        <w:t xml:space="preserve">                                                                                                                        </w:t>
      </w:r>
      <w:r>
        <w:rPr>
          <w:rFonts w:ascii="Times New Roman" w:hAnsi="Times New Roman" w:eastAsia="仿宋_GB2312" w:cs="Times New Roman"/>
          <w:color w:val="auto"/>
          <w:kern w:val="0"/>
          <w:szCs w:val="21"/>
          <w:highlight w:val="none"/>
        </w:rPr>
        <w:t>部门：公开08表</w:t>
      </w:r>
    </w:p>
    <w:p>
      <w:pPr>
        <w:widowControl/>
        <w:tabs>
          <w:tab w:val="left" w:pos="699"/>
          <w:tab w:val="right" w:pos="15518"/>
        </w:tabs>
        <w:jc w:val="left"/>
        <w:rPr>
          <w:rFonts w:ascii="Times New Roman" w:hAnsi="Times New Roman" w:eastAsia="仿宋_GB2312" w:cs="Times New Roman"/>
          <w:color w:val="auto"/>
          <w:kern w:val="0"/>
          <w:szCs w:val="21"/>
          <w:highlight w:val="none"/>
        </w:rPr>
      </w:pPr>
      <w:r>
        <w:rPr>
          <w:rFonts w:hint="eastAsia" w:ascii="Times New Roman" w:hAnsi="Times New Roman" w:eastAsia="仿宋_GB2312" w:cs="Times New Roman"/>
          <w:color w:val="auto"/>
          <w:kern w:val="0"/>
          <w:szCs w:val="21"/>
          <w:highlight w:val="none"/>
          <w:lang w:eastAsia="zh-CN"/>
        </w:rPr>
        <w:tab/>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湖南省怀化生态环境监测中心</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auto"/>
          <w:kern w:val="0"/>
          <w:szCs w:val="21"/>
          <w:highlight w:val="none"/>
        </w:rPr>
        <w:t>单位：万元</w:t>
      </w:r>
    </w:p>
    <w:tbl>
      <w:tblPr>
        <w:tblStyle w:val="6"/>
        <w:tblW w:w="140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223"/>
        <w:gridCol w:w="1305"/>
        <w:gridCol w:w="1512"/>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528" w:type="dxa"/>
            <w:gridSpan w:val="2"/>
            <w:shd w:val="clear" w:color="auto" w:fill="auto"/>
            <w:vAlign w:val="center"/>
          </w:tcPr>
          <w:p>
            <w:pPr>
              <w:widowControl/>
              <w:jc w:val="center"/>
              <w:rPr>
                <w:rFonts w:ascii="Times New Roman" w:hAnsi="Times New Roman" w:eastAsia="仿宋_GB2312" w:cs="Times New Roman"/>
                <w:b/>
                <w:color w:val="auto"/>
                <w:kern w:val="0"/>
                <w:szCs w:val="21"/>
                <w:highlight w:val="none"/>
              </w:rPr>
            </w:pPr>
            <w:r>
              <w:rPr>
                <w:rFonts w:ascii="Times New Roman" w:hAnsi="Times New Roman" w:eastAsia="仿宋_GB2312" w:cs="Times New Roman"/>
                <w:b/>
                <w:color w:val="auto"/>
                <w:kern w:val="0"/>
                <w:szCs w:val="21"/>
                <w:highlight w:val="none"/>
              </w:rPr>
              <w:t>项目</w:t>
            </w:r>
          </w:p>
        </w:tc>
        <w:tc>
          <w:tcPr>
            <w:tcW w:w="1512" w:type="dxa"/>
            <w:vMerge w:val="restart"/>
            <w:shd w:val="clear" w:color="auto" w:fill="auto"/>
            <w:vAlign w:val="center"/>
          </w:tcPr>
          <w:p>
            <w:pPr>
              <w:widowControl/>
              <w:jc w:val="center"/>
              <w:rPr>
                <w:rFonts w:ascii="Times New Roman" w:hAnsi="Times New Roman" w:eastAsia="仿宋_GB2312" w:cs="Times New Roman"/>
                <w:b/>
                <w:color w:val="auto"/>
                <w:kern w:val="0"/>
                <w:szCs w:val="21"/>
                <w:highlight w:val="none"/>
              </w:rPr>
            </w:pPr>
            <w:r>
              <w:rPr>
                <w:rFonts w:ascii="Times New Roman" w:hAnsi="Times New Roman" w:eastAsia="仿宋_GB2312" w:cs="Times New Roman"/>
                <w:b/>
                <w:color w:val="auto"/>
                <w:kern w:val="0"/>
                <w:szCs w:val="21"/>
                <w:highlight w:val="none"/>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highlight w:val="none"/>
              </w:rPr>
            </w:pPr>
            <w:r>
              <w:rPr>
                <w:rFonts w:ascii="Times New Roman" w:hAnsi="Times New Roman" w:eastAsia="仿宋_GB2312" w:cs="Times New Roman"/>
                <w:b/>
                <w:color w:val="auto"/>
                <w:kern w:val="0"/>
                <w:szCs w:val="21"/>
                <w:highlight w:val="none"/>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color w:val="auto"/>
                <w:kern w:val="0"/>
                <w:szCs w:val="21"/>
                <w:highlight w:val="none"/>
              </w:rPr>
            </w:pPr>
            <w:r>
              <w:rPr>
                <w:rFonts w:ascii="Times New Roman" w:hAnsi="Times New Roman" w:eastAsia="仿宋_GB2312" w:cs="Times New Roman"/>
                <w:b/>
                <w:color w:val="auto"/>
                <w:kern w:val="0"/>
                <w:szCs w:val="21"/>
                <w:highlight w:val="none"/>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highlight w:val="none"/>
              </w:rPr>
            </w:pPr>
            <w:r>
              <w:rPr>
                <w:rFonts w:ascii="Times New Roman" w:hAnsi="Times New Roman" w:eastAsia="仿宋_GB2312" w:cs="Times New Roman"/>
                <w:b/>
                <w:color w:val="auto"/>
                <w:kern w:val="0"/>
                <w:szCs w:val="21"/>
                <w:highlight w:val="none"/>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23" w:type="dxa"/>
            <w:vMerge w:val="restart"/>
            <w:shd w:val="clear" w:color="auto" w:fill="auto"/>
            <w:vAlign w:val="center"/>
          </w:tcPr>
          <w:p>
            <w:pPr>
              <w:widowControl/>
              <w:jc w:val="center"/>
              <w:rPr>
                <w:rFonts w:ascii="Times New Roman" w:hAnsi="Times New Roman" w:eastAsia="仿宋_GB2312" w:cs="Times New Roman"/>
                <w:b/>
                <w:color w:val="auto"/>
                <w:kern w:val="0"/>
                <w:szCs w:val="21"/>
                <w:highlight w:val="none"/>
              </w:rPr>
            </w:pPr>
            <w:r>
              <w:rPr>
                <w:rFonts w:ascii="Times New Roman" w:hAnsi="Times New Roman" w:eastAsia="仿宋_GB2312" w:cs="Times New Roman"/>
                <w:b/>
                <w:color w:val="auto"/>
                <w:kern w:val="0"/>
                <w:szCs w:val="21"/>
                <w:highlight w:val="none"/>
              </w:rPr>
              <w:t>功能分类科目编码</w:t>
            </w:r>
          </w:p>
        </w:tc>
        <w:tc>
          <w:tcPr>
            <w:tcW w:w="1305" w:type="dxa"/>
            <w:vMerge w:val="restart"/>
            <w:shd w:val="clear" w:color="auto" w:fill="auto"/>
            <w:vAlign w:val="center"/>
          </w:tcPr>
          <w:p>
            <w:pPr>
              <w:widowControl/>
              <w:jc w:val="center"/>
              <w:rPr>
                <w:rFonts w:ascii="Times New Roman" w:hAnsi="Times New Roman" w:eastAsia="仿宋_GB2312" w:cs="Times New Roman"/>
                <w:b/>
                <w:color w:val="auto"/>
                <w:kern w:val="0"/>
                <w:szCs w:val="21"/>
                <w:highlight w:val="none"/>
              </w:rPr>
            </w:pPr>
            <w:r>
              <w:rPr>
                <w:rFonts w:ascii="Times New Roman" w:hAnsi="Times New Roman" w:eastAsia="仿宋_GB2312" w:cs="Times New Roman"/>
                <w:b/>
                <w:color w:val="auto"/>
                <w:kern w:val="0"/>
                <w:szCs w:val="21"/>
                <w:highlight w:val="none"/>
              </w:rPr>
              <w:t>科目名称</w:t>
            </w:r>
          </w:p>
        </w:tc>
        <w:tc>
          <w:tcPr>
            <w:tcW w:w="1512" w:type="dxa"/>
            <w:vMerge w:val="continue"/>
            <w:vAlign w:val="center"/>
          </w:tcPr>
          <w:p>
            <w:pPr>
              <w:widowControl/>
              <w:jc w:val="left"/>
              <w:rPr>
                <w:rFonts w:ascii="Times New Roman" w:hAnsi="Times New Roman" w:eastAsia="仿宋_GB2312" w:cs="Times New Roman"/>
                <w:b/>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b/>
                <w:color w:val="auto"/>
                <w:kern w:val="0"/>
                <w:szCs w:val="21"/>
                <w:highlight w:val="none"/>
              </w:rPr>
            </w:pP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highlight w:val="none"/>
              </w:rPr>
            </w:pPr>
            <w:r>
              <w:rPr>
                <w:rFonts w:ascii="Times New Roman" w:hAnsi="Times New Roman" w:eastAsia="仿宋_GB2312" w:cs="Times New Roman"/>
                <w:b/>
                <w:color w:val="auto"/>
                <w:kern w:val="0"/>
                <w:szCs w:val="21"/>
                <w:highlight w:val="none"/>
              </w:rPr>
              <w:t>小计</w:t>
            </w: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highlight w:val="none"/>
              </w:rPr>
            </w:pPr>
            <w:r>
              <w:rPr>
                <w:rFonts w:ascii="Times New Roman" w:hAnsi="Times New Roman" w:eastAsia="仿宋_GB2312" w:cs="Times New Roman"/>
                <w:b/>
                <w:color w:val="auto"/>
                <w:kern w:val="0"/>
                <w:szCs w:val="21"/>
                <w:highlight w:val="none"/>
              </w:rPr>
              <w:t>基本支出</w:t>
            </w:r>
          </w:p>
        </w:tc>
        <w:tc>
          <w:tcPr>
            <w:tcW w:w="2000" w:type="dxa"/>
            <w:vMerge w:val="restart"/>
            <w:shd w:val="clear" w:color="auto" w:fill="auto"/>
            <w:vAlign w:val="center"/>
          </w:tcPr>
          <w:p>
            <w:pPr>
              <w:widowControl/>
              <w:jc w:val="center"/>
              <w:rPr>
                <w:rFonts w:ascii="Times New Roman" w:hAnsi="Times New Roman" w:eastAsia="仿宋_GB2312" w:cs="Times New Roman"/>
                <w:b/>
                <w:color w:val="auto"/>
                <w:kern w:val="0"/>
                <w:szCs w:val="21"/>
                <w:highlight w:val="none"/>
              </w:rPr>
            </w:pPr>
            <w:r>
              <w:rPr>
                <w:rFonts w:ascii="Times New Roman" w:hAnsi="Times New Roman" w:eastAsia="仿宋_GB2312" w:cs="Times New Roman"/>
                <w:b/>
                <w:color w:val="auto"/>
                <w:kern w:val="0"/>
                <w:szCs w:val="21"/>
                <w:highlight w:val="none"/>
              </w:rPr>
              <w:t>项目支出</w:t>
            </w:r>
          </w:p>
        </w:tc>
        <w:tc>
          <w:tcPr>
            <w:tcW w:w="2000" w:type="dxa"/>
            <w:vMerge w:val="continue"/>
            <w:vAlign w:val="center"/>
          </w:tcPr>
          <w:p>
            <w:pPr>
              <w:widowControl/>
              <w:jc w:val="left"/>
              <w:rPr>
                <w:rFonts w:ascii="Times New Roman" w:hAnsi="Times New Roman" w:eastAsia="仿宋_GB2312" w:cs="Times New Roman"/>
                <w:b/>
                <w:color w:val="auto"/>
                <w:kern w:val="0"/>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23"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1305"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1512"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color w:val="auto"/>
                <w:kern w:val="0"/>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23"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1305"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1512"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color w:val="auto"/>
                <w:kern w:val="0"/>
                <w:szCs w:val="21"/>
                <w:highlight w:val="none"/>
              </w:rPr>
            </w:pPr>
          </w:p>
        </w:tc>
        <w:tc>
          <w:tcPr>
            <w:tcW w:w="2000" w:type="dxa"/>
            <w:vMerge w:val="continue"/>
            <w:vAlign w:val="center"/>
          </w:tcPr>
          <w:p>
            <w:pPr>
              <w:widowControl/>
              <w:jc w:val="left"/>
              <w:rPr>
                <w:rFonts w:ascii="Times New Roman" w:hAnsi="Times New Roman" w:eastAsia="仿宋_GB2312" w:cs="Times New Roman"/>
                <w:color w:val="auto"/>
                <w:kern w:val="0"/>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528" w:type="dxa"/>
            <w:gridSpan w:val="2"/>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栏次</w:t>
            </w:r>
          </w:p>
        </w:tc>
        <w:tc>
          <w:tcPr>
            <w:tcW w:w="1512"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1</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2</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3</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4</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5</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528" w:type="dxa"/>
            <w:gridSpan w:val="2"/>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合计</w:t>
            </w:r>
          </w:p>
        </w:tc>
        <w:tc>
          <w:tcPr>
            <w:tcW w:w="1512"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23"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305"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512"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23"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305"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512"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23"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305"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512"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23"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305"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512"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23"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305"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512"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223" w:type="dxa"/>
            <w:shd w:val="clear" w:color="auto" w:fill="auto"/>
            <w:vAlign w:val="center"/>
          </w:tcPr>
          <w:p>
            <w:pPr>
              <w:widowControl/>
              <w:jc w:val="center"/>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305"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1512"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c>
          <w:tcPr>
            <w:tcW w:w="2000" w:type="dxa"/>
            <w:shd w:val="clear" w:color="auto" w:fill="auto"/>
            <w:vAlign w:val="center"/>
          </w:tcPr>
          <w:p>
            <w:pPr>
              <w:widowControl/>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　</w:t>
            </w:r>
          </w:p>
        </w:tc>
      </w:tr>
    </w:tbl>
    <w:p>
      <w:pPr>
        <w:widowControl/>
        <w:ind w:firstLine="840" w:firstLineChars="400"/>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注：本表反映部门本年度政府性基金预算财政拨款收入、支出及结转和结余情况</w:t>
      </w:r>
    </w:p>
    <w:p>
      <w:pPr>
        <w:widowControl/>
        <w:ind w:firstLine="840" w:firstLineChars="400"/>
        <w:jc w:val="left"/>
        <w:rPr>
          <w:rFonts w:ascii="Times New Roman" w:hAnsi="Times New Roman" w:eastAsia="仿宋_GB2312" w:cs="Times New Roman"/>
          <w:color w:val="auto"/>
          <w:kern w:val="0"/>
          <w:szCs w:val="21"/>
          <w:highlight w:val="none"/>
        </w:rPr>
      </w:pPr>
      <w:r>
        <w:rPr>
          <w:rFonts w:ascii="Times New Roman" w:hAnsi="Times New Roman" w:eastAsia="仿宋_GB2312" w:cs="Times New Roman"/>
          <w:color w:val="auto"/>
          <w:kern w:val="0"/>
          <w:szCs w:val="21"/>
          <w:highlight w:val="none"/>
        </w:rPr>
        <w:t>(</w:t>
      </w:r>
      <w:r>
        <w:rPr>
          <w:rFonts w:hint="eastAsia" w:ascii="Times New Roman" w:hAnsi="Times New Roman" w:eastAsia="仿宋_GB2312" w:cs="Times New Roman"/>
          <w:color w:val="auto"/>
          <w:kern w:val="0"/>
          <w:szCs w:val="21"/>
          <w:highlight w:val="none"/>
          <w:lang w:val="en-US" w:eastAsia="zh-CN"/>
        </w:rPr>
        <w:t>本</w:t>
      </w:r>
      <w:r>
        <w:rPr>
          <w:rFonts w:hint="eastAsia" w:ascii="Times New Roman" w:hAnsi="Times New Roman" w:eastAsia="仿宋_GB2312" w:cs="Times New Roman"/>
          <w:color w:val="auto"/>
          <w:kern w:val="0"/>
          <w:szCs w:val="21"/>
          <w:highlight w:val="none"/>
        </w:rPr>
        <w:t>单位没有政府性基金收入，也没有使用政府性基金安排的支出，故本表无数据</w:t>
      </w:r>
      <w:r>
        <w:rPr>
          <w:rFonts w:ascii="Times New Roman" w:hAnsi="Times New Roman" w:eastAsia="仿宋_GB2312" w:cs="Times New Roman"/>
          <w:color w:val="auto"/>
          <w:kern w:val="0"/>
          <w:szCs w:val="21"/>
          <w:highlight w:val="none"/>
        </w:rPr>
        <w:t>)。</w:t>
      </w:r>
    </w:p>
    <w:p>
      <w:pPr>
        <w:widowControl/>
        <w:jc w:val="left"/>
        <w:rPr>
          <w:rFonts w:ascii="黑体" w:hAnsi="黑体" w:eastAsia="黑体"/>
          <w:color w:val="auto"/>
          <w:szCs w:val="21"/>
          <w:highlight w:val="none"/>
        </w:rPr>
      </w:pPr>
      <w:r>
        <w:rPr>
          <w:rFonts w:ascii="黑体" w:hAnsi="黑体" w:eastAsia="黑体"/>
          <w:color w:val="auto"/>
          <w:szCs w:val="21"/>
          <w:highlight w:val="none"/>
        </w:rPr>
        <w:br w:type="page"/>
      </w:r>
    </w:p>
    <w:tbl>
      <w:tblPr>
        <w:tblStyle w:val="6"/>
        <w:tblW w:w="13440" w:type="dxa"/>
        <w:tblInd w:w="843" w:type="dxa"/>
        <w:tblLayout w:type="autofit"/>
        <w:tblCellMar>
          <w:top w:w="0" w:type="dxa"/>
          <w:left w:w="108" w:type="dxa"/>
          <w:bottom w:w="0" w:type="dxa"/>
          <w:right w:w="108" w:type="dxa"/>
        </w:tblCellMar>
      </w:tblPr>
      <w:tblGrid>
        <w:gridCol w:w="310"/>
        <w:gridCol w:w="1580"/>
        <w:gridCol w:w="69"/>
        <w:gridCol w:w="3074"/>
        <w:gridCol w:w="277"/>
        <w:gridCol w:w="2190"/>
        <w:gridCol w:w="430"/>
        <w:gridCol w:w="2285"/>
        <w:gridCol w:w="3225"/>
      </w:tblGrid>
      <w:tr>
        <w:trPr>
          <w:trHeight w:val="720" w:hRule="atLeast"/>
        </w:trPr>
        <w:tc>
          <w:tcPr>
            <w:tcW w:w="1344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color w:val="auto"/>
                <w:kern w:val="0"/>
                <w:sz w:val="32"/>
                <w:szCs w:val="32"/>
                <w:highlight w:val="none"/>
              </w:rPr>
            </w:pPr>
            <w:r>
              <w:rPr>
                <w:rFonts w:hint="eastAsia" w:ascii="华文中宋" w:hAnsi="华文中宋" w:eastAsia="华文中宋" w:cs="宋体"/>
                <w:color w:val="auto"/>
                <w:kern w:val="0"/>
                <w:sz w:val="32"/>
                <w:szCs w:val="32"/>
                <w:highlight w:val="none"/>
              </w:rPr>
              <w:t>国有资本经营预算财政拨款支出决算表</w:t>
            </w:r>
          </w:p>
        </w:tc>
      </w:tr>
      <w:tr>
        <w:tblPrEx>
          <w:tblCellMar>
            <w:top w:w="0" w:type="dxa"/>
            <w:left w:w="108" w:type="dxa"/>
            <w:bottom w:w="0" w:type="dxa"/>
            <w:right w:w="108" w:type="dxa"/>
          </w:tblCellMar>
        </w:tblPrEx>
        <w:trPr>
          <w:trHeight w:val="285" w:hRule="atLeast"/>
        </w:trPr>
        <w:tc>
          <w:tcPr>
            <w:tcW w:w="310" w:type="dxa"/>
            <w:tcBorders>
              <w:top w:val="nil"/>
              <w:left w:val="nil"/>
              <w:bottom w:val="nil"/>
              <w:right w:val="nil"/>
            </w:tcBorders>
            <w:shd w:val="clear" w:color="000000" w:fill="FFFFFF"/>
            <w:vAlign w:val="center"/>
          </w:tcPr>
          <w:p>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1580" w:type="dxa"/>
            <w:tcBorders>
              <w:top w:val="nil"/>
              <w:left w:val="nil"/>
              <w:bottom w:val="nil"/>
              <w:right w:val="nil"/>
            </w:tcBorders>
            <w:shd w:val="clear" w:color="000000" w:fill="FFFFFF"/>
            <w:vAlign w:val="center"/>
          </w:tcPr>
          <w:p>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3143" w:type="dxa"/>
            <w:gridSpan w:val="2"/>
            <w:tcBorders>
              <w:top w:val="nil"/>
              <w:left w:val="nil"/>
              <w:bottom w:val="nil"/>
              <w:right w:val="nil"/>
            </w:tcBorders>
            <w:shd w:val="clear" w:color="000000" w:fill="FFFFFF"/>
            <w:vAlign w:val="center"/>
          </w:tcPr>
          <w:p>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77" w:type="dxa"/>
            <w:tcBorders>
              <w:top w:val="nil"/>
              <w:left w:val="nil"/>
              <w:bottom w:val="nil"/>
              <w:right w:val="nil"/>
            </w:tcBorders>
            <w:shd w:val="clear" w:color="000000" w:fill="FFFFFF"/>
            <w:vAlign w:val="center"/>
          </w:tcPr>
          <w:p>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公开09表</w:t>
            </w:r>
          </w:p>
        </w:tc>
      </w:tr>
      <w:tr>
        <w:tblPrEx>
          <w:tblCellMar>
            <w:top w:w="0" w:type="dxa"/>
            <w:left w:w="108" w:type="dxa"/>
            <w:bottom w:w="0" w:type="dxa"/>
            <w:right w:w="108" w:type="dxa"/>
          </w:tblCellMar>
        </w:tblPrEx>
        <w:trPr>
          <w:trHeight w:val="285" w:hRule="atLeast"/>
        </w:trPr>
        <w:tc>
          <w:tcPr>
            <w:tcW w:w="5033"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部门：</w:t>
            </w:r>
            <w:r>
              <w:rPr>
                <w:rFonts w:hint="eastAsia" w:ascii="Times New Roman" w:hAnsi="Times New Roman" w:eastAsia="仿宋_GB2312" w:cs="Times New Roman"/>
                <w:color w:val="000000"/>
                <w:kern w:val="0"/>
                <w:szCs w:val="21"/>
                <w:lang w:eastAsia="zh-CN"/>
              </w:rPr>
              <w:t>湖南省怀化生态环境监测中心</w:t>
            </w:r>
            <w:r>
              <w:rPr>
                <w:rFonts w:hint="eastAsia" w:ascii="宋体" w:hAnsi="宋体" w:eastAsia="宋体" w:cs="宋体"/>
                <w:color w:val="auto"/>
                <w:kern w:val="0"/>
                <w:sz w:val="20"/>
                <w:szCs w:val="20"/>
                <w:highlight w:val="none"/>
              </w:rPr>
              <w:t>　</w:t>
            </w:r>
          </w:p>
          <w:p>
            <w:pPr>
              <w:widowControl/>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77"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单位：万元</w:t>
            </w:r>
          </w:p>
        </w:tc>
      </w:tr>
      <w:tr>
        <w:tblPrEx>
          <w:tblCellMar>
            <w:top w:w="0" w:type="dxa"/>
            <w:left w:w="108" w:type="dxa"/>
            <w:bottom w:w="0" w:type="dxa"/>
            <w:right w:w="108" w:type="dxa"/>
          </w:tblCellMar>
        </w:tblPrEx>
        <w:trPr>
          <w:trHeight w:val="402" w:hRule="atLeast"/>
        </w:trPr>
        <w:tc>
          <w:tcPr>
            <w:tcW w:w="5033"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8407"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本年支出</w:t>
            </w:r>
          </w:p>
        </w:tc>
      </w:tr>
      <w:tr>
        <w:tblPrEx>
          <w:tblCellMar>
            <w:top w:w="0" w:type="dxa"/>
            <w:left w:w="108" w:type="dxa"/>
            <w:bottom w:w="0" w:type="dxa"/>
            <w:right w:w="108" w:type="dxa"/>
          </w:tblCellMar>
        </w:tblPrEx>
        <w:trPr>
          <w:trHeight w:val="402" w:hRule="atLeast"/>
        </w:trPr>
        <w:tc>
          <w:tcPr>
            <w:tcW w:w="195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功能分类科目编码</w:t>
            </w:r>
          </w:p>
        </w:tc>
        <w:tc>
          <w:tcPr>
            <w:tcW w:w="307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科目名称</w:t>
            </w:r>
          </w:p>
        </w:tc>
        <w:tc>
          <w:tcPr>
            <w:tcW w:w="246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合计</w:t>
            </w:r>
          </w:p>
        </w:tc>
        <w:tc>
          <w:tcPr>
            <w:tcW w:w="2715"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基本支出  </w:t>
            </w:r>
          </w:p>
        </w:tc>
        <w:tc>
          <w:tcPr>
            <w:tcW w:w="322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项目支出</w:t>
            </w:r>
          </w:p>
        </w:tc>
      </w:tr>
      <w:tr>
        <w:tblPrEx>
          <w:tblCellMar>
            <w:top w:w="0" w:type="dxa"/>
            <w:left w:w="108" w:type="dxa"/>
            <w:bottom w:w="0" w:type="dxa"/>
            <w:right w:w="108" w:type="dxa"/>
          </w:tblCellMar>
        </w:tblPrEx>
        <w:trPr>
          <w:trHeight w:val="402" w:hRule="atLeast"/>
        </w:trPr>
        <w:tc>
          <w:tcPr>
            <w:tcW w:w="195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highlight w:val="none"/>
              </w:rPr>
            </w:pPr>
          </w:p>
        </w:tc>
        <w:tc>
          <w:tcPr>
            <w:tcW w:w="3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highlight w:val="none"/>
              </w:rPr>
            </w:pPr>
          </w:p>
        </w:tc>
        <w:tc>
          <w:tcPr>
            <w:tcW w:w="246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highlight w:val="none"/>
              </w:rPr>
            </w:pPr>
          </w:p>
        </w:tc>
        <w:tc>
          <w:tcPr>
            <w:tcW w:w="271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highlight w:val="none"/>
              </w:rPr>
            </w:pPr>
          </w:p>
        </w:tc>
        <w:tc>
          <w:tcPr>
            <w:tcW w:w="322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402" w:hRule="atLeast"/>
        </w:trPr>
        <w:tc>
          <w:tcPr>
            <w:tcW w:w="195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highlight w:val="none"/>
              </w:rPr>
            </w:pPr>
          </w:p>
        </w:tc>
        <w:tc>
          <w:tcPr>
            <w:tcW w:w="3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auto"/>
                <w:kern w:val="0"/>
                <w:sz w:val="24"/>
                <w:szCs w:val="24"/>
                <w:highlight w:val="none"/>
              </w:rPr>
            </w:pPr>
          </w:p>
        </w:tc>
        <w:tc>
          <w:tcPr>
            <w:tcW w:w="246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highlight w:val="none"/>
              </w:rPr>
            </w:pPr>
          </w:p>
        </w:tc>
        <w:tc>
          <w:tcPr>
            <w:tcW w:w="271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highlight w:val="none"/>
              </w:rPr>
            </w:pPr>
          </w:p>
        </w:tc>
        <w:tc>
          <w:tcPr>
            <w:tcW w:w="322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402" w:hRule="atLeast"/>
        </w:trPr>
        <w:tc>
          <w:tcPr>
            <w:tcW w:w="5033"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栏次</w:t>
            </w:r>
          </w:p>
        </w:tc>
        <w:tc>
          <w:tcPr>
            <w:tcW w:w="246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271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32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r>
      <w:tr>
        <w:tblPrEx>
          <w:tblCellMar>
            <w:top w:w="0" w:type="dxa"/>
            <w:left w:w="108" w:type="dxa"/>
            <w:bottom w:w="0" w:type="dxa"/>
            <w:right w:w="108" w:type="dxa"/>
          </w:tblCellMar>
        </w:tblPrEx>
        <w:trPr>
          <w:trHeight w:val="402" w:hRule="atLeast"/>
        </w:trPr>
        <w:tc>
          <w:tcPr>
            <w:tcW w:w="5033"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合计</w:t>
            </w:r>
          </w:p>
        </w:tc>
        <w:tc>
          <w:tcPr>
            <w:tcW w:w="246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71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2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402" w:hRule="atLeast"/>
        </w:trPr>
        <w:tc>
          <w:tcPr>
            <w:tcW w:w="189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46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7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22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402" w:hRule="atLeast"/>
        </w:trPr>
        <w:tc>
          <w:tcPr>
            <w:tcW w:w="189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46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7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22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402" w:hRule="atLeast"/>
        </w:trPr>
        <w:tc>
          <w:tcPr>
            <w:tcW w:w="189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246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7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22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402" w:hRule="atLeast"/>
        </w:trPr>
        <w:tc>
          <w:tcPr>
            <w:tcW w:w="189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46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7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22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402" w:hRule="atLeast"/>
        </w:trPr>
        <w:tc>
          <w:tcPr>
            <w:tcW w:w="189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4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46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7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22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402" w:hRule="atLeast"/>
        </w:trPr>
        <w:tc>
          <w:tcPr>
            <w:tcW w:w="189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43"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46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7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225"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720" w:hRule="atLeast"/>
        </w:trPr>
        <w:tc>
          <w:tcPr>
            <w:tcW w:w="1344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注：本表反映部门本年度国有资本经营预算财政拨款支出情况。</w:t>
            </w:r>
          </w:p>
          <w:p>
            <w:pPr>
              <w:widowControl/>
              <w:jc w:val="left"/>
              <w:rPr>
                <w:rFonts w:hint="eastAsia" w:ascii="宋体" w:hAnsi="宋体" w:eastAsia="宋体" w:cs="宋体"/>
                <w:color w:val="auto"/>
                <w:kern w:val="0"/>
                <w:sz w:val="24"/>
                <w:szCs w:val="24"/>
                <w:highlight w:val="none"/>
              </w:rPr>
            </w:pPr>
            <w:r>
              <w:rPr>
                <w:rFonts w:hint="eastAsia" w:ascii="Times New Roman" w:hAnsi="Times New Roman" w:eastAsia="仿宋_GB2312" w:cs="Times New Roman"/>
                <w:color w:val="auto"/>
                <w:kern w:val="0"/>
                <w:szCs w:val="21"/>
                <w:highlight w:val="none"/>
                <w:lang w:val="en-US" w:eastAsia="zh-CN"/>
              </w:rPr>
              <w:t>本</w:t>
            </w:r>
            <w:r>
              <w:rPr>
                <w:rFonts w:hint="eastAsia" w:ascii="Times New Roman" w:hAnsi="Times New Roman" w:eastAsia="仿宋_GB2312" w:cs="Times New Roman"/>
                <w:color w:val="auto"/>
                <w:kern w:val="0"/>
                <w:szCs w:val="21"/>
                <w:highlight w:val="none"/>
              </w:rPr>
              <w:t>单位没有</w:t>
            </w:r>
            <w:r>
              <w:rPr>
                <w:rFonts w:hint="eastAsia" w:ascii="Times New Roman" w:hAnsi="Times New Roman" w:eastAsia="仿宋_GB2312" w:cs="Times New Roman"/>
                <w:color w:val="auto"/>
                <w:kern w:val="0"/>
                <w:szCs w:val="21"/>
                <w:highlight w:val="none"/>
                <w:lang w:val="en-US" w:eastAsia="zh-CN"/>
              </w:rPr>
              <w:t>国有资本经营</w:t>
            </w:r>
            <w:r>
              <w:rPr>
                <w:rFonts w:hint="eastAsia" w:ascii="Times New Roman" w:hAnsi="Times New Roman" w:eastAsia="仿宋_GB2312" w:cs="Times New Roman"/>
                <w:color w:val="auto"/>
                <w:kern w:val="0"/>
                <w:szCs w:val="21"/>
                <w:highlight w:val="none"/>
              </w:rPr>
              <w:t>收入，也没有使用</w:t>
            </w:r>
            <w:r>
              <w:rPr>
                <w:rFonts w:hint="eastAsia" w:ascii="Times New Roman" w:hAnsi="Times New Roman" w:eastAsia="仿宋_GB2312" w:cs="Times New Roman"/>
                <w:color w:val="auto"/>
                <w:kern w:val="0"/>
                <w:szCs w:val="21"/>
                <w:highlight w:val="none"/>
                <w:lang w:val="en-US" w:eastAsia="zh-CN"/>
              </w:rPr>
              <w:t>国有资本经营收入</w:t>
            </w:r>
            <w:r>
              <w:rPr>
                <w:rFonts w:hint="eastAsia" w:ascii="Times New Roman" w:hAnsi="Times New Roman" w:eastAsia="仿宋_GB2312" w:cs="Times New Roman"/>
                <w:color w:val="auto"/>
                <w:kern w:val="0"/>
                <w:szCs w:val="21"/>
                <w:highlight w:val="none"/>
              </w:rPr>
              <w:t>安排的支出，故本表无数据</w:t>
            </w:r>
          </w:p>
          <w:p>
            <w:pPr>
              <w:widowControl/>
              <w:jc w:val="left"/>
              <w:rPr>
                <w:rFonts w:hint="eastAsia" w:ascii="宋体" w:hAnsi="宋体" w:eastAsia="宋体" w:cs="宋体"/>
                <w:color w:val="auto"/>
                <w:kern w:val="0"/>
                <w:sz w:val="24"/>
                <w:szCs w:val="24"/>
                <w:highlight w:val="none"/>
              </w:rPr>
            </w:pPr>
          </w:p>
        </w:tc>
      </w:tr>
    </w:tbl>
    <w:p>
      <w:pPr>
        <w:pStyle w:val="10"/>
        <w:rPr>
          <w:color w:val="auto"/>
          <w:sz w:val="72"/>
          <w:szCs w:val="72"/>
          <w:highlight w:val="none"/>
        </w:rPr>
        <w:sectPr>
          <w:pgSz w:w="16838" w:h="11906" w:orient="landscape"/>
          <w:pgMar w:top="720" w:right="720" w:bottom="720" w:left="720" w:header="851" w:footer="992" w:gutter="0"/>
          <w:cols w:space="425" w:num="1"/>
          <w:docGrid w:type="lines" w:linePitch="312" w:charSpace="0"/>
        </w:sectPr>
      </w:pPr>
    </w:p>
    <w:p>
      <w:pPr>
        <w:pStyle w:val="10"/>
        <w:rPr>
          <w:color w:val="auto"/>
          <w:sz w:val="72"/>
          <w:szCs w:val="72"/>
          <w:highlight w:val="none"/>
        </w:rPr>
      </w:pPr>
    </w:p>
    <w:p>
      <w:pPr>
        <w:pStyle w:val="10"/>
        <w:rPr>
          <w:color w:val="auto"/>
          <w:sz w:val="72"/>
          <w:szCs w:val="72"/>
          <w:highlight w:val="none"/>
        </w:rPr>
      </w:pPr>
    </w:p>
    <w:p>
      <w:pPr>
        <w:pStyle w:val="10"/>
        <w:rPr>
          <w:color w:val="auto"/>
          <w:sz w:val="72"/>
          <w:szCs w:val="72"/>
          <w:highlight w:val="none"/>
        </w:rPr>
      </w:pPr>
    </w:p>
    <w:p>
      <w:pPr>
        <w:pStyle w:val="10"/>
        <w:rPr>
          <w:color w:val="auto"/>
          <w:sz w:val="72"/>
          <w:szCs w:val="72"/>
          <w:highlight w:val="none"/>
        </w:rPr>
      </w:pPr>
    </w:p>
    <w:p>
      <w:pPr>
        <w:pStyle w:val="10"/>
        <w:jc w:val="center"/>
        <w:rPr>
          <w:color w:val="auto"/>
          <w:sz w:val="72"/>
          <w:szCs w:val="72"/>
          <w:highlight w:val="none"/>
        </w:rPr>
      </w:pPr>
    </w:p>
    <w:p>
      <w:pPr>
        <w:pStyle w:val="10"/>
        <w:jc w:val="center"/>
        <w:rPr>
          <w:color w:val="auto"/>
          <w:sz w:val="72"/>
          <w:szCs w:val="72"/>
          <w:highlight w:val="none"/>
        </w:rPr>
      </w:pPr>
    </w:p>
    <w:p>
      <w:pPr>
        <w:pStyle w:val="10"/>
        <w:jc w:val="center"/>
        <w:rPr>
          <w:color w:val="auto"/>
          <w:sz w:val="72"/>
          <w:szCs w:val="72"/>
          <w:highlight w:val="none"/>
        </w:rPr>
      </w:pPr>
      <w:r>
        <w:rPr>
          <w:rFonts w:hint="eastAsia"/>
          <w:color w:val="auto"/>
          <w:sz w:val="72"/>
          <w:szCs w:val="72"/>
          <w:highlight w:val="none"/>
        </w:rPr>
        <w:t>第三部分</w:t>
      </w:r>
    </w:p>
    <w:p>
      <w:pPr>
        <w:pStyle w:val="10"/>
        <w:jc w:val="center"/>
        <w:rPr>
          <w:color w:val="auto"/>
          <w:sz w:val="70"/>
          <w:szCs w:val="70"/>
          <w:highlight w:val="none"/>
        </w:rPr>
      </w:pPr>
    </w:p>
    <w:p>
      <w:pPr>
        <w:pStyle w:val="10"/>
        <w:jc w:val="center"/>
        <w:rPr>
          <w:color w:val="auto"/>
          <w:sz w:val="70"/>
          <w:szCs w:val="70"/>
          <w:highlight w:val="none"/>
        </w:rPr>
      </w:pPr>
      <w:r>
        <w:rPr>
          <w:color w:val="auto"/>
          <w:sz w:val="70"/>
          <w:szCs w:val="70"/>
          <w:highlight w:val="none"/>
        </w:rPr>
        <w:t>20</w:t>
      </w:r>
      <w:r>
        <w:rPr>
          <w:rFonts w:hint="eastAsia"/>
          <w:color w:val="auto"/>
          <w:sz w:val="70"/>
          <w:szCs w:val="70"/>
          <w:highlight w:val="none"/>
        </w:rPr>
        <w:t>21年度部门决算情况说明</w:t>
      </w:r>
    </w:p>
    <w:p>
      <w:pPr>
        <w:widowControl/>
        <w:jc w:val="left"/>
        <w:rPr>
          <w:rFonts w:ascii="黑体" w:eastAsia="黑体" w:cs="黑体"/>
          <w:color w:val="auto"/>
          <w:kern w:val="0"/>
          <w:sz w:val="70"/>
          <w:szCs w:val="70"/>
          <w:highlight w:val="none"/>
        </w:rPr>
      </w:pPr>
      <w:r>
        <w:rPr>
          <w:color w:val="auto"/>
          <w:sz w:val="70"/>
          <w:szCs w:val="70"/>
          <w:highlight w:val="none"/>
        </w:rPr>
        <w:br w:type="page"/>
      </w:r>
    </w:p>
    <w:p>
      <w:pPr>
        <w:pStyle w:val="10"/>
        <w:rPr>
          <w:rFonts w:asciiTheme="minorEastAsia" w:hAnsiTheme="minorEastAsia" w:eastAsiaTheme="minorEastAsia"/>
          <w:color w:val="auto"/>
          <w:sz w:val="32"/>
          <w:szCs w:val="32"/>
          <w:highlight w:val="none"/>
        </w:rPr>
      </w:pPr>
    </w:p>
    <w:p>
      <w:pPr>
        <w:pStyle w:val="10"/>
        <w:rPr>
          <w:rFonts w:hAnsi="黑体"/>
          <w:b/>
          <w:color w:val="auto"/>
          <w:sz w:val="32"/>
          <w:szCs w:val="32"/>
          <w:highlight w:val="none"/>
        </w:rPr>
      </w:pPr>
      <w:r>
        <w:rPr>
          <w:rFonts w:hint="eastAsia" w:hAnsi="黑体"/>
          <w:b/>
          <w:color w:val="auto"/>
          <w:sz w:val="32"/>
          <w:szCs w:val="32"/>
          <w:highlight w:val="none"/>
        </w:rPr>
        <w:t>一、收入支出决算总体情况说明</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2021年度收</w:t>
      </w:r>
      <w:r>
        <w:rPr>
          <w:rFonts w:hint="eastAsia" w:ascii="Calibri" w:hAnsi="Calibri" w:eastAsia="仿宋_GB2312" w:cs="Times New Roman"/>
          <w:color w:val="auto"/>
          <w:kern w:val="2"/>
          <w:sz w:val="32"/>
          <w:szCs w:val="32"/>
          <w:highlight w:val="none"/>
          <w:lang w:val="en-US" w:eastAsia="zh-CN"/>
        </w:rPr>
        <w:t>入</w:t>
      </w:r>
      <w:r>
        <w:rPr>
          <w:rFonts w:hint="eastAsia" w:ascii="Calibri" w:hAnsi="Calibri" w:eastAsia="仿宋_GB2312" w:cs="Times New Roman"/>
          <w:color w:val="auto"/>
          <w:kern w:val="2"/>
          <w:sz w:val="32"/>
          <w:szCs w:val="32"/>
          <w:highlight w:val="none"/>
        </w:rPr>
        <w:t>总计1930.8</w:t>
      </w:r>
      <w:r>
        <w:rPr>
          <w:rFonts w:hint="eastAsia" w:ascii="Calibri" w:hAnsi="Calibri" w:eastAsia="仿宋_GB2312" w:cs="Times New Roman"/>
          <w:color w:val="auto"/>
          <w:kern w:val="2"/>
          <w:sz w:val="32"/>
          <w:szCs w:val="32"/>
          <w:highlight w:val="none"/>
          <w:lang w:val="en-US" w:eastAsia="zh-CN"/>
        </w:rPr>
        <w:t>1</w:t>
      </w:r>
      <w:r>
        <w:rPr>
          <w:rFonts w:hint="eastAsia" w:ascii="Calibri" w:hAnsi="Calibri" w:eastAsia="仿宋_GB2312" w:cs="Times New Roman"/>
          <w:color w:val="auto"/>
          <w:kern w:val="2"/>
          <w:sz w:val="32"/>
          <w:szCs w:val="32"/>
          <w:highlight w:val="none"/>
        </w:rPr>
        <w:t>万元</w:t>
      </w:r>
      <w:r>
        <w:rPr>
          <w:rFonts w:hint="eastAsia" w:ascii="宋体" w:hAnsi="宋体" w:eastAsia="宋体"/>
          <w:sz w:val="28"/>
          <w:szCs w:val="28"/>
          <w:highlight w:val="none"/>
        </w:rPr>
        <w:t>（</w:t>
      </w:r>
      <w:r>
        <w:rPr>
          <w:rFonts w:hint="eastAsia" w:ascii="Calibri" w:hAnsi="Calibri" w:eastAsia="仿宋_GB2312" w:cs="Times New Roman"/>
          <w:color w:val="auto"/>
          <w:kern w:val="2"/>
          <w:sz w:val="32"/>
          <w:szCs w:val="32"/>
          <w:highlight w:val="none"/>
        </w:rPr>
        <w:t>含年初结转和结余资金</w:t>
      </w:r>
      <w:r>
        <w:rPr>
          <w:rFonts w:hint="eastAsia" w:ascii="Calibri" w:hAnsi="Calibri" w:eastAsia="仿宋_GB2312" w:cs="Times New Roman"/>
          <w:color w:val="auto"/>
          <w:kern w:val="2"/>
          <w:sz w:val="32"/>
          <w:szCs w:val="32"/>
          <w:highlight w:val="none"/>
          <w:lang w:val="en-US" w:eastAsia="zh-CN"/>
        </w:rPr>
        <w:t>897.59</w:t>
      </w:r>
      <w:r>
        <w:rPr>
          <w:rFonts w:hint="eastAsia" w:ascii="Calibri" w:hAnsi="Calibri" w:eastAsia="仿宋_GB2312" w:cs="Times New Roman"/>
          <w:color w:val="auto"/>
          <w:kern w:val="2"/>
          <w:sz w:val="32"/>
          <w:szCs w:val="32"/>
          <w:highlight w:val="none"/>
        </w:rPr>
        <w:t>万元）。与上年相比，增加622.9</w:t>
      </w:r>
      <w:r>
        <w:rPr>
          <w:rFonts w:hint="eastAsia" w:ascii="Calibri" w:hAnsi="Calibri" w:eastAsia="仿宋_GB2312" w:cs="Times New Roman"/>
          <w:color w:val="auto"/>
          <w:kern w:val="2"/>
          <w:sz w:val="32"/>
          <w:szCs w:val="32"/>
          <w:highlight w:val="none"/>
          <w:lang w:eastAsia="zh-CN"/>
        </w:rPr>
        <w:t>8</w:t>
      </w:r>
      <w:r>
        <w:rPr>
          <w:rFonts w:hint="eastAsia" w:ascii="Calibri" w:hAnsi="Calibri" w:eastAsia="仿宋_GB2312" w:cs="Times New Roman"/>
          <w:color w:val="auto"/>
          <w:kern w:val="2"/>
          <w:sz w:val="32"/>
          <w:szCs w:val="32"/>
          <w:highlight w:val="none"/>
        </w:rPr>
        <w:t>万元，增长47.63%，主要是因为项目资金</w:t>
      </w:r>
      <w:r>
        <w:rPr>
          <w:rFonts w:hint="eastAsia" w:ascii="Calibri" w:hAnsi="Calibri" w:eastAsia="仿宋_GB2312" w:cs="Times New Roman"/>
          <w:color w:val="auto"/>
          <w:kern w:val="2"/>
          <w:sz w:val="32"/>
          <w:szCs w:val="32"/>
          <w:highlight w:val="none"/>
          <w:lang w:val="en-US" w:eastAsia="zh-CN"/>
        </w:rPr>
        <w:t>拨款</w:t>
      </w:r>
      <w:r>
        <w:rPr>
          <w:rFonts w:hint="eastAsia" w:ascii="Calibri" w:hAnsi="Calibri" w:eastAsia="仿宋_GB2312" w:cs="Times New Roman"/>
          <w:color w:val="auto"/>
          <w:kern w:val="2"/>
          <w:sz w:val="32"/>
          <w:szCs w:val="32"/>
          <w:highlight w:val="none"/>
        </w:rPr>
        <w:t>增加。</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2021年度</w:t>
      </w:r>
      <w:r>
        <w:rPr>
          <w:rFonts w:hint="eastAsia" w:ascii="Calibri" w:hAnsi="Calibri" w:eastAsia="仿宋_GB2312" w:cs="Times New Roman"/>
          <w:color w:val="auto"/>
          <w:kern w:val="2"/>
          <w:sz w:val="32"/>
          <w:szCs w:val="32"/>
          <w:highlight w:val="none"/>
          <w:lang w:val="en-US" w:eastAsia="zh-CN"/>
        </w:rPr>
        <w:t>支出</w:t>
      </w:r>
      <w:r>
        <w:rPr>
          <w:rFonts w:hint="eastAsia" w:ascii="Calibri" w:hAnsi="Calibri" w:eastAsia="仿宋_GB2312" w:cs="Times New Roman"/>
          <w:color w:val="auto"/>
          <w:kern w:val="2"/>
          <w:sz w:val="32"/>
          <w:szCs w:val="32"/>
          <w:highlight w:val="none"/>
        </w:rPr>
        <w:t>总计1930.8</w:t>
      </w:r>
      <w:r>
        <w:rPr>
          <w:rFonts w:hint="eastAsia" w:ascii="Calibri" w:hAnsi="Calibri" w:eastAsia="仿宋_GB2312" w:cs="Times New Roman"/>
          <w:color w:val="auto"/>
          <w:kern w:val="2"/>
          <w:sz w:val="32"/>
          <w:szCs w:val="32"/>
          <w:highlight w:val="none"/>
          <w:lang w:val="en-US" w:eastAsia="zh-CN"/>
        </w:rPr>
        <w:t>1</w:t>
      </w:r>
      <w:r>
        <w:rPr>
          <w:rFonts w:hint="eastAsia" w:ascii="Calibri" w:hAnsi="Calibri" w:eastAsia="仿宋_GB2312" w:cs="Times New Roman"/>
          <w:color w:val="auto"/>
          <w:kern w:val="2"/>
          <w:sz w:val="32"/>
          <w:szCs w:val="32"/>
          <w:highlight w:val="none"/>
        </w:rPr>
        <w:t>万元（含年</w:t>
      </w:r>
      <w:r>
        <w:rPr>
          <w:rFonts w:hint="eastAsia" w:ascii="Calibri" w:hAnsi="Calibri" w:eastAsia="仿宋_GB2312" w:cs="Times New Roman"/>
          <w:color w:val="auto"/>
          <w:kern w:val="2"/>
          <w:sz w:val="32"/>
          <w:szCs w:val="32"/>
          <w:highlight w:val="none"/>
          <w:lang w:val="en-US" w:eastAsia="zh-CN"/>
        </w:rPr>
        <w:t>末</w:t>
      </w:r>
      <w:r>
        <w:rPr>
          <w:rFonts w:hint="eastAsia" w:ascii="Calibri" w:hAnsi="Calibri" w:eastAsia="仿宋_GB2312" w:cs="Times New Roman"/>
          <w:color w:val="auto"/>
          <w:kern w:val="2"/>
          <w:sz w:val="32"/>
          <w:szCs w:val="32"/>
          <w:highlight w:val="none"/>
        </w:rPr>
        <w:t>结转和结余资金</w:t>
      </w:r>
      <w:r>
        <w:rPr>
          <w:rFonts w:hint="eastAsia" w:ascii="Calibri" w:hAnsi="Calibri" w:eastAsia="仿宋_GB2312" w:cs="Times New Roman"/>
          <w:color w:val="auto"/>
          <w:kern w:val="2"/>
          <w:sz w:val="32"/>
          <w:szCs w:val="32"/>
          <w:highlight w:val="none"/>
          <w:lang w:val="en-US" w:eastAsia="zh-CN"/>
        </w:rPr>
        <w:t>20.81</w:t>
      </w:r>
      <w:r>
        <w:rPr>
          <w:rFonts w:hint="eastAsia" w:ascii="Calibri" w:hAnsi="Calibri" w:eastAsia="仿宋_GB2312" w:cs="Times New Roman"/>
          <w:color w:val="auto"/>
          <w:kern w:val="2"/>
          <w:sz w:val="32"/>
          <w:szCs w:val="32"/>
          <w:highlight w:val="none"/>
        </w:rPr>
        <w:t>万元）。与上年相比，增加622.9</w:t>
      </w:r>
      <w:r>
        <w:rPr>
          <w:rFonts w:hint="eastAsia" w:ascii="Calibri" w:hAnsi="Calibri" w:eastAsia="仿宋_GB2312" w:cs="Times New Roman"/>
          <w:color w:val="auto"/>
          <w:kern w:val="2"/>
          <w:sz w:val="32"/>
          <w:szCs w:val="32"/>
          <w:highlight w:val="none"/>
          <w:lang w:eastAsia="zh-CN"/>
        </w:rPr>
        <w:t>8</w:t>
      </w:r>
      <w:r>
        <w:rPr>
          <w:rFonts w:hint="eastAsia" w:ascii="Calibri" w:hAnsi="Calibri" w:eastAsia="仿宋_GB2312" w:cs="Times New Roman"/>
          <w:color w:val="auto"/>
          <w:kern w:val="2"/>
          <w:sz w:val="32"/>
          <w:szCs w:val="32"/>
          <w:highlight w:val="none"/>
        </w:rPr>
        <w:t>万元，增长47.63%，主要是因为项目资金</w:t>
      </w:r>
      <w:r>
        <w:rPr>
          <w:rFonts w:hint="eastAsia" w:ascii="Calibri" w:hAnsi="Calibri" w:eastAsia="仿宋_GB2312" w:cs="Times New Roman"/>
          <w:color w:val="auto"/>
          <w:kern w:val="2"/>
          <w:sz w:val="32"/>
          <w:szCs w:val="32"/>
          <w:highlight w:val="none"/>
          <w:lang w:val="en-US" w:eastAsia="zh-CN"/>
        </w:rPr>
        <w:t>支出</w:t>
      </w:r>
      <w:r>
        <w:rPr>
          <w:rFonts w:hint="eastAsia" w:ascii="Calibri" w:hAnsi="Calibri" w:eastAsia="仿宋_GB2312" w:cs="Times New Roman"/>
          <w:color w:val="auto"/>
          <w:kern w:val="2"/>
          <w:sz w:val="32"/>
          <w:szCs w:val="32"/>
          <w:highlight w:val="none"/>
        </w:rPr>
        <w:t>增加。</w:t>
      </w:r>
    </w:p>
    <w:p>
      <w:pPr>
        <w:pStyle w:val="10"/>
        <w:ind w:firstLine="640" w:firstLineChars="200"/>
        <w:rPr>
          <w:rFonts w:hAnsi="黑体"/>
          <w:b/>
          <w:color w:val="auto"/>
          <w:sz w:val="32"/>
          <w:szCs w:val="32"/>
          <w:highlight w:val="none"/>
        </w:rPr>
      </w:pPr>
      <w:r>
        <w:rPr>
          <w:rFonts w:hint="eastAsia" w:hAnsi="黑体"/>
          <w:b/>
          <w:color w:val="auto"/>
          <w:sz w:val="32"/>
          <w:szCs w:val="32"/>
          <w:highlight w:val="none"/>
        </w:rPr>
        <w:t>二、收入决算情况说明</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2021年度收入合计1033.21万元（不含年初结转和结余资金），其中：财政拨款收入867.7万元，占83.98%；上级补助收入0万元，占0%；事业收入0万元，占0%；经营收入0万元，占0%；附属单位上缴收入0万元，占0%；其他收入165.51万元，占16.02%。</w:t>
      </w:r>
    </w:p>
    <w:p>
      <w:pPr>
        <w:pStyle w:val="10"/>
        <w:rPr>
          <w:rFonts w:hAnsi="黑体"/>
          <w:b/>
          <w:color w:val="auto"/>
          <w:sz w:val="32"/>
          <w:szCs w:val="32"/>
          <w:highlight w:val="none"/>
        </w:rPr>
      </w:pPr>
      <w:r>
        <w:rPr>
          <w:rFonts w:hint="eastAsia" w:hAnsi="黑体"/>
          <w:b/>
          <w:color w:val="auto"/>
          <w:sz w:val="32"/>
          <w:szCs w:val="32"/>
          <w:highlight w:val="none"/>
        </w:rPr>
        <w:t>三、支出决算情况说明</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2021年度支出合计1909.56万元（不含年</w:t>
      </w:r>
      <w:r>
        <w:rPr>
          <w:rFonts w:hint="eastAsia" w:ascii="Calibri" w:hAnsi="Calibri" w:eastAsia="仿宋_GB2312" w:cs="Times New Roman"/>
          <w:color w:val="auto"/>
          <w:kern w:val="2"/>
          <w:sz w:val="32"/>
          <w:szCs w:val="32"/>
          <w:highlight w:val="none"/>
          <w:lang w:val="en-US" w:eastAsia="zh-CN"/>
        </w:rPr>
        <w:t>末</w:t>
      </w:r>
      <w:r>
        <w:rPr>
          <w:rFonts w:hint="eastAsia" w:ascii="Calibri" w:hAnsi="Calibri" w:eastAsia="仿宋_GB2312" w:cs="Times New Roman"/>
          <w:color w:val="auto"/>
          <w:kern w:val="2"/>
          <w:sz w:val="32"/>
          <w:szCs w:val="32"/>
          <w:highlight w:val="none"/>
        </w:rPr>
        <w:t>结转和结余资金），其中：基本支出864.7万元，占45.28%；项目支出1044.86万元，占54.72%；上缴上级支出0万元，占0%；经营支出0万元，占0%；对附属单位补助支出0万元，占0%。</w:t>
      </w:r>
    </w:p>
    <w:p>
      <w:pPr>
        <w:pStyle w:val="10"/>
        <w:rPr>
          <w:rFonts w:hAnsi="黑体"/>
          <w:b/>
          <w:color w:val="auto"/>
          <w:sz w:val="32"/>
          <w:szCs w:val="32"/>
          <w:highlight w:val="none"/>
        </w:rPr>
      </w:pPr>
      <w:r>
        <w:rPr>
          <w:rFonts w:hint="eastAsia" w:hAnsi="黑体"/>
          <w:b/>
          <w:color w:val="auto"/>
          <w:sz w:val="32"/>
          <w:szCs w:val="32"/>
          <w:highlight w:val="none"/>
        </w:rPr>
        <w:t>四、财政拨款收入支出决算总体情况说明</w:t>
      </w:r>
    </w:p>
    <w:p>
      <w:pPr>
        <w:pStyle w:val="10"/>
        <w:ind w:firstLine="640" w:firstLineChars="200"/>
        <w:rPr>
          <w:rFonts w:hint="eastAsia" w:ascii="Calibri" w:hAnsi="Calibri" w:eastAsia="仿宋_GB2312" w:cs="Times New Roman"/>
          <w:b w:val="0"/>
          <w:bCs w:val="0"/>
          <w:color w:val="auto"/>
          <w:kern w:val="2"/>
          <w:sz w:val="32"/>
          <w:szCs w:val="32"/>
          <w:highlight w:val="none"/>
          <w:lang w:val="en-US" w:eastAsia="zh-CN"/>
        </w:rPr>
      </w:pPr>
      <w:r>
        <w:rPr>
          <w:rFonts w:hint="eastAsia" w:ascii="Calibri" w:hAnsi="Calibri" w:eastAsia="仿宋_GB2312" w:cs="Times New Roman"/>
          <w:color w:val="auto"/>
          <w:kern w:val="2"/>
          <w:sz w:val="32"/>
          <w:szCs w:val="32"/>
          <w:highlight w:val="none"/>
        </w:rPr>
        <w:t>202</w:t>
      </w:r>
      <w:r>
        <w:rPr>
          <w:rFonts w:hint="eastAsia" w:ascii="Calibri" w:hAnsi="Calibri" w:eastAsia="仿宋_GB2312" w:cs="Times New Roman"/>
          <w:color w:val="auto"/>
          <w:kern w:val="2"/>
          <w:sz w:val="32"/>
          <w:szCs w:val="32"/>
          <w:highlight w:val="none"/>
          <w:lang w:val="en-US" w:eastAsia="zh-CN"/>
        </w:rPr>
        <w:t>1</w:t>
      </w:r>
      <w:r>
        <w:rPr>
          <w:rFonts w:hint="eastAsia" w:ascii="Calibri" w:hAnsi="Calibri" w:eastAsia="仿宋_GB2312" w:cs="Times New Roman"/>
          <w:color w:val="auto"/>
          <w:kern w:val="2"/>
          <w:sz w:val="32"/>
          <w:szCs w:val="32"/>
          <w:highlight w:val="none"/>
        </w:rPr>
        <w:t>年度财政拨款收入合计</w:t>
      </w:r>
      <w:r>
        <w:rPr>
          <w:rFonts w:hint="eastAsia" w:ascii="Calibri" w:hAnsi="Calibri" w:eastAsia="仿宋_GB2312" w:cs="Times New Roman"/>
          <w:color w:val="auto"/>
          <w:kern w:val="2"/>
          <w:sz w:val="32"/>
          <w:szCs w:val="32"/>
          <w:highlight w:val="none"/>
          <w:lang w:val="en-US" w:eastAsia="zh-CN"/>
        </w:rPr>
        <w:t>867.7</w:t>
      </w:r>
      <w:r>
        <w:rPr>
          <w:rFonts w:hint="eastAsia" w:ascii="Calibri" w:hAnsi="Calibri" w:eastAsia="仿宋_GB2312" w:cs="Times New Roman"/>
          <w:color w:val="auto"/>
          <w:kern w:val="2"/>
          <w:sz w:val="32"/>
          <w:szCs w:val="32"/>
          <w:highlight w:val="none"/>
        </w:rPr>
        <w:t>万元（不含</w:t>
      </w:r>
      <w:r>
        <w:rPr>
          <w:rFonts w:hint="eastAsia" w:ascii="Calibri" w:hAnsi="Calibri" w:eastAsia="仿宋_GB2312" w:cs="Times New Roman"/>
          <w:color w:val="auto"/>
          <w:kern w:val="2"/>
          <w:sz w:val="32"/>
          <w:szCs w:val="32"/>
          <w:highlight w:val="none"/>
          <w:lang w:val="en-US" w:eastAsia="zh-CN"/>
        </w:rPr>
        <w:t>财政拨款</w:t>
      </w:r>
      <w:r>
        <w:rPr>
          <w:rFonts w:hint="eastAsia" w:ascii="Calibri" w:hAnsi="Calibri" w:eastAsia="仿宋_GB2312" w:cs="Times New Roman"/>
          <w:color w:val="auto"/>
          <w:kern w:val="2"/>
          <w:sz w:val="32"/>
          <w:szCs w:val="32"/>
          <w:highlight w:val="none"/>
        </w:rPr>
        <w:t>年初结转和结余资金），与上年485.75</w:t>
      </w:r>
      <w:r>
        <w:rPr>
          <w:rFonts w:hint="eastAsia" w:ascii="Calibri" w:hAnsi="Calibri" w:eastAsia="仿宋_GB2312" w:cs="Times New Roman"/>
          <w:color w:val="auto"/>
          <w:kern w:val="2"/>
          <w:sz w:val="32"/>
          <w:szCs w:val="32"/>
          <w:highlight w:val="none"/>
          <w:lang w:val="en-US" w:eastAsia="zh-CN"/>
        </w:rPr>
        <w:t>万</w:t>
      </w:r>
      <w:r>
        <w:rPr>
          <w:rFonts w:hint="eastAsia" w:ascii="Calibri" w:hAnsi="Calibri" w:eastAsia="仿宋_GB2312" w:cs="Times New Roman"/>
          <w:color w:val="auto"/>
          <w:kern w:val="2"/>
          <w:sz w:val="32"/>
          <w:szCs w:val="32"/>
          <w:highlight w:val="none"/>
        </w:rPr>
        <w:t>相比，增加</w:t>
      </w:r>
      <w:r>
        <w:rPr>
          <w:rFonts w:hint="eastAsia" w:ascii="Calibri" w:hAnsi="Calibri" w:eastAsia="仿宋_GB2312" w:cs="Times New Roman"/>
          <w:color w:val="auto"/>
          <w:kern w:val="2"/>
          <w:sz w:val="32"/>
          <w:szCs w:val="32"/>
          <w:highlight w:val="none"/>
          <w:lang w:val="en-US" w:eastAsia="zh-CN"/>
        </w:rPr>
        <w:t>381.95</w:t>
      </w:r>
      <w:r>
        <w:rPr>
          <w:rFonts w:hint="eastAsia" w:ascii="Calibri" w:hAnsi="Calibri" w:eastAsia="仿宋_GB2312" w:cs="Times New Roman"/>
          <w:color w:val="auto"/>
          <w:kern w:val="2"/>
          <w:sz w:val="32"/>
          <w:szCs w:val="32"/>
          <w:highlight w:val="none"/>
        </w:rPr>
        <w:t>万元,增长</w:t>
      </w:r>
      <w:r>
        <w:rPr>
          <w:rFonts w:hint="eastAsia" w:ascii="Calibri" w:hAnsi="Calibri" w:eastAsia="仿宋_GB2312" w:cs="Times New Roman"/>
          <w:color w:val="auto"/>
          <w:kern w:val="2"/>
          <w:sz w:val="32"/>
          <w:szCs w:val="32"/>
          <w:highlight w:val="none"/>
          <w:lang w:val="en-US" w:eastAsia="zh-CN"/>
        </w:rPr>
        <w:t>78.63</w:t>
      </w:r>
      <w:r>
        <w:rPr>
          <w:rFonts w:hint="eastAsia" w:ascii="Calibri" w:hAnsi="Calibri" w:eastAsia="仿宋_GB2312" w:cs="Times New Roman"/>
          <w:color w:val="auto"/>
          <w:kern w:val="2"/>
          <w:sz w:val="32"/>
          <w:szCs w:val="32"/>
          <w:highlight w:val="none"/>
        </w:rPr>
        <w:t>%，主要是因为202</w:t>
      </w:r>
      <w:r>
        <w:rPr>
          <w:rFonts w:hint="eastAsia" w:ascii="Calibri" w:hAnsi="Calibri" w:eastAsia="仿宋_GB2312" w:cs="Times New Roman"/>
          <w:color w:val="auto"/>
          <w:kern w:val="2"/>
          <w:sz w:val="32"/>
          <w:szCs w:val="32"/>
          <w:highlight w:val="none"/>
          <w:lang w:eastAsia="zh-CN"/>
        </w:rPr>
        <w:t>0</w:t>
      </w:r>
      <w:r>
        <w:rPr>
          <w:rFonts w:hint="eastAsia" w:ascii="Calibri" w:hAnsi="Calibri" w:eastAsia="仿宋_GB2312" w:cs="Times New Roman"/>
          <w:color w:val="auto"/>
          <w:kern w:val="2"/>
          <w:sz w:val="32"/>
          <w:szCs w:val="32"/>
          <w:highlight w:val="none"/>
        </w:rPr>
        <w:t>年</w:t>
      </w:r>
      <w:r>
        <w:rPr>
          <w:rFonts w:hint="eastAsia" w:ascii="Calibri" w:hAnsi="Calibri" w:eastAsia="仿宋_GB2312" w:cs="Times New Roman"/>
          <w:color w:val="auto"/>
          <w:kern w:val="2"/>
          <w:sz w:val="32"/>
          <w:szCs w:val="32"/>
          <w:highlight w:val="none"/>
          <w:lang w:val="en-US" w:eastAsia="zh-CN"/>
        </w:rPr>
        <w:t>末</w:t>
      </w:r>
      <w:r>
        <w:rPr>
          <w:rFonts w:hint="eastAsia" w:ascii="Calibri" w:hAnsi="Calibri" w:eastAsia="仿宋_GB2312" w:cs="Times New Roman"/>
          <w:color w:val="auto"/>
          <w:kern w:val="2"/>
          <w:sz w:val="32"/>
          <w:szCs w:val="32"/>
          <w:highlight w:val="none"/>
        </w:rPr>
        <w:t>机构上收，</w:t>
      </w:r>
      <w:r>
        <w:rPr>
          <w:rFonts w:hint="eastAsia" w:ascii="Calibri" w:hAnsi="Calibri" w:eastAsia="仿宋_GB2312" w:cs="Times New Roman"/>
          <w:color w:val="auto"/>
          <w:kern w:val="2"/>
          <w:sz w:val="32"/>
          <w:szCs w:val="32"/>
          <w:highlight w:val="none"/>
          <w:lang w:val="en-US" w:eastAsia="zh-CN"/>
        </w:rPr>
        <w:t>2021年</w:t>
      </w:r>
      <w:r>
        <w:rPr>
          <w:rFonts w:hint="eastAsia" w:ascii="Calibri" w:hAnsi="Calibri" w:eastAsia="仿宋_GB2312" w:cs="Times New Roman"/>
          <w:color w:val="auto"/>
          <w:kern w:val="2"/>
          <w:sz w:val="32"/>
          <w:szCs w:val="32"/>
          <w:highlight w:val="none"/>
        </w:rPr>
        <w:t>省级财政拨款收入增加。</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202</w:t>
      </w:r>
      <w:r>
        <w:rPr>
          <w:rFonts w:hint="eastAsia" w:ascii="Calibri" w:hAnsi="Calibri" w:eastAsia="仿宋_GB2312" w:cs="Times New Roman"/>
          <w:color w:val="auto"/>
          <w:kern w:val="2"/>
          <w:sz w:val="32"/>
          <w:szCs w:val="32"/>
          <w:highlight w:val="none"/>
          <w:lang w:val="en-US" w:eastAsia="zh-CN"/>
        </w:rPr>
        <w:t>1</w:t>
      </w:r>
      <w:r>
        <w:rPr>
          <w:rFonts w:hint="eastAsia" w:ascii="Calibri" w:hAnsi="Calibri" w:eastAsia="仿宋_GB2312" w:cs="Times New Roman"/>
          <w:color w:val="auto"/>
          <w:kern w:val="2"/>
          <w:sz w:val="32"/>
          <w:szCs w:val="32"/>
          <w:highlight w:val="none"/>
        </w:rPr>
        <w:t>年度财政拨款支出合计</w:t>
      </w:r>
      <w:r>
        <w:rPr>
          <w:rFonts w:hint="eastAsia" w:ascii="Calibri" w:hAnsi="Calibri" w:eastAsia="仿宋_GB2312" w:cs="Times New Roman"/>
          <w:color w:val="auto"/>
          <w:kern w:val="2"/>
          <w:sz w:val="32"/>
          <w:szCs w:val="32"/>
          <w:highlight w:val="none"/>
          <w:lang w:val="en-US" w:eastAsia="zh-CN"/>
        </w:rPr>
        <w:t>1305.75</w:t>
      </w:r>
      <w:r>
        <w:rPr>
          <w:rFonts w:hint="eastAsia" w:ascii="Calibri" w:hAnsi="Calibri" w:eastAsia="仿宋_GB2312" w:cs="Times New Roman"/>
          <w:color w:val="auto"/>
          <w:kern w:val="2"/>
          <w:sz w:val="32"/>
          <w:szCs w:val="32"/>
          <w:highlight w:val="none"/>
        </w:rPr>
        <w:t>万元（不含</w:t>
      </w:r>
      <w:r>
        <w:rPr>
          <w:rFonts w:hint="eastAsia" w:ascii="Calibri" w:hAnsi="Calibri" w:eastAsia="仿宋_GB2312" w:cs="Times New Roman"/>
          <w:color w:val="auto"/>
          <w:kern w:val="2"/>
          <w:sz w:val="32"/>
          <w:szCs w:val="32"/>
          <w:highlight w:val="none"/>
          <w:lang w:val="en-US" w:eastAsia="zh-CN"/>
        </w:rPr>
        <w:t>财政拨款</w:t>
      </w:r>
      <w:r>
        <w:rPr>
          <w:rFonts w:hint="eastAsia" w:ascii="Calibri" w:hAnsi="Calibri" w:eastAsia="仿宋_GB2312" w:cs="Times New Roman"/>
          <w:color w:val="auto"/>
          <w:kern w:val="2"/>
          <w:sz w:val="32"/>
          <w:szCs w:val="32"/>
          <w:highlight w:val="none"/>
        </w:rPr>
        <w:t>年</w:t>
      </w:r>
      <w:r>
        <w:rPr>
          <w:rFonts w:hint="eastAsia" w:ascii="Calibri" w:hAnsi="Calibri" w:eastAsia="仿宋_GB2312" w:cs="Times New Roman"/>
          <w:color w:val="auto"/>
          <w:kern w:val="2"/>
          <w:sz w:val="32"/>
          <w:szCs w:val="32"/>
          <w:highlight w:val="none"/>
          <w:lang w:val="en-US" w:eastAsia="zh-CN"/>
        </w:rPr>
        <w:t>末</w:t>
      </w:r>
      <w:r>
        <w:rPr>
          <w:rFonts w:hint="eastAsia" w:ascii="Calibri" w:hAnsi="Calibri" w:eastAsia="仿宋_GB2312" w:cs="Times New Roman"/>
          <w:color w:val="auto"/>
          <w:kern w:val="2"/>
          <w:sz w:val="32"/>
          <w:szCs w:val="32"/>
          <w:highlight w:val="none"/>
        </w:rPr>
        <w:t>结转和结余资金），与上年310.90</w:t>
      </w:r>
      <w:r>
        <w:rPr>
          <w:rFonts w:hint="eastAsia" w:ascii="Calibri" w:hAnsi="Calibri" w:eastAsia="仿宋_GB2312" w:cs="Times New Roman"/>
          <w:color w:val="auto"/>
          <w:kern w:val="2"/>
          <w:sz w:val="32"/>
          <w:szCs w:val="32"/>
          <w:highlight w:val="none"/>
          <w:lang w:val="en-US" w:eastAsia="zh-CN"/>
        </w:rPr>
        <w:t>万</w:t>
      </w:r>
      <w:r>
        <w:rPr>
          <w:rFonts w:hint="eastAsia" w:ascii="Calibri" w:hAnsi="Calibri" w:eastAsia="仿宋_GB2312" w:cs="Times New Roman"/>
          <w:color w:val="auto"/>
          <w:kern w:val="2"/>
          <w:sz w:val="32"/>
          <w:szCs w:val="32"/>
          <w:highlight w:val="none"/>
        </w:rPr>
        <w:t>相比，增加</w:t>
      </w:r>
      <w:r>
        <w:rPr>
          <w:rFonts w:hint="eastAsia" w:ascii="Calibri" w:hAnsi="Calibri" w:eastAsia="仿宋_GB2312" w:cs="Times New Roman"/>
          <w:color w:val="auto"/>
          <w:kern w:val="2"/>
          <w:sz w:val="32"/>
          <w:szCs w:val="32"/>
          <w:highlight w:val="none"/>
          <w:lang w:val="en-US" w:eastAsia="zh-CN"/>
        </w:rPr>
        <w:t>994.85</w:t>
      </w:r>
      <w:r>
        <w:rPr>
          <w:rFonts w:hint="eastAsia" w:ascii="Calibri" w:hAnsi="Calibri" w:eastAsia="仿宋_GB2312" w:cs="Times New Roman"/>
          <w:color w:val="auto"/>
          <w:kern w:val="2"/>
          <w:sz w:val="32"/>
          <w:szCs w:val="32"/>
          <w:highlight w:val="none"/>
        </w:rPr>
        <w:t>万元,增长</w:t>
      </w:r>
      <w:r>
        <w:rPr>
          <w:rFonts w:hint="eastAsia" w:ascii="Calibri" w:hAnsi="Calibri" w:eastAsia="仿宋_GB2312" w:cs="Times New Roman"/>
          <w:color w:val="auto"/>
          <w:kern w:val="2"/>
          <w:sz w:val="32"/>
          <w:szCs w:val="32"/>
          <w:highlight w:val="none"/>
          <w:lang w:val="en-US" w:eastAsia="zh-CN"/>
        </w:rPr>
        <w:t>319.99</w:t>
      </w:r>
      <w:r>
        <w:rPr>
          <w:rFonts w:hint="eastAsia" w:ascii="Calibri" w:hAnsi="Calibri" w:eastAsia="仿宋_GB2312" w:cs="Times New Roman"/>
          <w:color w:val="auto"/>
          <w:kern w:val="2"/>
          <w:sz w:val="32"/>
          <w:szCs w:val="32"/>
          <w:highlight w:val="none"/>
        </w:rPr>
        <w:t>%，主要是因为2021年机构上收，省级财政拨款支出增加。</w:t>
      </w:r>
    </w:p>
    <w:p>
      <w:pPr>
        <w:pStyle w:val="10"/>
        <w:ind w:firstLine="640"/>
        <w:rPr>
          <w:rFonts w:hint="default" w:hAnsi="黑体"/>
          <w:b w:val="0"/>
          <w:bCs/>
          <w:color w:val="auto"/>
          <w:sz w:val="32"/>
          <w:szCs w:val="32"/>
          <w:highlight w:val="none"/>
          <w:lang w:val="en-US" w:eastAsia="zh-CN"/>
        </w:rPr>
      </w:pPr>
    </w:p>
    <w:p>
      <w:pPr>
        <w:pStyle w:val="10"/>
        <w:rPr>
          <w:rFonts w:hAnsi="黑体"/>
          <w:b/>
          <w:color w:val="auto"/>
          <w:sz w:val="32"/>
          <w:szCs w:val="32"/>
          <w:highlight w:val="none"/>
        </w:rPr>
      </w:pPr>
      <w:r>
        <w:rPr>
          <w:rFonts w:hint="eastAsia" w:hAnsi="黑体"/>
          <w:b/>
          <w:color w:val="auto"/>
          <w:sz w:val="32"/>
          <w:szCs w:val="32"/>
          <w:highlight w:val="none"/>
        </w:rPr>
        <w:t>五、一般公共预算财政拨款支出决算情况说明</w:t>
      </w:r>
    </w:p>
    <w:p>
      <w:pPr>
        <w:pStyle w:val="10"/>
        <w:ind w:firstLine="640" w:firstLineChars="200"/>
        <w:rPr>
          <w:rFonts w:hint="eastAsia" w:ascii="Calibri" w:hAnsi="Calibri" w:eastAsia="仿宋_GB2312" w:cs="Times New Roman"/>
          <w:b w:val="0"/>
          <w:color w:val="auto"/>
          <w:kern w:val="2"/>
          <w:sz w:val="32"/>
          <w:szCs w:val="32"/>
          <w:highlight w:val="none"/>
        </w:rPr>
      </w:pPr>
      <w:r>
        <w:rPr>
          <w:rFonts w:hint="eastAsia" w:ascii="Calibri" w:hAnsi="Calibri" w:eastAsia="仿宋_GB2312" w:cs="Times New Roman"/>
          <w:b w:val="0"/>
          <w:color w:val="auto"/>
          <w:kern w:val="2"/>
          <w:sz w:val="32"/>
          <w:szCs w:val="32"/>
          <w:highlight w:val="none"/>
        </w:rPr>
        <w:t>（一）财政拨款支出决算总体情况</w:t>
      </w:r>
    </w:p>
    <w:p>
      <w:pPr>
        <w:pStyle w:val="10"/>
        <w:ind w:firstLine="640" w:firstLineChars="200"/>
        <w:rPr>
          <w:rFonts w:hAnsi="黑体"/>
          <w:b/>
          <w:color w:val="0000FF"/>
          <w:sz w:val="32"/>
          <w:szCs w:val="32"/>
          <w:highlight w:val="none"/>
        </w:rPr>
      </w:pPr>
      <w:r>
        <w:rPr>
          <w:rFonts w:hint="eastAsia" w:ascii="Calibri" w:hAnsi="Calibri" w:eastAsia="仿宋_GB2312" w:cs="Times New Roman"/>
          <w:color w:val="auto"/>
          <w:kern w:val="2"/>
          <w:sz w:val="32"/>
          <w:szCs w:val="32"/>
          <w:highlight w:val="none"/>
        </w:rPr>
        <w:t>2021年度财政拨款支出</w:t>
      </w:r>
      <w:r>
        <w:rPr>
          <w:rFonts w:hint="eastAsia" w:ascii="Calibri" w:hAnsi="Calibri" w:eastAsia="仿宋_GB2312" w:cs="Times New Roman"/>
          <w:color w:val="auto"/>
          <w:kern w:val="2"/>
          <w:sz w:val="32"/>
          <w:szCs w:val="32"/>
          <w:highlight w:val="none"/>
          <w:lang w:val="en-US" w:eastAsia="zh-CN"/>
        </w:rPr>
        <w:t>1305.75</w:t>
      </w:r>
      <w:r>
        <w:rPr>
          <w:rFonts w:hint="eastAsia" w:ascii="Calibri" w:hAnsi="Calibri" w:eastAsia="仿宋_GB2312" w:cs="Times New Roman"/>
          <w:color w:val="auto"/>
          <w:kern w:val="2"/>
          <w:sz w:val="32"/>
          <w:szCs w:val="32"/>
          <w:highlight w:val="none"/>
        </w:rPr>
        <w:t>万元，占本年支出合计的</w:t>
      </w:r>
      <w:r>
        <w:rPr>
          <w:rFonts w:hint="eastAsia" w:ascii="Calibri" w:hAnsi="Calibri" w:eastAsia="仿宋_GB2312" w:cs="Times New Roman"/>
          <w:color w:val="auto"/>
          <w:kern w:val="2"/>
          <w:sz w:val="32"/>
          <w:szCs w:val="32"/>
          <w:highlight w:val="none"/>
          <w:lang w:eastAsia="zh-CN"/>
        </w:rPr>
        <w:t>6</w:t>
      </w:r>
      <w:r>
        <w:rPr>
          <w:rFonts w:hint="eastAsia" w:ascii="Calibri" w:hAnsi="Calibri" w:eastAsia="仿宋_GB2312" w:cs="Times New Roman"/>
          <w:color w:val="auto"/>
          <w:kern w:val="2"/>
          <w:sz w:val="32"/>
          <w:szCs w:val="32"/>
          <w:highlight w:val="none"/>
          <w:lang w:val="en-US" w:eastAsia="zh-CN"/>
        </w:rPr>
        <w:t>8.38</w:t>
      </w:r>
      <w:r>
        <w:rPr>
          <w:rFonts w:hint="eastAsia" w:ascii="Calibri" w:hAnsi="Calibri" w:eastAsia="仿宋_GB2312" w:cs="Times New Roman"/>
          <w:color w:val="auto"/>
          <w:kern w:val="2"/>
          <w:sz w:val="32"/>
          <w:szCs w:val="32"/>
          <w:highlight w:val="none"/>
        </w:rPr>
        <w:t>%，与上年相比，财政拨款支出增加</w:t>
      </w:r>
      <w:r>
        <w:rPr>
          <w:rFonts w:hint="eastAsia" w:ascii="Calibri" w:hAnsi="Calibri" w:eastAsia="仿宋_GB2312" w:cs="Times New Roman"/>
          <w:color w:val="auto"/>
          <w:kern w:val="2"/>
          <w:sz w:val="32"/>
          <w:szCs w:val="32"/>
          <w:highlight w:val="none"/>
          <w:lang w:val="en-US" w:eastAsia="zh-CN"/>
        </w:rPr>
        <w:t>994.85</w:t>
      </w:r>
      <w:r>
        <w:rPr>
          <w:rFonts w:hint="eastAsia" w:ascii="Calibri" w:hAnsi="Calibri" w:eastAsia="仿宋_GB2312" w:cs="Times New Roman"/>
          <w:color w:val="auto"/>
          <w:kern w:val="2"/>
          <w:sz w:val="32"/>
          <w:szCs w:val="32"/>
          <w:highlight w:val="none"/>
        </w:rPr>
        <w:t>万元，增长</w:t>
      </w:r>
      <w:r>
        <w:rPr>
          <w:rFonts w:hint="eastAsia" w:ascii="Calibri" w:hAnsi="Calibri" w:eastAsia="仿宋_GB2312" w:cs="Times New Roman"/>
          <w:color w:val="auto"/>
          <w:kern w:val="2"/>
          <w:sz w:val="32"/>
          <w:szCs w:val="32"/>
          <w:highlight w:val="none"/>
          <w:lang w:val="en-US" w:eastAsia="zh-CN"/>
        </w:rPr>
        <w:t>319.99</w:t>
      </w:r>
      <w:r>
        <w:rPr>
          <w:rFonts w:hint="eastAsia" w:ascii="Calibri" w:hAnsi="Calibri" w:eastAsia="仿宋_GB2312" w:cs="Times New Roman"/>
          <w:color w:val="auto"/>
          <w:kern w:val="2"/>
          <w:sz w:val="32"/>
          <w:szCs w:val="32"/>
          <w:highlight w:val="none"/>
        </w:rPr>
        <w:t>%，</w:t>
      </w:r>
      <w:r>
        <w:rPr>
          <w:rFonts w:hint="eastAsia" w:ascii="Calibri" w:hAnsi="Calibri" w:eastAsia="仿宋_GB2312" w:cs="Times New Roman"/>
          <w:b w:val="0"/>
          <w:bCs w:val="0"/>
          <w:color w:val="auto"/>
          <w:kern w:val="2"/>
          <w:sz w:val="32"/>
          <w:szCs w:val="32"/>
          <w:highlight w:val="none"/>
        </w:rPr>
        <w:t xml:space="preserve"> </w:t>
      </w:r>
      <w:r>
        <w:rPr>
          <w:rFonts w:hint="eastAsia" w:ascii="Calibri" w:hAnsi="Calibri" w:eastAsia="仿宋_GB2312" w:cs="Times New Roman"/>
          <w:b w:val="0"/>
          <w:bCs w:val="0"/>
          <w:color w:val="auto"/>
          <w:kern w:val="2"/>
          <w:sz w:val="32"/>
          <w:szCs w:val="32"/>
          <w:highlight w:val="none"/>
          <w:lang w:eastAsia="zh-CN"/>
        </w:rPr>
        <w:t>主要是因为</w:t>
      </w:r>
      <w:r>
        <w:rPr>
          <w:rFonts w:hint="eastAsia" w:ascii="Calibri" w:hAnsi="Calibri" w:eastAsia="仿宋_GB2312" w:cs="Times New Roman"/>
          <w:b w:val="0"/>
          <w:bCs w:val="0"/>
          <w:color w:val="auto"/>
          <w:kern w:val="2"/>
          <w:sz w:val="32"/>
          <w:szCs w:val="32"/>
          <w:highlight w:val="none"/>
          <w:lang w:val="en-US" w:eastAsia="zh-CN"/>
        </w:rPr>
        <w:t>2021年机构上收，省级财政拨款支出增加。</w:t>
      </w:r>
    </w:p>
    <w:p>
      <w:pPr>
        <w:pStyle w:val="10"/>
        <w:ind w:firstLine="800" w:firstLineChars="250"/>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（二）财政拨款支出决算结构情况</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2021年度财政拨款支出</w:t>
      </w:r>
      <w:r>
        <w:rPr>
          <w:rFonts w:hint="eastAsia" w:ascii="Calibri" w:hAnsi="Calibri" w:eastAsia="仿宋_GB2312" w:cs="Times New Roman"/>
          <w:color w:val="auto"/>
          <w:kern w:val="2"/>
          <w:sz w:val="32"/>
          <w:szCs w:val="32"/>
          <w:highlight w:val="none"/>
          <w:lang w:val="en-US" w:eastAsia="zh-CN"/>
        </w:rPr>
        <w:t>1305.75</w:t>
      </w:r>
      <w:r>
        <w:rPr>
          <w:rFonts w:hint="eastAsia" w:ascii="Calibri" w:hAnsi="Calibri" w:eastAsia="仿宋_GB2312" w:cs="Times New Roman"/>
          <w:color w:val="auto"/>
          <w:kern w:val="2"/>
          <w:sz w:val="32"/>
          <w:szCs w:val="32"/>
          <w:highlight w:val="none"/>
        </w:rPr>
        <w:t>万元，主要用于以下方面：一般公共服务（类）支出0万元，占0%；社会保障和就业支出37.56万元，占2.8</w:t>
      </w:r>
      <w:r>
        <w:rPr>
          <w:rFonts w:hint="eastAsia" w:ascii="Calibri" w:hAnsi="Calibri" w:eastAsia="仿宋_GB2312" w:cs="Times New Roman"/>
          <w:color w:val="auto"/>
          <w:kern w:val="2"/>
          <w:sz w:val="32"/>
          <w:szCs w:val="32"/>
          <w:highlight w:val="none"/>
          <w:lang w:val="en-US" w:eastAsia="zh-CN"/>
        </w:rPr>
        <w:t>8</w:t>
      </w:r>
      <w:r>
        <w:rPr>
          <w:rFonts w:hint="eastAsia" w:ascii="Calibri" w:hAnsi="Calibri" w:eastAsia="仿宋_GB2312" w:cs="Times New Roman"/>
          <w:color w:val="auto"/>
          <w:kern w:val="2"/>
          <w:sz w:val="32"/>
          <w:szCs w:val="32"/>
          <w:highlight w:val="none"/>
        </w:rPr>
        <w:t>%，卫生健康支出18.97万元，占1.4</w:t>
      </w:r>
      <w:r>
        <w:rPr>
          <w:rFonts w:hint="eastAsia" w:ascii="Calibri" w:hAnsi="Calibri" w:eastAsia="仿宋_GB2312" w:cs="Times New Roman"/>
          <w:color w:val="auto"/>
          <w:kern w:val="2"/>
          <w:sz w:val="32"/>
          <w:szCs w:val="32"/>
          <w:highlight w:val="none"/>
          <w:lang w:val="en-US" w:eastAsia="zh-CN"/>
        </w:rPr>
        <w:t>5</w:t>
      </w:r>
      <w:r>
        <w:rPr>
          <w:rFonts w:hint="eastAsia" w:ascii="Calibri" w:hAnsi="Calibri" w:eastAsia="仿宋_GB2312" w:cs="Times New Roman"/>
          <w:color w:val="auto"/>
          <w:kern w:val="2"/>
          <w:sz w:val="32"/>
          <w:szCs w:val="32"/>
          <w:highlight w:val="none"/>
        </w:rPr>
        <w:t>%，住房保障支出26万元，占1.9</w:t>
      </w:r>
      <w:r>
        <w:rPr>
          <w:rFonts w:hint="eastAsia" w:ascii="Calibri" w:hAnsi="Calibri" w:eastAsia="仿宋_GB2312" w:cs="Times New Roman"/>
          <w:color w:val="auto"/>
          <w:kern w:val="2"/>
          <w:sz w:val="32"/>
          <w:szCs w:val="32"/>
          <w:highlight w:val="none"/>
          <w:lang w:val="en-US" w:eastAsia="zh-CN"/>
        </w:rPr>
        <w:t>9</w:t>
      </w:r>
      <w:r>
        <w:rPr>
          <w:rFonts w:hint="eastAsia" w:ascii="Calibri" w:hAnsi="Calibri" w:eastAsia="仿宋_GB2312" w:cs="Times New Roman"/>
          <w:color w:val="auto"/>
          <w:kern w:val="2"/>
          <w:sz w:val="32"/>
          <w:szCs w:val="32"/>
          <w:highlight w:val="none"/>
        </w:rPr>
        <w:t>%，节能环保支出1223.2</w:t>
      </w:r>
      <w:r>
        <w:rPr>
          <w:rFonts w:hint="eastAsia" w:ascii="Calibri" w:hAnsi="Calibri" w:eastAsia="仿宋_GB2312" w:cs="Times New Roman"/>
          <w:color w:val="auto"/>
          <w:kern w:val="2"/>
          <w:sz w:val="32"/>
          <w:szCs w:val="32"/>
          <w:highlight w:val="none"/>
          <w:lang w:val="en-US" w:eastAsia="zh-CN"/>
        </w:rPr>
        <w:t>2</w:t>
      </w:r>
      <w:r>
        <w:rPr>
          <w:rFonts w:hint="eastAsia" w:ascii="Calibri" w:hAnsi="Calibri" w:eastAsia="仿宋_GB2312" w:cs="Times New Roman"/>
          <w:color w:val="auto"/>
          <w:kern w:val="2"/>
          <w:sz w:val="32"/>
          <w:szCs w:val="32"/>
          <w:highlight w:val="none"/>
        </w:rPr>
        <w:t>万元，占</w:t>
      </w:r>
      <w:r>
        <w:rPr>
          <w:rFonts w:hint="eastAsia" w:ascii="Calibri" w:hAnsi="Calibri" w:eastAsia="仿宋_GB2312" w:cs="Times New Roman"/>
          <w:color w:val="auto"/>
          <w:kern w:val="2"/>
          <w:sz w:val="32"/>
          <w:szCs w:val="32"/>
          <w:highlight w:val="none"/>
          <w:lang w:val="en-US" w:eastAsia="zh-CN"/>
        </w:rPr>
        <w:t>93.68</w:t>
      </w:r>
      <w:r>
        <w:rPr>
          <w:rFonts w:hint="eastAsia" w:ascii="Calibri" w:hAnsi="Calibri" w:eastAsia="仿宋_GB2312" w:cs="Times New Roman"/>
          <w:color w:val="auto"/>
          <w:kern w:val="2"/>
          <w:sz w:val="32"/>
          <w:szCs w:val="32"/>
          <w:highlight w:val="none"/>
        </w:rPr>
        <w:t>%</w:t>
      </w:r>
    </w:p>
    <w:p>
      <w:pPr>
        <w:pStyle w:val="10"/>
        <w:ind w:firstLine="800" w:firstLineChars="250"/>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（三）财政拨款支出决算具体情况</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2021年度财政拨款支出年初预算数为</w:t>
      </w:r>
      <w:r>
        <w:rPr>
          <w:rFonts w:hint="eastAsia" w:ascii="Calibri" w:hAnsi="Calibri" w:eastAsia="仿宋_GB2312" w:cs="Times New Roman"/>
          <w:color w:val="auto"/>
          <w:kern w:val="2"/>
          <w:sz w:val="32"/>
          <w:szCs w:val="32"/>
          <w:highlight w:val="none"/>
          <w:lang w:val="en-US" w:eastAsia="zh-CN"/>
        </w:rPr>
        <w:t>868.34</w:t>
      </w:r>
      <w:r>
        <w:rPr>
          <w:rFonts w:hint="eastAsia" w:ascii="Calibri" w:hAnsi="Calibri" w:eastAsia="仿宋_GB2312" w:cs="Times New Roman"/>
          <w:color w:val="auto"/>
          <w:kern w:val="2"/>
          <w:sz w:val="32"/>
          <w:szCs w:val="32"/>
          <w:highlight w:val="none"/>
        </w:rPr>
        <w:t>万元，支出决算数为</w:t>
      </w:r>
      <w:r>
        <w:rPr>
          <w:rFonts w:hint="eastAsia" w:ascii="Calibri" w:hAnsi="Calibri" w:eastAsia="仿宋_GB2312" w:cs="Times New Roman"/>
          <w:color w:val="auto"/>
          <w:kern w:val="2"/>
          <w:sz w:val="32"/>
          <w:szCs w:val="32"/>
          <w:highlight w:val="none"/>
          <w:lang w:val="en-US" w:eastAsia="zh-CN"/>
        </w:rPr>
        <w:t>1305.75</w:t>
      </w:r>
      <w:r>
        <w:rPr>
          <w:rFonts w:hint="eastAsia" w:ascii="Calibri" w:hAnsi="Calibri" w:eastAsia="仿宋_GB2312" w:cs="Times New Roman"/>
          <w:color w:val="auto"/>
          <w:kern w:val="2"/>
          <w:sz w:val="32"/>
          <w:szCs w:val="32"/>
          <w:highlight w:val="none"/>
        </w:rPr>
        <w:t>万元，完成年初预算的</w:t>
      </w:r>
      <w:r>
        <w:rPr>
          <w:rFonts w:hint="eastAsia" w:ascii="Calibri" w:hAnsi="Calibri" w:eastAsia="仿宋_GB2312" w:cs="Times New Roman"/>
          <w:color w:val="auto"/>
          <w:kern w:val="2"/>
          <w:sz w:val="32"/>
          <w:szCs w:val="32"/>
          <w:highlight w:val="none"/>
          <w:lang w:val="en-US" w:eastAsia="zh-CN"/>
        </w:rPr>
        <w:t>150.37</w:t>
      </w:r>
      <w:r>
        <w:rPr>
          <w:rFonts w:hint="eastAsia" w:ascii="Calibri" w:hAnsi="Calibri" w:eastAsia="仿宋_GB2312" w:cs="Times New Roman"/>
          <w:color w:val="auto"/>
          <w:kern w:val="2"/>
          <w:sz w:val="32"/>
          <w:szCs w:val="32"/>
          <w:highlight w:val="none"/>
        </w:rPr>
        <w:t>%，其中：</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lang w:eastAsia="zh-CN"/>
        </w:rPr>
        <w:t>1</w:t>
      </w:r>
      <w:r>
        <w:rPr>
          <w:rFonts w:hint="eastAsia" w:ascii="Calibri" w:hAnsi="Calibri" w:eastAsia="仿宋_GB2312" w:cs="Times New Roman"/>
          <w:color w:val="auto"/>
          <w:kern w:val="2"/>
          <w:sz w:val="32"/>
          <w:szCs w:val="32"/>
          <w:highlight w:val="none"/>
        </w:rPr>
        <w:t>、社会保障和就业支出（类）行政事业单位养老支出（款）机关事业单位基本养老保险缴费支出（项）。</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年初预算为</w:t>
      </w:r>
      <w:r>
        <w:rPr>
          <w:rFonts w:hint="eastAsia" w:ascii="Calibri" w:hAnsi="Calibri" w:eastAsia="仿宋_GB2312" w:cs="Times New Roman"/>
          <w:color w:val="auto"/>
          <w:kern w:val="2"/>
          <w:sz w:val="32"/>
          <w:szCs w:val="32"/>
          <w:highlight w:val="none"/>
          <w:lang w:val="en-US" w:eastAsia="zh-CN"/>
        </w:rPr>
        <w:t>36</w:t>
      </w:r>
      <w:r>
        <w:rPr>
          <w:rFonts w:hint="eastAsia" w:ascii="Calibri" w:hAnsi="Calibri" w:eastAsia="仿宋_GB2312" w:cs="Times New Roman"/>
          <w:color w:val="auto"/>
          <w:kern w:val="2"/>
          <w:sz w:val="32"/>
          <w:szCs w:val="32"/>
          <w:highlight w:val="none"/>
        </w:rPr>
        <w:t>万元，支出决算为</w:t>
      </w:r>
      <w:r>
        <w:rPr>
          <w:rFonts w:hint="eastAsia" w:ascii="Calibri" w:hAnsi="Calibri" w:eastAsia="仿宋_GB2312" w:cs="Times New Roman"/>
          <w:color w:val="auto"/>
          <w:kern w:val="2"/>
          <w:sz w:val="32"/>
          <w:szCs w:val="32"/>
          <w:highlight w:val="none"/>
          <w:lang w:val="en-US" w:eastAsia="zh-CN"/>
        </w:rPr>
        <w:t>36</w:t>
      </w:r>
      <w:r>
        <w:rPr>
          <w:rFonts w:hint="eastAsia" w:ascii="Calibri" w:hAnsi="Calibri" w:eastAsia="仿宋_GB2312" w:cs="Times New Roman"/>
          <w:color w:val="auto"/>
          <w:kern w:val="2"/>
          <w:sz w:val="32"/>
          <w:szCs w:val="32"/>
          <w:highlight w:val="none"/>
        </w:rPr>
        <w:t>万元，完成年初预算的10</w:t>
      </w:r>
      <w:r>
        <w:rPr>
          <w:rFonts w:hint="eastAsia" w:ascii="Calibri" w:hAnsi="Calibri" w:eastAsia="仿宋_GB2312" w:cs="Times New Roman"/>
          <w:color w:val="auto"/>
          <w:kern w:val="2"/>
          <w:sz w:val="32"/>
          <w:szCs w:val="32"/>
          <w:highlight w:val="none"/>
          <w:lang w:val="en-US" w:eastAsia="zh-CN"/>
        </w:rPr>
        <w:t>0</w:t>
      </w:r>
      <w:r>
        <w:rPr>
          <w:rFonts w:hint="eastAsia" w:ascii="Calibri" w:hAnsi="Calibri" w:eastAsia="仿宋_GB2312" w:cs="Times New Roman"/>
          <w:color w:val="auto"/>
          <w:kern w:val="2"/>
          <w:sz w:val="32"/>
          <w:szCs w:val="32"/>
          <w:highlight w:val="none"/>
        </w:rPr>
        <w:t>%，决算数与年初预算数一致</w:t>
      </w:r>
      <w:r>
        <w:rPr>
          <w:rFonts w:hint="eastAsia" w:ascii="Calibri" w:hAnsi="Calibri" w:eastAsia="仿宋_GB2312" w:cs="Times New Roman"/>
          <w:color w:val="auto"/>
          <w:kern w:val="2"/>
          <w:sz w:val="32"/>
          <w:szCs w:val="32"/>
          <w:highlight w:val="none"/>
          <w:lang w:eastAsia="zh-CN"/>
        </w:rPr>
        <w:t>，</w:t>
      </w:r>
      <w:r>
        <w:rPr>
          <w:rFonts w:hint="eastAsia" w:ascii="Calibri" w:hAnsi="Calibri" w:eastAsia="仿宋_GB2312" w:cs="Times New Roman"/>
          <w:color w:val="auto"/>
          <w:kern w:val="2"/>
          <w:sz w:val="32"/>
          <w:szCs w:val="32"/>
          <w:highlight w:val="none"/>
          <w:lang w:val="en-US" w:eastAsia="zh-CN"/>
        </w:rPr>
        <w:t>主要是人员无变化，按预算执行</w:t>
      </w:r>
      <w:r>
        <w:rPr>
          <w:rFonts w:hint="eastAsia" w:ascii="Calibri" w:hAnsi="Calibri" w:eastAsia="仿宋_GB2312" w:cs="Times New Roman"/>
          <w:color w:val="auto"/>
          <w:kern w:val="2"/>
          <w:sz w:val="32"/>
          <w:szCs w:val="32"/>
          <w:highlight w:val="none"/>
        </w:rPr>
        <w:t>。</w:t>
      </w:r>
    </w:p>
    <w:p>
      <w:pPr>
        <w:pStyle w:val="10"/>
        <w:numPr>
          <w:ilvl w:val="-1"/>
          <w:numId w:val="0"/>
        </w:numPr>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lang w:val="en-US" w:eastAsia="zh-CN"/>
        </w:rPr>
        <w:t>2、</w:t>
      </w:r>
      <w:r>
        <w:rPr>
          <w:rFonts w:hint="eastAsia" w:ascii="Calibri" w:hAnsi="Calibri" w:eastAsia="仿宋_GB2312" w:cs="Times New Roman"/>
          <w:color w:val="auto"/>
          <w:kern w:val="2"/>
          <w:sz w:val="32"/>
          <w:szCs w:val="32"/>
          <w:highlight w:val="none"/>
        </w:rPr>
        <w:t>社会保障和就业支出（类）行政事业单位养老支出（款）机关事业单位</w:t>
      </w:r>
      <w:r>
        <w:rPr>
          <w:rFonts w:hint="eastAsia" w:ascii="Calibri" w:hAnsi="Calibri" w:eastAsia="仿宋_GB2312" w:cs="Times New Roman"/>
          <w:color w:val="auto"/>
          <w:kern w:val="2"/>
          <w:sz w:val="32"/>
          <w:szCs w:val="32"/>
          <w:highlight w:val="none"/>
          <w:lang w:eastAsia="zh-CN"/>
        </w:rPr>
        <w:t>职业年金</w:t>
      </w:r>
      <w:r>
        <w:rPr>
          <w:rFonts w:hint="eastAsia" w:ascii="Calibri" w:hAnsi="Calibri" w:eastAsia="仿宋_GB2312" w:cs="Times New Roman"/>
          <w:color w:val="auto"/>
          <w:kern w:val="2"/>
          <w:sz w:val="32"/>
          <w:szCs w:val="32"/>
          <w:highlight w:val="none"/>
        </w:rPr>
        <w:t>缴费支出（项）。</w:t>
      </w:r>
    </w:p>
    <w:p>
      <w:pPr>
        <w:pStyle w:val="10"/>
        <w:numPr>
          <w:ilvl w:val="-1"/>
          <w:numId w:val="0"/>
        </w:numPr>
        <w:ind w:firstLine="640" w:firstLineChars="200"/>
        <w:rPr>
          <w:rFonts w:hint="eastAsia" w:ascii="Calibri" w:hAnsi="Calibri" w:eastAsia="仿宋_GB2312" w:cs="Times New Roman"/>
          <w:color w:val="auto"/>
          <w:kern w:val="2"/>
          <w:sz w:val="32"/>
          <w:szCs w:val="32"/>
          <w:highlight w:val="none"/>
          <w:lang w:val="en-US" w:eastAsia="zh-CN"/>
        </w:rPr>
      </w:pPr>
      <w:r>
        <w:rPr>
          <w:rFonts w:hint="eastAsia" w:ascii="Calibri" w:hAnsi="Calibri" w:eastAsia="仿宋_GB2312" w:cs="Times New Roman"/>
          <w:color w:val="auto"/>
          <w:kern w:val="2"/>
          <w:sz w:val="32"/>
          <w:szCs w:val="32"/>
          <w:highlight w:val="none"/>
        </w:rPr>
        <w:t>年初预算为</w:t>
      </w:r>
      <w:r>
        <w:rPr>
          <w:rFonts w:hint="eastAsia" w:ascii="Calibri" w:hAnsi="Calibri" w:eastAsia="仿宋_GB2312" w:cs="Times New Roman"/>
          <w:color w:val="auto"/>
          <w:kern w:val="2"/>
          <w:sz w:val="32"/>
          <w:szCs w:val="32"/>
          <w:highlight w:val="none"/>
          <w:lang w:val="en-US" w:eastAsia="zh-CN"/>
        </w:rPr>
        <w:t>1.56</w:t>
      </w:r>
      <w:r>
        <w:rPr>
          <w:rFonts w:hint="eastAsia" w:ascii="Calibri" w:hAnsi="Calibri" w:eastAsia="仿宋_GB2312" w:cs="Times New Roman"/>
          <w:color w:val="auto"/>
          <w:kern w:val="2"/>
          <w:sz w:val="32"/>
          <w:szCs w:val="32"/>
          <w:highlight w:val="none"/>
        </w:rPr>
        <w:t>万元，支出决算为</w:t>
      </w:r>
      <w:r>
        <w:rPr>
          <w:rFonts w:hint="eastAsia" w:ascii="Calibri" w:hAnsi="Calibri" w:eastAsia="仿宋_GB2312" w:cs="Times New Roman"/>
          <w:color w:val="auto"/>
          <w:kern w:val="2"/>
          <w:sz w:val="32"/>
          <w:szCs w:val="32"/>
          <w:highlight w:val="none"/>
          <w:lang w:val="en-US" w:eastAsia="zh-CN"/>
        </w:rPr>
        <w:t>1.56</w:t>
      </w:r>
      <w:r>
        <w:rPr>
          <w:rFonts w:hint="eastAsia" w:ascii="Calibri" w:hAnsi="Calibri" w:eastAsia="仿宋_GB2312" w:cs="Times New Roman"/>
          <w:color w:val="auto"/>
          <w:kern w:val="2"/>
          <w:sz w:val="32"/>
          <w:szCs w:val="32"/>
          <w:highlight w:val="none"/>
        </w:rPr>
        <w:t>万元，完成年初预算的100%，决算数与年初预算数一致</w:t>
      </w:r>
      <w:r>
        <w:rPr>
          <w:rFonts w:hint="eastAsia" w:ascii="Calibri" w:hAnsi="Calibri" w:eastAsia="仿宋_GB2312" w:cs="Times New Roman"/>
          <w:color w:val="auto"/>
          <w:kern w:val="2"/>
          <w:sz w:val="32"/>
          <w:szCs w:val="32"/>
          <w:highlight w:val="none"/>
          <w:lang w:eastAsia="zh-CN"/>
        </w:rPr>
        <w:t>，</w:t>
      </w:r>
      <w:r>
        <w:rPr>
          <w:rFonts w:hint="eastAsia" w:ascii="Calibri" w:hAnsi="Calibri" w:eastAsia="仿宋_GB2312" w:cs="Times New Roman"/>
          <w:color w:val="auto"/>
          <w:kern w:val="2"/>
          <w:sz w:val="32"/>
          <w:szCs w:val="32"/>
          <w:highlight w:val="none"/>
          <w:lang w:val="en-US" w:eastAsia="zh-CN"/>
        </w:rPr>
        <w:t>主要是人员无变化，按预算执行</w:t>
      </w:r>
      <w:r>
        <w:rPr>
          <w:rFonts w:hint="eastAsia" w:ascii="Calibri" w:hAnsi="Calibri" w:eastAsia="仿宋_GB2312" w:cs="Times New Roman"/>
          <w:color w:val="auto"/>
          <w:kern w:val="2"/>
          <w:sz w:val="32"/>
          <w:szCs w:val="32"/>
          <w:highlight w:val="none"/>
        </w:rPr>
        <w:t>。</w:t>
      </w:r>
    </w:p>
    <w:p>
      <w:pPr>
        <w:pStyle w:val="10"/>
        <w:ind w:firstLine="640" w:firstLineChars="200"/>
        <w:rPr>
          <w:rFonts w:hint="eastAsia" w:ascii="Calibri" w:hAnsi="Calibri" w:eastAsia="仿宋_GB2312" w:cs="Times New Roman"/>
          <w:color w:val="auto"/>
          <w:kern w:val="2"/>
          <w:sz w:val="32"/>
          <w:szCs w:val="32"/>
          <w:highlight w:val="none"/>
          <w:lang w:eastAsia="zh-CN"/>
        </w:rPr>
      </w:pPr>
      <w:r>
        <w:rPr>
          <w:rFonts w:hint="eastAsia" w:ascii="Calibri" w:hAnsi="Calibri" w:eastAsia="仿宋_GB2312" w:cs="Times New Roman"/>
          <w:color w:val="auto"/>
          <w:kern w:val="2"/>
          <w:sz w:val="32"/>
          <w:szCs w:val="32"/>
          <w:highlight w:val="none"/>
          <w:lang w:val="en-US" w:eastAsia="zh-CN"/>
        </w:rPr>
        <w:t>3</w:t>
      </w:r>
      <w:r>
        <w:rPr>
          <w:rFonts w:hint="eastAsia" w:ascii="Calibri" w:hAnsi="Calibri" w:eastAsia="仿宋_GB2312" w:cs="Times New Roman"/>
          <w:color w:val="auto"/>
          <w:kern w:val="2"/>
          <w:sz w:val="32"/>
          <w:szCs w:val="32"/>
          <w:highlight w:val="none"/>
        </w:rPr>
        <w:t>、卫生健康支出（类）行政事业单位医疗（款）事业单位医疗（项）</w:t>
      </w:r>
      <w:r>
        <w:rPr>
          <w:rFonts w:hint="eastAsia" w:ascii="Calibri" w:hAnsi="Calibri" w:eastAsia="仿宋_GB2312" w:cs="Times New Roman"/>
          <w:color w:val="auto"/>
          <w:kern w:val="2"/>
          <w:sz w:val="32"/>
          <w:szCs w:val="32"/>
          <w:highlight w:val="none"/>
          <w:lang w:eastAsia="zh-CN"/>
        </w:rPr>
        <w:t>。</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年初预算为18.97万元，支出决算为18.97万元，完成年初预算的100%，决算数与年初预算数一致</w:t>
      </w:r>
      <w:r>
        <w:rPr>
          <w:rFonts w:hint="eastAsia" w:ascii="Calibri" w:hAnsi="Calibri" w:eastAsia="仿宋_GB2312" w:cs="Times New Roman"/>
          <w:color w:val="auto"/>
          <w:kern w:val="2"/>
          <w:sz w:val="32"/>
          <w:szCs w:val="32"/>
          <w:highlight w:val="none"/>
          <w:lang w:eastAsia="zh-CN"/>
        </w:rPr>
        <w:t>，</w:t>
      </w:r>
      <w:r>
        <w:rPr>
          <w:rFonts w:hint="eastAsia" w:ascii="Calibri" w:hAnsi="Calibri" w:eastAsia="仿宋_GB2312" w:cs="Times New Roman"/>
          <w:color w:val="auto"/>
          <w:kern w:val="2"/>
          <w:sz w:val="32"/>
          <w:szCs w:val="32"/>
          <w:highlight w:val="none"/>
          <w:lang w:val="en-US" w:eastAsia="zh-CN"/>
        </w:rPr>
        <w:t>主要是人员无变化，按预算执行</w:t>
      </w:r>
      <w:r>
        <w:rPr>
          <w:rFonts w:hint="eastAsia" w:ascii="Calibri" w:hAnsi="Calibri" w:eastAsia="仿宋_GB2312" w:cs="Times New Roman"/>
          <w:color w:val="auto"/>
          <w:kern w:val="2"/>
          <w:sz w:val="32"/>
          <w:szCs w:val="32"/>
          <w:highlight w:val="none"/>
        </w:rPr>
        <w:t>。</w:t>
      </w:r>
    </w:p>
    <w:p>
      <w:pPr>
        <w:pStyle w:val="10"/>
        <w:ind w:firstLine="640" w:firstLineChars="200"/>
        <w:rPr>
          <w:rFonts w:hint="eastAsia" w:ascii="Calibri" w:hAnsi="Calibri" w:eastAsia="仿宋_GB2312" w:cs="Times New Roman"/>
          <w:color w:val="auto"/>
          <w:kern w:val="2"/>
          <w:sz w:val="32"/>
          <w:szCs w:val="32"/>
          <w:highlight w:val="none"/>
          <w:lang w:val="en-US" w:eastAsia="zh-CN"/>
        </w:rPr>
      </w:pPr>
      <w:r>
        <w:rPr>
          <w:rFonts w:hint="eastAsia" w:ascii="Calibri" w:hAnsi="Calibri" w:eastAsia="仿宋_GB2312" w:cs="Times New Roman"/>
          <w:color w:val="auto"/>
          <w:kern w:val="2"/>
          <w:sz w:val="32"/>
          <w:szCs w:val="32"/>
          <w:highlight w:val="none"/>
          <w:lang w:val="en-US" w:eastAsia="zh-CN"/>
        </w:rPr>
        <w:t>4</w:t>
      </w:r>
      <w:r>
        <w:rPr>
          <w:rFonts w:hint="eastAsia" w:ascii="Calibri" w:hAnsi="Calibri" w:eastAsia="仿宋_GB2312" w:cs="Times New Roman"/>
          <w:color w:val="auto"/>
          <w:kern w:val="2"/>
          <w:sz w:val="32"/>
          <w:szCs w:val="32"/>
          <w:highlight w:val="none"/>
        </w:rPr>
        <w:t>、节能环保支出（类）环境保护管理事务（款）</w:t>
      </w:r>
      <w:r>
        <w:rPr>
          <w:rFonts w:hint="eastAsia" w:ascii="Calibri" w:hAnsi="Calibri" w:eastAsia="仿宋_GB2312" w:cs="Times New Roman"/>
          <w:color w:val="auto"/>
          <w:kern w:val="2"/>
          <w:sz w:val="32"/>
          <w:szCs w:val="32"/>
          <w:highlight w:val="none"/>
          <w:lang w:eastAsia="zh-CN"/>
        </w:rPr>
        <w:t>行政运行</w:t>
      </w:r>
      <w:r>
        <w:rPr>
          <w:rFonts w:hint="eastAsia" w:ascii="Calibri" w:hAnsi="Calibri" w:eastAsia="仿宋_GB2312" w:cs="Times New Roman"/>
          <w:color w:val="auto"/>
          <w:kern w:val="2"/>
          <w:sz w:val="32"/>
          <w:szCs w:val="32"/>
          <w:highlight w:val="none"/>
        </w:rPr>
        <w:t>（项）</w:t>
      </w:r>
      <w:r>
        <w:rPr>
          <w:rFonts w:hint="eastAsia" w:ascii="Calibri" w:hAnsi="Calibri" w:eastAsia="仿宋_GB2312" w:cs="Times New Roman"/>
          <w:color w:val="auto"/>
          <w:kern w:val="2"/>
          <w:sz w:val="32"/>
          <w:szCs w:val="32"/>
          <w:highlight w:val="none"/>
          <w:lang w:val="en-US" w:eastAsia="zh-CN"/>
        </w:rPr>
        <w:t>。</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年初预算为</w:t>
      </w:r>
      <w:r>
        <w:rPr>
          <w:rFonts w:hint="eastAsia" w:ascii="Calibri" w:hAnsi="Calibri" w:eastAsia="仿宋_GB2312" w:cs="Times New Roman"/>
          <w:color w:val="auto"/>
          <w:kern w:val="2"/>
          <w:sz w:val="32"/>
          <w:szCs w:val="32"/>
          <w:highlight w:val="none"/>
          <w:lang w:val="en-US" w:eastAsia="zh-CN"/>
        </w:rPr>
        <w:t>312.08</w:t>
      </w:r>
      <w:r>
        <w:rPr>
          <w:rFonts w:hint="eastAsia" w:ascii="Calibri" w:hAnsi="Calibri" w:eastAsia="仿宋_GB2312" w:cs="Times New Roman"/>
          <w:color w:val="auto"/>
          <w:kern w:val="2"/>
          <w:sz w:val="32"/>
          <w:szCs w:val="32"/>
          <w:highlight w:val="none"/>
        </w:rPr>
        <w:t>万元，支出决算为</w:t>
      </w:r>
      <w:r>
        <w:rPr>
          <w:rFonts w:hint="eastAsia" w:ascii="Calibri" w:hAnsi="Calibri" w:eastAsia="仿宋_GB2312" w:cs="Times New Roman"/>
          <w:color w:val="auto"/>
          <w:kern w:val="2"/>
          <w:sz w:val="32"/>
          <w:szCs w:val="32"/>
          <w:highlight w:val="none"/>
          <w:lang w:val="en-US" w:eastAsia="zh-CN"/>
        </w:rPr>
        <w:t>343.76</w:t>
      </w:r>
      <w:r>
        <w:rPr>
          <w:rFonts w:hint="eastAsia" w:ascii="Calibri" w:hAnsi="Calibri" w:eastAsia="仿宋_GB2312" w:cs="Times New Roman"/>
          <w:color w:val="auto"/>
          <w:kern w:val="2"/>
          <w:sz w:val="32"/>
          <w:szCs w:val="32"/>
          <w:highlight w:val="none"/>
        </w:rPr>
        <w:t>万元，完成年初预算的</w:t>
      </w:r>
      <w:r>
        <w:rPr>
          <w:rFonts w:hint="eastAsia" w:ascii="Calibri" w:hAnsi="Calibri" w:eastAsia="仿宋_GB2312" w:cs="Times New Roman"/>
          <w:color w:val="auto"/>
          <w:kern w:val="2"/>
          <w:sz w:val="32"/>
          <w:szCs w:val="32"/>
          <w:highlight w:val="none"/>
          <w:lang w:val="en-US" w:eastAsia="zh-CN"/>
        </w:rPr>
        <w:t>110.15</w:t>
      </w:r>
      <w:r>
        <w:rPr>
          <w:rFonts w:hint="eastAsia" w:ascii="Calibri" w:hAnsi="Calibri" w:eastAsia="仿宋_GB2312" w:cs="Times New Roman"/>
          <w:color w:val="auto"/>
          <w:kern w:val="2"/>
          <w:sz w:val="32"/>
          <w:szCs w:val="32"/>
          <w:highlight w:val="none"/>
        </w:rPr>
        <w:t>%，决算数大于年初预算数的主要原因是：年中追加项目经费。</w:t>
      </w:r>
    </w:p>
    <w:p>
      <w:pPr>
        <w:pStyle w:val="10"/>
        <w:numPr>
          <w:ilvl w:val="-1"/>
          <w:numId w:val="0"/>
        </w:numPr>
        <w:ind w:firstLine="640" w:firstLineChars="200"/>
        <w:rPr>
          <w:rFonts w:hint="eastAsia" w:ascii="Calibri" w:hAnsi="Calibri" w:eastAsia="仿宋_GB2312" w:cs="Times New Roman"/>
          <w:color w:val="auto"/>
          <w:kern w:val="2"/>
          <w:sz w:val="32"/>
          <w:szCs w:val="32"/>
          <w:highlight w:val="none"/>
          <w:lang w:val="en-US" w:eastAsia="zh-CN"/>
        </w:rPr>
      </w:pPr>
      <w:r>
        <w:rPr>
          <w:rFonts w:hint="eastAsia" w:ascii="Calibri" w:hAnsi="Calibri" w:eastAsia="仿宋_GB2312" w:cs="Times New Roman"/>
          <w:color w:val="auto"/>
          <w:kern w:val="2"/>
          <w:sz w:val="32"/>
          <w:szCs w:val="32"/>
          <w:highlight w:val="none"/>
          <w:lang w:val="en-US" w:eastAsia="zh-CN"/>
        </w:rPr>
        <w:t>5、</w:t>
      </w:r>
      <w:r>
        <w:rPr>
          <w:rFonts w:hint="eastAsia" w:ascii="Calibri" w:hAnsi="Calibri" w:eastAsia="仿宋_GB2312" w:cs="Times New Roman"/>
          <w:color w:val="auto"/>
          <w:kern w:val="2"/>
          <w:sz w:val="32"/>
          <w:szCs w:val="32"/>
          <w:highlight w:val="none"/>
        </w:rPr>
        <w:t>节能环保支出（类）</w:t>
      </w:r>
      <w:r>
        <w:rPr>
          <w:rFonts w:hint="eastAsia" w:ascii="Calibri" w:hAnsi="Calibri" w:eastAsia="仿宋_GB2312" w:cs="Times New Roman"/>
          <w:color w:val="auto"/>
          <w:kern w:val="2"/>
          <w:sz w:val="32"/>
          <w:szCs w:val="32"/>
          <w:highlight w:val="none"/>
          <w:lang w:eastAsia="zh-CN"/>
        </w:rPr>
        <w:t>环境监测与监察</w:t>
      </w:r>
      <w:r>
        <w:rPr>
          <w:rFonts w:hint="eastAsia" w:ascii="Calibri" w:hAnsi="Calibri" w:eastAsia="仿宋_GB2312" w:cs="Times New Roman"/>
          <w:color w:val="auto"/>
          <w:kern w:val="2"/>
          <w:sz w:val="32"/>
          <w:szCs w:val="32"/>
          <w:highlight w:val="none"/>
        </w:rPr>
        <w:t>（款）</w:t>
      </w:r>
      <w:r>
        <w:rPr>
          <w:rFonts w:hint="eastAsia" w:ascii="Calibri" w:hAnsi="Calibri" w:eastAsia="仿宋_GB2312" w:cs="Times New Roman"/>
          <w:color w:val="auto"/>
          <w:kern w:val="2"/>
          <w:sz w:val="32"/>
          <w:szCs w:val="32"/>
          <w:highlight w:val="none"/>
          <w:lang w:eastAsia="zh-CN"/>
        </w:rPr>
        <w:t>其他环境监测与监察支出</w:t>
      </w:r>
      <w:r>
        <w:rPr>
          <w:rFonts w:hint="eastAsia" w:ascii="Calibri" w:hAnsi="Calibri" w:eastAsia="仿宋_GB2312" w:cs="Times New Roman"/>
          <w:color w:val="auto"/>
          <w:kern w:val="2"/>
          <w:sz w:val="32"/>
          <w:szCs w:val="32"/>
          <w:highlight w:val="none"/>
        </w:rPr>
        <w:t>（项）</w:t>
      </w:r>
      <w:r>
        <w:rPr>
          <w:rFonts w:hint="eastAsia" w:ascii="Calibri" w:hAnsi="Calibri" w:eastAsia="仿宋_GB2312" w:cs="Times New Roman"/>
          <w:color w:val="auto"/>
          <w:kern w:val="2"/>
          <w:sz w:val="32"/>
          <w:szCs w:val="32"/>
          <w:highlight w:val="none"/>
          <w:lang w:val="en-US" w:eastAsia="zh-CN"/>
        </w:rPr>
        <w:t>。</w:t>
      </w:r>
    </w:p>
    <w:p>
      <w:pPr>
        <w:pStyle w:val="10"/>
        <w:numPr>
          <w:ilvl w:val="-1"/>
          <w:numId w:val="0"/>
        </w:numPr>
        <w:ind w:firstLine="640" w:firstLineChars="200"/>
        <w:rPr>
          <w:rFonts w:hint="eastAsia" w:ascii="Calibri" w:hAnsi="Calibri" w:eastAsia="仿宋_GB2312" w:cs="Times New Roman"/>
          <w:color w:val="auto"/>
          <w:kern w:val="2"/>
          <w:sz w:val="32"/>
          <w:szCs w:val="32"/>
          <w:highlight w:val="none"/>
          <w:lang w:val="en-US" w:eastAsia="zh-CN"/>
        </w:rPr>
      </w:pPr>
      <w:r>
        <w:rPr>
          <w:rFonts w:hint="eastAsia" w:ascii="Calibri" w:hAnsi="Calibri" w:eastAsia="仿宋_GB2312" w:cs="Times New Roman"/>
          <w:color w:val="auto"/>
          <w:kern w:val="2"/>
          <w:sz w:val="32"/>
          <w:szCs w:val="32"/>
          <w:highlight w:val="none"/>
        </w:rPr>
        <w:t>年初预算为</w:t>
      </w:r>
      <w:r>
        <w:rPr>
          <w:rFonts w:hint="eastAsia" w:ascii="Calibri" w:hAnsi="Calibri" w:eastAsia="仿宋_GB2312" w:cs="Times New Roman"/>
          <w:color w:val="auto"/>
          <w:kern w:val="2"/>
          <w:sz w:val="32"/>
          <w:szCs w:val="32"/>
          <w:highlight w:val="none"/>
          <w:lang w:val="en-US" w:eastAsia="zh-CN"/>
        </w:rPr>
        <w:t>286.83</w:t>
      </w:r>
      <w:r>
        <w:rPr>
          <w:rFonts w:hint="eastAsia" w:ascii="Calibri" w:hAnsi="Calibri" w:eastAsia="仿宋_GB2312" w:cs="Times New Roman"/>
          <w:color w:val="auto"/>
          <w:kern w:val="2"/>
          <w:sz w:val="32"/>
          <w:szCs w:val="32"/>
          <w:highlight w:val="none"/>
        </w:rPr>
        <w:t>万元，支出决算为</w:t>
      </w:r>
      <w:r>
        <w:rPr>
          <w:rFonts w:hint="eastAsia" w:ascii="Calibri" w:hAnsi="Calibri" w:eastAsia="仿宋_GB2312" w:cs="Times New Roman"/>
          <w:color w:val="auto"/>
          <w:kern w:val="2"/>
          <w:sz w:val="32"/>
          <w:szCs w:val="32"/>
          <w:highlight w:val="none"/>
          <w:lang w:val="en-US" w:eastAsia="zh-CN"/>
        </w:rPr>
        <w:t>291.92</w:t>
      </w:r>
      <w:r>
        <w:rPr>
          <w:rFonts w:hint="eastAsia" w:ascii="Calibri" w:hAnsi="Calibri" w:eastAsia="仿宋_GB2312" w:cs="Times New Roman"/>
          <w:color w:val="auto"/>
          <w:kern w:val="2"/>
          <w:sz w:val="32"/>
          <w:szCs w:val="32"/>
          <w:highlight w:val="none"/>
        </w:rPr>
        <w:t>万元，完成年初预算的</w:t>
      </w:r>
      <w:r>
        <w:rPr>
          <w:rFonts w:hint="eastAsia" w:ascii="Calibri" w:hAnsi="Calibri" w:eastAsia="仿宋_GB2312" w:cs="Times New Roman"/>
          <w:color w:val="auto"/>
          <w:kern w:val="2"/>
          <w:sz w:val="32"/>
          <w:szCs w:val="32"/>
          <w:highlight w:val="none"/>
          <w:lang w:val="en-US" w:eastAsia="zh-CN"/>
        </w:rPr>
        <w:t>101.77</w:t>
      </w:r>
      <w:r>
        <w:rPr>
          <w:rFonts w:hint="eastAsia" w:ascii="Calibri" w:hAnsi="Calibri" w:eastAsia="仿宋_GB2312" w:cs="Times New Roman"/>
          <w:color w:val="auto"/>
          <w:kern w:val="2"/>
          <w:sz w:val="32"/>
          <w:szCs w:val="32"/>
          <w:highlight w:val="none"/>
        </w:rPr>
        <w:t>%，决算数大于年初预算数的主要原因是：年中追加项目经费</w:t>
      </w:r>
      <w:r>
        <w:rPr>
          <w:rFonts w:hint="eastAsia" w:ascii="Calibri" w:hAnsi="Calibri" w:eastAsia="仿宋_GB2312" w:cs="Times New Roman"/>
          <w:color w:val="auto"/>
          <w:kern w:val="2"/>
          <w:sz w:val="32"/>
          <w:szCs w:val="32"/>
          <w:highlight w:val="none"/>
          <w:lang w:val="en-US" w:eastAsia="zh-CN"/>
        </w:rPr>
        <w:t>.</w:t>
      </w:r>
    </w:p>
    <w:p>
      <w:pPr>
        <w:pStyle w:val="10"/>
        <w:numPr>
          <w:ilvl w:val="-1"/>
          <w:numId w:val="0"/>
        </w:numPr>
        <w:ind w:left="0" w:leftChars="0" w:firstLine="640" w:firstLineChars="200"/>
        <w:rPr>
          <w:rFonts w:hint="eastAsia" w:ascii="Calibri" w:hAnsi="Calibri" w:eastAsia="仿宋_GB2312" w:cs="Times New Roman"/>
          <w:color w:val="auto"/>
          <w:kern w:val="2"/>
          <w:sz w:val="32"/>
          <w:szCs w:val="32"/>
          <w:highlight w:val="none"/>
          <w:lang w:val="en-US" w:eastAsia="zh-CN"/>
        </w:rPr>
      </w:pPr>
      <w:r>
        <w:rPr>
          <w:rFonts w:hint="eastAsia" w:ascii="Calibri" w:hAnsi="Calibri" w:eastAsia="仿宋_GB2312" w:cs="Times New Roman"/>
          <w:color w:val="auto"/>
          <w:kern w:val="2"/>
          <w:sz w:val="32"/>
          <w:szCs w:val="32"/>
          <w:highlight w:val="none"/>
          <w:lang w:val="en-US" w:eastAsia="zh-CN"/>
        </w:rPr>
        <w:t>6、</w:t>
      </w:r>
      <w:r>
        <w:rPr>
          <w:rFonts w:hint="eastAsia" w:ascii="Calibri" w:hAnsi="Calibri" w:eastAsia="仿宋_GB2312" w:cs="Times New Roman"/>
          <w:color w:val="auto"/>
          <w:kern w:val="2"/>
          <w:sz w:val="32"/>
          <w:szCs w:val="32"/>
          <w:highlight w:val="none"/>
        </w:rPr>
        <w:t>节能环保支出（类）</w:t>
      </w:r>
      <w:r>
        <w:rPr>
          <w:rFonts w:hint="eastAsia" w:ascii="Calibri" w:hAnsi="Calibri" w:eastAsia="仿宋_GB2312" w:cs="Times New Roman"/>
          <w:color w:val="auto"/>
          <w:kern w:val="2"/>
          <w:sz w:val="32"/>
          <w:szCs w:val="32"/>
          <w:highlight w:val="none"/>
          <w:lang w:eastAsia="zh-CN"/>
        </w:rPr>
        <w:t>污染防治（款）土壤（项）</w:t>
      </w:r>
      <w:r>
        <w:rPr>
          <w:rFonts w:hint="eastAsia" w:ascii="Calibri" w:hAnsi="Calibri" w:eastAsia="仿宋_GB2312" w:cs="Times New Roman"/>
          <w:color w:val="auto"/>
          <w:kern w:val="2"/>
          <w:sz w:val="32"/>
          <w:szCs w:val="32"/>
          <w:highlight w:val="none"/>
          <w:lang w:val="en-US" w:eastAsia="zh-CN"/>
        </w:rPr>
        <w:t>。</w:t>
      </w:r>
    </w:p>
    <w:p>
      <w:pPr>
        <w:pStyle w:val="10"/>
        <w:numPr>
          <w:ilvl w:val="-1"/>
          <w:numId w:val="0"/>
        </w:numPr>
        <w:ind w:firstLine="640" w:firstLineChars="200"/>
        <w:rPr>
          <w:rFonts w:hint="eastAsia" w:ascii="Calibri" w:hAnsi="Calibri" w:eastAsia="仿宋_GB2312" w:cs="Times New Roman"/>
          <w:color w:val="auto"/>
          <w:kern w:val="2"/>
          <w:sz w:val="32"/>
          <w:szCs w:val="32"/>
          <w:highlight w:val="none"/>
          <w:lang w:val="en-US" w:eastAsia="zh-CN"/>
        </w:rPr>
      </w:pPr>
      <w:r>
        <w:rPr>
          <w:rFonts w:hint="eastAsia" w:ascii="Calibri" w:hAnsi="Calibri" w:eastAsia="仿宋_GB2312" w:cs="Times New Roman"/>
          <w:color w:val="auto"/>
          <w:kern w:val="2"/>
          <w:sz w:val="32"/>
          <w:szCs w:val="32"/>
          <w:highlight w:val="none"/>
        </w:rPr>
        <w:t>年初预算为</w:t>
      </w:r>
      <w:r>
        <w:rPr>
          <w:rFonts w:hint="eastAsia" w:ascii="Calibri" w:hAnsi="Calibri" w:eastAsia="仿宋_GB2312" w:cs="Times New Roman"/>
          <w:color w:val="auto"/>
          <w:kern w:val="2"/>
          <w:sz w:val="32"/>
          <w:szCs w:val="32"/>
          <w:highlight w:val="none"/>
          <w:lang w:val="en-US" w:eastAsia="zh-CN"/>
        </w:rPr>
        <w:t>0</w:t>
      </w:r>
      <w:r>
        <w:rPr>
          <w:rFonts w:hint="eastAsia" w:ascii="Calibri" w:hAnsi="Calibri" w:eastAsia="仿宋_GB2312" w:cs="Times New Roman"/>
          <w:color w:val="auto"/>
          <w:kern w:val="2"/>
          <w:sz w:val="32"/>
          <w:szCs w:val="32"/>
          <w:highlight w:val="none"/>
        </w:rPr>
        <w:t>万元，支出决算为</w:t>
      </w:r>
      <w:r>
        <w:rPr>
          <w:rFonts w:hint="eastAsia" w:ascii="Calibri" w:hAnsi="Calibri" w:eastAsia="仿宋_GB2312" w:cs="Times New Roman"/>
          <w:color w:val="auto"/>
          <w:kern w:val="2"/>
          <w:sz w:val="32"/>
          <w:szCs w:val="32"/>
          <w:highlight w:val="none"/>
          <w:lang w:val="en-US" w:eastAsia="zh-CN"/>
        </w:rPr>
        <w:t>13.79</w:t>
      </w:r>
      <w:r>
        <w:rPr>
          <w:rFonts w:hint="eastAsia" w:ascii="Calibri" w:hAnsi="Calibri" w:eastAsia="仿宋_GB2312" w:cs="Times New Roman"/>
          <w:color w:val="auto"/>
          <w:kern w:val="2"/>
          <w:sz w:val="32"/>
          <w:szCs w:val="32"/>
          <w:highlight w:val="none"/>
        </w:rPr>
        <w:t>万元</w:t>
      </w:r>
      <w:r>
        <w:rPr>
          <w:rFonts w:hint="eastAsia" w:ascii="Calibri" w:hAnsi="Calibri" w:eastAsia="仿宋_GB2312" w:cs="Times New Roman"/>
          <w:color w:val="auto"/>
          <w:kern w:val="2"/>
          <w:sz w:val="32"/>
          <w:szCs w:val="32"/>
          <w:highlight w:val="none"/>
          <w:lang w:eastAsia="zh-CN"/>
        </w:rPr>
        <w:t>，此项目为</w:t>
      </w:r>
      <w:r>
        <w:rPr>
          <w:rFonts w:hint="eastAsia" w:ascii="Calibri" w:hAnsi="Calibri" w:eastAsia="仿宋_GB2312" w:cs="Times New Roman"/>
          <w:color w:val="auto"/>
          <w:kern w:val="2"/>
          <w:sz w:val="32"/>
          <w:szCs w:val="32"/>
          <w:highlight w:val="none"/>
        </w:rPr>
        <w:t>年中追加项目</w:t>
      </w:r>
      <w:r>
        <w:rPr>
          <w:rFonts w:hint="eastAsia" w:ascii="Calibri" w:hAnsi="Calibri" w:eastAsia="仿宋_GB2312" w:cs="Times New Roman"/>
          <w:color w:val="auto"/>
          <w:kern w:val="2"/>
          <w:sz w:val="32"/>
          <w:szCs w:val="32"/>
          <w:highlight w:val="none"/>
          <w:lang w:val="en-US" w:eastAsia="zh-CN"/>
        </w:rPr>
        <w:t>.</w:t>
      </w:r>
    </w:p>
    <w:p>
      <w:pPr>
        <w:pStyle w:val="10"/>
        <w:numPr>
          <w:ilvl w:val="-1"/>
          <w:numId w:val="0"/>
        </w:numPr>
        <w:ind w:left="0" w:leftChars="0" w:firstLine="640" w:firstLineChars="200"/>
        <w:rPr>
          <w:rFonts w:hint="eastAsia" w:ascii="Calibri" w:hAnsi="Calibri" w:eastAsia="仿宋_GB2312" w:cs="Times New Roman"/>
          <w:color w:val="auto"/>
          <w:kern w:val="2"/>
          <w:sz w:val="32"/>
          <w:szCs w:val="32"/>
          <w:highlight w:val="none"/>
          <w:lang w:eastAsia="zh-CN"/>
        </w:rPr>
      </w:pPr>
      <w:r>
        <w:rPr>
          <w:rFonts w:hint="eastAsia" w:ascii="Calibri" w:hAnsi="Calibri" w:eastAsia="仿宋_GB2312" w:cs="Times New Roman"/>
          <w:color w:val="auto"/>
          <w:kern w:val="2"/>
          <w:sz w:val="32"/>
          <w:szCs w:val="32"/>
          <w:highlight w:val="none"/>
          <w:lang w:val="en-US" w:eastAsia="zh-CN"/>
        </w:rPr>
        <w:t>7、</w:t>
      </w:r>
      <w:r>
        <w:rPr>
          <w:rFonts w:hint="eastAsia" w:ascii="Calibri" w:hAnsi="Calibri" w:eastAsia="仿宋_GB2312" w:cs="Times New Roman"/>
          <w:color w:val="auto"/>
          <w:kern w:val="2"/>
          <w:sz w:val="32"/>
          <w:szCs w:val="32"/>
          <w:highlight w:val="none"/>
        </w:rPr>
        <w:t>节能环保支出（类）</w:t>
      </w:r>
      <w:r>
        <w:rPr>
          <w:rFonts w:hint="eastAsia" w:ascii="Calibri" w:hAnsi="Calibri" w:eastAsia="仿宋_GB2312" w:cs="Times New Roman"/>
          <w:color w:val="auto"/>
          <w:kern w:val="2"/>
          <w:sz w:val="32"/>
          <w:szCs w:val="32"/>
          <w:highlight w:val="none"/>
          <w:lang w:eastAsia="zh-CN"/>
        </w:rPr>
        <w:t>污染减排（款）生态环境监测与信息（项）</w:t>
      </w:r>
      <w:r>
        <w:rPr>
          <w:rFonts w:hint="eastAsia" w:ascii="Calibri" w:hAnsi="Calibri" w:eastAsia="仿宋_GB2312" w:cs="Times New Roman"/>
          <w:color w:val="auto"/>
          <w:kern w:val="2"/>
          <w:sz w:val="32"/>
          <w:szCs w:val="32"/>
          <w:highlight w:val="none"/>
          <w:lang w:val="en-US" w:eastAsia="zh-CN"/>
        </w:rPr>
        <w:t>。</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年初预算为</w:t>
      </w:r>
      <w:r>
        <w:rPr>
          <w:rFonts w:hint="eastAsia" w:ascii="Calibri" w:hAnsi="Calibri" w:eastAsia="仿宋_GB2312" w:cs="Times New Roman"/>
          <w:color w:val="auto"/>
          <w:kern w:val="2"/>
          <w:sz w:val="32"/>
          <w:szCs w:val="32"/>
          <w:highlight w:val="none"/>
          <w:lang w:val="en-US" w:eastAsia="zh-CN"/>
        </w:rPr>
        <w:t>186.9</w:t>
      </w:r>
      <w:r>
        <w:rPr>
          <w:rFonts w:hint="eastAsia" w:ascii="Calibri" w:hAnsi="Calibri" w:eastAsia="仿宋_GB2312" w:cs="Times New Roman"/>
          <w:color w:val="auto"/>
          <w:kern w:val="2"/>
          <w:sz w:val="32"/>
          <w:szCs w:val="32"/>
          <w:highlight w:val="none"/>
        </w:rPr>
        <w:t>万元，支出决算为</w:t>
      </w:r>
      <w:r>
        <w:rPr>
          <w:rFonts w:hint="eastAsia" w:ascii="Calibri" w:hAnsi="Calibri" w:eastAsia="仿宋_GB2312" w:cs="Times New Roman"/>
          <w:color w:val="auto"/>
          <w:kern w:val="2"/>
          <w:sz w:val="32"/>
          <w:szCs w:val="32"/>
          <w:highlight w:val="none"/>
          <w:lang w:val="en-US" w:eastAsia="zh-CN"/>
        </w:rPr>
        <w:t>573.74</w:t>
      </w:r>
      <w:r>
        <w:rPr>
          <w:rFonts w:hint="eastAsia" w:ascii="Calibri" w:hAnsi="Calibri" w:eastAsia="仿宋_GB2312" w:cs="Times New Roman"/>
          <w:color w:val="auto"/>
          <w:kern w:val="2"/>
          <w:sz w:val="32"/>
          <w:szCs w:val="32"/>
          <w:highlight w:val="none"/>
        </w:rPr>
        <w:t>万元，完成年初预算的</w:t>
      </w:r>
      <w:r>
        <w:rPr>
          <w:rFonts w:hint="eastAsia" w:ascii="Calibri" w:hAnsi="Calibri" w:eastAsia="仿宋_GB2312" w:cs="Times New Roman"/>
          <w:color w:val="auto"/>
          <w:kern w:val="2"/>
          <w:sz w:val="32"/>
          <w:szCs w:val="32"/>
          <w:highlight w:val="none"/>
          <w:lang w:val="en-US" w:eastAsia="zh-CN"/>
        </w:rPr>
        <w:t>306.98</w:t>
      </w:r>
      <w:r>
        <w:rPr>
          <w:rFonts w:hint="eastAsia" w:ascii="Calibri" w:hAnsi="Calibri" w:eastAsia="仿宋_GB2312" w:cs="Times New Roman"/>
          <w:color w:val="auto"/>
          <w:kern w:val="2"/>
          <w:sz w:val="32"/>
          <w:szCs w:val="32"/>
          <w:highlight w:val="none"/>
        </w:rPr>
        <w:t>%，决算数大于年初预算数的主要原因是：年中追加项目经费。</w:t>
      </w:r>
    </w:p>
    <w:p>
      <w:pPr>
        <w:pStyle w:val="10"/>
        <w:ind w:firstLine="640" w:firstLineChars="200"/>
        <w:rPr>
          <w:rFonts w:hint="eastAsia" w:ascii="Calibri" w:hAnsi="Calibri" w:eastAsia="仿宋_GB2312" w:cs="Times New Roman"/>
          <w:color w:val="auto"/>
          <w:kern w:val="2"/>
          <w:sz w:val="32"/>
          <w:szCs w:val="32"/>
          <w:highlight w:val="none"/>
          <w:lang w:eastAsia="zh-CN"/>
        </w:rPr>
      </w:pPr>
      <w:r>
        <w:rPr>
          <w:rFonts w:hint="eastAsia" w:ascii="Calibri" w:hAnsi="Calibri" w:eastAsia="仿宋_GB2312" w:cs="Times New Roman"/>
          <w:color w:val="auto"/>
          <w:kern w:val="2"/>
          <w:sz w:val="32"/>
          <w:szCs w:val="32"/>
          <w:highlight w:val="none"/>
          <w:lang w:val="en-US" w:eastAsia="zh-CN"/>
        </w:rPr>
        <w:t>8</w:t>
      </w:r>
      <w:r>
        <w:rPr>
          <w:rFonts w:hint="eastAsia" w:ascii="Calibri" w:hAnsi="Calibri" w:eastAsia="仿宋_GB2312" w:cs="Times New Roman"/>
          <w:color w:val="auto"/>
          <w:kern w:val="2"/>
          <w:sz w:val="32"/>
          <w:szCs w:val="32"/>
          <w:highlight w:val="none"/>
        </w:rPr>
        <w:t>、住房和保障支出（类）住房改革支出（款）住房公积金</w:t>
      </w:r>
      <w:r>
        <w:rPr>
          <w:rFonts w:hint="eastAsia" w:ascii="Calibri" w:hAnsi="Calibri" w:eastAsia="仿宋_GB2312" w:cs="Times New Roman"/>
          <w:color w:val="auto"/>
          <w:kern w:val="2"/>
          <w:sz w:val="32"/>
          <w:szCs w:val="32"/>
          <w:highlight w:val="none"/>
          <w:lang w:eastAsia="zh-CN"/>
        </w:rPr>
        <w:t>。</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年初预算为26万元，支出决算为26万元，决算数与年初预算数一致</w:t>
      </w:r>
      <w:r>
        <w:rPr>
          <w:rFonts w:hint="eastAsia" w:ascii="Calibri" w:hAnsi="Calibri" w:eastAsia="仿宋_GB2312" w:cs="Times New Roman"/>
          <w:color w:val="auto"/>
          <w:kern w:val="2"/>
          <w:sz w:val="32"/>
          <w:szCs w:val="32"/>
          <w:highlight w:val="none"/>
          <w:lang w:eastAsia="zh-CN"/>
        </w:rPr>
        <w:t>，</w:t>
      </w:r>
      <w:r>
        <w:rPr>
          <w:rFonts w:hint="eastAsia" w:ascii="Calibri" w:hAnsi="Calibri" w:eastAsia="仿宋_GB2312" w:cs="Times New Roman"/>
          <w:color w:val="auto"/>
          <w:kern w:val="2"/>
          <w:sz w:val="32"/>
          <w:szCs w:val="32"/>
          <w:highlight w:val="none"/>
          <w:lang w:val="en-US" w:eastAsia="zh-CN"/>
        </w:rPr>
        <w:t>主要是人员无变化，按预算执行</w:t>
      </w:r>
      <w:r>
        <w:rPr>
          <w:rFonts w:hint="eastAsia" w:ascii="Calibri" w:hAnsi="Calibri" w:eastAsia="仿宋_GB2312" w:cs="Times New Roman"/>
          <w:color w:val="auto"/>
          <w:kern w:val="2"/>
          <w:sz w:val="32"/>
          <w:szCs w:val="32"/>
          <w:highlight w:val="none"/>
        </w:rPr>
        <w:t>。</w:t>
      </w:r>
    </w:p>
    <w:p>
      <w:pPr>
        <w:pStyle w:val="10"/>
        <w:rPr>
          <w:rFonts w:hAnsi="黑体"/>
          <w:b/>
          <w:color w:val="auto"/>
          <w:sz w:val="32"/>
          <w:szCs w:val="32"/>
          <w:highlight w:val="none"/>
        </w:rPr>
      </w:pPr>
      <w:r>
        <w:rPr>
          <w:rFonts w:hint="eastAsia" w:hAnsi="黑体"/>
          <w:b/>
          <w:color w:val="auto"/>
          <w:sz w:val="32"/>
          <w:szCs w:val="32"/>
          <w:highlight w:val="none"/>
        </w:rPr>
        <w:t>六、一般公共预算财政拨款基本支出决算情况说明</w:t>
      </w:r>
    </w:p>
    <w:p>
      <w:pPr>
        <w:pStyle w:val="10"/>
        <w:ind w:firstLine="640" w:firstLineChars="200"/>
        <w:rPr>
          <w:rFonts w:hint="eastAsia" w:ascii="Calibri" w:hAnsi="Calibri" w:eastAsia="仿宋_GB2312" w:cs="Times New Roman"/>
          <w:i w:val="0"/>
          <w:color w:val="auto"/>
          <w:kern w:val="2"/>
          <w:sz w:val="32"/>
          <w:szCs w:val="32"/>
          <w:highlight w:val="none"/>
        </w:rPr>
      </w:pPr>
      <w:r>
        <w:rPr>
          <w:rFonts w:hint="eastAsia" w:ascii="Calibri" w:hAnsi="Calibri" w:eastAsia="仿宋_GB2312" w:cs="Times New Roman"/>
          <w:color w:val="auto"/>
          <w:kern w:val="2"/>
          <w:sz w:val="32"/>
          <w:szCs w:val="32"/>
          <w:highlight w:val="none"/>
        </w:rPr>
        <w:t>2021年度财政拨款基本支出426.29万元，其中：人员经费369.21万元，占基本支出的86.61%,主要包括基本工资、津贴补贴、奖金、伙食补助费、五险一金、抚恤金、生活补助、奖励金、其他对个人和家庭的补助；公用经费57.08万元，占基本支出的13.39%，主要包括办公费、印刷费、水电费、差旅费、邮电费、会议费、公务招待费、劳务费、工会经费、福利费、公务用车运行维护费、其他交通费用、其他商品和服务支出。</w:t>
      </w:r>
    </w:p>
    <w:p>
      <w:pPr>
        <w:pStyle w:val="10"/>
        <w:rPr>
          <w:rFonts w:hAnsi="黑体"/>
          <w:b/>
          <w:color w:val="auto"/>
          <w:sz w:val="32"/>
          <w:szCs w:val="32"/>
          <w:highlight w:val="none"/>
        </w:rPr>
      </w:pPr>
      <w:r>
        <w:rPr>
          <w:rFonts w:hint="eastAsia" w:hAnsi="黑体"/>
          <w:b/>
          <w:color w:val="auto"/>
          <w:sz w:val="32"/>
          <w:szCs w:val="32"/>
          <w:highlight w:val="none"/>
        </w:rPr>
        <w:t>七、一般公共预算财政拨款“三公”经费支出决算情况说明</w:t>
      </w:r>
    </w:p>
    <w:p>
      <w:pPr>
        <w:pStyle w:val="10"/>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（一）“三公”经费财政拨款支出决算总体情况说明</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2021年度“三公”经费财政拨款支出预算为11万元，支出决算为9.13万元，完成预算的83</w:t>
      </w:r>
      <w:r>
        <w:rPr>
          <w:rFonts w:hint="eastAsia" w:ascii="Calibri" w:hAnsi="Calibri" w:eastAsia="仿宋_GB2312" w:cs="Times New Roman"/>
          <w:color w:val="auto"/>
          <w:kern w:val="2"/>
          <w:sz w:val="32"/>
          <w:szCs w:val="32"/>
          <w:highlight w:val="none"/>
          <w:lang w:val="en-US" w:eastAsia="zh-CN"/>
        </w:rPr>
        <w:t>.03</w:t>
      </w:r>
      <w:r>
        <w:rPr>
          <w:rFonts w:hint="eastAsia" w:ascii="Calibri" w:hAnsi="Calibri" w:eastAsia="仿宋_GB2312" w:cs="Times New Roman"/>
          <w:color w:val="auto"/>
          <w:kern w:val="2"/>
          <w:sz w:val="32"/>
          <w:szCs w:val="32"/>
          <w:highlight w:val="none"/>
        </w:rPr>
        <w:t>%，其中：</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因公出国（境）费支出预算为0万元，支出决算为0万元，决算数等于预算数的</w:t>
      </w:r>
      <w:r>
        <w:rPr>
          <w:rFonts w:hint="eastAsia" w:ascii="Calibri" w:hAnsi="Calibri" w:eastAsia="仿宋_GB2312" w:cs="Times New Roman"/>
          <w:color w:val="auto"/>
          <w:kern w:val="2"/>
          <w:sz w:val="32"/>
          <w:szCs w:val="32"/>
          <w:highlight w:val="none"/>
          <w:lang w:val="en-US" w:eastAsia="zh-CN"/>
        </w:rPr>
        <w:t>原因</w:t>
      </w:r>
      <w:r>
        <w:rPr>
          <w:rFonts w:hint="eastAsia" w:ascii="Calibri" w:hAnsi="Calibri" w:eastAsia="仿宋_GB2312" w:cs="Times New Roman"/>
          <w:color w:val="auto"/>
          <w:kern w:val="2"/>
          <w:sz w:val="32"/>
          <w:szCs w:val="32"/>
          <w:highlight w:val="none"/>
        </w:rPr>
        <w:t>主要是疫情影响，今年未安排出国出境，与上年相比无变化，主要原因是主要是疫情影响，今年及去年均未安排出国出境。</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公务接待费支出预算为5万元，支出决算为3.24万元，完成预算的64.8%，决算数小于预算数的主要原因是厉行节减，严格控制费用。与上年</w:t>
      </w:r>
      <w:r>
        <w:rPr>
          <w:rFonts w:hint="eastAsia" w:ascii="Calibri" w:hAnsi="Calibri" w:eastAsia="仿宋_GB2312" w:cs="Times New Roman"/>
          <w:color w:val="auto"/>
          <w:kern w:val="2"/>
          <w:sz w:val="32"/>
          <w:szCs w:val="32"/>
          <w:highlight w:val="none"/>
          <w:lang w:val="en-US" w:eastAsia="zh-CN"/>
        </w:rPr>
        <w:t>决算数</w:t>
      </w:r>
      <w:r>
        <w:rPr>
          <w:rFonts w:hint="eastAsia" w:ascii="Calibri" w:hAnsi="Calibri" w:eastAsia="仿宋_GB2312" w:cs="Times New Roman"/>
          <w:color w:val="auto"/>
          <w:kern w:val="2"/>
          <w:sz w:val="32"/>
          <w:szCs w:val="32"/>
          <w:highlight w:val="none"/>
        </w:rPr>
        <w:t>相比增加1.84万元，增长131.43%,增长的主要原因是垂管后地州市兄弟单位学习交流活动增多，导致公务接待费用增加。</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公务用车购置费支出预算为0万元，支出决算为0万元</w:t>
      </w:r>
      <w:r>
        <w:rPr>
          <w:rFonts w:hint="eastAsia" w:ascii="Calibri" w:hAnsi="Calibri" w:eastAsia="仿宋_GB2312" w:cs="Times New Roman"/>
          <w:color w:val="auto"/>
          <w:kern w:val="2"/>
          <w:sz w:val="32"/>
          <w:szCs w:val="32"/>
          <w:highlight w:val="none"/>
          <w:lang w:eastAsia="zh-CN"/>
        </w:rPr>
        <w:t>。</w:t>
      </w:r>
      <w:r>
        <w:rPr>
          <w:rFonts w:hint="eastAsia" w:ascii="Calibri" w:hAnsi="Calibri" w:eastAsia="仿宋_GB2312" w:cs="Times New Roman"/>
          <w:color w:val="auto"/>
          <w:kern w:val="2"/>
          <w:sz w:val="32"/>
          <w:szCs w:val="32"/>
          <w:highlight w:val="none"/>
          <w:lang w:val="en-US" w:eastAsia="zh-CN"/>
        </w:rPr>
        <w:t>决算数与预算算一致，与上年同比持平</w:t>
      </w:r>
      <w:bookmarkStart w:id="2" w:name="_GoBack"/>
      <w:bookmarkEnd w:id="2"/>
      <w:r>
        <w:rPr>
          <w:rFonts w:hint="eastAsia" w:ascii="Calibri" w:hAnsi="Calibri" w:eastAsia="仿宋_GB2312" w:cs="Times New Roman"/>
          <w:color w:val="auto"/>
          <w:kern w:val="2"/>
          <w:sz w:val="32"/>
          <w:szCs w:val="32"/>
          <w:highlight w:val="none"/>
        </w:rPr>
        <w:t xml:space="preserve">。 </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公务用车运行维护费支出预算为6万元，支出决算为5.89万元，完成预算的98.17%，决算数小于预算数的主要原因是厉行节减，严格控制费用，与上年</w:t>
      </w:r>
      <w:r>
        <w:rPr>
          <w:rFonts w:hint="eastAsia" w:ascii="Calibri" w:hAnsi="Calibri" w:eastAsia="仿宋_GB2312" w:cs="Times New Roman"/>
          <w:color w:val="auto"/>
          <w:kern w:val="2"/>
          <w:sz w:val="32"/>
          <w:szCs w:val="32"/>
          <w:highlight w:val="none"/>
          <w:lang w:val="en-US" w:eastAsia="zh-CN"/>
        </w:rPr>
        <w:t>决算数</w:t>
      </w:r>
      <w:r>
        <w:rPr>
          <w:rFonts w:hint="eastAsia" w:ascii="Calibri" w:hAnsi="Calibri" w:eastAsia="仿宋_GB2312" w:cs="Times New Roman"/>
          <w:color w:val="auto"/>
          <w:kern w:val="2"/>
          <w:sz w:val="32"/>
          <w:szCs w:val="32"/>
          <w:highlight w:val="none"/>
        </w:rPr>
        <w:t>相比增加4.22万元，增长252.7%,增长的主要原因是增加业务用车量。</w:t>
      </w:r>
    </w:p>
    <w:p>
      <w:pPr>
        <w:pStyle w:val="10"/>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（二）“三公”经费财政拨款支出决算具体情况说明</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2021年度“三公”经费财政拨款支出决算中，公务接待费支出决算3.24万元，占35.49%,因公出国（境）费支出决算0万元，占0%,公务用车购置费及运行维护费支出决算5.89万元，占64.51%。其中：</w:t>
      </w:r>
    </w:p>
    <w:p>
      <w:pPr>
        <w:pStyle w:val="10"/>
        <w:ind w:firstLine="640" w:firstLineChars="200"/>
        <w:rPr>
          <w:rFonts w:hint="eastAsia" w:ascii="Calibri" w:hAnsi="Calibri" w:eastAsia="仿宋_GB2312" w:cs="Times New Roman"/>
          <w:b w:val="0"/>
          <w:color w:val="auto"/>
          <w:kern w:val="2"/>
          <w:sz w:val="32"/>
          <w:szCs w:val="32"/>
          <w:highlight w:val="none"/>
        </w:rPr>
      </w:pPr>
      <w:r>
        <w:rPr>
          <w:rFonts w:hint="eastAsia" w:ascii="Calibri" w:hAnsi="Calibri" w:eastAsia="仿宋_GB2312" w:cs="Times New Roman"/>
          <w:color w:val="auto"/>
          <w:kern w:val="2"/>
          <w:sz w:val="32"/>
          <w:szCs w:val="32"/>
          <w:highlight w:val="none"/>
        </w:rPr>
        <w:t>1、因公出国（境）费支出决算为0万元，全年安排因公出国（境）团组0个，累计0人次。2021年我单位无出国预算，无相关支出。</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2、公务接待费支出决算为3.24万元，全年共接待来访团组38个、来宾295人次，主要是上级部门业务指导、地州市业务交流发生的接待支出。</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3、公务用车购置费及运行维护费支出决算为5.89万元，其中：公务用车购置费0万元，</w:t>
      </w:r>
      <w:r>
        <w:rPr>
          <w:rFonts w:hint="eastAsia" w:ascii="Calibri" w:hAnsi="Calibri" w:eastAsia="仿宋_GB2312" w:cs="Times New Roman"/>
          <w:color w:val="auto"/>
          <w:kern w:val="2"/>
          <w:sz w:val="32"/>
          <w:szCs w:val="32"/>
          <w:highlight w:val="none"/>
          <w:lang w:val="en-US" w:eastAsia="zh-CN"/>
        </w:rPr>
        <w:t>我单位未更新公务用车；</w:t>
      </w:r>
      <w:r>
        <w:rPr>
          <w:rFonts w:hint="eastAsia" w:ascii="Calibri" w:hAnsi="Calibri" w:eastAsia="仿宋_GB2312" w:cs="Times New Roman"/>
          <w:color w:val="auto"/>
          <w:kern w:val="2"/>
          <w:sz w:val="32"/>
          <w:szCs w:val="32"/>
          <w:highlight w:val="none"/>
        </w:rPr>
        <w:t>公务用车运行维护费5.89万元，主要是车辆加油、维修、过路过桥费用支出</w:t>
      </w:r>
      <w:r>
        <w:rPr>
          <w:rFonts w:hint="eastAsia" w:ascii="Calibri" w:hAnsi="Calibri" w:eastAsia="仿宋_GB2312" w:cs="Times New Roman"/>
          <w:color w:val="auto"/>
          <w:kern w:val="2"/>
          <w:sz w:val="32"/>
          <w:szCs w:val="32"/>
          <w:highlight w:val="none"/>
          <w:lang w:eastAsia="zh-CN"/>
        </w:rPr>
        <w:t>。</w:t>
      </w:r>
      <w:r>
        <w:rPr>
          <w:rFonts w:hint="eastAsia" w:ascii="Calibri" w:hAnsi="Calibri" w:eastAsia="仿宋_GB2312" w:cs="Times New Roman"/>
          <w:color w:val="auto"/>
          <w:kern w:val="2"/>
          <w:sz w:val="32"/>
          <w:szCs w:val="32"/>
          <w:highlight w:val="none"/>
        </w:rPr>
        <w:t>截止2021年12月31日，我单位开支财政拨款的公务用车保有量为6辆。</w:t>
      </w:r>
    </w:p>
    <w:p>
      <w:pPr>
        <w:pStyle w:val="10"/>
        <w:ind w:firstLine="640" w:firstLineChars="200"/>
        <w:rPr>
          <w:rFonts w:hint="eastAsia" w:ascii="Calibri" w:hAnsi="Calibri" w:eastAsia="仿宋_GB2312" w:cs="Times New Roman"/>
          <w:b w:val="0"/>
          <w:color w:val="auto"/>
          <w:kern w:val="2"/>
          <w:sz w:val="32"/>
          <w:szCs w:val="32"/>
          <w:highlight w:val="none"/>
        </w:rPr>
      </w:pPr>
      <w:r>
        <w:rPr>
          <w:rFonts w:hint="eastAsia" w:ascii="Calibri" w:hAnsi="Calibri" w:eastAsia="仿宋_GB2312" w:cs="Times New Roman"/>
          <w:b w:val="0"/>
          <w:color w:val="auto"/>
          <w:kern w:val="2"/>
          <w:sz w:val="32"/>
          <w:szCs w:val="32"/>
          <w:highlight w:val="none"/>
        </w:rPr>
        <w:t>八、政府性基金预算收入支出决算情况</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2021年度政府性基金预算财政拨款收入0万元；年初结转和结余0万元；支出0万元，其中基本支出0元，项目支出0万元；年末结转和结余0万元。</w:t>
      </w:r>
    </w:p>
    <w:p>
      <w:pPr>
        <w:pStyle w:val="10"/>
        <w:rPr>
          <w:rFonts w:hAnsi="黑体"/>
          <w:b/>
          <w:color w:val="auto"/>
          <w:sz w:val="32"/>
          <w:szCs w:val="32"/>
          <w:highlight w:val="none"/>
        </w:rPr>
      </w:pPr>
      <w:r>
        <w:rPr>
          <w:rFonts w:hint="eastAsia" w:hAnsi="黑体"/>
          <w:b/>
          <w:color w:val="auto"/>
          <w:sz w:val="32"/>
          <w:szCs w:val="32"/>
          <w:highlight w:val="none"/>
        </w:rPr>
        <w:t>九、机关运行经费支出说明</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本部门2021年度机关运行经费支出57</w:t>
      </w:r>
      <w:r>
        <w:rPr>
          <w:rFonts w:hint="eastAsia" w:ascii="Calibri" w:hAnsi="Calibri" w:eastAsia="仿宋_GB2312" w:cs="Times New Roman"/>
          <w:color w:val="auto"/>
          <w:kern w:val="2"/>
          <w:sz w:val="32"/>
          <w:szCs w:val="32"/>
          <w:highlight w:val="none"/>
          <w:lang w:val="en-US" w:eastAsia="zh-CN"/>
        </w:rPr>
        <w:t>.</w:t>
      </w:r>
      <w:r>
        <w:rPr>
          <w:rFonts w:hint="eastAsia" w:ascii="Calibri" w:hAnsi="Calibri" w:eastAsia="仿宋_GB2312" w:cs="Times New Roman"/>
          <w:color w:val="auto"/>
          <w:kern w:val="2"/>
          <w:sz w:val="32"/>
          <w:szCs w:val="32"/>
          <w:highlight w:val="none"/>
        </w:rPr>
        <w:t>0</w:t>
      </w:r>
      <w:r>
        <w:rPr>
          <w:rFonts w:hint="eastAsia" w:ascii="Calibri" w:hAnsi="Calibri" w:eastAsia="仿宋_GB2312" w:cs="Times New Roman"/>
          <w:color w:val="auto"/>
          <w:kern w:val="2"/>
          <w:sz w:val="32"/>
          <w:szCs w:val="32"/>
          <w:highlight w:val="none"/>
          <w:lang w:eastAsia="zh-CN"/>
        </w:rPr>
        <w:t>8</w:t>
      </w:r>
      <w:r>
        <w:rPr>
          <w:rFonts w:hint="eastAsia" w:ascii="Calibri" w:hAnsi="Calibri" w:eastAsia="仿宋_GB2312" w:cs="Times New Roman"/>
          <w:color w:val="auto"/>
          <w:kern w:val="2"/>
          <w:sz w:val="32"/>
          <w:szCs w:val="32"/>
          <w:highlight w:val="none"/>
        </w:rPr>
        <w:t>万元</w:t>
      </w:r>
      <w:r>
        <w:rPr>
          <w:rFonts w:hint="eastAsia" w:ascii="Calibri" w:hAnsi="Calibri" w:eastAsia="仿宋_GB2312" w:cs="Times New Roman"/>
          <w:color w:val="auto"/>
          <w:kern w:val="2"/>
          <w:sz w:val="32"/>
          <w:szCs w:val="32"/>
          <w:highlight w:val="none"/>
          <w:lang w:val="en-US" w:eastAsia="zh-CN"/>
        </w:rPr>
        <w:t>,</w:t>
      </w:r>
      <w:r>
        <w:rPr>
          <w:rFonts w:hint="eastAsia" w:ascii="Calibri" w:hAnsi="Calibri" w:eastAsia="仿宋_GB2312" w:cs="Times New Roman"/>
          <w:color w:val="auto"/>
          <w:kern w:val="2"/>
          <w:sz w:val="32"/>
          <w:szCs w:val="32"/>
          <w:highlight w:val="none"/>
        </w:rPr>
        <w:t>比上年决算数198.30</w:t>
      </w:r>
      <w:r>
        <w:rPr>
          <w:rFonts w:hint="eastAsia" w:ascii="Calibri" w:hAnsi="Calibri" w:eastAsia="仿宋_GB2312" w:cs="Times New Roman"/>
          <w:color w:val="auto"/>
          <w:kern w:val="2"/>
          <w:sz w:val="32"/>
          <w:szCs w:val="32"/>
          <w:highlight w:val="none"/>
          <w:lang w:val="en-US" w:eastAsia="zh-CN"/>
        </w:rPr>
        <w:t>万</w:t>
      </w:r>
      <w:r>
        <w:rPr>
          <w:rFonts w:hint="eastAsia" w:ascii="Calibri" w:hAnsi="Calibri" w:eastAsia="仿宋_GB2312" w:cs="Times New Roman"/>
          <w:color w:val="auto"/>
          <w:kern w:val="2"/>
          <w:sz w:val="32"/>
          <w:szCs w:val="32"/>
          <w:highlight w:val="none"/>
        </w:rPr>
        <w:t>减少</w:t>
      </w:r>
      <w:r>
        <w:rPr>
          <w:rFonts w:hint="eastAsia" w:ascii="Calibri" w:hAnsi="Calibri" w:eastAsia="仿宋_GB2312" w:cs="Times New Roman"/>
          <w:color w:val="auto"/>
          <w:kern w:val="2"/>
          <w:sz w:val="32"/>
          <w:szCs w:val="32"/>
          <w:highlight w:val="none"/>
          <w:lang w:val="en-US" w:eastAsia="zh-CN"/>
        </w:rPr>
        <w:t>141.22</w:t>
      </w:r>
      <w:r>
        <w:rPr>
          <w:rFonts w:hint="eastAsia" w:ascii="Calibri" w:hAnsi="Calibri" w:eastAsia="仿宋_GB2312" w:cs="Times New Roman"/>
          <w:color w:val="auto"/>
          <w:kern w:val="2"/>
          <w:sz w:val="32"/>
          <w:szCs w:val="32"/>
          <w:highlight w:val="none"/>
        </w:rPr>
        <w:t>万元，降低</w:t>
      </w:r>
      <w:r>
        <w:rPr>
          <w:rFonts w:hint="eastAsia" w:ascii="Calibri" w:hAnsi="Calibri" w:eastAsia="仿宋_GB2312" w:cs="Times New Roman"/>
          <w:color w:val="auto"/>
          <w:kern w:val="2"/>
          <w:sz w:val="32"/>
          <w:szCs w:val="32"/>
          <w:highlight w:val="none"/>
          <w:lang w:val="en-US" w:eastAsia="zh-CN"/>
        </w:rPr>
        <w:t>71</w:t>
      </w:r>
      <w:r>
        <w:rPr>
          <w:rFonts w:hint="eastAsia" w:ascii="Calibri" w:hAnsi="Calibri" w:eastAsia="仿宋_GB2312" w:cs="Times New Roman"/>
          <w:color w:val="auto"/>
          <w:kern w:val="2"/>
          <w:sz w:val="32"/>
          <w:szCs w:val="32"/>
          <w:highlight w:val="none"/>
        </w:rPr>
        <w:t>%。主要原因是：厉行节减，严格控制费用。</w:t>
      </w:r>
    </w:p>
    <w:p>
      <w:pPr>
        <w:pStyle w:val="10"/>
        <w:rPr>
          <w:rFonts w:hAnsi="黑体"/>
          <w:b/>
          <w:color w:val="auto"/>
          <w:sz w:val="32"/>
          <w:szCs w:val="32"/>
          <w:highlight w:val="cyan"/>
        </w:rPr>
      </w:pPr>
      <w:r>
        <w:rPr>
          <w:rFonts w:hint="eastAsia" w:hAnsi="黑体"/>
          <w:b/>
          <w:color w:val="auto"/>
          <w:sz w:val="32"/>
          <w:szCs w:val="32"/>
          <w:highlight w:val="none"/>
        </w:rPr>
        <w:t>十、一般性支出情况说明</w:t>
      </w:r>
    </w:p>
    <w:p>
      <w:pPr>
        <w:pStyle w:val="10"/>
        <w:ind w:firstLine="640" w:firstLineChars="200"/>
        <w:rPr>
          <w:rFonts w:hint="eastAsia" w:ascii="Calibri" w:hAnsi="Calibri" w:eastAsia="仿宋_GB2312" w:cs="Times New Roman"/>
          <w:color w:val="auto"/>
          <w:kern w:val="2"/>
          <w:sz w:val="32"/>
          <w:szCs w:val="32"/>
          <w:highlight w:val="none"/>
          <w:lang w:val="en-US" w:eastAsia="zh-CN"/>
        </w:rPr>
      </w:pPr>
      <w:r>
        <w:rPr>
          <w:rFonts w:hint="eastAsia" w:ascii="Calibri" w:hAnsi="Calibri" w:eastAsia="仿宋_GB2312" w:cs="Times New Roman"/>
          <w:color w:val="auto"/>
          <w:kern w:val="2"/>
          <w:sz w:val="32"/>
          <w:szCs w:val="32"/>
          <w:highlight w:val="none"/>
        </w:rPr>
        <w:t>2021年本部门开支会议费0.24万元，用于召开中心考核会议，人数36人，内容为2020年驻市州生态环境监测中心领导班子和领导干部年度考核工作；开支培训费</w:t>
      </w:r>
      <w:r>
        <w:rPr>
          <w:rFonts w:hint="eastAsia" w:ascii="Calibri" w:hAnsi="Calibri" w:eastAsia="仿宋_GB2312" w:cs="Times New Roman"/>
          <w:color w:val="auto"/>
          <w:kern w:val="2"/>
          <w:sz w:val="32"/>
          <w:szCs w:val="32"/>
          <w:highlight w:val="none"/>
          <w:lang w:eastAsia="zh-CN"/>
        </w:rPr>
        <w:t>0</w:t>
      </w:r>
      <w:r>
        <w:rPr>
          <w:rFonts w:hint="eastAsia" w:ascii="Calibri" w:hAnsi="Calibri" w:eastAsia="仿宋_GB2312" w:cs="Times New Roman"/>
          <w:color w:val="auto"/>
          <w:kern w:val="2"/>
          <w:sz w:val="32"/>
          <w:szCs w:val="32"/>
          <w:highlight w:val="none"/>
        </w:rPr>
        <w:t>万元</w:t>
      </w:r>
      <w:r>
        <w:rPr>
          <w:rFonts w:hint="eastAsia" w:ascii="Calibri" w:hAnsi="Calibri" w:eastAsia="仿宋_GB2312" w:cs="Times New Roman"/>
          <w:color w:val="auto"/>
          <w:kern w:val="2"/>
          <w:sz w:val="32"/>
          <w:szCs w:val="32"/>
          <w:highlight w:val="none"/>
          <w:lang w:eastAsia="zh-CN"/>
        </w:rPr>
        <w:t>；</w:t>
      </w:r>
      <w:r>
        <w:rPr>
          <w:rFonts w:hint="eastAsia" w:ascii="Calibri" w:hAnsi="Calibri" w:eastAsia="仿宋_GB2312" w:cs="Times New Roman"/>
          <w:i w:val="0"/>
          <w:iCs w:val="0"/>
          <w:caps w:val="0"/>
          <w:color w:val="auto"/>
          <w:spacing w:val="0"/>
          <w:kern w:val="2"/>
          <w:sz w:val="32"/>
          <w:szCs w:val="32"/>
          <w:highlight w:val="none"/>
          <w:shd w:val="clear" w:fill="auto"/>
          <w:lang w:val="en-US" w:eastAsia="zh-CN" w:bidi="ar"/>
        </w:rPr>
        <w:t>2021年度本部门未举办节庆、晚会、论坛、赛事等活动</w:t>
      </w:r>
      <w:r>
        <w:rPr>
          <w:rFonts w:hint="eastAsia" w:ascii="Calibri" w:hAnsi="Calibri" w:eastAsia="仿宋_GB2312" w:cs="Times New Roman"/>
          <w:color w:val="auto"/>
          <w:kern w:val="2"/>
          <w:sz w:val="32"/>
          <w:szCs w:val="32"/>
          <w:highlight w:val="none"/>
          <w:lang w:val="en-US" w:eastAsia="zh-CN"/>
        </w:rPr>
        <w:t>。</w:t>
      </w:r>
    </w:p>
    <w:p>
      <w:pPr>
        <w:pStyle w:val="10"/>
        <w:rPr>
          <w:rFonts w:hAnsi="黑体"/>
          <w:b/>
          <w:color w:val="auto"/>
          <w:sz w:val="32"/>
          <w:szCs w:val="32"/>
          <w:highlight w:val="none"/>
        </w:rPr>
      </w:pPr>
      <w:r>
        <w:rPr>
          <w:rFonts w:hint="eastAsia" w:hAnsi="黑体"/>
          <w:b/>
          <w:color w:val="auto"/>
          <w:sz w:val="32"/>
          <w:szCs w:val="32"/>
          <w:highlight w:val="none"/>
        </w:rPr>
        <w:t>十一、政府采购支出说明</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本部门2021年度政府采购支出</w:t>
      </w:r>
      <w:r>
        <w:rPr>
          <w:rFonts w:hint="eastAsia" w:ascii="Calibri" w:hAnsi="Calibri" w:eastAsia="仿宋_GB2312" w:cs="Times New Roman"/>
          <w:color w:val="auto"/>
          <w:kern w:val="2"/>
          <w:sz w:val="32"/>
          <w:szCs w:val="32"/>
          <w:highlight w:val="none"/>
          <w:lang w:val="en-US" w:eastAsia="zh-CN"/>
        </w:rPr>
        <w:t>702.78万元</w:t>
      </w:r>
      <w:r>
        <w:rPr>
          <w:rFonts w:hint="eastAsia" w:ascii="Calibri" w:hAnsi="Calibri" w:eastAsia="仿宋_GB2312" w:cs="Times New Roman"/>
          <w:color w:val="auto"/>
          <w:kern w:val="2"/>
          <w:sz w:val="32"/>
          <w:szCs w:val="32"/>
          <w:highlight w:val="none"/>
        </w:rPr>
        <w:t>。其中：政府采购货物支出</w:t>
      </w:r>
      <w:r>
        <w:rPr>
          <w:rFonts w:hint="eastAsia" w:ascii="Calibri" w:hAnsi="Calibri" w:eastAsia="仿宋_GB2312" w:cs="Times New Roman"/>
          <w:color w:val="auto"/>
          <w:kern w:val="2"/>
          <w:sz w:val="32"/>
          <w:szCs w:val="32"/>
          <w:highlight w:val="none"/>
          <w:lang w:val="en-US" w:eastAsia="zh-CN"/>
        </w:rPr>
        <w:t>120.42</w:t>
      </w:r>
      <w:r>
        <w:rPr>
          <w:rFonts w:hint="eastAsia" w:ascii="Calibri" w:hAnsi="Calibri" w:eastAsia="仿宋_GB2312" w:cs="Times New Roman"/>
          <w:color w:val="auto"/>
          <w:kern w:val="2"/>
          <w:sz w:val="32"/>
          <w:szCs w:val="32"/>
          <w:highlight w:val="none"/>
        </w:rPr>
        <w:t xml:space="preserve"> 万元、政府采购工程支出</w:t>
      </w:r>
      <w:r>
        <w:rPr>
          <w:rFonts w:hint="eastAsia" w:ascii="Calibri" w:hAnsi="Calibri" w:eastAsia="仿宋_GB2312" w:cs="Times New Roman"/>
          <w:color w:val="auto"/>
          <w:kern w:val="2"/>
          <w:sz w:val="32"/>
          <w:szCs w:val="32"/>
          <w:highlight w:val="none"/>
          <w:lang w:val="en-US" w:eastAsia="zh-CN"/>
        </w:rPr>
        <w:t>82.31</w:t>
      </w:r>
      <w:r>
        <w:rPr>
          <w:rFonts w:hint="eastAsia" w:ascii="Calibri" w:hAnsi="Calibri" w:eastAsia="仿宋_GB2312" w:cs="Times New Roman"/>
          <w:color w:val="auto"/>
          <w:kern w:val="2"/>
          <w:sz w:val="32"/>
          <w:szCs w:val="32"/>
          <w:highlight w:val="none"/>
        </w:rPr>
        <w:t>万元、政府采购服务支出</w:t>
      </w:r>
      <w:r>
        <w:rPr>
          <w:rFonts w:hint="eastAsia" w:ascii="Calibri" w:hAnsi="Calibri" w:eastAsia="仿宋_GB2312" w:cs="Times New Roman"/>
          <w:color w:val="auto"/>
          <w:kern w:val="2"/>
          <w:sz w:val="32"/>
          <w:szCs w:val="32"/>
          <w:highlight w:val="none"/>
          <w:lang w:val="en-US" w:eastAsia="zh-CN"/>
        </w:rPr>
        <w:t>500.05</w:t>
      </w:r>
      <w:r>
        <w:rPr>
          <w:rFonts w:hint="eastAsia" w:ascii="Calibri" w:hAnsi="Calibri" w:eastAsia="仿宋_GB2312" w:cs="Times New Roman"/>
          <w:color w:val="auto"/>
          <w:kern w:val="2"/>
          <w:sz w:val="32"/>
          <w:szCs w:val="32"/>
          <w:highlight w:val="none"/>
        </w:rPr>
        <w:t>万元。授予中小企业合同金额</w:t>
      </w:r>
      <w:r>
        <w:rPr>
          <w:rFonts w:hint="eastAsia" w:ascii="Calibri" w:hAnsi="Calibri" w:eastAsia="仿宋_GB2312" w:cs="Times New Roman"/>
          <w:color w:val="auto"/>
          <w:kern w:val="2"/>
          <w:sz w:val="32"/>
          <w:szCs w:val="32"/>
          <w:highlight w:val="none"/>
          <w:lang w:val="en-US" w:eastAsia="zh-CN"/>
        </w:rPr>
        <w:t>702.78</w:t>
      </w:r>
      <w:r>
        <w:rPr>
          <w:rFonts w:hint="eastAsia" w:ascii="Calibri" w:hAnsi="Calibri" w:eastAsia="仿宋_GB2312" w:cs="Times New Roman"/>
          <w:color w:val="auto"/>
          <w:kern w:val="2"/>
          <w:sz w:val="32"/>
          <w:szCs w:val="32"/>
          <w:highlight w:val="none"/>
        </w:rPr>
        <w:t>万元，占政府采购支出总额的</w:t>
      </w:r>
      <w:r>
        <w:rPr>
          <w:rFonts w:hint="eastAsia" w:ascii="Calibri" w:hAnsi="Calibri" w:eastAsia="仿宋_GB2312" w:cs="Times New Roman"/>
          <w:color w:val="auto"/>
          <w:kern w:val="2"/>
          <w:sz w:val="32"/>
          <w:szCs w:val="32"/>
          <w:highlight w:val="none"/>
          <w:lang w:val="en-US" w:eastAsia="zh-CN"/>
        </w:rPr>
        <w:t>100</w:t>
      </w:r>
      <w:r>
        <w:rPr>
          <w:rFonts w:hint="eastAsia" w:ascii="Calibri" w:hAnsi="Calibri" w:eastAsia="仿宋_GB2312" w:cs="Times New Roman"/>
          <w:color w:val="auto"/>
          <w:kern w:val="2"/>
          <w:sz w:val="32"/>
          <w:szCs w:val="32"/>
          <w:highlight w:val="none"/>
        </w:rPr>
        <w:t>%，其中：授予小微企业合同金额</w:t>
      </w:r>
      <w:r>
        <w:rPr>
          <w:rFonts w:hint="eastAsia" w:ascii="Calibri" w:hAnsi="Calibri" w:eastAsia="仿宋_GB2312" w:cs="Times New Roman"/>
          <w:color w:val="auto"/>
          <w:kern w:val="2"/>
          <w:sz w:val="32"/>
          <w:szCs w:val="32"/>
          <w:highlight w:val="none"/>
          <w:lang w:val="en-US" w:eastAsia="zh-CN"/>
        </w:rPr>
        <w:t>702.78</w:t>
      </w:r>
      <w:r>
        <w:rPr>
          <w:rFonts w:hint="eastAsia" w:ascii="Calibri" w:hAnsi="Calibri" w:eastAsia="仿宋_GB2312" w:cs="Times New Roman"/>
          <w:color w:val="auto"/>
          <w:kern w:val="2"/>
          <w:sz w:val="32"/>
          <w:szCs w:val="32"/>
          <w:highlight w:val="none"/>
        </w:rPr>
        <w:t>万元，占政府采购支出总额的</w:t>
      </w:r>
      <w:r>
        <w:rPr>
          <w:rFonts w:hint="eastAsia" w:ascii="Calibri" w:hAnsi="Calibri" w:eastAsia="仿宋_GB2312" w:cs="Times New Roman"/>
          <w:color w:val="auto"/>
          <w:kern w:val="2"/>
          <w:sz w:val="32"/>
          <w:szCs w:val="32"/>
          <w:highlight w:val="none"/>
          <w:lang w:val="en-US" w:eastAsia="zh-CN"/>
        </w:rPr>
        <w:t>100</w:t>
      </w:r>
      <w:r>
        <w:rPr>
          <w:rFonts w:hint="eastAsia" w:ascii="Calibri" w:hAnsi="Calibri" w:eastAsia="仿宋_GB2312" w:cs="Times New Roman"/>
          <w:color w:val="auto"/>
          <w:kern w:val="2"/>
          <w:sz w:val="32"/>
          <w:szCs w:val="32"/>
          <w:highlight w:val="none"/>
        </w:rPr>
        <w:t>%。</w:t>
      </w:r>
    </w:p>
    <w:p>
      <w:pPr>
        <w:pStyle w:val="10"/>
        <w:ind w:firstLine="640" w:firstLineChars="200"/>
        <w:rPr>
          <w:rFonts w:hAnsi="黑体"/>
          <w:b/>
          <w:color w:val="auto"/>
          <w:sz w:val="32"/>
          <w:szCs w:val="32"/>
          <w:highlight w:val="none"/>
        </w:rPr>
      </w:pPr>
      <w:r>
        <w:rPr>
          <w:rFonts w:hint="eastAsia" w:hAnsi="黑体"/>
          <w:b/>
          <w:color w:val="auto"/>
          <w:sz w:val="32"/>
          <w:szCs w:val="32"/>
          <w:highlight w:val="none"/>
        </w:rPr>
        <w:t>十二、国有资产占用情况说明</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截至2021年12月31日，部门（单位）共有车辆6辆</w:t>
      </w:r>
      <w:r>
        <w:rPr>
          <w:rFonts w:hint="eastAsia" w:ascii="Calibri" w:hAnsi="Calibri" w:eastAsia="仿宋_GB2312" w:cs="Times New Roman"/>
          <w:color w:val="auto"/>
          <w:kern w:val="2"/>
          <w:sz w:val="32"/>
          <w:szCs w:val="32"/>
          <w:highlight w:val="none"/>
          <w:lang w:eastAsia="zh-CN"/>
        </w:rPr>
        <w:t>，</w:t>
      </w:r>
      <w:r>
        <w:rPr>
          <w:rFonts w:hint="eastAsia" w:ascii="Calibri" w:hAnsi="Calibri" w:eastAsia="仿宋_GB2312" w:cs="Times New Roman"/>
          <w:color w:val="auto"/>
          <w:kern w:val="2"/>
          <w:sz w:val="32"/>
          <w:szCs w:val="32"/>
          <w:highlight w:val="none"/>
        </w:rPr>
        <w:t>其中，领导干部用车</w:t>
      </w:r>
      <w:r>
        <w:rPr>
          <w:rFonts w:hint="eastAsia" w:ascii="Calibri" w:hAnsi="Calibri" w:eastAsia="仿宋_GB2312" w:cs="Times New Roman"/>
          <w:color w:val="auto"/>
          <w:kern w:val="2"/>
          <w:sz w:val="32"/>
          <w:szCs w:val="32"/>
          <w:highlight w:val="none"/>
          <w:lang w:val="en-US" w:eastAsia="zh-CN"/>
        </w:rPr>
        <w:t>0</w:t>
      </w:r>
      <w:r>
        <w:rPr>
          <w:rFonts w:hint="eastAsia" w:ascii="Calibri" w:hAnsi="Calibri" w:eastAsia="仿宋_GB2312" w:cs="Times New Roman"/>
          <w:color w:val="auto"/>
          <w:kern w:val="2"/>
          <w:sz w:val="32"/>
          <w:szCs w:val="32"/>
          <w:highlight w:val="none"/>
        </w:rPr>
        <w:t>辆、一般公务用车</w:t>
      </w:r>
      <w:r>
        <w:rPr>
          <w:rFonts w:hint="eastAsia" w:ascii="Calibri" w:hAnsi="Calibri" w:eastAsia="仿宋_GB2312" w:cs="Times New Roman"/>
          <w:color w:val="auto"/>
          <w:kern w:val="2"/>
          <w:sz w:val="32"/>
          <w:szCs w:val="32"/>
          <w:highlight w:val="none"/>
          <w:lang w:val="en-US" w:eastAsia="zh-CN"/>
        </w:rPr>
        <w:t>0</w:t>
      </w:r>
      <w:r>
        <w:rPr>
          <w:rFonts w:hint="eastAsia" w:ascii="Calibri" w:hAnsi="Calibri" w:eastAsia="仿宋_GB2312" w:cs="Times New Roman"/>
          <w:color w:val="auto"/>
          <w:kern w:val="2"/>
          <w:sz w:val="32"/>
          <w:szCs w:val="32"/>
          <w:highlight w:val="none"/>
        </w:rPr>
        <w:t>辆、一般执法执勤用车</w:t>
      </w:r>
      <w:r>
        <w:rPr>
          <w:rFonts w:hint="eastAsia" w:ascii="Calibri" w:hAnsi="Calibri" w:eastAsia="仿宋_GB2312" w:cs="Times New Roman"/>
          <w:color w:val="auto"/>
          <w:kern w:val="2"/>
          <w:sz w:val="32"/>
          <w:szCs w:val="32"/>
          <w:highlight w:val="none"/>
          <w:lang w:val="en-US" w:eastAsia="zh-CN"/>
        </w:rPr>
        <w:t>0</w:t>
      </w:r>
      <w:r>
        <w:rPr>
          <w:rFonts w:hint="eastAsia" w:ascii="Calibri" w:hAnsi="Calibri" w:eastAsia="仿宋_GB2312" w:cs="Times New Roman"/>
          <w:color w:val="auto"/>
          <w:kern w:val="2"/>
          <w:sz w:val="32"/>
          <w:szCs w:val="32"/>
          <w:highlight w:val="none"/>
        </w:rPr>
        <w:t>辆、特种专业技术用车</w:t>
      </w:r>
      <w:r>
        <w:rPr>
          <w:rFonts w:hint="eastAsia" w:ascii="Calibri" w:hAnsi="Calibri" w:eastAsia="仿宋_GB2312" w:cs="Times New Roman"/>
          <w:color w:val="auto"/>
          <w:kern w:val="2"/>
          <w:sz w:val="32"/>
          <w:szCs w:val="32"/>
          <w:highlight w:val="none"/>
          <w:lang w:val="en-US" w:eastAsia="zh-CN"/>
        </w:rPr>
        <w:t>1</w:t>
      </w:r>
      <w:r>
        <w:rPr>
          <w:rFonts w:hint="eastAsia" w:ascii="Calibri" w:hAnsi="Calibri" w:eastAsia="仿宋_GB2312" w:cs="Times New Roman"/>
          <w:color w:val="auto"/>
          <w:kern w:val="2"/>
          <w:sz w:val="32"/>
          <w:szCs w:val="32"/>
          <w:highlight w:val="none"/>
        </w:rPr>
        <w:t xml:space="preserve"> 辆、其他业务用车5辆；单位价值50万元以上通用设备4台（套）；单位价值100万元以上专用设备1台（套）。</w:t>
      </w:r>
    </w:p>
    <w:p>
      <w:pPr>
        <w:pStyle w:val="10"/>
        <w:rPr>
          <w:rFonts w:hAnsi="黑体"/>
          <w:b/>
          <w:color w:val="auto"/>
          <w:sz w:val="32"/>
          <w:szCs w:val="32"/>
          <w:highlight w:val="none"/>
        </w:rPr>
      </w:pPr>
      <w:r>
        <w:rPr>
          <w:rFonts w:hint="eastAsia" w:hAnsi="黑体"/>
          <w:b/>
          <w:color w:val="auto"/>
          <w:sz w:val="32"/>
          <w:szCs w:val="32"/>
          <w:highlight w:val="none"/>
        </w:rPr>
        <w:t>十三、2021年度预算绩效情况说明</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为进一步规范财政资金管理，强化绩效和责任意识，切实提高财政资金使用效益，</w:t>
      </w:r>
      <w:r>
        <w:rPr>
          <w:rFonts w:hint="eastAsia" w:ascii="Calibri" w:hAnsi="Calibri" w:eastAsia="仿宋_GB2312" w:cs="Times New Roman"/>
          <w:i w:val="0"/>
          <w:iCs w:val="0"/>
          <w:caps w:val="0"/>
          <w:color w:val="auto"/>
          <w:spacing w:val="0"/>
          <w:kern w:val="2"/>
          <w:sz w:val="32"/>
          <w:szCs w:val="32"/>
          <w:highlight w:val="none"/>
          <w:shd w:val="clear" w:fill="auto"/>
          <w:lang w:val="en-US" w:eastAsia="zh-CN"/>
        </w:rPr>
        <w:t>我部门组织对2021年部门整体支出进行绩效自评，涉及财政资金</w:t>
      </w:r>
      <w:r>
        <w:rPr>
          <w:rFonts w:hint="eastAsia" w:ascii="Calibri" w:hAnsi="Calibri" w:eastAsia="仿宋_GB2312" w:cs="Times New Roman"/>
          <w:i w:val="0"/>
          <w:iCs w:val="0"/>
          <w:caps w:val="0"/>
          <w:color w:val="auto"/>
          <w:spacing w:val="0"/>
          <w:kern w:val="2"/>
          <w:sz w:val="32"/>
          <w:szCs w:val="32"/>
          <w:highlight w:val="none"/>
          <w:shd w:val="clear"/>
          <w:lang w:val="en-US" w:eastAsia="zh-CN"/>
        </w:rPr>
        <w:t>1909.56</w:t>
      </w:r>
      <w:r>
        <w:rPr>
          <w:rFonts w:hint="eastAsia" w:ascii="Calibri" w:hAnsi="Calibri" w:eastAsia="仿宋_GB2312" w:cs="Times New Roman"/>
          <w:i w:val="0"/>
          <w:iCs w:val="0"/>
          <w:caps w:val="0"/>
          <w:color w:val="auto"/>
          <w:spacing w:val="0"/>
          <w:kern w:val="2"/>
          <w:sz w:val="32"/>
          <w:szCs w:val="32"/>
          <w:highlight w:val="none"/>
          <w:shd w:val="clear" w:fill="auto"/>
          <w:lang w:val="en-US" w:eastAsia="zh-CN"/>
        </w:rPr>
        <w:t>万元，其中：基本支出</w:t>
      </w:r>
      <w:r>
        <w:rPr>
          <w:rFonts w:hint="eastAsia" w:ascii="Calibri" w:hAnsi="Calibri" w:eastAsia="仿宋_GB2312" w:cs="Times New Roman"/>
          <w:color w:val="auto"/>
          <w:kern w:val="2"/>
          <w:sz w:val="32"/>
          <w:szCs w:val="32"/>
          <w:highlight w:val="none"/>
          <w:lang w:val="en-US" w:eastAsia="zh-CN"/>
        </w:rPr>
        <w:t>864.7</w:t>
      </w:r>
      <w:r>
        <w:rPr>
          <w:rFonts w:hint="eastAsia" w:ascii="Calibri" w:hAnsi="Calibri" w:eastAsia="仿宋_GB2312" w:cs="Times New Roman"/>
          <w:i w:val="0"/>
          <w:iCs w:val="0"/>
          <w:caps w:val="0"/>
          <w:color w:val="auto"/>
          <w:spacing w:val="0"/>
          <w:kern w:val="2"/>
          <w:sz w:val="32"/>
          <w:szCs w:val="32"/>
          <w:highlight w:val="none"/>
          <w:shd w:val="clear" w:fill="auto"/>
          <w:lang w:val="en-US" w:eastAsia="zh-CN"/>
        </w:rPr>
        <w:t>万元，项目支出</w:t>
      </w:r>
      <w:r>
        <w:rPr>
          <w:rFonts w:hint="eastAsia" w:ascii="Calibri" w:hAnsi="Calibri" w:eastAsia="仿宋_GB2312" w:cs="Times New Roman"/>
          <w:i w:val="0"/>
          <w:iCs w:val="0"/>
          <w:caps w:val="0"/>
          <w:color w:val="auto"/>
          <w:spacing w:val="0"/>
          <w:kern w:val="2"/>
          <w:sz w:val="32"/>
          <w:szCs w:val="32"/>
          <w:highlight w:val="none"/>
          <w:shd w:val="clear"/>
          <w:lang w:val="en-US" w:eastAsia="zh-CN"/>
        </w:rPr>
        <w:t>1044.86</w:t>
      </w:r>
      <w:r>
        <w:rPr>
          <w:rFonts w:hint="eastAsia" w:ascii="Calibri" w:hAnsi="Calibri" w:eastAsia="仿宋_GB2312" w:cs="Times New Roman"/>
          <w:i w:val="0"/>
          <w:iCs w:val="0"/>
          <w:caps w:val="0"/>
          <w:color w:val="auto"/>
          <w:spacing w:val="0"/>
          <w:kern w:val="2"/>
          <w:sz w:val="32"/>
          <w:szCs w:val="32"/>
          <w:highlight w:val="none"/>
          <w:shd w:val="clear" w:fill="auto"/>
          <w:lang w:val="en-US" w:eastAsia="zh-CN"/>
        </w:rPr>
        <w:t>万元。从评价结果看，资金使用效益较好，</w:t>
      </w:r>
      <w:r>
        <w:rPr>
          <w:rFonts w:hint="eastAsia" w:ascii="Calibri" w:hAnsi="Calibri" w:eastAsia="仿宋_GB2312" w:cs="Times New Roman"/>
          <w:i w:val="0"/>
          <w:iCs w:val="0"/>
          <w:caps w:val="0"/>
          <w:color w:val="auto"/>
          <w:spacing w:val="0"/>
          <w:kern w:val="2"/>
          <w:sz w:val="32"/>
          <w:szCs w:val="32"/>
          <w:highlight w:val="none"/>
          <w:shd w:val="clear" w:fill="auto"/>
        </w:rPr>
        <w:t>达到了预期绩效目标。</w:t>
      </w:r>
    </w:p>
    <w:p>
      <w:pPr>
        <w:pStyle w:val="10"/>
        <w:ind w:firstLine="640" w:firstLineChars="200"/>
        <w:rPr>
          <w:rFonts w:hint="eastAsia" w:ascii="Calibri" w:hAnsi="Calibri" w:eastAsia="仿宋_GB2312" w:cs="Times New Roman"/>
          <w:color w:val="auto"/>
          <w:kern w:val="2"/>
          <w:sz w:val="32"/>
          <w:szCs w:val="32"/>
          <w:highlight w:val="none"/>
        </w:rPr>
      </w:pPr>
      <w:r>
        <w:rPr>
          <w:rFonts w:hint="eastAsia" w:ascii="Calibri" w:hAnsi="Calibri" w:eastAsia="仿宋_GB2312" w:cs="Times New Roman"/>
          <w:color w:val="auto"/>
          <w:kern w:val="2"/>
          <w:sz w:val="32"/>
          <w:szCs w:val="32"/>
          <w:highlight w:val="none"/>
        </w:rPr>
        <w:t>本部门预算绩效管理开展情况、绩效目标和绩效评价报告等详见附件</w:t>
      </w:r>
      <w:r>
        <w:rPr>
          <w:rFonts w:hint="eastAsia" w:ascii="Calibri" w:hAnsi="Calibri" w:eastAsia="仿宋_GB2312" w:cs="Times New Roman"/>
          <w:color w:val="auto"/>
          <w:kern w:val="2"/>
          <w:sz w:val="32"/>
          <w:szCs w:val="32"/>
          <w:highlight w:val="none"/>
          <w:lang w:eastAsia="zh-CN"/>
        </w:rPr>
        <w:t>。</w:t>
      </w:r>
    </w:p>
    <w:p>
      <w:pPr>
        <w:pStyle w:val="10"/>
        <w:ind w:firstLine="640" w:firstLineChars="200"/>
        <w:rPr>
          <w:rFonts w:hint="eastAsia" w:ascii="Calibri" w:hAnsi="Calibri" w:eastAsia="仿宋_GB2312" w:cs="Times New Roman"/>
          <w:b w:val="0"/>
          <w:color w:val="auto"/>
          <w:kern w:val="2"/>
          <w:sz w:val="32"/>
          <w:szCs w:val="32"/>
          <w:highlight w:val="none"/>
        </w:rPr>
      </w:pPr>
    </w:p>
    <w:p>
      <w:pPr>
        <w:pStyle w:val="10"/>
        <w:jc w:val="center"/>
        <w:rPr>
          <w:color w:val="auto"/>
          <w:sz w:val="72"/>
          <w:szCs w:val="72"/>
          <w:highlight w:val="none"/>
        </w:rPr>
      </w:pPr>
    </w:p>
    <w:p>
      <w:pPr>
        <w:pStyle w:val="10"/>
        <w:rPr>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color w:val="auto"/>
          <w:sz w:val="72"/>
          <w:szCs w:val="72"/>
          <w:highlight w:val="none"/>
        </w:rPr>
      </w:pPr>
      <w:r>
        <w:rPr>
          <w:rFonts w:hint="eastAsia"/>
          <w:color w:val="auto"/>
          <w:sz w:val="72"/>
          <w:szCs w:val="72"/>
          <w:highlight w:val="none"/>
        </w:rPr>
        <w:t>第四部分</w:t>
      </w:r>
    </w:p>
    <w:p>
      <w:pPr>
        <w:jc w:val="center"/>
        <w:rPr>
          <w:rFonts w:ascii="黑体" w:eastAsia="黑体" w:cs="黑体"/>
          <w:color w:val="auto"/>
          <w:kern w:val="0"/>
          <w:sz w:val="70"/>
          <w:szCs w:val="70"/>
          <w:highlight w:val="none"/>
        </w:rPr>
      </w:pPr>
    </w:p>
    <w:p>
      <w:pPr>
        <w:jc w:val="center"/>
        <w:rPr>
          <w:rFonts w:hint="eastAsia" w:ascii="黑体" w:eastAsia="黑体" w:cs="黑体"/>
          <w:color w:val="auto"/>
          <w:kern w:val="0"/>
          <w:sz w:val="70"/>
          <w:szCs w:val="70"/>
          <w:highlight w:val="none"/>
        </w:rPr>
      </w:pPr>
      <w:r>
        <w:rPr>
          <w:rFonts w:hint="eastAsia" w:ascii="黑体" w:eastAsia="黑体" w:cs="黑体"/>
          <w:color w:val="auto"/>
          <w:kern w:val="0"/>
          <w:sz w:val="70"/>
          <w:szCs w:val="70"/>
          <w:highlight w:val="none"/>
        </w:rPr>
        <w:t>名词解释</w:t>
      </w:r>
    </w:p>
    <w:p>
      <w:pPr>
        <w:jc w:val="center"/>
        <w:rPr>
          <w:rFonts w:hint="eastAsia" w:ascii="黑体" w:eastAsia="黑体" w:cs="黑体"/>
          <w:color w:val="auto"/>
          <w:kern w:val="0"/>
          <w:sz w:val="70"/>
          <w:szCs w:val="70"/>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hint="eastAsia" w:ascii="仿宋_GB2312" w:hAnsi="仿宋_GB2312" w:eastAsia="仿宋_GB2312"/>
          <w:b/>
          <w:color w:val="auto"/>
          <w:sz w:val="32"/>
          <w:highlight w:val="none"/>
        </w:rPr>
      </w:pPr>
    </w:p>
    <w:p>
      <w:pPr>
        <w:adjustRightInd w:val="0"/>
        <w:snapToGrid w:val="0"/>
        <w:spacing w:line="360" w:lineRule="auto"/>
        <w:ind w:firstLine="640" w:firstLineChars="200"/>
        <w:rPr>
          <w:rFonts w:ascii="仿宋_GB2312" w:hAnsi="仿宋_GB2312" w:eastAsia="仿宋_GB2312"/>
          <w:color w:val="auto"/>
          <w:sz w:val="32"/>
          <w:highlight w:val="none"/>
        </w:rPr>
      </w:pPr>
      <w:r>
        <w:rPr>
          <w:rFonts w:hint="eastAsia" w:ascii="仿宋_GB2312" w:hAnsi="仿宋_GB2312" w:eastAsia="仿宋_GB2312"/>
          <w:b/>
          <w:color w:val="auto"/>
          <w:sz w:val="32"/>
          <w:highlight w:val="none"/>
        </w:rPr>
        <w:t>1、</w:t>
      </w:r>
      <w:r>
        <w:rPr>
          <w:rFonts w:ascii="仿宋_GB2312" w:hAnsi="仿宋_GB2312" w:eastAsia="仿宋_GB2312"/>
          <w:b/>
          <w:color w:val="auto"/>
          <w:sz w:val="32"/>
          <w:highlight w:val="none"/>
        </w:rPr>
        <w:t>财政拨款收入</w:t>
      </w:r>
      <w:r>
        <w:rPr>
          <w:rFonts w:ascii="仿宋_GB2312" w:hAnsi="仿宋_GB2312" w:eastAsia="仿宋_GB2312"/>
          <w:color w:val="auto"/>
          <w:sz w:val="32"/>
          <w:highlight w:val="none"/>
        </w:rPr>
        <w:t>：</w:t>
      </w:r>
      <w:r>
        <w:rPr>
          <w:rFonts w:asciiTheme="minorEastAsia" w:hAnsiTheme="minorEastAsia"/>
          <w:color w:val="auto"/>
          <w:sz w:val="32"/>
          <w:szCs w:val="32"/>
          <w:highlight w:val="none"/>
        </w:rPr>
        <w:t>指财政当年拨付的资金。</w:t>
      </w:r>
    </w:p>
    <w:p>
      <w:pPr>
        <w:adjustRightInd w:val="0"/>
        <w:snapToGrid w:val="0"/>
        <w:spacing w:line="360" w:lineRule="auto"/>
        <w:ind w:firstLine="640" w:firstLineChars="200"/>
        <w:rPr>
          <w:rFonts w:ascii="Times New Roman" w:hAnsi="Times New Roman" w:eastAsia="Times New Roman"/>
          <w:color w:val="auto"/>
          <w:highlight w:val="none"/>
        </w:rPr>
      </w:pPr>
      <w:r>
        <w:rPr>
          <w:rFonts w:hint="eastAsia" w:ascii="仿宋_GB2312" w:hAnsi="仿宋_GB2312" w:eastAsia="仿宋_GB2312"/>
          <w:b/>
          <w:color w:val="auto"/>
          <w:sz w:val="32"/>
          <w:highlight w:val="none"/>
        </w:rPr>
        <w:t>2、</w:t>
      </w:r>
      <w:r>
        <w:rPr>
          <w:rFonts w:ascii="仿宋_GB2312" w:hAnsi="仿宋_GB2312" w:eastAsia="仿宋_GB2312"/>
          <w:b/>
          <w:color w:val="auto"/>
          <w:sz w:val="32"/>
          <w:highlight w:val="none"/>
        </w:rPr>
        <w:t>事业收入</w:t>
      </w:r>
      <w:r>
        <w:rPr>
          <w:rFonts w:ascii="仿宋_GB2312" w:hAnsi="仿宋_GB2312" w:eastAsia="仿宋_GB2312"/>
          <w:color w:val="auto"/>
          <w:sz w:val="32"/>
          <w:highlight w:val="none"/>
        </w:rPr>
        <w:t>：</w:t>
      </w:r>
      <w:r>
        <w:rPr>
          <w:rFonts w:asciiTheme="minorEastAsia" w:hAnsiTheme="minorEastAsia"/>
          <w:color w:val="auto"/>
          <w:sz w:val="32"/>
          <w:szCs w:val="32"/>
          <w:highlight w:val="none"/>
        </w:rPr>
        <w:t>指事业单位开展专业业务活动及辅助活动所取得的收入。</w:t>
      </w:r>
    </w:p>
    <w:p>
      <w:pPr>
        <w:adjustRightInd w:val="0"/>
        <w:snapToGrid w:val="0"/>
        <w:spacing w:line="360" w:lineRule="auto"/>
        <w:ind w:firstLine="640" w:firstLineChars="200"/>
        <w:rPr>
          <w:rFonts w:asciiTheme="minorEastAsia" w:hAnsiTheme="minorEastAsia"/>
          <w:color w:val="auto"/>
          <w:sz w:val="32"/>
          <w:szCs w:val="32"/>
          <w:highlight w:val="none"/>
        </w:rPr>
      </w:pPr>
      <w:r>
        <w:rPr>
          <w:rFonts w:hint="eastAsia" w:ascii="仿宋_GB2312" w:hAnsi="仿宋_GB2312" w:eastAsia="仿宋_GB2312"/>
          <w:b/>
          <w:color w:val="auto"/>
          <w:sz w:val="32"/>
          <w:highlight w:val="none"/>
        </w:rPr>
        <w:t>3、</w:t>
      </w:r>
      <w:r>
        <w:rPr>
          <w:rFonts w:ascii="仿宋_GB2312" w:hAnsi="仿宋_GB2312" w:eastAsia="仿宋_GB2312"/>
          <w:b/>
          <w:color w:val="auto"/>
          <w:sz w:val="32"/>
          <w:highlight w:val="none"/>
        </w:rPr>
        <w:t>经营收入</w:t>
      </w:r>
      <w:r>
        <w:rPr>
          <w:rFonts w:ascii="仿宋_GB2312" w:hAnsi="仿宋_GB2312" w:eastAsia="仿宋_GB2312"/>
          <w:color w:val="auto"/>
          <w:sz w:val="32"/>
          <w:highlight w:val="none"/>
        </w:rPr>
        <w:t>：</w:t>
      </w:r>
      <w:r>
        <w:rPr>
          <w:rFonts w:asciiTheme="minorEastAsia" w:hAnsiTheme="minorEastAsia"/>
          <w:color w:val="auto"/>
          <w:sz w:val="32"/>
          <w:szCs w:val="32"/>
          <w:highlight w:val="none"/>
        </w:rPr>
        <w:t>指事业单位在专业业务活动及其辅助活动之外开展非独立核算经营活动取得的收入。</w:t>
      </w:r>
    </w:p>
    <w:p>
      <w:pPr>
        <w:adjustRightInd w:val="0"/>
        <w:snapToGrid w:val="0"/>
        <w:spacing w:line="360" w:lineRule="auto"/>
        <w:ind w:firstLine="640" w:firstLineChars="200"/>
        <w:rPr>
          <w:rFonts w:asciiTheme="minorEastAsia" w:hAnsiTheme="minorEastAsia"/>
          <w:color w:val="auto"/>
          <w:sz w:val="32"/>
          <w:szCs w:val="32"/>
          <w:highlight w:val="none"/>
        </w:rPr>
      </w:pPr>
      <w:r>
        <w:rPr>
          <w:rFonts w:hint="eastAsia" w:ascii="仿宋_GB2312" w:hAnsi="仿宋_GB2312" w:eastAsia="仿宋_GB2312"/>
          <w:b/>
          <w:color w:val="auto"/>
          <w:sz w:val="32"/>
          <w:highlight w:val="none"/>
        </w:rPr>
        <w:t>4、</w:t>
      </w:r>
      <w:r>
        <w:rPr>
          <w:rFonts w:ascii="仿宋_GB2312" w:hAnsi="仿宋_GB2312" w:eastAsia="仿宋_GB2312"/>
          <w:b/>
          <w:color w:val="auto"/>
          <w:sz w:val="32"/>
          <w:highlight w:val="none"/>
        </w:rPr>
        <w:t>其他收入</w:t>
      </w:r>
      <w:r>
        <w:rPr>
          <w:rFonts w:ascii="仿宋_GB2312" w:hAnsi="仿宋_GB2312" w:eastAsia="仿宋_GB2312"/>
          <w:color w:val="auto"/>
          <w:sz w:val="32"/>
          <w:highlight w:val="none"/>
        </w:rPr>
        <w:t>：</w:t>
      </w:r>
      <w:r>
        <w:rPr>
          <w:rFonts w:asciiTheme="minorEastAsia" w:hAnsiTheme="minorEastAsia"/>
          <w:color w:val="auto"/>
          <w:sz w:val="32"/>
          <w:szCs w:val="32"/>
          <w:highlight w:val="none"/>
        </w:rPr>
        <w:t>指除上述“财政拨款收入”、“事业收入”、“经营收入”等以外的收入。</w:t>
      </w:r>
    </w:p>
    <w:p>
      <w:pPr>
        <w:adjustRightInd w:val="0"/>
        <w:snapToGrid w:val="0"/>
        <w:spacing w:line="360" w:lineRule="auto"/>
        <w:ind w:firstLine="640" w:firstLineChars="200"/>
        <w:rPr>
          <w:rFonts w:asciiTheme="minorEastAsia" w:hAnsiTheme="minorEastAsia"/>
          <w:color w:val="auto"/>
          <w:sz w:val="32"/>
          <w:szCs w:val="32"/>
          <w:highlight w:val="none"/>
        </w:rPr>
      </w:pPr>
      <w:r>
        <w:rPr>
          <w:rFonts w:hint="eastAsia" w:ascii="仿宋_GB2312" w:hAnsi="仿宋_GB2312" w:eastAsia="仿宋_GB2312"/>
          <w:b/>
          <w:color w:val="auto"/>
          <w:sz w:val="32"/>
          <w:highlight w:val="none"/>
        </w:rPr>
        <w:t>5</w:t>
      </w:r>
      <w:r>
        <w:rPr>
          <w:rFonts w:ascii="仿宋_GB2312" w:hAnsi="仿宋_GB2312" w:eastAsia="仿宋_GB2312"/>
          <w:b/>
          <w:color w:val="auto"/>
          <w:sz w:val="32"/>
          <w:highlight w:val="none"/>
        </w:rPr>
        <w:t>、用事业基金弥补收支差额</w:t>
      </w:r>
      <w:r>
        <w:rPr>
          <w:rFonts w:ascii="仿宋_GB2312" w:hAnsi="仿宋_GB2312" w:eastAsia="仿宋_GB2312"/>
          <w:color w:val="auto"/>
          <w:sz w:val="32"/>
          <w:highlight w:val="none"/>
        </w:rPr>
        <w:t>：</w:t>
      </w:r>
      <w:r>
        <w:rPr>
          <w:rFonts w:asciiTheme="minorEastAsia" w:hAnsiTheme="minorEastAsia"/>
          <w:color w:val="auto"/>
          <w:sz w:val="32"/>
          <w:highlight w:val="none"/>
        </w:rPr>
        <w:t>指</w:t>
      </w:r>
      <w:r>
        <w:rPr>
          <w:rFonts w:asciiTheme="minorEastAsia" w:hAnsiTheme="minorEastAsia"/>
          <w:color w:val="auto"/>
          <w:sz w:val="32"/>
          <w:szCs w:val="32"/>
          <w:highlight w:val="none"/>
        </w:rPr>
        <w:t>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adjustRightInd w:val="0"/>
        <w:snapToGrid w:val="0"/>
        <w:spacing w:line="360" w:lineRule="auto"/>
        <w:ind w:firstLine="640" w:firstLineChars="200"/>
        <w:rPr>
          <w:rFonts w:asciiTheme="minorEastAsia" w:hAnsiTheme="minorEastAsia"/>
          <w:color w:val="auto"/>
          <w:sz w:val="32"/>
          <w:szCs w:val="32"/>
          <w:highlight w:val="none"/>
        </w:rPr>
      </w:pPr>
      <w:r>
        <w:rPr>
          <w:rFonts w:hint="eastAsia" w:ascii="仿宋_GB2312" w:hAnsi="仿宋_GB2312" w:eastAsia="仿宋_GB2312"/>
          <w:b/>
          <w:color w:val="auto"/>
          <w:sz w:val="32"/>
          <w:highlight w:val="none"/>
        </w:rPr>
        <w:t>6</w:t>
      </w:r>
      <w:r>
        <w:rPr>
          <w:rFonts w:ascii="仿宋_GB2312" w:hAnsi="仿宋_GB2312" w:eastAsia="仿宋_GB2312"/>
          <w:b/>
          <w:color w:val="auto"/>
          <w:sz w:val="32"/>
          <w:highlight w:val="none"/>
        </w:rPr>
        <w:t>、年初结转和结余</w:t>
      </w:r>
      <w:r>
        <w:rPr>
          <w:rFonts w:ascii="仿宋_GB2312" w:hAnsi="仿宋_GB2312" w:eastAsia="仿宋_GB2312"/>
          <w:color w:val="auto"/>
          <w:sz w:val="32"/>
          <w:highlight w:val="none"/>
        </w:rPr>
        <w:t>：</w:t>
      </w:r>
      <w:r>
        <w:rPr>
          <w:rFonts w:asciiTheme="minorEastAsia" w:hAnsiTheme="minorEastAsia"/>
          <w:color w:val="auto"/>
          <w:sz w:val="32"/>
          <w:szCs w:val="32"/>
          <w:highlight w:val="none"/>
        </w:rPr>
        <w:t>指以前年度尚未完成、结转到本年按有关规定继续使用的资金。</w:t>
      </w:r>
    </w:p>
    <w:p>
      <w:pPr>
        <w:adjustRightInd w:val="0"/>
        <w:snapToGrid w:val="0"/>
        <w:spacing w:line="360" w:lineRule="auto"/>
        <w:ind w:firstLine="640" w:firstLineChars="200"/>
        <w:rPr>
          <w:rFonts w:asciiTheme="minorEastAsia" w:hAnsiTheme="minorEastAsia"/>
          <w:color w:val="auto"/>
          <w:sz w:val="32"/>
          <w:szCs w:val="32"/>
          <w:highlight w:val="none"/>
        </w:rPr>
      </w:pPr>
      <w:r>
        <w:rPr>
          <w:rFonts w:hint="eastAsia" w:ascii="仿宋_GB2312" w:hAnsi="仿宋_GB2312" w:eastAsia="仿宋_GB2312"/>
          <w:b/>
          <w:color w:val="auto"/>
          <w:sz w:val="32"/>
          <w:highlight w:val="none"/>
        </w:rPr>
        <w:t>7</w:t>
      </w:r>
      <w:r>
        <w:rPr>
          <w:rFonts w:ascii="仿宋_GB2312" w:hAnsi="仿宋_GB2312" w:eastAsia="仿宋_GB2312"/>
          <w:b/>
          <w:color w:val="auto"/>
          <w:sz w:val="32"/>
          <w:highlight w:val="none"/>
        </w:rPr>
        <w:t>、结余分配</w:t>
      </w:r>
      <w:r>
        <w:rPr>
          <w:rFonts w:ascii="仿宋_GB2312" w:hAnsi="仿宋_GB2312" w:eastAsia="仿宋_GB2312"/>
          <w:color w:val="auto"/>
          <w:sz w:val="32"/>
          <w:highlight w:val="none"/>
        </w:rPr>
        <w:t>：</w:t>
      </w:r>
      <w:r>
        <w:rPr>
          <w:rFonts w:asciiTheme="minorEastAsia" w:hAnsiTheme="minorEastAsia"/>
          <w:color w:val="auto"/>
          <w:sz w:val="32"/>
          <w:szCs w:val="32"/>
          <w:highlight w:val="none"/>
        </w:rPr>
        <w:t>指事业单位按规定提取的职工福利基金、事业基金和缴纳的所得税，以及建设单位按规定应交回的基本建设竣工项目结余资金。</w:t>
      </w:r>
    </w:p>
    <w:p>
      <w:pPr>
        <w:adjustRightInd w:val="0"/>
        <w:snapToGrid w:val="0"/>
        <w:spacing w:line="360" w:lineRule="auto"/>
        <w:ind w:firstLine="600" w:firstLineChars="200"/>
        <w:rPr>
          <w:rFonts w:asciiTheme="minorEastAsia" w:hAnsiTheme="minorEastAsia"/>
          <w:color w:val="auto"/>
          <w:sz w:val="32"/>
          <w:szCs w:val="32"/>
          <w:highlight w:val="none"/>
        </w:rPr>
      </w:pPr>
      <w:r>
        <w:rPr>
          <w:rFonts w:hint="eastAsia" w:ascii="仿宋_GB2312" w:hAnsi="仿宋_GB2312" w:eastAsia="仿宋_GB2312"/>
          <w:b/>
          <w:color w:val="auto"/>
          <w:sz w:val="30"/>
          <w:highlight w:val="none"/>
        </w:rPr>
        <w:t>8</w:t>
      </w:r>
      <w:r>
        <w:rPr>
          <w:rFonts w:ascii="仿宋_GB2312" w:hAnsi="仿宋_GB2312" w:eastAsia="仿宋_GB2312"/>
          <w:b/>
          <w:color w:val="auto"/>
          <w:sz w:val="30"/>
          <w:highlight w:val="none"/>
        </w:rPr>
        <w:t>、年末结转和结余</w:t>
      </w:r>
      <w:r>
        <w:rPr>
          <w:rFonts w:hint="eastAsia" w:ascii="仿宋_GB2312" w:hAnsi="仿宋_GB2312" w:eastAsia="仿宋_GB2312"/>
          <w:b/>
          <w:color w:val="auto"/>
          <w:sz w:val="30"/>
          <w:highlight w:val="none"/>
        </w:rPr>
        <w:t>：</w:t>
      </w:r>
      <w:r>
        <w:rPr>
          <w:rFonts w:asciiTheme="minorEastAsia" w:hAnsiTheme="minorEastAsia"/>
          <w:color w:val="auto"/>
          <w:sz w:val="32"/>
          <w:szCs w:val="32"/>
          <w:highlight w:val="none"/>
        </w:rPr>
        <w:t>指本年度或以前年度预算安排、因客观条件发生变化无法按原计划实施，需延迟到以后年度按</w:t>
      </w:r>
    </w:p>
    <w:p>
      <w:pPr>
        <w:adjustRightInd w:val="0"/>
        <w:snapToGrid w:val="0"/>
        <w:spacing w:line="360" w:lineRule="auto"/>
        <w:rPr>
          <w:rFonts w:asciiTheme="minorEastAsia" w:hAnsiTheme="minorEastAsia"/>
          <w:color w:val="auto"/>
          <w:sz w:val="32"/>
          <w:szCs w:val="32"/>
          <w:highlight w:val="none"/>
        </w:rPr>
      </w:pPr>
      <w:r>
        <w:rPr>
          <w:rFonts w:asciiTheme="minorEastAsia" w:hAnsiTheme="minorEastAsia"/>
          <w:color w:val="auto"/>
          <w:sz w:val="32"/>
          <w:szCs w:val="32"/>
          <w:highlight w:val="none"/>
        </w:rPr>
        <w:t>有关规定继续使用的资金。</w:t>
      </w:r>
    </w:p>
    <w:p>
      <w:pPr>
        <w:adjustRightInd w:val="0"/>
        <w:snapToGrid w:val="0"/>
        <w:spacing w:line="360" w:lineRule="auto"/>
        <w:ind w:firstLine="640" w:firstLineChars="200"/>
        <w:rPr>
          <w:rFonts w:asciiTheme="minorEastAsia" w:hAnsiTheme="minorEastAsia"/>
          <w:color w:val="auto"/>
          <w:sz w:val="32"/>
          <w:szCs w:val="32"/>
          <w:highlight w:val="none"/>
        </w:rPr>
      </w:pPr>
      <w:r>
        <w:rPr>
          <w:rFonts w:hint="eastAsia" w:ascii="仿宋_GB2312" w:hAnsi="仿宋_GB2312" w:eastAsia="仿宋_GB2312"/>
          <w:b/>
          <w:color w:val="auto"/>
          <w:sz w:val="32"/>
          <w:highlight w:val="none"/>
        </w:rPr>
        <w:t>9</w:t>
      </w:r>
      <w:r>
        <w:rPr>
          <w:rFonts w:ascii="仿宋_GB2312" w:hAnsi="仿宋_GB2312" w:eastAsia="仿宋_GB2312"/>
          <w:b/>
          <w:color w:val="auto"/>
          <w:sz w:val="32"/>
          <w:highlight w:val="none"/>
        </w:rPr>
        <w:t>、基本支出</w:t>
      </w:r>
      <w:r>
        <w:rPr>
          <w:rFonts w:ascii="仿宋_GB2312" w:hAnsi="仿宋_GB2312" w:eastAsia="仿宋_GB2312"/>
          <w:color w:val="auto"/>
          <w:sz w:val="32"/>
          <w:highlight w:val="none"/>
        </w:rPr>
        <w:t>：</w:t>
      </w:r>
      <w:r>
        <w:rPr>
          <w:rFonts w:asciiTheme="minorEastAsia" w:hAnsiTheme="minorEastAsia"/>
          <w:color w:val="auto"/>
          <w:sz w:val="32"/>
          <w:szCs w:val="32"/>
          <w:highlight w:val="none"/>
        </w:rPr>
        <w:t>指为保障机构正常运转、完成日常工作任务而发生的人员支出和公用支出。</w:t>
      </w:r>
    </w:p>
    <w:p>
      <w:pPr>
        <w:adjustRightInd w:val="0"/>
        <w:snapToGrid w:val="0"/>
        <w:spacing w:line="360" w:lineRule="auto"/>
        <w:ind w:firstLine="640" w:firstLineChars="200"/>
        <w:rPr>
          <w:rFonts w:asciiTheme="minorEastAsia" w:hAnsiTheme="minorEastAsia"/>
          <w:color w:val="auto"/>
          <w:sz w:val="32"/>
          <w:szCs w:val="32"/>
          <w:highlight w:val="none"/>
        </w:rPr>
      </w:pPr>
      <w:r>
        <w:rPr>
          <w:rFonts w:hint="eastAsia" w:ascii="仿宋_GB2312" w:hAnsi="仿宋_GB2312" w:eastAsia="仿宋_GB2312" w:cs="仿宋_GB2312"/>
          <w:b/>
          <w:bCs/>
          <w:color w:val="auto"/>
          <w:sz w:val="32"/>
          <w:szCs w:val="32"/>
          <w:highlight w:val="none"/>
        </w:rPr>
        <w:t>10、项目支出</w:t>
      </w:r>
      <w:r>
        <w:rPr>
          <w:rFonts w:ascii="仿宋_GB2312" w:hAnsi="仿宋_GB2312" w:eastAsia="仿宋_GB2312"/>
          <w:color w:val="auto"/>
          <w:sz w:val="32"/>
          <w:highlight w:val="none"/>
        </w:rPr>
        <w:t>：</w:t>
      </w:r>
      <w:r>
        <w:rPr>
          <w:rFonts w:asciiTheme="minorEastAsia" w:hAnsiTheme="minorEastAsia"/>
          <w:color w:val="auto"/>
          <w:sz w:val="32"/>
          <w:szCs w:val="32"/>
          <w:highlight w:val="none"/>
        </w:rPr>
        <w:t>指在基本支出之外为完成特定行政任务和事业发展目标所发生的支出。</w:t>
      </w:r>
    </w:p>
    <w:p>
      <w:pPr>
        <w:adjustRightInd w:val="0"/>
        <w:snapToGrid w:val="0"/>
        <w:spacing w:line="360" w:lineRule="auto"/>
        <w:ind w:firstLine="640" w:firstLineChars="200"/>
        <w:rPr>
          <w:rFonts w:asciiTheme="minorEastAsia" w:hAnsiTheme="minorEastAsia"/>
          <w:color w:val="auto"/>
          <w:sz w:val="32"/>
          <w:szCs w:val="32"/>
          <w:highlight w:val="none"/>
        </w:rPr>
      </w:pPr>
      <w:r>
        <w:rPr>
          <w:rFonts w:hint="eastAsia" w:ascii="仿宋_GB2312" w:hAnsi="仿宋_GB2312" w:eastAsia="仿宋_GB2312" w:cs="仿宋_GB2312"/>
          <w:b/>
          <w:bCs/>
          <w:color w:val="auto"/>
          <w:sz w:val="32"/>
          <w:szCs w:val="32"/>
          <w:highlight w:val="none"/>
        </w:rPr>
        <w:t>11、经营支出</w:t>
      </w:r>
      <w:r>
        <w:rPr>
          <w:rFonts w:ascii="仿宋_GB2312" w:hAnsi="仿宋_GB2312" w:eastAsia="仿宋_GB2312"/>
          <w:color w:val="auto"/>
          <w:sz w:val="32"/>
          <w:highlight w:val="none"/>
        </w:rPr>
        <w:t>：</w:t>
      </w:r>
      <w:r>
        <w:rPr>
          <w:rFonts w:asciiTheme="minorEastAsia" w:hAnsiTheme="minorEastAsia"/>
          <w:color w:val="auto"/>
          <w:sz w:val="32"/>
          <w:szCs w:val="32"/>
          <w:highlight w:val="none"/>
        </w:rPr>
        <w:t>指事业单位在专业业务活动及其辅助活动之外开展非独立核算经营活动发生的支出。</w:t>
      </w:r>
    </w:p>
    <w:p>
      <w:pPr>
        <w:adjustRightInd w:val="0"/>
        <w:snapToGrid w:val="0"/>
        <w:spacing w:line="360" w:lineRule="auto"/>
        <w:ind w:firstLine="640" w:firstLineChars="200"/>
        <w:rPr>
          <w:rFonts w:asciiTheme="minorEastAsia" w:hAnsiTheme="minorEastAsia"/>
          <w:color w:val="auto"/>
          <w:sz w:val="32"/>
          <w:szCs w:val="32"/>
          <w:highlight w:val="none"/>
        </w:rPr>
      </w:pPr>
      <w:r>
        <w:rPr>
          <w:rFonts w:hint="eastAsia" w:ascii="仿宋_GB2312" w:hAnsi="仿宋_GB2312" w:eastAsia="仿宋_GB2312"/>
          <w:b/>
          <w:color w:val="auto"/>
          <w:sz w:val="32"/>
          <w:highlight w:val="none"/>
        </w:rPr>
        <w:t>12、</w:t>
      </w:r>
      <w:r>
        <w:rPr>
          <w:rFonts w:ascii="Arial" w:hAnsi="Arial" w:eastAsia="Arial"/>
          <w:b/>
          <w:color w:val="auto"/>
          <w:sz w:val="32"/>
          <w:highlight w:val="none"/>
        </w:rPr>
        <w:t>“</w:t>
      </w:r>
      <w:r>
        <w:rPr>
          <w:rFonts w:ascii="仿宋_GB2312" w:hAnsi="仿宋_GB2312" w:eastAsia="仿宋_GB2312"/>
          <w:b/>
          <w:color w:val="auto"/>
          <w:sz w:val="32"/>
          <w:highlight w:val="none"/>
        </w:rPr>
        <w:t>三公</w:t>
      </w:r>
      <w:r>
        <w:rPr>
          <w:rFonts w:ascii="Arial" w:hAnsi="Arial" w:eastAsia="Arial"/>
          <w:b/>
          <w:color w:val="auto"/>
          <w:sz w:val="32"/>
          <w:highlight w:val="none"/>
        </w:rPr>
        <w:t>”</w:t>
      </w:r>
      <w:r>
        <w:rPr>
          <w:rFonts w:ascii="仿宋_GB2312" w:hAnsi="仿宋_GB2312" w:eastAsia="仿宋_GB2312"/>
          <w:b/>
          <w:color w:val="auto"/>
          <w:sz w:val="32"/>
          <w:highlight w:val="none"/>
        </w:rPr>
        <w:t>经费</w:t>
      </w:r>
      <w:r>
        <w:rPr>
          <w:rFonts w:ascii="仿宋_GB2312" w:hAnsi="仿宋_GB2312" w:eastAsia="仿宋_GB2312"/>
          <w:color w:val="auto"/>
          <w:sz w:val="32"/>
          <w:highlight w:val="none"/>
        </w:rPr>
        <w:t>：</w:t>
      </w:r>
      <w:r>
        <w:rPr>
          <w:rFonts w:asciiTheme="minorEastAsia" w:hAnsiTheme="minorEastAsia"/>
          <w:color w:val="auto"/>
          <w:sz w:val="32"/>
          <w:szCs w:val="32"/>
          <w:highlight w:val="none"/>
        </w:rPr>
        <w:t>纳入财政预决算管理的“三公”经费，是指部门用财政拨款安排的因公出国（境）费、公务用车购置及运行费和公务接待费。其中，因公出国（境）费反映单位公务出国（境）的国际旅费、国外城市间交通费</w:t>
      </w:r>
      <w:r>
        <w:rPr>
          <w:rFonts w:hint="eastAsia" w:asciiTheme="minorEastAsia" w:hAnsiTheme="minorEastAsia"/>
          <w:color w:val="auto"/>
          <w:sz w:val="32"/>
          <w:szCs w:val="32"/>
          <w:highlight w:val="none"/>
        </w:rPr>
        <w:t>、</w:t>
      </w:r>
      <w:r>
        <w:rPr>
          <w:rFonts w:asciiTheme="minorEastAsia" w:hAnsiTheme="minorEastAsia"/>
          <w:color w:val="auto"/>
          <w:sz w:val="32"/>
          <w:szCs w:val="32"/>
          <w:highlight w:val="none"/>
        </w:rPr>
        <w:t>住宿费、伙食费、培训费、公杂费等支出；公务用车购置及运</w:t>
      </w:r>
      <w:bookmarkStart w:id="1" w:name="page51"/>
      <w:bookmarkEnd w:id="1"/>
      <w:r>
        <w:rPr>
          <w:rFonts w:asciiTheme="minorEastAsia" w:hAnsiTheme="minorEastAsia"/>
          <w:color w:val="auto"/>
          <w:sz w:val="32"/>
          <w:szCs w:val="32"/>
          <w:highlight w:val="none"/>
        </w:rPr>
        <w:t>行费反映单位公务用车车辆购置支出（含车辆购置税）及租用费、燃料费、维修费、过路过桥费、保险费、安全奖励费用等支出；公务接待费反映单位按规定开支的各类公务接待（含外宾接待）支出。</w:t>
      </w:r>
    </w:p>
    <w:p>
      <w:pPr>
        <w:adjustRightInd w:val="0"/>
        <w:snapToGrid w:val="0"/>
        <w:spacing w:line="360" w:lineRule="auto"/>
        <w:ind w:firstLine="620" w:firstLineChars="200"/>
        <w:rPr>
          <w:rFonts w:asciiTheme="minorEastAsia" w:hAnsiTheme="minorEastAsia"/>
          <w:color w:val="auto"/>
          <w:sz w:val="32"/>
          <w:szCs w:val="32"/>
          <w:highlight w:val="none"/>
        </w:rPr>
      </w:pPr>
      <w:r>
        <w:rPr>
          <w:rFonts w:hint="eastAsia" w:ascii="仿宋_GB2312" w:hAnsi="仿宋_GB2312" w:eastAsia="仿宋_GB2312"/>
          <w:b/>
          <w:color w:val="auto"/>
          <w:sz w:val="31"/>
          <w:highlight w:val="none"/>
        </w:rPr>
        <w:t>13</w:t>
      </w:r>
      <w:r>
        <w:rPr>
          <w:rFonts w:ascii="仿宋_GB2312" w:hAnsi="仿宋_GB2312" w:eastAsia="仿宋_GB2312"/>
          <w:b/>
          <w:color w:val="auto"/>
          <w:sz w:val="31"/>
          <w:highlight w:val="none"/>
        </w:rPr>
        <w:t>、机关运行经费</w:t>
      </w:r>
      <w:r>
        <w:rPr>
          <w:rFonts w:ascii="仿宋_GB2312" w:hAnsi="仿宋_GB2312" w:eastAsia="仿宋_GB2312"/>
          <w:color w:val="auto"/>
          <w:sz w:val="31"/>
          <w:highlight w:val="none"/>
        </w:rPr>
        <w:t>：</w:t>
      </w:r>
      <w:r>
        <w:rPr>
          <w:rFonts w:asciiTheme="minorEastAsia" w:hAnsiTheme="minorEastAsia"/>
          <w:color w:val="auto"/>
          <w:sz w:val="32"/>
          <w:szCs w:val="32"/>
          <w:highlight w:val="none"/>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0"/>
        <w:jc w:val="center"/>
        <w:rPr>
          <w:color w:val="auto"/>
          <w:sz w:val="72"/>
          <w:szCs w:val="72"/>
          <w:highlight w:val="none"/>
        </w:rPr>
      </w:pPr>
    </w:p>
    <w:p>
      <w:pPr>
        <w:widowControl/>
        <w:jc w:val="left"/>
        <w:rPr>
          <w:rFonts w:ascii="黑体" w:eastAsia="黑体" w:cs="黑体"/>
          <w:color w:val="auto"/>
          <w:kern w:val="0"/>
          <w:sz w:val="70"/>
          <w:szCs w:val="70"/>
          <w:highlight w:val="none"/>
        </w:rPr>
      </w:pPr>
    </w:p>
    <w:p>
      <w:pPr>
        <w:pStyle w:val="10"/>
        <w:rPr>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rFonts w:hint="eastAsia"/>
          <w:color w:val="auto"/>
          <w:sz w:val="72"/>
          <w:szCs w:val="72"/>
          <w:highlight w:val="none"/>
        </w:rPr>
      </w:pPr>
    </w:p>
    <w:p>
      <w:pPr>
        <w:pStyle w:val="10"/>
        <w:jc w:val="center"/>
        <w:rPr>
          <w:color w:val="auto"/>
          <w:sz w:val="72"/>
          <w:szCs w:val="72"/>
          <w:highlight w:val="none"/>
        </w:rPr>
      </w:pPr>
      <w:r>
        <w:rPr>
          <w:rFonts w:hint="eastAsia"/>
          <w:color w:val="auto"/>
          <w:sz w:val="72"/>
          <w:szCs w:val="72"/>
          <w:highlight w:val="none"/>
        </w:rPr>
        <w:t>第五部分</w:t>
      </w:r>
    </w:p>
    <w:p>
      <w:pPr>
        <w:jc w:val="center"/>
        <w:rPr>
          <w:rFonts w:ascii="黑体" w:eastAsia="黑体" w:cs="黑体"/>
          <w:color w:val="auto"/>
          <w:kern w:val="0"/>
          <w:sz w:val="70"/>
          <w:szCs w:val="70"/>
          <w:highlight w:val="none"/>
        </w:rPr>
      </w:pPr>
    </w:p>
    <w:p>
      <w:pPr>
        <w:jc w:val="center"/>
        <w:rPr>
          <w:rFonts w:ascii="黑体" w:eastAsia="黑体" w:cs="黑体"/>
          <w:color w:val="auto"/>
          <w:kern w:val="0"/>
          <w:sz w:val="70"/>
          <w:szCs w:val="70"/>
          <w:highlight w:val="none"/>
        </w:rPr>
      </w:pPr>
      <w:r>
        <w:rPr>
          <w:rFonts w:hint="eastAsia" w:ascii="黑体" w:eastAsia="黑体" w:cs="黑体"/>
          <w:color w:val="auto"/>
          <w:kern w:val="0"/>
          <w:sz w:val="70"/>
          <w:szCs w:val="70"/>
          <w:highlight w:val="none"/>
        </w:rPr>
        <w:t>附件</w:t>
      </w:r>
    </w:p>
    <w:p>
      <w:pPr>
        <w:widowControl/>
        <w:jc w:val="left"/>
        <w:rPr>
          <w:rFonts w:ascii="黑体" w:eastAsia="黑体" w:cs="黑体"/>
          <w:color w:val="auto"/>
          <w:kern w:val="0"/>
          <w:sz w:val="70"/>
          <w:szCs w:val="70"/>
          <w:highlight w:val="none"/>
        </w:rPr>
      </w:pPr>
      <w:r>
        <w:rPr>
          <w:rFonts w:ascii="黑体" w:eastAsia="黑体" w:cs="黑体"/>
          <w:color w:val="auto"/>
          <w:kern w:val="0"/>
          <w:sz w:val="70"/>
          <w:szCs w:val="70"/>
          <w:highlight w:val="none"/>
        </w:rPr>
        <w:br w:type="page"/>
      </w:r>
    </w:p>
    <w:p>
      <w:pPr>
        <w:widowControl/>
        <w:jc w:val="left"/>
        <w:rPr>
          <w:rFonts w:ascii="黑体" w:eastAsia="黑体" w:cs="黑体"/>
          <w:color w:val="auto"/>
          <w:kern w:val="0"/>
          <w:sz w:val="70"/>
          <w:szCs w:val="70"/>
          <w:highlight w:val="none"/>
        </w:rPr>
      </w:pPr>
    </w:p>
    <w:p>
      <w:pPr>
        <w:jc w:val="center"/>
        <w:rPr>
          <w:rFonts w:ascii="黑体" w:eastAsia="黑体" w:cs="黑体"/>
          <w:color w:val="auto"/>
          <w:kern w:val="0"/>
          <w:sz w:val="70"/>
          <w:szCs w:val="70"/>
          <w:highlight w:val="none"/>
        </w:rPr>
      </w:pPr>
    </w:p>
    <w:p>
      <w:pPr>
        <w:jc w:val="center"/>
        <w:rPr>
          <w:rFonts w:hint="eastAsia" w:ascii="方正小标宋_GBK" w:eastAsia="方正小标宋_GBK"/>
          <w:color w:val="auto"/>
          <w:sz w:val="48"/>
          <w:szCs w:val="48"/>
          <w:highlight w:val="none"/>
        </w:rPr>
      </w:pPr>
      <w:r>
        <w:rPr>
          <w:rFonts w:hint="eastAsia" w:ascii="方正小标宋_GBK" w:eastAsia="方正小标宋_GBK"/>
          <w:color w:val="auto"/>
          <w:sz w:val="48"/>
          <w:szCs w:val="48"/>
          <w:highlight w:val="none"/>
        </w:rPr>
        <w:t>2021年度部门整体支出绩效自评报告</w:t>
      </w: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44"/>
          <w:szCs w:val="44"/>
          <w:highlight w:val="none"/>
        </w:rPr>
      </w:pPr>
      <w:r>
        <w:rPr>
          <w:rFonts w:hint="eastAsia" w:ascii="黑体" w:eastAsia="黑体"/>
          <w:color w:val="auto"/>
          <w:sz w:val="44"/>
          <w:szCs w:val="44"/>
          <w:highlight w:val="none"/>
        </w:rPr>
        <w:t>湖南省怀化市生态环境监测中心</w:t>
      </w: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jc w:val="center"/>
        <w:rPr>
          <w:rFonts w:hint="eastAsia" w:ascii="黑体" w:eastAsia="黑体"/>
          <w:color w:val="auto"/>
          <w:sz w:val="32"/>
          <w:szCs w:val="32"/>
          <w:highlight w:val="none"/>
        </w:rPr>
      </w:pPr>
    </w:p>
    <w:p>
      <w:pPr>
        <w:pStyle w:val="11"/>
        <w:widowControl/>
        <w:spacing w:line="600" w:lineRule="exact"/>
        <w:ind w:firstLine="0" w:firstLineChars="0"/>
        <w:rPr>
          <w:rFonts w:hint="eastAsia" w:ascii="黑体" w:hAnsi="黑体" w:eastAsia="黑体"/>
          <w:color w:val="auto"/>
          <w:sz w:val="32"/>
          <w:szCs w:val="32"/>
          <w:highlight w:val="none"/>
        </w:rPr>
      </w:pPr>
      <w:r>
        <w:rPr>
          <w:rFonts w:hint="eastAsia" w:ascii="黑体" w:eastAsia="黑体"/>
          <w:color w:val="auto"/>
          <w:sz w:val="32"/>
          <w:szCs w:val="32"/>
          <w:highlight w:val="none"/>
        </w:rPr>
        <w:t xml:space="preserve">    </w:t>
      </w:r>
      <w:r>
        <w:rPr>
          <w:rFonts w:hint="eastAsia" w:ascii="黑体" w:hAnsi="黑体" w:eastAsia="黑体"/>
          <w:color w:val="auto"/>
          <w:sz w:val="32"/>
          <w:szCs w:val="32"/>
          <w:highlight w:val="none"/>
        </w:rPr>
        <w:t>一、部门、单位基本情况</w:t>
      </w:r>
    </w:p>
    <w:p>
      <w:pPr>
        <w:pStyle w:val="11"/>
        <w:widowControl/>
        <w:spacing w:line="600" w:lineRule="exact"/>
        <w:ind w:firstLine="64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湖南省怀化生态环境监测中心属国家环境监测二级站，是湖南省财政全额拨款的事业单位，隶属于湖南省生态环境厅，是怀化市生态环境监测的网络中心、技术中心、质控中心、数据（信息）中心和培训中心。承担怀化市生态环境质量监测和生态状况监测、评价等工作；负责怀化市生态环境监测数据采集、分析研判、信息推送等工作，开展生态环境监测领域科学研究；负责怀化市生态环境质量监测网络体系建设、质量管理控制等工作；负责配合实施怀化市生态环境监测能力建设等工作;承担所在市辖区内大气辐射环境自动监测站运维、辐射监督性监测、辐射应急监测及省厅交办的其他事项;受委托承担伴生矿开发利用企业辐射监督性监测及实验分析任务，受委托对辐射应急监测提供支持;参与重大、跨界执法监测和应急监测等工作；承担省生态环境厅和省生态环境监测中心交办的其他工作。</w:t>
      </w:r>
    </w:p>
    <w:p>
      <w:pPr>
        <w:widowControl/>
        <w:shd w:val="clear" w:color="auto" w:fill="FFFFFF"/>
        <w:spacing w:line="360" w:lineRule="atLeast"/>
        <w:ind w:firstLine="48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湖南省怀化生态环境监测中心核定编制41人， 共设置7个科室，分别为：办公室、党建人事科、</w:t>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"https://baike.baidu.com/item/%E8%B4%A8%E9%87%8F%E7%AE%A1%E7%90%86/5267" \t "_blank"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质量管理</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t>科、</w:t>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HYPERLINK "https://baike.baidu.com/item/%E7%BB%BC%E5%90%88%E8%AE%A1%E5%88%92/1996299" \t "_blank"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综合</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t>技术科、现场监测科、分析技术科、自动监测科。</w:t>
      </w:r>
    </w:p>
    <w:p>
      <w:pPr>
        <w:pStyle w:val="11"/>
        <w:widowControl/>
        <w:spacing w:line="600" w:lineRule="exact"/>
        <w:ind w:firstLine="640"/>
        <w:rPr>
          <w:rFonts w:hint="eastAsia" w:ascii="宋体" w:hAnsi="宋体" w:eastAsia="宋体" w:cs="宋体"/>
          <w:color w:val="auto"/>
          <w:sz w:val="32"/>
          <w:szCs w:val="32"/>
          <w:highlight w:val="none"/>
        </w:rPr>
      </w:pPr>
    </w:p>
    <w:p>
      <w:pPr>
        <w:pStyle w:val="11"/>
        <w:widowControl/>
        <w:spacing w:line="600" w:lineRule="exact"/>
        <w:ind w:firstLine="64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二、基本支出情况</w:t>
      </w:r>
    </w:p>
    <w:p>
      <w:pPr>
        <w:pStyle w:val="11"/>
        <w:widowControl/>
        <w:spacing w:line="600" w:lineRule="exact"/>
        <w:ind w:firstLine="64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本中心全年基本支出为864.69万,资金用途主要包括了本中心机构运转、人员工资福利支出和公用支出。全年基本公用经费支出为196.25万元，主要包括了办公费、印刷费、水费、电费、邮电费、差旅费、会议费、公务接待费、劳务费、工会经费、福利费、公务用车运行维护费、其他交通费、其他商品和服务支出。其中“三公经费”共支出9.13万元，包括了公务用车运行维护费5.89万元，预算执行率为98.23%。公务接待费3.24万元，预算执行率为64.78%，其主要原因为2021年单位厉行节约，严格控制公务接待费用。人员经费共支出668.44万元，主要包括了基本工资、津贴补贴、奖金、伙食补助费、机关事业单位基本养老保险缴费、职工基本医疗保险缴费、其他社会保险缴费、住房公积金、其他工资福利支出、抚恤金、生活补助、奖励金、其他对个人和家庭的补助。</w:t>
      </w:r>
    </w:p>
    <w:p>
      <w:pPr>
        <w:pStyle w:val="11"/>
        <w:widowControl/>
        <w:spacing w:line="600" w:lineRule="exact"/>
        <w:ind w:firstLine="64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三、项目支出情况</w:t>
      </w:r>
    </w:p>
    <w:p>
      <w:pPr>
        <w:ind w:firstLine="632" w:firstLineChars="200"/>
        <w:textAlignment w:val="baseline"/>
        <w:rPr>
          <w:rFonts w:hint="eastAsia" w:ascii="宋体" w:hAnsi="宋体" w:eastAsia="宋体" w:cs="宋体"/>
          <w:color w:val="auto"/>
          <w:sz w:val="32"/>
          <w:szCs w:val="32"/>
          <w:highlight w:val="none"/>
        </w:rPr>
      </w:pPr>
      <w:r>
        <w:rPr>
          <w:rFonts w:hint="eastAsia" w:ascii="宋体" w:hAnsi="宋体" w:eastAsia="宋体" w:cs="宋体"/>
          <w:color w:val="auto"/>
          <w:spacing w:val="-2"/>
          <w:sz w:val="32"/>
          <w:szCs w:val="32"/>
          <w:highlight w:val="none"/>
        </w:rPr>
        <w:t>本中心按照批拨的专项资金总额，结合工作任务逐一安排到位，</w:t>
      </w:r>
      <w:r>
        <w:rPr>
          <w:rFonts w:hint="eastAsia" w:ascii="宋体" w:hAnsi="宋体" w:eastAsia="宋体" w:cs="宋体"/>
          <w:color w:val="auto"/>
          <w:sz w:val="32"/>
          <w:szCs w:val="32"/>
          <w:highlight w:val="none"/>
        </w:rPr>
        <w:t>严格遵守资金管理制度，强化监督，专款专用，</w:t>
      </w:r>
      <w:r>
        <w:rPr>
          <w:rFonts w:hint="eastAsia" w:ascii="宋体" w:hAnsi="宋体" w:eastAsia="宋体" w:cs="宋体"/>
          <w:color w:val="auto"/>
          <w:spacing w:val="-2"/>
          <w:sz w:val="32"/>
          <w:szCs w:val="32"/>
          <w:highlight w:val="none"/>
        </w:rPr>
        <w:t>确保了各项工作任务的顺利完成</w:t>
      </w:r>
      <w:r>
        <w:rPr>
          <w:rFonts w:hint="eastAsia" w:ascii="宋体" w:hAnsi="宋体" w:eastAsia="宋体" w:cs="宋体"/>
          <w:color w:val="auto"/>
          <w:sz w:val="32"/>
          <w:szCs w:val="32"/>
          <w:highlight w:val="none"/>
        </w:rPr>
        <w:t>， 2021年度环境质量监测项目总支出263.34万元，完成预算94.05%。主要用于地表水国控断面、地表水省控断面、市级饮用水源地、地表水市控断面、重金属专项监测断面、土壤风险点的监测，采测分离任务相关项目的监测分析工作，资质认定、上岗考核、县级站质量核查、等相关环境质量管理及标准物质的采购等。2021年度党建、扶贫经费项目预算6.83万元,全年支出6.74万元,完成预算98.68%.主要用于扶贫交通费和本中心党建项目各项支出.</w:t>
      </w:r>
    </w:p>
    <w:p>
      <w:pPr>
        <w:widowControl/>
        <w:spacing w:line="600" w:lineRule="exact"/>
        <w:ind w:firstLine="640" w:firstLineChars="200"/>
        <w:jc w:val="left"/>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四、部门整体支出绩效情况</w:t>
      </w:r>
    </w:p>
    <w:p>
      <w:pPr>
        <w:ind w:firstLine="480" w:firstLineChars="15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我中心在部门整体支出中，严格按照年初预算安排，及时申报年中预算调整，2021年度单位基本支出保证全年各项工作合理有序地开展，保障了人员工资津贴、五险一金等福利支出和单位基本工作运行，力争圆满完成各项工作任务。环境质量监测项目支出完成了怀化中心承担的地表水国控断面新晃（鱼市）的12次采样；完成了2个地表水省控断面（畔上村、池回）12次监测任务，完成了市级饮用水源地（二水厂左、右）水质的12次监测任务；完成了4次地表水市控断面（一水厂、怀铁水厂）的每季度一次的监测任务。完成了9个重金属专项监测断面的每月一次现场采样任务监测，全年共12次。从3月下旬开始，按省中心要求对全市13个县市（区）14个饮用水水源地开展重金属加密监测，每月上旬、下旬各采样监测一次，8月份开始按省中心要求每月中旬增加一次对市二水厂、洪江区水厂饮用水源地重金属铊开展一次监测,全年共现场采样24次。已完成国控土壤风险26个点位现场采样（重点风险点20个，一般风险点6个）。国网土壤基础点9个点位现场采样任务。完成湖南省网土壤监测4个点位和底泥监测4个点位（丰水期、枯水期各监测1次）的现场采样任务。分析技术科保质保量完成了以上各项任务的监测分析工作，提供了真实有效的数据，为上级领导部门提供了可靠的技术支持。综合科较好的完成了年度环境质量监测任务，确保了各项环境质量监测数据准确、及时上报，无漏报、迟报。及时向怀化市生态环境局及各县级监测站准确提供各类环境质量监测数据及评价，为环境管理与决策服务，较好的发挥了“支撑、引领、服务”作用。</w:t>
      </w:r>
    </w:p>
    <w:p>
      <w:pPr>
        <w:ind w:firstLine="640" w:firstLineChars="200"/>
        <w:textAlignment w:val="baseline"/>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五、存在的主要问题及下一步改进措施</w:t>
      </w:r>
    </w:p>
    <w:p>
      <w:pPr>
        <w:widowControl/>
        <w:spacing w:line="600" w:lineRule="exact"/>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我中心预算执行率基本到位，但对于个别项目绩效目标设定抽象，建议加强预算分析，各科室根据科室职能和下年度工作计划，利用上年度预算执行情况和绩效评价结果，进行预算执行分析，分析资金结余原因，针对性的采取措施，提高预算编制的合理性和准确性，提高资金的使用效率。加强实施过程管理，建立项目实施和预算执行定期反馈机制，财务部门每一季度汇报项目预算执行情况，让各项目负责人全方位掌握项目实施进度。建议增强内部控制管理，定期对经济业务实施审计，运行状况进行分析评价，有效提升单位管理效率。</w:t>
      </w:r>
    </w:p>
    <w:p>
      <w:pPr>
        <w:widowControl/>
        <w:spacing w:line="600" w:lineRule="exact"/>
        <w:ind w:firstLine="645"/>
        <w:jc w:val="left"/>
        <w:rPr>
          <w:rFonts w:hint="eastAsia" w:ascii="黑体" w:hAnsi="黑体" w:eastAsia="黑体"/>
          <w:color w:val="auto"/>
          <w:sz w:val="32"/>
          <w:szCs w:val="32"/>
          <w:highlight w:val="none"/>
        </w:rPr>
      </w:pPr>
      <w:r>
        <w:rPr>
          <w:rFonts w:hint="eastAsia" w:ascii="黑体" w:hAnsi="黑体" w:eastAsia="黑体"/>
          <w:color w:val="auto"/>
          <w:sz w:val="32"/>
          <w:szCs w:val="32"/>
          <w:highlight w:val="none"/>
        </w:rPr>
        <w:t>六、绩效自评结果拟应用和公开情况</w:t>
      </w:r>
    </w:p>
    <w:p>
      <w:pPr>
        <w:widowControl/>
        <w:spacing w:line="600" w:lineRule="exact"/>
        <w:ind w:firstLine="645"/>
        <w:jc w:val="left"/>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七、其他需要说明的情况</w:t>
      </w:r>
    </w:p>
    <w:p>
      <w:pPr>
        <w:rPr>
          <w:color w:val="auto"/>
          <w:highlight w:val="none"/>
        </w:rPr>
      </w:pPr>
    </w:p>
    <w:p>
      <w:pPr>
        <w:ind w:firstLine="640" w:firstLineChars="200"/>
        <w:jc w:val="left"/>
        <w:rPr>
          <w:rFonts w:cs="黑体" w:asciiTheme="minorEastAsia" w:hAnsiTheme="minorEastAsia"/>
          <w:color w:val="auto"/>
          <w:kern w:val="0"/>
          <w:sz w:val="32"/>
          <w:szCs w:val="32"/>
          <w:highlight w:val="none"/>
        </w:rPr>
      </w:pPr>
      <w:r>
        <w:rPr>
          <w:rFonts w:cs="黑体" w:asciiTheme="minorEastAsia" w:hAnsiTheme="minorEastAsia"/>
          <w:color w:val="auto"/>
          <w:kern w:val="0"/>
          <w:sz w:val="32"/>
          <w:szCs w:val="32"/>
          <w:highlight w:val="none"/>
        </w:rPr>
        <w:t>………</w:t>
      </w:r>
    </w:p>
    <w:p>
      <w:pPr>
        <w:ind w:firstLine="640" w:firstLineChars="200"/>
        <w:jc w:val="left"/>
        <w:rPr>
          <w:rFonts w:cs="黑体" w:asciiTheme="minorEastAsia" w:hAnsiTheme="minorEastAsia"/>
          <w:color w:val="auto"/>
          <w:kern w:val="0"/>
          <w:sz w:val="32"/>
          <w:szCs w:val="32"/>
          <w:highlight w:val="none"/>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374457"/>
    <w:multiLevelType w:val="singleLevel"/>
    <w:tmpl w:val="80374457"/>
    <w:lvl w:ilvl="0" w:tentative="0">
      <w:start w:val="2"/>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7509A"/>
    <w:rsid w:val="000873EF"/>
    <w:rsid w:val="000A3F69"/>
    <w:rsid w:val="000B06BE"/>
    <w:rsid w:val="00103957"/>
    <w:rsid w:val="001207E3"/>
    <w:rsid w:val="00124A1F"/>
    <w:rsid w:val="00130A2D"/>
    <w:rsid w:val="00146A56"/>
    <w:rsid w:val="00152C6D"/>
    <w:rsid w:val="00162D39"/>
    <w:rsid w:val="00162D97"/>
    <w:rsid w:val="001678BD"/>
    <w:rsid w:val="00182373"/>
    <w:rsid w:val="001A67DB"/>
    <w:rsid w:val="001C3C29"/>
    <w:rsid w:val="001D51E5"/>
    <w:rsid w:val="001E080D"/>
    <w:rsid w:val="001E53D0"/>
    <w:rsid w:val="001E6BF0"/>
    <w:rsid w:val="001F0C3B"/>
    <w:rsid w:val="001F0CF3"/>
    <w:rsid w:val="00202C14"/>
    <w:rsid w:val="00202C82"/>
    <w:rsid w:val="00214427"/>
    <w:rsid w:val="00226CB7"/>
    <w:rsid w:val="00234BD4"/>
    <w:rsid w:val="00264552"/>
    <w:rsid w:val="00264EF9"/>
    <w:rsid w:val="00265724"/>
    <w:rsid w:val="0027426B"/>
    <w:rsid w:val="002E0A30"/>
    <w:rsid w:val="002F46FC"/>
    <w:rsid w:val="003130C4"/>
    <w:rsid w:val="00316C4B"/>
    <w:rsid w:val="0032192B"/>
    <w:rsid w:val="003479BD"/>
    <w:rsid w:val="0037197D"/>
    <w:rsid w:val="003768D5"/>
    <w:rsid w:val="003C4197"/>
    <w:rsid w:val="003C47E6"/>
    <w:rsid w:val="003C4FC2"/>
    <w:rsid w:val="003E2331"/>
    <w:rsid w:val="00416E61"/>
    <w:rsid w:val="0042790C"/>
    <w:rsid w:val="004506F9"/>
    <w:rsid w:val="004622DD"/>
    <w:rsid w:val="004717A2"/>
    <w:rsid w:val="00473DF3"/>
    <w:rsid w:val="00487911"/>
    <w:rsid w:val="00491741"/>
    <w:rsid w:val="004B0CEE"/>
    <w:rsid w:val="004C08A2"/>
    <w:rsid w:val="004F23FB"/>
    <w:rsid w:val="00500E5F"/>
    <w:rsid w:val="005122EF"/>
    <w:rsid w:val="0051441A"/>
    <w:rsid w:val="00517C33"/>
    <w:rsid w:val="00517D5F"/>
    <w:rsid w:val="00521AF2"/>
    <w:rsid w:val="00523644"/>
    <w:rsid w:val="0054069E"/>
    <w:rsid w:val="00544866"/>
    <w:rsid w:val="00566DE5"/>
    <w:rsid w:val="005767CC"/>
    <w:rsid w:val="00590D9F"/>
    <w:rsid w:val="00595D26"/>
    <w:rsid w:val="005A74E6"/>
    <w:rsid w:val="005B404E"/>
    <w:rsid w:val="005B48E9"/>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366A"/>
    <w:rsid w:val="00787B42"/>
    <w:rsid w:val="007A0032"/>
    <w:rsid w:val="007C4539"/>
    <w:rsid w:val="007F3657"/>
    <w:rsid w:val="007F474A"/>
    <w:rsid w:val="00812ED5"/>
    <w:rsid w:val="008277D9"/>
    <w:rsid w:val="0084478C"/>
    <w:rsid w:val="0086638C"/>
    <w:rsid w:val="0089317C"/>
    <w:rsid w:val="008A3E8D"/>
    <w:rsid w:val="009237C4"/>
    <w:rsid w:val="00942399"/>
    <w:rsid w:val="00944C48"/>
    <w:rsid w:val="00950252"/>
    <w:rsid w:val="00967F5D"/>
    <w:rsid w:val="009A0F95"/>
    <w:rsid w:val="009B3ADF"/>
    <w:rsid w:val="009C3B52"/>
    <w:rsid w:val="009E6817"/>
    <w:rsid w:val="009E6E9A"/>
    <w:rsid w:val="009F7EC5"/>
    <w:rsid w:val="00A01D2B"/>
    <w:rsid w:val="00A02D65"/>
    <w:rsid w:val="00A35AB9"/>
    <w:rsid w:val="00A42218"/>
    <w:rsid w:val="00A70249"/>
    <w:rsid w:val="00A70B02"/>
    <w:rsid w:val="00A71D9F"/>
    <w:rsid w:val="00A92E9F"/>
    <w:rsid w:val="00B33BEA"/>
    <w:rsid w:val="00B519D1"/>
    <w:rsid w:val="00B57C9F"/>
    <w:rsid w:val="00B63572"/>
    <w:rsid w:val="00B845B3"/>
    <w:rsid w:val="00B85D8B"/>
    <w:rsid w:val="00BB4A40"/>
    <w:rsid w:val="00BD6C3E"/>
    <w:rsid w:val="00BE3674"/>
    <w:rsid w:val="00C02B04"/>
    <w:rsid w:val="00C10681"/>
    <w:rsid w:val="00C252D9"/>
    <w:rsid w:val="00C3049A"/>
    <w:rsid w:val="00C31B1E"/>
    <w:rsid w:val="00C77645"/>
    <w:rsid w:val="00CD5A04"/>
    <w:rsid w:val="00CE04C3"/>
    <w:rsid w:val="00CE3225"/>
    <w:rsid w:val="00CE76A0"/>
    <w:rsid w:val="00D148C6"/>
    <w:rsid w:val="00D17A8A"/>
    <w:rsid w:val="00D233AE"/>
    <w:rsid w:val="00D25AAB"/>
    <w:rsid w:val="00D415BA"/>
    <w:rsid w:val="00D63780"/>
    <w:rsid w:val="00D644EE"/>
    <w:rsid w:val="00D67086"/>
    <w:rsid w:val="00D75489"/>
    <w:rsid w:val="00D878D6"/>
    <w:rsid w:val="00DD06FF"/>
    <w:rsid w:val="00DD5FE9"/>
    <w:rsid w:val="00E00C7A"/>
    <w:rsid w:val="00E209CF"/>
    <w:rsid w:val="00E37D6C"/>
    <w:rsid w:val="00E55B68"/>
    <w:rsid w:val="00E576D9"/>
    <w:rsid w:val="00E67BE6"/>
    <w:rsid w:val="00E8683C"/>
    <w:rsid w:val="00EA2B72"/>
    <w:rsid w:val="00F74360"/>
    <w:rsid w:val="00F82DDF"/>
    <w:rsid w:val="00F907CF"/>
    <w:rsid w:val="00FB462F"/>
    <w:rsid w:val="00FE16FA"/>
    <w:rsid w:val="00FE328A"/>
    <w:rsid w:val="00FE6269"/>
    <w:rsid w:val="00FF5CD6"/>
    <w:rsid w:val="01610122"/>
    <w:rsid w:val="0321587C"/>
    <w:rsid w:val="03B62BF4"/>
    <w:rsid w:val="03D41F2D"/>
    <w:rsid w:val="0438160E"/>
    <w:rsid w:val="05B72A07"/>
    <w:rsid w:val="09E23726"/>
    <w:rsid w:val="0A6E50C5"/>
    <w:rsid w:val="0EA87391"/>
    <w:rsid w:val="0F901C10"/>
    <w:rsid w:val="115E6EC6"/>
    <w:rsid w:val="11C20769"/>
    <w:rsid w:val="14A760FD"/>
    <w:rsid w:val="197C11AE"/>
    <w:rsid w:val="1E214A6A"/>
    <w:rsid w:val="218B6DCA"/>
    <w:rsid w:val="21AD52A3"/>
    <w:rsid w:val="225D6CDD"/>
    <w:rsid w:val="22FB3ADB"/>
    <w:rsid w:val="28A2078D"/>
    <w:rsid w:val="291D29FD"/>
    <w:rsid w:val="2AB35825"/>
    <w:rsid w:val="2B4E5627"/>
    <w:rsid w:val="2CD478E5"/>
    <w:rsid w:val="2FC70A1E"/>
    <w:rsid w:val="30E54BE7"/>
    <w:rsid w:val="31A33CBC"/>
    <w:rsid w:val="32BA75CB"/>
    <w:rsid w:val="34A870E6"/>
    <w:rsid w:val="37804A60"/>
    <w:rsid w:val="38B05E0E"/>
    <w:rsid w:val="39DD3AE3"/>
    <w:rsid w:val="3A5A20A3"/>
    <w:rsid w:val="3DA43295"/>
    <w:rsid w:val="3E994871"/>
    <w:rsid w:val="41F720F6"/>
    <w:rsid w:val="451E70AF"/>
    <w:rsid w:val="4A1744E6"/>
    <w:rsid w:val="4A222487"/>
    <w:rsid w:val="4A396C8F"/>
    <w:rsid w:val="4B6F022D"/>
    <w:rsid w:val="4BE43382"/>
    <w:rsid w:val="4F9252A2"/>
    <w:rsid w:val="506163F0"/>
    <w:rsid w:val="525839A8"/>
    <w:rsid w:val="527A251C"/>
    <w:rsid w:val="54813F10"/>
    <w:rsid w:val="5B21162A"/>
    <w:rsid w:val="5BD10EF1"/>
    <w:rsid w:val="5D261179"/>
    <w:rsid w:val="5F333B85"/>
    <w:rsid w:val="61C05365"/>
    <w:rsid w:val="635F645D"/>
    <w:rsid w:val="64E060B2"/>
    <w:rsid w:val="65853FB7"/>
    <w:rsid w:val="684F4AE9"/>
    <w:rsid w:val="68E41346"/>
    <w:rsid w:val="6DAF0D17"/>
    <w:rsid w:val="6DC133D1"/>
    <w:rsid w:val="6E5F44EB"/>
    <w:rsid w:val="6FBF1742"/>
    <w:rsid w:val="70935760"/>
    <w:rsid w:val="72306A4A"/>
    <w:rsid w:val="726800A5"/>
    <w:rsid w:val="731C4A1B"/>
    <w:rsid w:val="73750AD8"/>
    <w:rsid w:val="738C30F5"/>
    <w:rsid w:val="74A92FF2"/>
    <w:rsid w:val="750703D0"/>
    <w:rsid w:val="75D92DD5"/>
    <w:rsid w:val="75DB4D9F"/>
    <w:rsid w:val="76CC1C0E"/>
    <w:rsid w:val="78CB7428"/>
    <w:rsid w:val="7A807CC3"/>
    <w:rsid w:val="7CDF1B24"/>
    <w:rsid w:val="7DCC14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10366</Words>
  <Characters>15092</Characters>
  <Lines>83</Lines>
  <Paragraphs>23</Paragraphs>
  <TotalTime>19</TotalTime>
  <ScaleCrop>false</ScaleCrop>
  <LinksUpToDate>false</LinksUpToDate>
  <CharactersWithSpaces>15571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rani</cp:lastModifiedBy>
  <cp:lastPrinted>2022-07-27T12:55:00Z</cp:lastPrinted>
  <dcterms:modified xsi:type="dcterms:W3CDTF">2023-09-24T10:57:03Z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DA6375E71339492EA216FBE9D2C8974B_13</vt:lpwstr>
  </property>
</Properties>
</file>