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72"/>
          <w:szCs w:val="72"/>
        </w:rPr>
      </w:pPr>
      <w:r>
        <w:rPr>
          <w:rFonts w:hint="eastAsia"/>
          <w:sz w:val="72"/>
          <w:szCs w:val="72"/>
        </w:rPr>
        <w:t>湖南省衡阳生态环境监测中心</w:t>
      </w:r>
    </w:p>
    <w:p>
      <w:pPr>
        <w:pStyle w:val="10"/>
        <w:jc w:val="center"/>
        <w:rPr>
          <w:sz w:val="72"/>
          <w:szCs w:val="72"/>
        </w:rPr>
      </w:pPr>
      <w:r>
        <w:rPr>
          <w:rFonts w:hint="eastAsia"/>
          <w:sz w:val="72"/>
          <w:szCs w:val="72"/>
        </w:rPr>
        <w:t>部门决算</w:t>
      </w:r>
    </w:p>
    <w:p>
      <w:pPr>
        <w:pStyle w:val="10"/>
        <w:jc w:val="center"/>
        <w:rPr>
          <w:sz w:val="72"/>
          <w:szCs w:val="72"/>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第一部分湖南省衡阳生态环境监测中心概况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rPr>
        <w:t>及决算单位构成</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ind w:firstLine="840" w:firstLineChars="300"/>
        <w:rPr>
          <w:rFonts w:hint="eastAsia" w:ascii="仿宋_GB2312" w:hAnsi="仿宋_GB2312" w:eastAsia="宋体" w:cs="仿宋_GB2312"/>
          <w:sz w:val="28"/>
          <w:szCs w:val="28"/>
        </w:rPr>
      </w:pPr>
      <w:r>
        <w:rPr>
          <w:rFonts w:hint="eastAsia" w:ascii="仿宋_GB2312" w:hAnsi="仿宋_GB2312" w:cs="仿宋_GB2312" w:eastAsiaTheme="minorEastAsia"/>
          <w:sz w:val="28"/>
          <w:szCs w:val="28"/>
        </w:rPr>
        <w:t>十三、</w:t>
      </w:r>
      <w:r>
        <w:rPr>
          <w:rFonts w:hint="eastAsia" w:ascii="仿宋_GB2312" w:hAnsi="仿宋_GB2312" w:eastAsia="宋体" w:cs="仿宋_GB2312"/>
          <w:sz w:val="28"/>
          <w:szCs w:val="28"/>
        </w:rPr>
        <w:t>关于部门整体支出、单位项目支出、重点（专项）项目支出绩效自评情况说明</w:t>
      </w:r>
    </w:p>
    <w:p>
      <w:pPr>
        <w:pStyle w:val="10"/>
        <w:spacing w:line="500" w:lineRule="exact"/>
        <w:ind w:firstLine="700" w:firstLineChars="250"/>
        <w:rPr>
          <w:rFonts w:ascii="仿宋_GB2312" w:hAnsi="仿宋_GB2312" w:cs="仿宋_GB2312" w:eastAsiaTheme="minorEastAsia"/>
          <w:sz w:val="28"/>
          <w:szCs w:val="28"/>
        </w:rPr>
      </w:pP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rFonts w:ascii="仿宋" w:hAnsi="仿宋" w:eastAsia="仿宋"/>
          <w:b/>
          <w:sz w:val="72"/>
          <w:szCs w:val="72"/>
        </w:rPr>
      </w:pPr>
      <w:r>
        <w:rPr>
          <w:rFonts w:hint="eastAsia" w:ascii="仿宋" w:hAnsi="仿宋" w:eastAsia="仿宋"/>
          <w:b/>
          <w:sz w:val="72"/>
          <w:szCs w:val="72"/>
        </w:rPr>
        <w:t>第一部分</w:t>
      </w:r>
    </w:p>
    <w:p>
      <w:pPr>
        <w:pStyle w:val="10"/>
        <w:jc w:val="center"/>
        <w:rPr>
          <w:rFonts w:ascii="仿宋" w:hAnsi="仿宋" w:eastAsia="仿宋"/>
          <w:b/>
          <w:sz w:val="72"/>
          <w:szCs w:val="72"/>
        </w:rPr>
      </w:pPr>
    </w:p>
    <w:p>
      <w:pPr>
        <w:pStyle w:val="10"/>
        <w:jc w:val="center"/>
        <w:rPr>
          <w:rFonts w:ascii="仿宋" w:hAnsi="仿宋" w:eastAsia="仿宋"/>
          <w:b/>
          <w:sz w:val="72"/>
          <w:szCs w:val="72"/>
        </w:rPr>
      </w:pPr>
      <w:r>
        <w:rPr>
          <w:rFonts w:hint="eastAsia" w:ascii="仿宋" w:hAnsi="仿宋" w:eastAsia="仿宋"/>
          <w:b/>
          <w:sz w:val="72"/>
          <w:szCs w:val="72"/>
        </w:rPr>
        <w:t>湖南省衡阳生态环境监测中心概况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1361" w:firstLine="0" w:firstLineChars="0"/>
        <w:jc w:val="left"/>
        <w:rPr>
          <w:sz w:val="72"/>
          <w:szCs w:val="72"/>
        </w:rPr>
      </w:pPr>
    </w:p>
    <w:p>
      <w:pPr>
        <w:pStyle w:val="11"/>
        <w:ind w:left="1361" w:firstLine="0" w:firstLineChars="0"/>
        <w:jc w:val="left"/>
        <w:rPr>
          <w:sz w:val="72"/>
          <w:szCs w:val="72"/>
        </w:rPr>
      </w:pPr>
    </w:p>
    <w:p>
      <w:pPr>
        <w:pStyle w:val="11"/>
        <w:ind w:left="1361" w:firstLine="0" w:firstLineChars="0"/>
        <w:jc w:val="left"/>
        <w:rPr>
          <w:rFonts w:hint="eastAsia" w:ascii="黑体" w:hAnsi="黑体" w:eastAsia="黑体" w:cs="黑体"/>
          <w:sz w:val="72"/>
          <w:szCs w:val="72"/>
        </w:rPr>
      </w:pPr>
    </w:p>
    <w:p>
      <w:pPr>
        <w:widowControl/>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一、部门职责</w:t>
      </w:r>
    </w:p>
    <w:p>
      <w:pPr>
        <w:widowControl/>
        <w:spacing w:line="360" w:lineRule="auto"/>
        <w:ind w:firstLine="640" w:firstLineChars="200"/>
        <w:rPr>
          <w:rFonts w:ascii="仿宋" w:hAnsi="仿宋" w:eastAsia="仿宋" w:cs="Arial Unicode MS"/>
          <w:sz w:val="32"/>
          <w:szCs w:val="32"/>
        </w:rPr>
      </w:pPr>
      <w:r>
        <w:rPr>
          <w:rFonts w:hint="eastAsia" w:ascii="仿宋" w:hAnsi="仿宋" w:eastAsia="仿宋" w:cs="Arial Unicode MS"/>
          <w:sz w:val="32"/>
          <w:szCs w:val="32"/>
        </w:rPr>
        <w:t>（一）承担衡阳市生态环境质量监测和生态状况监测、评价等工作；</w:t>
      </w:r>
    </w:p>
    <w:p>
      <w:pPr>
        <w:widowControl/>
        <w:spacing w:line="360" w:lineRule="auto"/>
        <w:ind w:firstLine="640" w:firstLineChars="200"/>
        <w:rPr>
          <w:rFonts w:ascii="仿宋" w:hAnsi="仿宋" w:eastAsia="仿宋" w:cs="Arial Unicode MS"/>
          <w:sz w:val="32"/>
          <w:szCs w:val="32"/>
        </w:rPr>
      </w:pPr>
      <w:r>
        <w:rPr>
          <w:rFonts w:hint="eastAsia" w:ascii="仿宋" w:hAnsi="仿宋" w:eastAsia="仿宋" w:cs="Arial Unicode MS"/>
          <w:sz w:val="32"/>
          <w:szCs w:val="32"/>
        </w:rPr>
        <w:t>（二）负责衡阳市生态环境监测数据采集、分析研判、信息推送等工作，开展生态环境监测领域科学研究；</w:t>
      </w:r>
      <w:r>
        <w:rPr>
          <w:rFonts w:ascii="仿宋" w:hAnsi="仿宋" w:eastAsia="仿宋" w:cs="Arial Unicode MS"/>
          <w:sz w:val="32"/>
          <w:szCs w:val="32"/>
        </w:rPr>
        <w:br w:type="textWrapping"/>
      </w:r>
      <w:r>
        <w:rPr>
          <w:rFonts w:hint="eastAsia" w:ascii="仿宋" w:hAnsi="仿宋" w:eastAsia="仿宋" w:cs="Arial Unicode MS"/>
          <w:sz w:val="32"/>
          <w:szCs w:val="32"/>
        </w:rPr>
        <w:t>（三）负责衡阳市生态环境质量监测网络体系建设、质量管理控制等工作；</w:t>
      </w:r>
      <w:r>
        <w:rPr>
          <w:rFonts w:ascii="仿宋" w:hAnsi="仿宋" w:eastAsia="仿宋" w:cs="Arial Unicode MS"/>
          <w:sz w:val="32"/>
          <w:szCs w:val="32"/>
        </w:rPr>
        <w:br w:type="textWrapping"/>
      </w:r>
      <w:r>
        <w:rPr>
          <w:rFonts w:hint="eastAsia" w:ascii="仿宋" w:hAnsi="仿宋" w:eastAsia="仿宋" w:cs="Arial Unicode MS"/>
          <w:sz w:val="32"/>
          <w:szCs w:val="32"/>
        </w:rPr>
        <w:t>（四）负责配合实施衡阳市生态环境监测能力建设等工作；</w:t>
      </w:r>
      <w:r>
        <w:rPr>
          <w:rFonts w:ascii="仿宋" w:hAnsi="仿宋" w:eastAsia="仿宋" w:cs="Arial Unicode MS"/>
          <w:sz w:val="32"/>
          <w:szCs w:val="32"/>
        </w:rPr>
        <w:br w:type="textWrapping"/>
      </w:r>
      <w:r>
        <w:rPr>
          <w:rFonts w:hint="eastAsia" w:ascii="仿宋" w:hAnsi="仿宋" w:eastAsia="仿宋" w:cs="Arial Unicode MS"/>
          <w:sz w:val="32"/>
          <w:szCs w:val="32"/>
        </w:rPr>
        <w:t>（五）参与重大、跨界执法监测和应急监测等工作；</w:t>
      </w:r>
      <w:r>
        <w:rPr>
          <w:rFonts w:ascii="仿宋" w:hAnsi="仿宋" w:eastAsia="仿宋" w:cs="Arial Unicode MS"/>
          <w:sz w:val="32"/>
          <w:szCs w:val="32"/>
        </w:rPr>
        <w:br w:type="textWrapping"/>
      </w:r>
      <w:r>
        <w:rPr>
          <w:rFonts w:hint="eastAsia" w:ascii="仿宋" w:hAnsi="仿宋" w:eastAsia="仿宋" w:cs="Arial Unicode MS"/>
          <w:sz w:val="32"/>
          <w:szCs w:val="32"/>
        </w:rPr>
        <w:t>（六）承担上级交办的其他工作</w:t>
      </w:r>
      <w:r>
        <w:rPr>
          <w:rFonts w:ascii="仿宋" w:hAnsi="仿宋" w:eastAsia="仿宋" w:cs="Arial Unicode MS"/>
          <w:sz w:val="32"/>
          <w:szCs w:val="32"/>
        </w:rPr>
        <w:t>;</w:t>
      </w:r>
      <w:r>
        <w:rPr>
          <w:rFonts w:ascii="仿宋" w:hAnsi="仿宋" w:eastAsia="仿宋" w:cs="Arial Unicode MS"/>
          <w:sz w:val="32"/>
          <w:szCs w:val="32"/>
        </w:rPr>
        <w:br w:type="textWrapping"/>
      </w:r>
      <w:r>
        <w:rPr>
          <w:rFonts w:hint="eastAsia" w:ascii="仿宋" w:hAnsi="仿宋" w:eastAsia="仿宋" w:cs="Arial Unicode MS"/>
          <w:sz w:val="32"/>
          <w:szCs w:val="32"/>
        </w:rPr>
        <w:t>（七）承担市生态环境局委托的相关生态环境监测任务。</w:t>
      </w:r>
    </w:p>
    <w:p>
      <w:pPr>
        <w:widowControl/>
        <w:spacing w:line="60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hint="eastAsia" w:ascii="仿宋" w:hAnsi="仿宋" w:eastAsia="仿宋" w:cs="Arial Unicode MS"/>
          <w:bCs/>
          <w:kern w:val="0"/>
          <w:sz w:val="32"/>
          <w:szCs w:val="32"/>
        </w:rPr>
      </w:pPr>
      <w:r>
        <w:rPr>
          <w:rFonts w:hint="eastAsia" w:ascii="仿宋" w:hAnsi="仿宋" w:eastAsia="仿宋" w:cs="Arial Unicode MS"/>
          <w:bCs/>
          <w:kern w:val="0"/>
          <w:sz w:val="32"/>
          <w:szCs w:val="32"/>
        </w:rPr>
        <w:t>（一）内设机构设置。</w:t>
      </w:r>
    </w:p>
    <w:p>
      <w:pPr>
        <w:widowControl/>
        <w:spacing w:line="600" w:lineRule="exact"/>
        <w:ind w:firstLine="640" w:firstLineChars="200"/>
        <w:rPr>
          <w:rFonts w:ascii="仿宋" w:hAnsi="仿宋" w:eastAsia="仿宋" w:cs="Arial Unicode MS"/>
          <w:bCs/>
          <w:kern w:val="0"/>
          <w:sz w:val="32"/>
          <w:szCs w:val="32"/>
        </w:rPr>
      </w:pPr>
      <w:r>
        <w:rPr>
          <w:rFonts w:hint="eastAsia" w:ascii="仿宋" w:hAnsi="仿宋" w:eastAsia="仿宋" w:cs="Arial Unicode MS"/>
          <w:bCs/>
          <w:kern w:val="0"/>
          <w:sz w:val="32"/>
          <w:szCs w:val="32"/>
        </w:rPr>
        <w:t>湖南省衡阳生态环境监测中心单位内设机构11个，包括：办公室、人事科（纪检监察室）、资产管理科（信息中心）、质量管理科、水环境监测科、分析技术科、土壤和生态环境监测科、大气环境监测科（大气质量预测预报中心）、污染源与应急监测科（辐射环境监测科）、综合研究科、现场监测科。</w:t>
      </w:r>
    </w:p>
    <w:p>
      <w:pPr>
        <w:widowControl/>
        <w:numPr>
          <w:ilvl w:val="0"/>
          <w:numId w:val="1"/>
        </w:numPr>
        <w:spacing w:line="600" w:lineRule="exact"/>
        <w:ind w:firstLine="640" w:firstLineChars="200"/>
        <w:rPr>
          <w:rFonts w:hint="eastAsia" w:ascii="仿宋" w:hAnsi="仿宋" w:eastAsia="仿宋" w:cs="Arial Unicode MS"/>
          <w:bCs/>
          <w:color w:val="000000" w:themeColor="text1"/>
          <w:kern w:val="0"/>
          <w:sz w:val="32"/>
          <w:szCs w:val="32"/>
        </w:rPr>
      </w:pPr>
      <w:r>
        <w:rPr>
          <w:rFonts w:hint="eastAsia" w:ascii="仿宋" w:hAnsi="仿宋" w:eastAsia="仿宋" w:cs="Arial Unicode MS"/>
          <w:bCs/>
          <w:color w:val="000000" w:themeColor="text1"/>
          <w:kern w:val="0"/>
          <w:sz w:val="32"/>
          <w:szCs w:val="32"/>
        </w:rPr>
        <w:t>决算单位构成。</w:t>
      </w:r>
    </w:p>
    <w:p>
      <w:pPr>
        <w:widowControl/>
        <w:numPr>
          <w:ilvl w:val="-1"/>
          <w:numId w:val="0"/>
        </w:numPr>
        <w:spacing w:line="600" w:lineRule="exact"/>
        <w:ind w:firstLine="640" w:firstLineChars="200"/>
        <w:rPr>
          <w:rFonts w:ascii="仿宋" w:hAnsi="仿宋" w:eastAsia="仿宋" w:cs="Arial Unicode MS"/>
          <w:color w:val="000000" w:themeColor="text1"/>
          <w:sz w:val="28"/>
          <w:szCs w:val="32"/>
        </w:rPr>
      </w:pPr>
      <w:r>
        <w:rPr>
          <w:rFonts w:hint="eastAsia" w:ascii="仿宋" w:hAnsi="仿宋" w:eastAsia="仿宋" w:cs="Arial Unicode MS"/>
          <w:bCs/>
          <w:color w:val="000000" w:themeColor="text1"/>
          <w:kern w:val="0"/>
          <w:sz w:val="32"/>
          <w:szCs w:val="32"/>
        </w:rPr>
        <w:t>我中心为</w:t>
      </w:r>
      <w:r>
        <w:rPr>
          <w:rFonts w:hint="eastAsia" w:ascii="仿宋" w:hAnsi="仿宋" w:eastAsia="仿宋" w:cs="Arial Unicode MS"/>
          <w:color w:val="000000" w:themeColor="text1"/>
          <w:sz w:val="32"/>
          <w:szCs w:val="32"/>
        </w:rPr>
        <w:t>隶属于湖南省生态环境厅的三级预算单位，系副处级公益一类全额拨款事业单位，国家环境质量监测网络二级站之一。</w:t>
      </w:r>
      <w:r>
        <w:rPr>
          <w:rFonts w:ascii="仿宋" w:hAnsi="仿宋" w:eastAsia="仿宋" w:cs="Arial Unicode MS"/>
          <w:bCs/>
          <w:color w:val="000000" w:themeColor="text1"/>
          <w:kern w:val="0"/>
          <w:sz w:val="32"/>
          <w:szCs w:val="32"/>
        </w:rPr>
        <w:t>20</w:t>
      </w:r>
      <w:r>
        <w:rPr>
          <w:rFonts w:hint="eastAsia" w:ascii="仿宋" w:hAnsi="仿宋" w:eastAsia="仿宋" w:cs="Arial Unicode MS"/>
          <w:bCs/>
          <w:color w:val="000000" w:themeColor="text1"/>
          <w:kern w:val="0"/>
          <w:sz w:val="32"/>
          <w:szCs w:val="32"/>
        </w:rPr>
        <w:t>21年部门决算汇总公开单位构成包括：湖南省衡阳生态环境监测中心本级。</w:t>
      </w:r>
    </w:p>
    <w:p>
      <w:pPr>
        <w:ind w:firstLine="560" w:firstLineChars="200"/>
        <w:jc w:val="center"/>
        <w:rPr>
          <w:rFonts w:ascii="仿宋" w:hAnsi="仿宋" w:eastAsia="仿宋" w:cs="Arial Unicode MS"/>
          <w:color w:val="000000" w:themeColor="text1"/>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b/>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rFonts w:ascii="仿宋" w:hAnsi="仿宋" w:eastAsia="仿宋"/>
          <w:b/>
          <w:sz w:val="72"/>
          <w:szCs w:val="72"/>
        </w:rPr>
      </w:pPr>
      <w:r>
        <w:rPr>
          <w:rFonts w:hint="eastAsia" w:ascii="仿宋" w:hAnsi="仿宋" w:eastAsia="仿宋"/>
          <w:b/>
          <w:sz w:val="72"/>
          <w:szCs w:val="72"/>
        </w:rPr>
        <w:t>第二部分</w:t>
      </w:r>
    </w:p>
    <w:p>
      <w:pPr>
        <w:jc w:val="center"/>
        <w:rPr>
          <w:rFonts w:ascii="仿宋" w:hAnsi="仿宋" w:eastAsia="仿宋"/>
          <w:b/>
          <w:sz w:val="72"/>
          <w:szCs w:val="72"/>
        </w:rPr>
      </w:pPr>
    </w:p>
    <w:p>
      <w:pPr>
        <w:jc w:val="center"/>
        <w:rPr>
          <w:rFonts w:ascii="仿宋" w:hAnsi="仿宋" w:eastAsia="仿宋"/>
          <w:b/>
          <w:sz w:val="72"/>
          <w:szCs w:val="72"/>
        </w:rPr>
      </w:pPr>
      <w:r>
        <w:rPr>
          <w:rFonts w:hint="eastAsia" w:ascii="仿宋" w:hAnsi="仿宋" w:eastAsia="仿宋"/>
          <w:b/>
          <w:sz w:val="72"/>
          <w:szCs w:val="72"/>
        </w:rPr>
        <w:t>部门决算表</w:t>
      </w:r>
    </w:p>
    <w:p>
      <w:pPr>
        <w:jc w:val="center"/>
        <w:rPr>
          <w:rFonts w:ascii="仿宋" w:hAnsi="仿宋" w:eastAsia="仿宋"/>
          <w:b/>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6"/>
        <w:tblW w:w="14081" w:type="dxa"/>
        <w:tblInd w:w="93" w:type="dxa"/>
        <w:tblLayout w:type="fixed"/>
        <w:tblCellMar>
          <w:top w:w="0" w:type="dxa"/>
          <w:left w:w="108" w:type="dxa"/>
          <w:bottom w:w="0" w:type="dxa"/>
          <w:right w:w="108" w:type="dxa"/>
        </w:tblCellMar>
      </w:tblPr>
      <w:tblGrid>
        <w:gridCol w:w="4126"/>
        <w:gridCol w:w="661"/>
        <w:gridCol w:w="419"/>
        <w:gridCol w:w="697"/>
        <w:gridCol w:w="232"/>
        <w:gridCol w:w="932"/>
        <w:gridCol w:w="3375"/>
        <w:gridCol w:w="1252"/>
        <w:gridCol w:w="214"/>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部门：湖南省衡阳生态环境监测中心</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7067"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7014" w:type="dxa"/>
            <w:gridSpan w:val="5"/>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280" w:type="dxa"/>
            <w:gridSpan w:val="4"/>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387"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280" w:type="dxa"/>
            <w:gridSpan w:val="4"/>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387"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1320.30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4"/>
                <w:szCs w:val="24"/>
              </w:rPr>
              <w:t>八、社会保障和就业支出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89.00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2"/>
              </w:rPr>
              <w:t>九、卫生健康支出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95.73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442.78</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0"/>
                <w:szCs w:val="20"/>
              </w:rPr>
              <w:t>十、节能环保支出　</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1781.08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十九、住房保障支出</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Cs/>
                <w:kern w:val="0"/>
                <w:sz w:val="22"/>
              </w:rPr>
            </w:pPr>
            <w:r>
              <w:rPr>
                <w:rFonts w:hint="eastAsia" w:ascii="宋体" w:hAnsi="宋体" w:eastAsia="宋体" w:cs="宋体"/>
                <w:bCs/>
                <w:kern w:val="0"/>
                <w:sz w:val="22"/>
              </w:rPr>
              <w:t>76.38</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1763.08　</w:t>
            </w:r>
          </w:p>
        </w:tc>
        <w:tc>
          <w:tcPr>
            <w:tcW w:w="33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2042.20</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193.61　</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198.75</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639.80　</w:t>
            </w:r>
          </w:p>
        </w:tc>
        <w:tc>
          <w:tcPr>
            <w:tcW w:w="33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355.53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6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228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2596.48　</w:t>
            </w:r>
          </w:p>
        </w:tc>
        <w:tc>
          <w:tcPr>
            <w:tcW w:w="33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2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2387"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Cs/>
                <w:kern w:val="0"/>
                <w:sz w:val="22"/>
              </w:rPr>
            </w:pPr>
            <w:r>
              <w:rPr>
                <w:rFonts w:hint="eastAsia" w:ascii="宋体" w:hAnsi="宋体" w:eastAsia="宋体" w:cs="宋体"/>
                <w:bCs/>
                <w:kern w:val="0"/>
                <w:sz w:val="22"/>
              </w:rPr>
              <w:t>2596.48</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6"/>
        <w:tblW w:w="14386" w:type="dxa"/>
        <w:tblInd w:w="0" w:type="dxa"/>
        <w:tblLayout w:type="autofit"/>
        <w:tblCellMar>
          <w:top w:w="0" w:type="dxa"/>
          <w:left w:w="0" w:type="dxa"/>
          <w:bottom w:w="0" w:type="dxa"/>
          <w:right w:w="0" w:type="dxa"/>
        </w:tblCellMar>
      </w:tblPr>
      <w:tblGrid>
        <w:gridCol w:w="875"/>
        <w:gridCol w:w="875"/>
        <w:gridCol w:w="4897"/>
        <w:gridCol w:w="2197"/>
        <w:gridCol w:w="943"/>
        <w:gridCol w:w="937"/>
        <w:gridCol w:w="750"/>
        <w:gridCol w:w="1129"/>
        <w:gridCol w:w="1716"/>
        <w:gridCol w:w="1109"/>
      </w:tblGrid>
      <w:tr>
        <w:tblPrEx>
          <w:tblCellMar>
            <w:top w:w="0" w:type="dxa"/>
            <w:left w:w="0" w:type="dxa"/>
            <w:bottom w:w="0" w:type="dxa"/>
            <w:right w:w="0" w:type="dxa"/>
          </w:tblCellMar>
        </w:tblPrEx>
        <w:trPr>
          <w:trHeight w:val="435" w:hRule="atLeast"/>
        </w:trPr>
        <w:tc>
          <w:tcPr>
            <w:tcW w:w="14386" w:type="dxa"/>
            <w:gridSpan w:val="10"/>
            <w:tcBorders>
              <w:top w:val="nil"/>
              <w:left w:val="nil"/>
              <w:bottom w:val="nil"/>
              <w:right w:val="nil"/>
            </w:tcBorders>
            <w:noWrap/>
            <w:tcMar>
              <w:top w:w="15" w:type="dxa"/>
              <w:left w:w="15" w:type="dxa"/>
              <w:bottom w:w="0" w:type="dxa"/>
              <w:right w:w="15" w:type="dxa"/>
            </w:tcMar>
            <w:vAlign w:val="center"/>
          </w:tcPr>
          <w:p>
            <w:pPr>
              <w:jc w:val="center"/>
              <w:rPr>
                <w:rFonts w:ascii="宋体" w:cs="宋体"/>
                <w:b/>
                <w:color w:val="000000"/>
                <w:sz w:val="32"/>
                <w:szCs w:val="32"/>
              </w:rPr>
            </w:pPr>
            <w:r>
              <w:rPr>
                <w:rFonts w:hint="eastAsia" w:ascii="宋体" w:hAnsi="宋体"/>
                <w:b/>
                <w:color w:val="000000"/>
                <w:sz w:val="32"/>
                <w:szCs w:val="32"/>
              </w:rPr>
              <w:t>收入决算表</w:t>
            </w:r>
          </w:p>
        </w:tc>
      </w:tr>
      <w:tr>
        <w:tblPrEx>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479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215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91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73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110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16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color w:val="000000"/>
                <w:sz w:val="20"/>
                <w:szCs w:val="20"/>
              </w:rPr>
            </w:pPr>
            <w:r>
              <w:rPr>
                <w:rFonts w:hint="eastAsia" w:ascii="仿宋_GB2312" w:eastAsia="仿宋_GB2312"/>
                <w:color w:val="000000"/>
                <w:sz w:val="20"/>
                <w:szCs w:val="20"/>
              </w:rPr>
              <w:t>公开</w:t>
            </w:r>
            <w:r>
              <w:rPr>
                <w:rFonts w:ascii="仿宋_GB2312" w:eastAsia="仿宋_GB2312"/>
                <w:color w:val="000000"/>
                <w:sz w:val="20"/>
                <w:szCs w:val="20"/>
              </w:rPr>
              <w:t>02</w:t>
            </w:r>
            <w:r>
              <w:rPr>
                <w:rFonts w:hint="eastAsia" w:ascii="仿宋_GB2312" w:eastAsia="仿宋_GB2312"/>
                <w:color w:val="000000"/>
                <w:sz w:val="20"/>
                <w:szCs w:val="20"/>
              </w:rPr>
              <w:t>表</w:t>
            </w:r>
          </w:p>
        </w:tc>
      </w:tr>
      <w:tr>
        <w:tblPrEx>
          <w:tblCellMar>
            <w:top w:w="0" w:type="dxa"/>
            <w:left w:w="0" w:type="dxa"/>
            <w:bottom w:w="0" w:type="dxa"/>
            <w:right w:w="0" w:type="dxa"/>
          </w:tblCellMar>
        </w:tblPrEx>
        <w:trPr>
          <w:trHeight w:val="285" w:hRule="atLeast"/>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仿宋_GB2312" w:eastAsia="仿宋_GB2312" w:cs="宋体"/>
                <w:color w:val="000000"/>
                <w:sz w:val="20"/>
                <w:szCs w:val="20"/>
              </w:rPr>
            </w:pPr>
            <w:r>
              <w:rPr>
                <w:rFonts w:hint="eastAsia" w:ascii="仿宋_GB2312" w:eastAsia="仿宋_GB2312"/>
                <w:color w:val="000000"/>
                <w:sz w:val="20"/>
                <w:szCs w:val="20"/>
              </w:rPr>
              <w:t>部门：湖南省衡阳生</w:t>
            </w:r>
          </w:p>
        </w:tc>
        <w:tc>
          <w:tcPr>
            <w:tcW w:w="4798"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仿宋_GB2312" w:eastAsia="仿宋_GB2312" w:cs="宋体"/>
                <w:sz w:val="24"/>
                <w:szCs w:val="24"/>
              </w:rPr>
            </w:pPr>
            <w:r>
              <w:rPr>
                <w:rFonts w:hint="eastAsia" w:ascii="仿宋_GB2312" w:eastAsia="仿宋_GB2312"/>
              </w:rPr>
              <w:t>态环境监测中心</w:t>
            </w:r>
          </w:p>
        </w:tc>
        <w:tc>
          <w:tcPr>
            <w:tcW w:w="2152"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仿宋_GB2312" w:eastAsia="仿宋_GB2312" w:cs="宋体"/>
                <w:sz w:val="24"/>
                <w:szCs w:val="24"/>
              </w:rPr>
            </w:pP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仿宋_GB2312" w:eastAsia="仿宋_GB2312" w:cs="宋体"/>
                <w:sz w:val="24"/>
                <w:szCs w:val="24"/>
              </w:rPr>
            </w:pPr>
            <w:r>
              <w:rPr>
                <w:rFonts w:hint="eastAsia" w:ascii="仿宋_GB2312" w:eastAsia="仿宋_GB2312"/>
              </w:rPr>
              <w:t>　</w:t>
            </w:r>
          </w:p>
        </w:tc>
        <w:tc>
          <w:tcPr>
            <w:tcW w:w="917"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仿宋_GB2312" w:eastAsia="仿宋_GB2312" w:cs="宋体"/>
                <w:color w:val="000000"/>
                <w:sz w:val="20"/>
                <w:szCs w:val="20"/>
              </w:rPr>
            </w:pPr>
            <w:r>
              <w:rPr>
                <w:rFonts w:hint="eastAsia" w:ascii="仿宋_GB2312" w:eastAsia="仿宋_GB2312"/>
                <w:color w:val="000000"/>
                <w:sz w:val="20"/>
                <w:szCs w:val="20"/>
              </w:rPr>
              <w:t>　</w:t>
            </w:r>
          </w:p>
        </w:tc>
        <w:tc>
          <w:tcPr>
            <w:tcW w:w="73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110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16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sz w:val="24"/>
                <w:szCs w:val="24"/>
              </w:rPr>
            </w:pPr>
            <w:r>
              <w:rPr>
                <w:rFonts w:hint="eastAsia" w:ascii="仿宋_GB2312" w:eastAsia="仿宋_GB2312"/>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仿宋_GB2312" w:eastAsia="仿宋_GB2312" w:cs="宋体"/>
                <w:color w:val="000000"/>
                <w:sz w:val="20"/>
                <w:szCs w:val="20"/>
              </w:rPr>
            </w:pPr>
            <w:r>
              <w:rPr>
                <w:rFonts w:hint="eastAsia" w:ascii="仿宋_GB2312" w:eastAsia="仿宋_GB2312"/>
                <w:color w:val="000000"/>
                <w:sz w:val="20"/>
                <w:szCs w:val="20"/>
              </w:rPr>
              <w:t>单位：万元</w:t>
            </w:r>
          </w:p>
        </w:tc>
      </w:tr>
      <w:tr>
        <w:tblPrEx>
          <w:tblCellMar>
            <w:top w:w="0" w:type="dxa"/>
            <w:left w:w="0" w:type="dxa"/>
            <w:bottom w:w="0" w:type="dxa"/>
            <w:right w:w="0" w:type="dxa"/>
          </w:tblCellMar>
        </w:tblPrEx>
        <w:trPr>
          <w:trHeight w:val="450" w:hRule="atLeas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项目</w:t>
            </w:r>
          </w:p>
        </w:tc>
        <w:tc>
          <w:tcPr>
            <w:tcW w:w="215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本年收入合计</w:t>
            </w:r>
          </w:p>
        </w:tc>
        <w:tc>
          <w:tcPr>
            <w:tcW w:w="97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财政拨款收入</w:t>
            </w:r>
          </w:p>
        </w:tc>
        <w:tc>
          <w:tcPr>
            <w:tcW w:w="91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上级补助收入</w:t>
            </w:r>
          </w:p>
        </w:tc>
        <w:tc>
          <w:tcPr>
            <w:tcW w:w="73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事业收入</w:t>
            </w:r>
          </w:p>
        </w:tc>
        <w:tc>
          <w:tcPr>
            <w:tcW w:w="110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经营收入</w:t>
            </w:r>
          </w:p>
        </w:tc>
        <w:tc>
          <w:tcPr>
            <w:tcW w:w="168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附属单位上缴收入</w:t>
            </w:r>
          </w:p>
        </w:tc>
        <w:tc>
          <w:tcPr>
            <w:tcW w:w="113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其他收入</w:t>
            </w:r>
          </w:p>
        </w:tc>
      </w:tr>
      <w:tr>
        <w:tblPrEx>
          <w:tblCellMar>
            <w:top w:w="0" w:type="dxa"/>
            <w:left w:w="0" w:type="dxa"/>
            <w:bottom w:w="0" w:type="dxa"/>
            <w:right w:w="0" w:type="dxa"/>
          </w:tblCellMar>
        </w:tblPrEx>
        <w:trPr>
          <w:trHeight w:val="624" w:hRule="atLeast"/>
        </w:trPr>
        <w:tc>
          <w:tcPr>
            <w:tcW w:w="88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功能分类科目编码</w:t>
            </w:r>
          </w:p>
        </w:tc>
        <w:tc>
          <w:tcPr>
            <w:tcW w:w="4798"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科目名称</w:t>
            </w:r>
          </w:p>
        </w:tc>
        <w:tc>
          <w:tcPr>
            <w:tcW w:w="2152"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917"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1680"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r>
      <w:tr>
        <w:tblPrEx>
          <w:tblCellMar>
            <w:top w:w="0" w:type="dxa"/>
            <w:left w:w="0" w:type="dxa"/>
            <w:bottom w:w="0" w:type="dxa"/>
            <w:right w:w="0" w:type="dxa"/>
          </w:tblCellMar>
        </w:tblPrEx>
        <w:trPr>
          <w:trHeight w:val="624"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4798" w:type="dxa"/>
            <w:vMerge w:val="continue"/>
            <w:tcBorders>
              <w:top w:val="nil"/>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2152"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917"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1680"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sz w:val="24"/>
                <w:szCs w:val="24"/>
              </w:rPr>
            </w:pPr>
          </w:p>
        </w:tc>
      </w:tr>
      <w:tr>
        <w:tblPrEx>
          <w:tblCellMar>
            <w:top w:w="0" w:type="dxa"/>
            <w:left w:w="0" w:type="dxa"/>
            <w:bottom w:w="0" w:type="dxa"/>
            <w:right w:w="0" w:type="dxa"/>
          </w:tblCellMar>
        </w:tblPrEx>
        <w:trPr>
          <w:trHeight w:val="450" w:hRule="atLeas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栏次</w:t>
            </w:r>
          </w:p>
        </w:tc>
        <w:tc>
          <w:tcPr>
            <w:tcW w:w="21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2</w:t>
            </w:r>
          </w:p>
        </w:tc>
        <w:tc>
          <w:tcPr>
            <w:tcW w:w="91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3</w:t>
            </w:r>
          </w:p>
        </w:tc>
        <w:tc>
          <w:tcPr>
            <w:tcW w:w="73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4</w:t>
            </w:r>
          </w:p>
        </w:tc>
        <w:tc>
          <w:tcPr>
            <w:tcW w:w="110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5</w:t>
            </w:r>
          </w:p>
        </w:tc>
        <w:tc>
          <w:tcPr>
            <w:tcW w:w="16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6</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rPr>
              <w:t>7</w:t>
            </w:r>
          </w:p>
        </w:tc>
      </w:tr>
      <w:tr>
        <w:tblPrEx>
          <w:tblCellMar>
            <w:top w:w="0" w:type="dxa"/>
            <w:left w:w="0" w:type="dxa"/>
            <w:bottom w:w="0" w:type="dxa"/>
            <w:right w:w="0" w:type="dxa"/>
          </w:tblCellMar>
        </w:tblPrEx>
        <w:trPr>
          <w:trHeight w:val="450" w:hRule="atLeast"/>
        </w:trPr>
        <w:tc>
          <w:tcPr>
            <w:tcW w:w="568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仿宋_GB2312" w:eastAsia="仿宋_GB2312"/>
              </w:rPr>
            </w:pPr>
            <w:r>
              <w:rPr>
                <w:rFonts w:hint="eastAsia" w:ascii="仿宋_GB2312" w:eastAsia="仿宋_GB2312"/>
              </w:rPr>
              <w:t>合计</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1763.08</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1320.30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rPr>
              <w:t>442.78</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208</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社会保障和就业支出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89.00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81.66</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7.34</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20805</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行政事业单位养老支出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75.05</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hint="eastAsia" w:ascii="仿宋_GB2312" w:eastAsia="仿宋_GB2312" w:cs="宋体"/>
                <w:sz w:val="24"/>
                <w:szCs w:val="24"/>
              </w:rPr>
              <w:t>72.44</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2.61</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2080505</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机关事业单位基本养老保险缴费支出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72.44</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hint="eastAsia" w:ascii="仿宋_GB2312" w:eastAsia="仿宋_GB2312" w:cs="宋体"/>
                <w:sz w:val="24"/>
                <w:szCs w:val="24"/>
              </w:rPr>
              <w:t>72.44</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2080506</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机关事业单位职业年金缴费支出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2.61</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2.61</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20808</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仿宋_GB2312" w:eastAsia="仿宋_GB2312" w:cs="Arial"/>
                <w:color w:val="000000"/>
                <w:sz w:val="22"/>
              </w:rPr>
            </w:pPr>
            <w:r>
              <w:rPr>
                <w:rFonts w:hint="eastAsia" w:ascii="仿宋_GB2312" w:eastAsia="仿宋_GB2312" w:cs="Arial"/>
                <w:color w:val="000000"/>
                <w:sz w:val="22"/>
              </w:rPr>
              <w:t>抚恤</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13.95</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9.22</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4.73</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2080801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死亡抚恤</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13.95</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9.22</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4.73</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210</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卫生健康支出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95.73</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66.79</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28.94</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21011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行政事业单位医疗</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95.73</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66.79</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28.94</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2101102</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事业单位医疗</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66.79</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66.79</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2101199</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 xml:space="preserve">  其他行政事业单位医疗支出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28.94</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28.94</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节能环保支出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1501.97</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1095.47</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406.50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21101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环境保护管理事务</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668.19</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635.97</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32.22</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2110101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行政运行</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635.97</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635.97</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2110199</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其他环境保护管理事务支出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32.22</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32.22</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21102</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环境监测与监察</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18.00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18.00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2110299</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 xml:space="preserve">  其他环境监测与监察支出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18.00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18.00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21103</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污染防治</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340.00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340.00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2110307</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 xml:space="preserve">  土壤</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340.00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340.00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cs="宋体"/>
                <w:sz w:val="24"/>
                <w:szCs w:val="24"/>
              </w:rPr>
            </w:pPr>
            <w:r>
              <w:rPr>
                <w:rFonts w:hint="eastAsia"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21111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污染减排</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475.77</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101.50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374.27</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2111101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生态环境监测与信息</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475.77</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101.50</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374.27</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221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住房保障支出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22102</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住房改革支出</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tcPr>
          <w:p>
            <w:pPr>
              <w:jc w:val="center"/>
              <w:rPr>
                <w:rFonts w:ascii="仿宋_GB2312" w:eastAsia="仿宋_GB2312"/>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ascii="仿宋_GB2312" w:eastAsia="仿宋_GB2312" w:cs="Arial"/>
                <w:color w:val="000000"/>
                <w:sz w:val="22"/>
              </w:rPr>
              <w:t>2210201</w:t>
            </w:r>
          </w:p>
        </w:tc>
        <w:tc>
          <w:tcPr>
            <w:tcW w:w="479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仿宋_GB2312" w:eastAsia="仿宋_GB2312" w:cs="Arial"/>
                <w:color w:val="000000"/>
                <w:sz w:val="22"/>
              </w:rPr>
            </w:pPr>
            <w:r>
              <w:rPr>
                <w:rFonts w:hint="eastAsia" w:ascii="仿宋_GB2312" w:eastAsia="仿宋_GB2312" w:cs="Arial"/>
                <w:color w:val="000000"/>
                <w:sz w:val="22"/>
              </w:rPr>
              <w:t>住房公积金</w:t>
            </w:r>
          </w:p>
        </w:tc>
        <w:tc>
          <w:tcPr>
            <w:tcW w:w="2152"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76.38</w:t>
            </w:r>
          </w:p>
        </w:tc>
        <w:tc>
          <w:tcPr>
            <w:tcW w:w="917" w:type="dxa"/>
            <w:tcBorders>
              <w:top w:val="nil"/>
              <w:left w:val="nil"/>
              <w:bottom w:val="single" w:color="auto" w:sz="4" w:space="0"/>
              <w:right w:val="single" w:color="auto" w:sz="4" w:space="0"/>
            </w:tcBorders>
            <w:noWrap/>
            <w:tcMar>
              <w:top w:w="15" w:type="dxa"/>
              <w:left w:w="15" w:type="dxa"/>
              <w:bottom w:w="0" w:type="dxa"/>
              <w:right w:w="15" w:type="dxa"/>
            </w:tcMar>
          </w:tcPr>
          <w:p>
            <w:pPr>
              <w:jc w:val="center"/>
            </w:pPr>
            <w:r>
              <w:rPr>
                <w:rFonts w:ascii="仿宋_GB2312" w:eastAsia="仿宋_GB2312" w:cs="宋体"/>
                <w:sz w:val="24"/>
                <w:szCs w:val="24"/>
              </w:rPr>
              <w:t>0.00</w:t>
            </w:r>
          </w:p>
        </w:tc>
        <w:tc>
          <w:tcPr>
            <w:tcW w:w="734"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105"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1680" w:type="dxa"/>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c>
          <w:tcPr>
            <w:tcW w:w="0" w:type="auto"/>
            <w:tcBorders>
              <w:top w:val="nil"/>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仿宋_GB2312" w:eastAsia="仿宋_GB2312" w:cs="宋体"/>
                <w:sz w:val="24"/>
                <w:szCs w:val="24"/>
              </w:rPr>
            </w:pPr>
            <w:r>
              <w:rPr>
                <w:rFonts w:hint="eastAsia" w:ascii="仿宋_GB2312" w:eastAsia="仿宋_GB2312" w:cs="宋体"/>
                <w:sz w:val="24"/>
                <w:szCs w:val="24"/>
              </w:rPr>
              <w:t>0.00</w:t>
            </w:r>
          </w:p>
        </w:tc>
      </w:tr>
      <w:tr>
        <w:tblPrEx>
          <w:tblCellMar>
            <w:top w:w="0" w:type="dxa"/>
            <w:left w:w="0" w:type="dxa"/>
            <w:bottom w:w="0" w:type="dxa"/>
            <w:right w:w="0" w:type="dxa"/>
          </w:tblCellMar>
        </w:tblPrEx>
        <w:trPr>
          <w:trHeight w:val="615" w:hRule="atLeast"/>
        </w:trPr>
        <w:tc>
          <w:tcPr>
            <w:tcW w:w="14386" w:type="dxa"/>
            <w:gridSpan w:val="10"/>
            <w:tcBorders>
              <w:top w:val="nil"/>
              <w:left w:val="nil"/>
              <w:bottom w:val="nil"/>
              <w:right w:val="nil"/>
            </w:tcBorders>
            <w:tcMar>
              <w:top w:w="15" w:type="dxa"/>
              <w:left w:w="15" w:type="dxa"/>
              <w:bottom w:w="0" w:type="dxa"/>
              <w:right w:w="15" w:type="dxa"/>
            </w:tcMar>
            <w:vAlign w:val="center"/>
          </w:tcPr>
          <w:p>
            <w:pPr>
              <w:rPr>
                <w:rFonts w:ascii="仿宋_GB2312" w:eastAsia="仿宋_GB2312" w:cs="宋体"/>
                <w:sz w:val="24"/>
                <w:szCs w:val="24"/>
              </w:rPr>
            </w:pPr>
            <w:r>
              <w:rPr>
                <w:rFonts w:hint="eastAsia" w:ascii="仿宋_GB2312" w:eastAsia="仿宋_GB2312"/>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tbl>
      <w:tblPr>
        <w:tblStyle w:val="6"/>
        <w:tblW w:w="15521" w:type="dxa"/>
        <w:tblInd w:w="93" w:type="dxa"/>
        <w:tblLayout w:type="autofit"/>
        <w:tblCellMar>
          <w:top w:w="0" w:type="dxa"/>
          <w:left w:w="108" w:type="dxa"/>
          <w:bottom w:w="0" w:type="dxa"/>
          <w:right w:w="108" w:type="dxa"/>
        </w:tblCellMar>
      </w:tblPr>
      <w:tblGrid>
        <w:gridCol w:w="1042"/>
        <w:gridCol w:w="236"/>
        <w:gridCol w:w="4106"/>
        <w:gridCol w:w="1113"/>
        <w:gridCol w:w="1679"/>
        <w:gridCol w:w="1679"/>
        <w:gridCol w:w="1679"/>
        <w:gridCol w:w="1679"/>
        <w:gridCol w:w="2308"/>
      </w:tblGrid>
      <w:tr>
        <w:tblPrEx>
          <w:tblCellMar>
            <w:top w:w="0" w:type="dxa"/>
            <w:left w:w="108" w:type="dxa"/>
            <w:bottom w:w="0" w:type="dxa"/>
            <w:right w:w="108" w:type="dxa"/>
          </w:tblCellMar>
        </w:tblPrEx>
        <w:trPr>
          <w:trHeight w:val="435" w:hRule="atLeast"/>
        </w:trPr>
        <w:tc>
          <w:tcPr>
            <w:tcW w:w="15521" w:type="dxa"/>
            <w:gridSpan w:val="9"/>
            <w:tcBorders>
              <w:top w:val="nil"/>
              <w:left w:val="nil"/>
              <w:bottom w:val="nil"/>
              <w:right w:val="nil"/>
            </w:tcBorders>
            <w:noWrap/>
            <w:vAlign w:val="center"/>
          </w:tcPr>
          <w:p>
            <w:pPr>
              <w:widowControl/>
              <w:jc w:val="center"/>
              <w:rPr>
                <w:rFonts w:ascii="宋体" w:cs="宋体"/>
                <w:b/>
                <w:color w:val="000000"/>
                <w:kern w:val="0"/>
                <w:sz w:val="32"/>
                <w:szCs w:val="32"/>
              </w:rPr>
            </w:pPr>
            <w:r>
              <w:rPr>
                <w:rFonts w:hint="eastAsia" w:ascii="宋体" w:hAnsi="宋体" w:cs="宋体"/>
                <w:b/>
                <w:color w:val="000000"/>
                <w:kern w:val="0"/>
                <w:sz w:val="32"/>
                <w:szCs w:val="32"/>
              </w:rPr>
              <w:t>支出决算表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4106"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113"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2308" w:type="dxa"/>
            <w:tcBorders>
              <w:top w:val="nil"/>
              <w:left w:val="nil"/>
              <w:bottom w:val="nil"/>
              <w:right w:val="nil"/>
            </w:tcBorders>
            <w:shd w:val="clear" w:color="000000" w:fill="FFFFFF"/>
            <w:noWrap/>
            <w:vAlign w:val="center"/>
          </w:tcPr>
          <w:p>
            <w:pPr>
              <w:widowControl/>
              <w:jc w:val="righ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公开</w:t>
            </w:r>
            <w:r>
              <w:rPr>
                <w:rFonts w:ascii="仿宋_GB2312" w:hAnsi="宋体" w:eastAsia="仿宋_GB2312" w:cs="宋体"/>
                <w:color w:val="000000"/>
                <w:kern w:val="0"/>
                <w:sz w:val="20"/>
                <w:szCs w:val="20"/>
              </w:rPr>
              <w:t>03</w:t>
            </w:r>
            <w:r>
              <w:rPr>
                <w:rFonts w:hint="eastAsia" w:ascii="仿宋_GB2312" w:hAnsi="宋体" w:eastAsia="仿宋_GB2312" w:cs="宋体"/>
                <w:color w:val="000000"/>
                <w:kern w:val="0"/>
                <w:sz w:val="20"/>
                <w:szCs w:val="20"/>
              </w:rPr>
              <w:t>表</w:t>
            </w:r>
          </w:p>
        </w:tc>
      </w:tr>
      <w:tr>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pPr>
              <w:widowControl/>
              <w:jc w:val="right"/>
              <w:rPr>
                <w:rFonts w:ascii="仿宋_GB2312" w:eastAsia="仿宋_GB2312" w:cs="宋体"/>
                <w:color w:val="000000"/>
                <w:kern w:val="0"/>
                <w:sz w:val="20"/>
                <w:szCs w:val="20"/>
              </w:rPr>
            </w:pPr>
          </w:p>
        </w:tc>
        <w:tc>
          <w:tcPr>
            <w:tcW w:w="236"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0"/>
                <w:szCs w:val="20"/>
              </w:rPr>
            </w:pPr>
            <w:r>
              <w:rPr>
                <w:rFonts w:hint="eastAsia" w:ascii="仿宋_GB2312" w:hAnsi="宋体" w:eastAsia="仿宋_GB2312" w:cs="宋体"/>
                <w:kern w:val="0"/>
                <w:sz w:val="20"/>
                <w:szCs w:val="20"/>
              </w:rPr>
              <w:t>　</w:t>
            </w:r>
          </w:p>
        </w:tc>
        <w:tc>
          <w:tcPr>
            <w:tcW w:w="4106" w:type="dxa"/>
            <w:tcBorders>
              <w:top w:val="nil"/>
              <w:left w:val="nil"/>
              <w:bottom w:val="nil"/>
              <w:right w:val="nil"/>
            </w:tcBorders>
            <w:shd w:val="clear" w:color="000000" w:fill="FFFFFF"/>
            <w:noWrap/>
            <w:vAlign w:val="center"/>
          </w:tcPr>
          <w:p>
            <w:pPr>
              <w:widowControl/>
              <w:jc w:val="left"/>
              <w:rPr>
                <w:rFonts w:ascii="仿宋_GB2312" w:eastAsia="仿宋_GB2312" w:cs="宋体"/>
                <w:kern w:val="0"/>
                <w:sz w:val="20"/>
                <w:szCs w:val="20"/>
              </w:rPr>
            </w:pPr>
            <w:r>
              <w:rPr>
                <w:rFonts w:hint="eastAsia" w:ascii="仿宋_GB2312" w:hAnsi="宋体" w:eastAsia="仿宋_GB2312" w:cs="宋体"/>
                <w:color w:val="000000"/>
                <w:kern w:val="0"/>
                <w:sz w:val="20"/>
                <w:szCs w:val="20"/>
              </w:rPr>
              <w:t>部门：湖</w:t>
            </w:r>
            <w:r>
              <w:rPr>
                <w:rFonts w:hint="eastAsia" w:ascii="仿宋_GB2312" w:hAnsi="宋体" w:eastAsia="仿宋_GB2312" w:cs="宋体"/>
                <w:kern w:val="0"/>
                <w:sz w:val="20"/>
                <w:szCs w:val="20"/>
              </w:rPr>
              <w:t>南省衡阳生态环境监测中心　</w:t>
            </w:r>
          </w:p>
        </w:tc>
        <w:tc>
          <w:tcPr>
            <w:tcW w:w="1113" w:type="dxa"/>
            <w:tcBorders>
              <w:top w:val="nil"/>
              <w:left w:val="nil"/>
              <w:bottom w:val="nil"/>
              <w:right w:val="nil"/>
            </w:tcBorders>
            <w:shd w:val="clear" w:color="000000" w:fill="FFFFFF"/>
            <w:noWrap/>
            <w:vAlign w:val="center"/>
          </w:tcPr>
          <w:p>
            <w:pPr>
              <w:widowControl/>
              <w:jc w:val="lef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1679" w:type="dxa"/>
            <w:tcBorders>
              <w:top w:val="nil"/>
              <w:left w:val="nil"/>
              <w:bottom w:val="nil"/>
              <w:right w:val="nil"/>
            </w:tcBorders>
            <w:shd w:val="clear" w:color="000000" w:fill="FFFFFF"/>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　</w:t>
            </w:r>
          </w:p>
        </w:tc>
        <w:tc>
          <w:tcPr>
            <w:tcW w:w="2308" w:type="dxa"/>
            <w:tcBorders>
              <w:top w:val="nil"/>
              <w:left w:val="nil"/>
              <w:bottom w:val="nil"/>
              <w:right w:val="nil"/>
            </w:tcBorders>
            <w:shd w:val="clear" w:color="000000" w:fill="FFFFFF"/>
            <w:noWrap/>
            <w:vAlign w:val="center"/>
          </w:tcPr>
          <w:p>
            <w:pPr>
              <w:widowControl/>
              <w:jc w:val="righ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单位：万元</w:t>
            </w:r>
          </w:p>
        </w:tc>
      </w:tr>
      <w:tr>
        <w:tblPrEx>
          <w:tblCellMar>
            <w:top w:w="0" w:type="dxa"/>
            <w:left w:w="108" w:type="dxa"/>
            <w:bottom w:w="0" w:type="dxa"/>
            <w:right w:w="108" w:type="dxa"/>
          </w:tblCellMar>
        </w:tblPrEx>
        <w:trPr>
          <w:trHeight w:val="450" w:hRule="atLeast"/>
        </w:trPr>
        <w:tc>
          <w:tcPr>
            <w:tcW w:w="5384"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项目</w:t>
            </w:r>
          </w:p>
        </w:tc>
        <w:tc>
          <w:tcPr>
            <w:tcW w:w="111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本年支出合计</w:t>
            </w:r>
          </w:p>
        </w:tc>
        <w:tc>
          <w:tcPr>
            <w:tcW w:w="167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基本支出</w:t>
            </w:r>
          </w:p>
        </w:tc>
        <w:tc>
          <w:tcPr>
            <w:tcW w:w="167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项目支出</w:t>
            </w:r>
          </w:p>
        </w:tc>
        <w:tc>
          <w:tcPr>
            <w:tcW w:w="167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上缴上级支出</w:t>
            </w:r>
          </w:p>
        </w:tc>
        <w:tc>
          <w:tcPr>
            <w:tcW w:w="167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经营支出</w:t>
            </w:r>
          </w:p>
        </w:tc>
        <w:tc>
          <w:tcPr>
            <w:tcW w:w="230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对附属单位补助支出</w:t>
            </w:r>
          </w:p>
        </w:tc>
      </w:tr>
      <w:tr>
        <w:tblPrEx>
          <w:tblCellMar>
            <w:top w:w="0" w:type="dxa"/>
            <w:left w:w="108" w:type="dxa"/>
            <w:bottom w:w="0" w:type="dxa"/>
            <w:right w:w="108" w:type="dxa"/>
          </w:tblCellMar>
        </w:tblPrEx>
        <w:trPr>
          <w:trHeight w:val="624" w:hRule="atLeast"/>
        </w:trPr>
        <w:tc>
          <w:tcPr>
            <w:tcW w:w="127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功能分类科目编码</w:t>
            </w:r>
          </w:p>
        </w:tc>
        <w:tc>
          <w:tcPr>
            <w:tcW w:w="410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科目名称</w:t>
            </w:r>
          </w:p>
        </w:tc>
        <w:tc>
          <w:tcPr>
            <w:tcW w:w="11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23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r>
      <w:tr>
        <w:tblPrEx>
          <w:tblCellMar>
            <w:top w:w="0" w:type="dxa"/>
            <w:left w:w="108" w:type="dxa"/>
            <w:bottom w:w="0" w:type="dxa"/>
            <w:right w:w="108" w:type="dxa"/>
          </w:tblCellMar>
        </w:tblPrEx>
        <w:trPr>
          <w:trHeight w:val="624" w:hRule="atLeast"/>
        </w:trPr>
        <w:tc>
          <w:tcPr>
            <w:tcW w:w="12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410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16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c>
          <w:tcPr>
            <w:tcW w:w="23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kern w:val="0"/>
                <w:sz w:val="24"/>
                <w:szCs w:val="24"/>
              </w:rPr>
            </w:pPr>
          </w:p>
        </w:tc>
      </w:tr>
      <w:tr>
        <w:trPr>
          <w:trHeight w:val="450" w:hRule="atLeast"/>
        </w:trPr>
        <w:tc>
          <w:tcPr>
            <w:tcW w:w="538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栏次</w:t>
            </w:r>
          </w:p>
        </w:tc>
        <w:tc>
          <w:tcPr>
            <w:tcW w:w="1113"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1</w:t>
            </w:r>
          </w:p>
        </w:tc>
        <w:tc>
          <w:tcPr>
            <w:tcW w:w="1679"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2</w:t>
            </w:r>
          </w:p>
        </w:tc>
        <w:tc>
          <w:tcPr>
            <w:tcW w:w="1679"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3</w:t>
            </w:r>
          </w:p>
        </w:tc>
        <w:tc>
          <w:tcPr>
            <w:tcW w:w="1679"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4</w:t>
            </w:r>
          </w:p>
        </w:tc>
        <w:tc>
          <w:tcPr>
            <w:tcW w:w="1679"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5</w:t>
            </w:r>
          </w:p>
        </w:tc>
        <w:tc>
          <w:tcPr>
            <w:tcW w:w="2308" w:type="dxa"/>
            <w:tcBorders>
              <w:top w:val="nil"/>
              <w:left w:val="nil"/>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ascii="仿宋_GB2312" w:hAnsi="宋体" w:eastAsia="仿宋_GB2312" w:cs="宋体"/>
                <w:kern w:val="0"/>
                <w:sz w:val="24"/>
                <w:szCs w:val="24"/>
              </w:rPr>
              <w:t>6</w:t>
            </w:r>
          </w:p>
        </w:tc>
      </w:tr>
      <w:tr>
        <w:tblPrEx>
          <w:tblCellMar>
            <w:top w:w="0" w:type="dxa"/>
            <w:left w:w="108" w:type="dxa"/>
            <w:bottom w:w="0" w:type="dxa"/>
            <w:right w:w="108" w:type="dxa"/>
          </w:tblCellMar>
        </w:tblPrEx>
        <w:trPr>
          <w:trHeight w:val="450" w:hRule="atLeast"/>
        </w:trPr>
        <w:tc>
          <w:tcPr>
            <w:tcW w:w="538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合计</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2042.20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1340.01</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702.19</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208</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社会保障和就业支出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89.00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89.00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20805</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行政事业单位养老支出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75.05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75.05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2080505</w:t>
            </w:r>
          </w:p>
        </w:tc>
        <w:tc>
          <w:tcPr>
            <w:tcW w:w="4106" w:type="dxa"/>
            <w:tcBorders>
              <w:top w:val="nil"/>
              <w:left w:val="nil"/>
              <w:bottom w:val="single" w:color="auto" w:sz="4" w:space="0"/>
              <w:right w:val="single" w:color="auto" w:sz="4" w:space="0"/>
            </w:tcBorders>
            <w:shd w:val="clear" w:color="000000" w:fill="FFFFFF"/>
            <w:noWrap/>
            <w:vAlign w:val="center"/>
          </w:tcPr>
          <w:p>
            <w:pPr>
              <w:jc w:val="right"/>
              <w:rPr>
                <w:rFonts w:ascii="仿宋_GB2312" w:eastAsia="仿宋_GB2312" w:cs="Arial"/>
                <w:color w:val="000000"/>
                <w:sz w:val="22"/>
              </w:rPr>
            </w:pPr>
            <w:r>
              <w:rPr>
                <w:rFonts w:hint="eastAsia" w:ascii="仿宋_GB2312" w:eastAsia="仿宋_GB2312" w:cs="Arial"/>
                <w:color w:val="000000"/>
                <w:sz w:val="22"/>
              </w:rPr>
              <w:t>机关事业单位基本养老保险缴费支出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72.44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72.44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2080506</w:t>
            </w:r>
          </w:p>
        </w:tc>
        <w:tc>
          <w:tcPr>
            <w:tcW w:w="4106" w:type="dxa"/>
            <w:tcBorders>
              <w:top w:val="nil"/>
              <w:left w:val="nil"/>
              <w:bottom w:val="single" w:color="auto" w:sz="4" w:space="0"/>
              <w:right w:val="single" w:color="auto" w:sz="4" w:space="0"/>
            </w:tcBorders>
            <w:shd w:val="clear" w:color="000000" w:fill="FFFFFF"/>
            <w:noWrap/>
            <w:vAlign w:val="center"/>
          </w:tcPr>
          <w:p>
            <w:pPr>
              <w:jc w:val="center"/>
              <w:rPr>
                <w:rFonts w:ascii="仿宋_GB2312" w:eastAsia="仿宋_GB2312" w:cs="Arial"/>
                <w:color w:val="000000"/>
                <w:sz w:val="22"/>
              </w:rPr>
            </w:pPr>
            <w:r>
              <w:rPr>
                <w:rFonts w:hint="eastAsia" w:ascii="仿宋_GB2312" w:eastAsia="仿宋_GB2312" w:cs="Arial"/>
                <w:color w:val="000000"/>
                <w:sz w:val="22"/>
              </w:rPr>
              <w:t>机关事业单位职业年金缴费支出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2.61</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2.61</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20808</w:t>
            </w:r>
          </w:p>
        </w:tc>
        <w:tc>
          <w:tcPr>
            <w:tcW w:w="4106" w:type="dxa"/>
            <w:tcBorders>
              <w:top w:val="nil"/>
              <w:left w:val="nil"/>
              <w:bottom w:val="single" w:color="auto" w:sz="4" w:space="0"/>
              <w:right w:val="single" w:color="auto" w:sz="4" w:space="0"/>
            </w:tcBorders>
            <w:shd w:val="clear" w:color="000000" w:fill="FFFFFF"/>
            <w:noWrap/>
            <w:vAlign w:val="center"/>
          </w:tcPr>
          <w:p>
            <w:pPr>
              <w:jc w:val="left"/>
              <w:rPr>
                <w:rFonts w:ascii="仿宋_GB2312" w:eastAsia="仿宋_GB2312" w:cs="Arial"/>
                <w:color w:val="000000"/>
                <w:sz w:val="22"/>
              </w:rPr>
            </w:pPr>
            <w:r>
              <w:rPr>
                <w:rFonts w:hint="eastAsia" w:ascii="仿宋_GB2312" w:eastAsia="仿宋_GB2312" w:cs="Arial"/>
                <w:color w:val="000000"/>
                <w:sz w:val="22"/>
              </w:rPr>
              <w:t>抚恤</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13.95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13.95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2080801</w:t>
            </w:r>
          </w:p>
        </w:tc>
        <w:tc>
          <w:tcPr>
            <w:tcW w:w="4106" w:type="dxa"/>
            <w:tcBorders>
              <w:top w:val="nil"/>
              <w:left w:val="nil"/>
              <w:bottom w:val="single" w:color="auto" w:sz="4" w:space="0"/>
              <w:right w:val="single" w:color="auto" w:sz="4" w:space="0"/>
            </w:tcBorders>
            <w:shd w:val="clear" w:color="000000" w:fill="FFFFFF"/>
            <w:noWrap/>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死亡抚恤</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13.95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13.95</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210</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卫生健康支出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95.73</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hAnsi="宋体" w:eastAsia="仿宋_GB2312" w:cs="宋体"/>
                <w:kern w:val="0"/>
                <w:sz w:val="24"/>
                <w:szCs w:val="24"/>
              </w:rPr>
              <w:t>95.73</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eastAsia="仿宋_GB2312"/>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21011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行政事业单位医疗</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95.73</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hAnsi="宋体" w:eastAsia="仿宋_GB2312" w:cs="宋体"/>
                <w:kern w:val="0"/>
                <w:sz w:val="24"/>
                <w:szCs w:val="24"/>
              </w:rPr>
              <w:t>95.73</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eastAsia="仿宋_GB2312"/>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2101102</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事业单位医疗</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66.79</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hAnsi="宋体" w:eastAsia="仿宋_GB2312" w:cs="宋体"/>
                <w:kern w:val="0"/>
                <w:sz w:val="24"/>
                <w:szCs w:val="24"/>
              </w:rPr>
              <w:t>66.79</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eastAsia="仿宋_GB2312"/>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2101199</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其他行政事业单位医疗支出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28.94</w:t>
            </w:r>
          </w:p>
        </w:tc>
        <w:tc>
          <w:tcPr>
            <w:tcW w:w="1679" w:type="dxa"/>
            <w:tcBorders>
              <w:top w:val="nil"/>
              <w:left w:val="nil"/>
              <w:bottom w:val="single" w:color="auto" w:sz="4" w:space="0"/>
              <w:right w:val="single" w:color="auto" w:sz="4" w:space="0"/>
            </w:tcBorders>
            <w:noWrap/>
          </w:tcPr>
          <w:p>
            <w:pPr>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28.94</w:t>
            </w:r>
          </w:p>
        </w:tc>
        <w:tc>
          <w:tcPr>
            <w:tcW w:w="1679" w:type="dxa"/>
            <w:tcBorders>
              <w:top w:val="nil"/>
              <w:left w:val="nil"/>
              <w:bottom w:val="single" w:color="auto" w:sz="4" w:space="0"/>
              <w:right w:val="single" w:color="auto" w:sz="4" w:space="0"/>
            </w:tcBorders>
            <w:noWrap/>
          </w:tcPr>
          <w:p>
            <w:pPr>
              <w:jc w:val="center"/>
              <w:rPr>
                <w:rFonts w:ascii="仿宋_GB2312" w:eastAsia="仿宋_GB2312"/>
              </w:rPr>
            </w:pPr>
            <w:r>
              <w:rPr>
                <w:rFonts w:hint="eastAsia" w:ascii="仿宋_GB2312" w:eastAsia="仿宋_GB2312"/>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节能环保支出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1781.08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1078.90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702.19</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21101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环境保护管理事务</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684.14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684.14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2110101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行政运行</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662.24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662.24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2110199</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其他环境保护管理事务支出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21.90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21.90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21102</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环境监测与监察</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17.98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17.98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2110299</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其他环境监测与监察支出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17.98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17.98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21103</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污染防治</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385.53</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22.48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363.05</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2110301</w:t>
            </w:r>
          </w:p>
        </w:tc>
        <w:tc>
          <w:tcPr>
            <w:tcW w:w="4106" w:type="dxa"/>
            <w:tcBorders>
              <w:top w:val="nil"/>
              <w:left w:val="nil"/>
              <w:bottom w:val="single" w:color="auto" w:sz="4" w:space="0"/>
              <w:right w:val="single" w:color="auto" w:sz="4" w:space="0"/>
            </w:tcBorders>
            <w:shd w:val="clear" w:color="000000" w:fill="FFFFFF"/>
            <w:noWrap/>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大气</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22.48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22.48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2110307</w:t>
            </w:r>
          </w:p>
        </w:tc>
        <w:tc>
          <w:tcPr>
            <w:tcW w:w="4106" w:type="dxa"/>
            <w:tcBorders>
              <w:top w:val="nil"/>
              <w:left w:val="nil"/>
              <w:bottom w:val="single" w:color="auto" w:sz="4" w:space="0"/>
              <w:right w:val="single" w:color="auto" w:sz="4" w:space="0"/>
            </w:tcBorders>
            <w:shd w:val="clear" w:color="000000" w:fill="FFFFFF"/>
            <w:noWrap/>
            <w:vAlign w:val="center"/>
          </w:tcPr>
          <w:p>
            <w:pPr>
              <w:jc w:val="left"/>
              <w:rPr>
                <w:rFonts w:ascii="仿宋_GB2312" w:eastAsia="仿宋_GB2312" w:cs="Arial"/>
                <w:color w:val="000000"/>
                <w:sz w:val="22"/>
              </w:rPr>
            </w:pPr>
            <w:r>
              <w:rPr>
                <w:rFonts w:hint="eastAsia" w:ascii="仿宋_GB2312" w:eastAsia="仿宋_GB2312" w:cs="Arial"/>
                <w:color w:val="000000"/>
                <w:sz w:val="22"/>
              </w:rPr>
              <w:t xml:space="preserve">  土壤</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62.99</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62.99</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2110399</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其他污染防治支出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eastAsia="仿宋_GB2312" w:cs="宋体"/>
                <w:kern w:val="0"/>
                <w:sz w:val="24"/>
                <w:szCs w:val="24"/>
              </w:rPr>
              <w:t>300.06</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300.06</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21111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污染减排</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693.44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354.30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339.14</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2111101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生态环境监测与信息</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693.44</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354.30</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339.14</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221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住房保障支出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tcPr>
          <w:p>
            <w:pPr>
              <w:jc w:val="cente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22102</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住房改革支出</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tcPr>
          <w:p>
            <w:pPr>
              <w:jc w:val="cente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w:t>
            </w:r>
          </w:p>
        </w:tc>
      </w:tr>
      <w:tr>
        <w:tblPrEx>
          <w:tblCellMar>
            <w:top w:w="0" w:type="dxa"/>
            <w:left w:w="108" w:type="dxa"/>
            <w:bottom w:w="0" w:type="dxa"/>
            <w:right w:w="108" w:type="dxa"/>
          </w:tblCellMar>
        </w:tblPrEx>
        <w:trPr>
          <w:trHeight w:val="450" w:hRule="atLeast"/>
        </w:trPr>
        <w:tc>
          <w:tcPr>
            <w:tcW w:w="127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ascii="仿宋_GB2312" w:eastAsia="仿宋_GB2312" w:cs="Arial"/>
                <w:color w:val="000000"/>
                <w:sz w:val="22"/>
              </w:rPr>
              <w:t>2210201</w:t>
            </w:r>
          </w:p>
        </w:tc>
        <w:tc>
          <w:tcPr>
            <w:tcW w:w="4106" w:type="dxa"/>
            <w:tcBorders>
              <w:top w:val="nil"/>
              <w:left w:val="nil"/>
              <w:bottom w:val="single" w:color="auto" w:sz="4" w:space="0"/>
              <w:right w:val="single" w:color="auto" w:sz="4" w:space="0"/>
            </w:tcBorders>
            <w:shd w:val="clear" w:color="000000" w:fill="FFFFFF"/>
            <w:noWrap/>
            <w:vAlign w:val="center"/>
          </w:tcPr>
          <w:p>
            <w:pPr>
              <w:rPr>
                <w:rFonts w:ascii="仿宋_GB2312" w:eastAsia="仿宋_GB2312" w:cs="Arial"/>
                <w:color w:val="000000"/>
                <w:sz w:val="22"/>
              </w:rPr>
            </w:pPr>
            <w:r>
              <w:rPr>
                <w:rFonts w:hint="eastAsia" w:ascii="仿宋_GB2312" w:eastAsia="仿宋_GB2312" w:cs="Arial"/>
                <w:color w:val="000000"/>
                <w:sz w:val="22"/>
              </w:rPr>
              <w:t>住房公积金</w:t>
            </w:r>
          </w:p>
        </w:tc>
        <w:tc>
          <w:tcPr>
            <w:tcW w:w="1113"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vAlign w:val="center"/>
          </w:tcPr>
          <w:p>
            <w:pPr>
              <w:widowControl/>
              <w:jc w:val="center"/>
              <w:rPr>
                <w:rFonts w:ascii="仿宋_GB2312" w:eastAsia="仿宋_GB2312" w:cs="宋体"/>
                <w:kern w:val="0"/>
                <w:sz w:val="24"/>
                <w:szCs w:val="24"/>
              </w:rPr>
            </w:pPr>
            <w:r>
              <w:rPr>
                <w:rFonts w:hint="eastAsia" w:ascii="仿宋_GB2312" w:hAnsi="宋体" w:eastAsia="仿宋_GB2312" w:cs="宋体"/>
                <w:kern w:val="0"/>
                <w:sz w:val="24"/>
                <w:szCs w:val="24"/>
              </w:rPr>
              <w:t>76.38</w:t>
            </w:r>
          </w:p>
        </w:tc>
        <w:tc>
          <w:tcPr>
            <w:tcW w:w="1679" w:type="dxa"/>
            <w:tcBorders>
              <w:top w:val="nil"/>
              <w:left w:val="nil"/>
              <w:bottom w:val="single" w:color="auto" w:sz="4" w:space="0"/>
              <w:right w:val="single" w:color="auto" w:sz="4" w:space="0"/>
            </w:tcBorders>
            <w:noWrap/>
          </w:tcPr>
          <w:p>
            <w:pPr>
              <w:jc w:val="center"/>
            </w:pPr>
            <w:r>
              <w:rPr>
                <w:rFonts w:ascii="仿宋_GB2312" w:eastAsia="仿宋_GB2312" w:cs="宋体"/>
                <w:kern w:val="0"/>
                <w:sz w:val="24"/>
                <w:szCs w:val="24"/>
              </w:rPr>
              <w:t>0.00</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1679"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c>
          <w:tcPr>
            <w:tcW w:w="2308" w:type="dxa"/>
            <w:tcBorders>
              <w:top w:val="nil"/>
              <w:left w:val="nil"/>
              <w:bottom w:val="single" w:color="auto" w:sz="4" w:space="0"/>
              <w:right w:val="single" w:color="auto" w:sz="4" w:space="0"/>
            </w:tcBorders>
            <w:noWrap/>
            <w:vAlign w:val="center"/>
          </w:tcPr>
          <w:p>
            <w:pPr>
              <w:widowControl/>
              <w:jc w:val="right"/>
              <w:rPr>
                <w:rFonts w:ascii="仿宋_GB2312" w:eastAsia="仿宋_GB2312" w:cs="宋体"/>
                <w:kern w:val="0"/>
                <w:sz w:val="24"/>
                <w:szCs w:val="24"/>
              </w:rPr>
            </w:pPr>
            <w:r>
              <w:rPr>
                <w:rFonts w:hint="eastAsia" w:ascii="仿宋_GB2312" w:hAnsi="宋体" w:eastAsia="仿宋_GB2312" w:cs="宋体"/>
                <w:kern w:val="0"/>
                <w:sz w:val="24"/>
                <w:szCs w:val="24"/>
              </w:rPr>
              <w:t>0.00　</w:t>
            </w:r>
          </w:p>
        </w:tc>
      </w:tr>
      <w:tr>
        <w:tblPrEx>
          <w:tblCellMar>
            <w:top w:w="0" w:type="dxa"/>
            <w:left w:w="108" w:type="dxa"/>
            <w:bottom w:w="0" w:type="dxa"/>
            <w:right w:w="108" w:type="dxa"/>
          </w:tblCellMar>
        </w:tblPrEx>
        <w:trPr>
          <w:trHeight w:val="630" w:hRule="atLeast"/>
        </w:trPr>
        <w:tc>
          <w:tcPr>
            <w:tcW w:w="15521" w:type="dxa"/>
            <w:gridSpan w:val="9"/>
            <w:tcBorders>
              <w:top w:val="nil"/>
              <w:left w:val="nil"/>
              <w:bottom w:val="nil"/>
              <w:right w:val="nil"/>
            </w:tcBorders>
            <w:vAlign w:val="center"/>
          </w:tcPr>
          <w:p>
            <w:pPr>
              <w:widowControl/>
              <w:jc w:val="left"/>
              <w:rPr>
                <w:rFonts w:ascii="仿宋_GB2312" w:eastAsia="仿宋_GB2312" w:cs="宋体"/>
                <w:kern w:val="0"/>
                <w:sz w:val="24"/>
                <w:szCs w:val="24"/>
              </w:rPr>
            </w:pPr>
            <w:r>
              <w:rPr>
                <w:rFonts w:hint="eastAsia" w:ascii="仿宋_GB2312" w:hAnsi="宋体" w:eastAsia="仿宋_GB2312" w:cs="宋体"/>
                <w:kern w:val="0"/>
                <w:sz w:val="24"/>
                <w:szCs w:val="24"/>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6"/>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6"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部门：湖南省衡阳生态环境监测中心</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1320.30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81.66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81.66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66.79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66.79</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1379.73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1379.73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76.38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76.38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1320.30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1604.56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1604.56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639.80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355.53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355.53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一般公共预算财政拨款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639.80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政府性基金预算财政拨款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国有资本经营预算财政拨款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1960.10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rPr>
                <w:rFonts w:ascii="宋体" w:hAnsi="宋体" w:eastAsia="宋体" w:cs="宋体"/>
                <w:kern w:val="0"/>
                <w:sz w:val="22"/>
              </w:rPr>
            </w:pPr>
            <w:r>
              <w:rPr>
                <w:rFonts w:hint="eastAsia" w:ascii="宋体" w:hAnsi="宋体" w:eastAsia="宋体" w:cs="宋体"/>
                <w:kern w:val="0"/>
                <w:sz w:val="22"/>
              </w:rPr>
              <w:t>1960.10</w:t>
            </w:r>
          </w:p>
        </w:tc>
        <w:tc>
          <w:tcPr>
            <w:tcW w:w="1394" w:type="dxa"/>
            <w:tcBorders>
              <w:top w:val="nil"/>
              <w:left w:val="nil"/>
              <w:bottom w:val="single" w:color="auto" w:sz="4" w:space="0"/>
              <w:right w:val="single" w:color="auto" w:sz="4" w:space="0"/>
            </w:tcBorders>
            <w:shd w:val="clear" w:color="000000" w:fill="FFFFFF"/>
            <w:noWrap/>
            <w:vAlign w:val="center"/>
          </w:tcPr>
          <w:p>
            <w:pPr>
              <w:widowControl/>
              <w:rPr>
                <w:rFonts w:ascii="宋体" w:hAnsi="宋体" w:eastAsia="宋体" w:cs="宋体"/>
                <w:kern w:val="0"/>
                <w:sz w:val="22"/>
              </w:rPr>
            </w:pPr>
            <w:r>
              <w:rPr>
                <w:rFonts w:hint="eastAsia" w:ascii="宋体" w:hAnsi="宋体" w:eastAsia="宋体" w:cs="宋体"/>
                <w:kern w:val="0"/>
                <w:sz w:val="22"/>
              </w:rPr>
              <w:t>1960.10</w:t>
            </w:r>
          </w:p>
        </w:tc>
        <w:tc>
          <w:tcPr>
            <w:tcW w:w="1394"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b/>
                <w:bCs/>
                <w:kern w:val="0"/>
                <w:sz w:val="22"/>
              </w:rPr>
            </w:pPr>
            <w:r>
              <w:rPr>
                <w:rFonts w:hint="eastAsia" w:ascii="宋体" w:hAnsi="宋体" w:eastAsia="宋体" w:cs="宋体"/>
                <w:kern w:val="0"/>
                <w:sz w:val="22"/>
              </w:rPr>
              <w:t>0.00</w:t>
            </w:r>
          </w:p>
        </w:tc>
        <w:tc>
          <w:tcPr>
            <w:tcW w:w="1573"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b/>
                <w:bCs/>
                <w:kern w:val="0"/>
                <w:sz w:val="22"/>
              </w:rPr>
            </w:pPr>
            <w:r>
              <w:rPr>
                <w:rFonts w:hint="eastAsia" w:ascii="宋体" w:hAnsi="宋体" w:eastAsia="宋体" w:cs="宋体"/>
                <w:kern w:val="0"/>
                <w:sz w:val="22"/>
              </w:rPr>
              <w:t>0.00</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tbl>
      <w:tblPr>
        <w:tblStyle w:val="6"/>
        <w:tblW w:w="14205" w:type="dxa"/>
        <w:tblInd w:w="716" w:type="dxa"/>
        <w:tblLayout w:type="fixed"/>
        <w:tblCellMar>
          <w:top w:w="0" w:type="dxa"/>
          <w:left w:w="108" w:type="dxa"/>
          <w:bottom w:w="0" w:type="dxa"/>
          <w:right w:w="108" w:type="dxa"/>
        </w:tblCellMar>
      </w:tblPr>
      <w:tblGrid>
        <w:gridCol w:w="2973"/>
        <w:gridCol w:w="435"/>
        <w:gridCol w:w="1078"/>
        <w:gridCol w:w="4043"/>
        <w:gridCol w:w="435"/>
        <w:gridCol w:w="1573"/>
        <w:gridCol w:w="1394"/>
        <w:gridCol w:w="781"/>
        <w:gridCol w:w="1493"/>
      </w:tblGrid>
      <w:tr>
        <w:tblPrEx>
          <w:tblCellMar>
            <w:top w:w="0" w:type="dxa"/>
            <w:left w:w="108" w:type="dxa"/>
            <w:bottom w:w="0" w:type="dxa"/>
            <w:right w:w="108" w:type="dxa"/>
          </w:tblCellMar>
        </w:tblPrEx>
        <w:trPr>
          <w:trHeight w:val="199" w:hRule="atLeast"/>
        </w:trPr>
        <w:tc>
          <w:tcPr>
            <w:tcW w:w="29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9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300" w:hRule="atLeast"/>
        </w:trPr>
        <w:tc>
          <w:tcPr>
            <w:tcW w:w="2973"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93" w:type="dxa"/>
            <w:tcBorders>
              <w:top w:val="nil"/>
              <w:left w:val="nil"/>
              <w:bottom w:val="nil"/>
              <w:right w:val="nil"/>
            </w:tcBorders>
            <w:shd w:val="clear" w:color="000000" w:fill="FFFFFF"/>
            <w:noWrap/>
            <w:vAlign w:val="center"/>
          </w:tcPr>
          <w:p>
            <w:pPr>
              <w:widowControl/>
              <w:ind w:firstLine="400" w:firstLineChars="200"/>
              <w:jc w:val="both"/>
              <w:rPr>
                <w:rFonts w:ascii="宋体" w:hAnsi="宋体" w:eastAsia="宋体" w:cs="宋体"/>
                <w:color w:val="000000"/>
                <w:kern w:val="0"/>
                <w:sz w:val="20"/>
                <w:szCs w:val="20"/>
              </w:rPr>
            </w:pPr>
            <w:bookmarkStart w:id="3" w:name="_GoBack"/>
            <w:bookmarkEnd w:id="3"/>
            <w:r>
              <w:rPr>
                <w:rFonts w:hint="eastAsia" w:ascii="宋体" w:hAnsi="宋体" w:eastAsia="宋体" w:cs="宋体"/>
                <w:color w:val="000000"/>
                <w:kern w:val="0"/>
                <w:sz w:val="20"/>
                <w:szCs w:val="20"/>
              </w:rPr>
              <w:t xml:space="preserve">公开04表   </w:t>
            </w:r>
          </w:p>
        </w:tc>
      </w:tr>
    </w:tbl>
    <w:p>
      <w:pPr>
        <w:widowControl/>
        <w:spacing w:beforeLines="50"/>
        <w:jc w:val="left"/>
        <w:rPr>
          <w:rFonts w:ascii="Times New Roman" w:hAnsi="Times New Roman" w:eastAsia="宋体" w:cs="Times New Roman"/>
          <w:color w:val="000000"/>
          <w:kern w:val="0"/>
          <w:sz w:val="20"/>
          <w:szCs w:val="20"/>
        </w:rPr>
      </w:pPr>
      <w:r>
        <w:rPr>
          <w:rFonts w:hint="eastAsia" w:ascii="宋体" w:hAnsi="宋体" w:eastAsia="宋体" w:cs="宋体"/>
          <w:color w:val="000000"/>
          <w:kern w:val="0"/>
          <w:sz w:val="20"/>
          <w:szCs w:val="20"/>
        </w:rPr>
        <w:t xml:space="preserve">     部门：湖南省衡阳生态环境监测中心                                                                                                    单位：万元</w:t>
      </w:r>
    </w:p>
    <w:tbl>
      <w:tblPr>
        <w:tblStyle w:val="6"/>
        <w:tblW w:w="14219" w:type="dxa"/>
        <w:jc w:val="center"/>
        <w:tblLayout w:type="autofit"/>
        <w:tblCellMar>
          <w:top w:w="0" w:type="dxa"/>
          <w:left w:w="108" w:type="dxa"/>
          <w:bottom w:w="0" w:type="dxa"/>
          <w:right w:w="108" w:type="dxa"/>
        </w:tblCellMar>
      </w:tblPr>
      <w:tblGrid>
        <w:gridCol w:w="1200"/>
        <w:gridCol w:w="4307"/>
        <w:gridCol w:w="2220"/>
        <w:gridCol w:w="3492"/>
        <w:gridCol w:w="3000"/>
      </w:tblGrid>
      <w:tr>
        <w:tblPrEx>
          <w:tblCellMar>
            <w:top w:w="0" w:type="dxa"/>
            <w:left w:w="108" w:type="dxa"/>
            <w:bottom w:w="0" w:type="dxa"/>
            <w:right w:w="108" w:type="dxa"/>
          </w:tblCellMar>
        </w:tblPrEx>
        <w:trPr>
          <w:trHeight w:val="405" w:hRule="atLeast"/>
          <w:jc w:val="center"/>
        </w:trPr>
        <w:tc>
          <w:tcPr>
            <w:tcW w:w="5507" w:type="dxa"/>
            <w:gridSpan w:val="2"/>
            <w:tcBorders>
              <w:top w:val="single" w:color="auto" w:sz="8" w:space="0"/>
              <w:left w:val="single" w:color="auto" w:sz="8" w:space="0"/>
              <w:bottom w:val="single" w:color="auto" w:sz="4" w:space="0"/>
              <w:right w:val="single" w:color="auto" w:sz="4"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项目</w:t>
            </w:r>
          </w:p>
        </w:tc>
        <w:tc>
          <w:tcPr>
            <w:tcW w:w="8712" w:type="dxa"/>
            <w:gridSpan w:val="3"/>
            <w:tcBorders>
              <w:top w:val="single" w:color="auto" w:sz="8" w:space="0"/>
              <w:left w:val="nil"/>
              <w:bottom w:val="single" w:color="auto" w:sz="4" w:space="0"/>
              <w:right w:val="single" w:color="000000" w:sz="8"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本年支出</w:t>
            </w:r>
          </w:p>
        </w:tc>
      </w:tr>
      <w:tr>
        <w:tblPrEx>
          <w:tblCellMar>
            <w:top w:w="0" w:type="dxa"/>
            <w:left w:w="108" w:type="dxa"/>
            <w:bottom w:w="0" w:type="dxa"/>
            <w:right w:w="108" w:type="dxa"/>
          </w:tblCellMar>
        </w:tblPrEx>
        <w:trPr>
          <w:trHeight w:val="624" w:hRule="atLeast"/>
          <w:jc w:val="center"/>
        </w:trPr>
        <w:tc>
          <w:tcPr>
            <w:tcW w:w="1200"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功能分类科目编码</w:t>
            </w:r>
          </w:p>
        </w:tc>
        <w:tc>
          <w:tcPr>
            <w:tcW w:w="4307" w:type="dxa"/>
            <w:vMerge w:val="restart"/>
            <w:tcBorders>
              <w:top w:val="nil"/>
              <w:left w:val="single" w:color="auto" w:sz="4" w:space="0"/>
              <w:bottom w:val="single" w:color="auto" w:sz="4" w:space="0"/>
              <w:right w:val="single" w:color="auto" w:sz="4"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科目名称</w:t>
            </w:r>
          </w:p>
        </w:tc>
        <w:tc>
          <w:tcPr>
            <w:tcW w:w="222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小计</w:t>
            </w:r>
          </w:p>
        </w:tc>
        <w:tc>
          <w:tcPr>
            <w:tcW w:w="349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基本支出</w:t>
            </w:r>
          </w:p>
        </w:tc>
        <w:tc>
          <w:tcPr>
            <w:tcW w:w="3000" w:type="dxa"/>
            <w:vMerge w:val="restart"/>
            <w:tcBorders>
              <w:top w:val="nil"/>
              <w:left w:val="single" w:color="auto" w:sz="4" w:space="0"/>
              <w:bottom w:val="single" w:color="000000" w:sz="4" w:space="0"/>
              <w:right w:val="single" w:color="auto" w:sz="8" w:space="0"/>
            </w:tcBorders>
            <w:vAlign w:val="center"/>
          </w:tcPr>
          <w:p>
            <w:pPr>
              <w:widowControl/>
              <w:jc w:val="center"/>
              <w:rPr>
                <w:rFonts w:ascii="仿宋_GB2312" w:hAnsi="Times New Roman" w:eastAsia="仿宋_GB2312"/>
                <w:b/>
                <w:kern w:val="0"/>
                <w:szCs w:val="21"/>
              </w:rPr>
            </w:pPr>
            <w:r>
              <w:rPr>
                <w:rFonts w:hint="eastAsia" w:ascii="仿宋_GB2312" w:hAnsi="Times New Roman" w:eastAsia="仿宋_GB2312"/>
                <w:b/>
                <w:kern w:val="0"/>
                <w:szCs w:val="21"/>
              </w:rPr>
              <w:t>项目支出</w:t>
            </w:r>
          </w:p>
        </w:tc>
      </w:tr>
      <w:tr>
        <w:tblPrEx>
          <w:tblCellMar>
            <w:top w:w="0" w:type="dxa"/>
            <w:left w:w="108" w:type="dxa"/>
            <w:bottom w:w="0" w:type="dxa"/>
            <w:right w:w="108" w:type="dxa"/>
          </w:tblCellMar>
        </w:tblPrEx>
        <w:trPr>
          <w:trHeight w:val="624"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仿宋_GB2312" w:hAnsi="Times New Roman" w:eastAsia="仿宋_GB2312"/>
                <w:kern w:val="0"/>
                <w:szCs w:val="21"/>
              </w:rPr>
            </w:pPr>
          </w:p>
        </w:tc>
        <w:tc>
          <w:tcPr>
            <w:tcW w:w="430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Times New Roman" w:eastAsia="仿宋_GB2312"/>
                <w:kern w:val="0"/>
                <w:szCs w:val="21"/>
              </w:rPr>
            </w:pPr>
          </w:p>
        </w:tc>
        <w:tc>
          <w:tcPr>
            <w:tcW w:w="22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Times New Roman" w:eastAsia="仿宋_GB2312"/>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Times New Roman" w:eastAsia="仿宋_GB2312"/>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仿宋_GB2312" w:hAnsi="Times New Roman" w:eastAsia="仿宋_GB2312"/>
                <w:kern w:val="0"/>
                <w:szCs w:val="21"/>
              </w:rPr>
            </w:pPr>
          </w:p>
        </w:tc>
      </w:tr>
      <w:tr>
        <w:tblPrEx>
          <w:tblCellMar>
            <w:top w:w="0" w:type="dxa"/>
            <w:left w:w="108" w:type="dxa"/>
            <w:bottom w:w="0" w:type="dxa"/>
            <w:right w:w="108" w:type="dxa"/>
          </w:tblCellMar>
        </w:tblPrEx>
        <w:trPr>
          <w:trHeight w:val="624"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仿宋_GB2312" w:hAnsi="Times New Roman" w:eastAsia="仿宋_GB2312"/>
                <w:kern w:val="0"/>
                <w:szCs w:val="21"/>
              </w:rPr>
            </w:pPr>
          </w:p>
        </w:tc>
        <w:tc>
          <w:tcPr>
            <w:tcW w:w="430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Times New Roman" w:eastAsia="仿宋_GB2312"/>
                <w:kern w:val="0"/>
                <w:szCs w:val="21"/>
              </w:rPr>
            </w:pPr>
          </w:p>
        </w:tc>
        <w:tc>
          <w:tcPr>
            <w:tcW w:w="22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Times New Roman" w:eastAsia="仿宋_GB2312"/>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Times New Roman" w:eastAsia="仿宋_GB2312"/>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仿宋_GB2312" w:hAnsi="Times New Roman" w:eastAsia="仿宋_GB2312"/>
                <w:kern w:val="0"/>
                <w:szCs w:val="21"/>
              </w:rPr>
            </w:pPr>
          </w:p>
        </w:tc>
      </w:tr>
      <w:tr>
        <w:tblPrEx>
          <w:tblCellMar>
            <w:top w:w="0" w:type="dxa"/>
            <w:left w:w="108" w:type="dxa"/>
            <w:bottom w:w="0" w:type="dxa"/>
            <w:right w:w="108" w:type="dxa"/>
          </w:tblCellMar>
        </w:tblPrEx>
        <w:trPr>
          <w:trHeight w:val="450" w:hRule="atLeast"/>
          <w:jc w:val="center"/>
        </w:trPr>
        <w:tc>
          <w:tcPr>
            <w:tcW w:w="5507" w:type="dxa"/>
            <w:gridSpan w:val="2"/>
            <w:tcBorders>
              <w:top w:val="single" w:color="auto" w:sz="4" w:space="0"/>
              <w:left w:val="single" w:color="auto" w:sz="8" w:space="0"/>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栏次</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1</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2</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3</w:t>
            </w:r>
          </w:p>
        </w:tc>
      </w:tr>
      <w:tr>
        <w:tblPrEx>
          <w:tblCellMar>
            <w:top w:w="0" w:type="dxa"/>
            <w:left w:w="108" w:type="dxa"/>
            <w:bottom w:w="0" w:type="dxa"/>
            <w:right w:w="108" w:type="dxa"/>
          </w:tblCellMar>
        </w:tblPrEx>
        <w:trPr>
          <w:trHeight w:val="450" w:hRule="atLeast"/>
          <w:jc w:val="center"/>
        </w:trPr>
        <w:tc>
          <w:tcPr>
            <w:tcW w:w="5507" w:type="dxa"/>
            <w:gridSpan w:val="2"/>
            <w:tcBorders>
              <w:top w:val="single" w:color="auto" w:sz="4" w:space="0"/>
              <w:left w:val="single" w:color="auto" w:sz="8" w:space="0"/>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合计</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1604.56</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909.52</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695.04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208</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社会保障和就业支出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81.66</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81.66</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20805</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行政事业单位养老支出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72.44</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72.44</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2080505</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 xml:space="preserve">  机关事业单位基本养老保险缴费支出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72.44</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72.44</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20808</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抚恤</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9.22</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9.22</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2080801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 xml:space="preserve">  死亡抚恤</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9.22</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9.22</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210</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卫生健康支出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21011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行政事业单位医疗</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2101102</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事业单位医疗</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66.79</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节能环保支出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1379.73</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684.69</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695.04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21101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环境保护管理事务</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662.24</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662.24</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2110101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行政运行</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662.24</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662.24</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21102</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环境监测与监察</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17.98</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17.98</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2110299</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 xml:space="preserve">  其他环境监测与监察支出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17.98</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17.98</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21103</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污染防治</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363.05</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363.05</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2110307</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 xml:space="preserve">  土壤</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62.99</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62.99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2110399</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其他污染防治支出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300.06</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0.00</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300.06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21111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污染减排</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336.47</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4.47</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331.99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2111101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生态环境监测与信息</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336.47</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4.47</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331.99</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221</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住房保障支出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22102</w:t>
            </w:r>
          </w:p>
        </w:tc>
        <w:tc>
          <w:tcPr>
            <w:tcW w:w="4307" w:type="dxa"/>
            <w:tcBorders>
              <w:top w:val="nil"/>
              <w:left w:val="nil"/>
              <w:bottom w:val="single" w:color="auto" w:sz="4"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住房改革支出</w:t>
            </w:r>
          </w:p>
        </w:tc>
        <w:tc>
          <w:tcPr>
            <w:tcW w:w="2220"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492" w:type="dxa"/>
            <w:tcBorders>
              <w:top w:val="nil"/>
              <w:left w:val="nil"/>
              <w:bottom w:val="single" w:color="auto" w:sz="4"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000" w:type="dxa"/>
            <w:tcBorders>
              <w:top w:val="nil"/>
              <w:left w:val="nil"/>
              <w:bottom w:val="single" w:color="auto" w:sz="4"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vAlign w:val="center"/>
          </w:tcPr>
          <w:p>
            <w:pPr>
              <w:rPr>
                <w:rFonts w:ascii="仿宋_GB2312" w:eastAsia="仿宋_GB2312" w:cs="Arial"/>
                <w:color w:val="000000"/>
                <w:sz w:val="22"/>
              </w:rPr>
            </w:pPr>
            <w:r>
              <w:rPr>
                <w:rFonts w:ascii="仿宋_GB2312" w:eastAsia="仿宋_GB2312" w:cs="Arial"/>
                <w:color w:val="000000"/>
                <w:sz w:val="22"/>
              </w:rPr>
              <w:t>2210201</w:t>
            </w:r>
          </w:p>
        </w:tc>
        <w:tc>
          <w:tcPr>
            <w:tcW w:w="4307" w:type="dxa"/>
            <w:tcBorders>
              <w:top w:val="nil"/>
              <w:left w:val="nil"/>
              <w:bottom w:val="single" w:color="auto" w:sz="8" w:space="0"/>
              <w:right w:val="single" w:color="auto" w:sz="4" w:space="0"/>
            </w:tcBorders>
            <w:vAlign w:val="center"/>
          </w:tcPr>
          <w:p>
            <w:pPr>
              <w:rPr>
                <w:rFonts w:ascii="仿宋_GB2312" w:eastAsia="仿宋_GB2312" w:cs="Arial"/>
                <w:color w:val="000000"/>
                <w:sz w:val="22"/>
              </w:rPr>
            </w:pPr>
            <w:r>
              <w:rPr>
                <w:rFonts w:hint="eastAsia" w:ascii="仿宋_GB2312" w:eastAsia="仿宋_GB2312" w:cs="Arial"/>
                <w:color w:val="000000"/>
                <w:sz w:val="22"/>
              </w:rPr>
              <w:t>住房公积金</w:t>
            </w:r>
          </w:p>
        </w:tc>
        <w:tc>
          <w:tcPr>
            <w:tcW w:w="2220" w:type="dxa"/>
            <w:tcBorders>
              <w:top w:val="nil"/>
              <w:left w:val="nil"/>
              <w:bottom w:val="single" w:color="auto" w:sz="8"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492" w:type="dxa"/>
            <w:tcBorders>
              <w:top w:val="nil"/>
              <w:left w:val="nil"/>
              <w:bottom w:val="single" w:color="auto" w:sz="8" w:space="0"/>
              <w:right w:val="single" w:color="auto" w:sz="4" w:space="0"/>
            </w:tcBorders>
            <w:vAlign w:val="center"/>
          </w:tcPr>
          <w:p>
            <w:pPr>
              <w:widowControl/>
              <w:jc w:val="center"/>
              <w:rPr>
                <w:rFonts w:ascii="仿宋_GB2312" w:hAnsi="Times New Roman" w:eastAsia="仿宋_GB2312"/>
                <w:kern w:val="0"/>
                <w:szCs w:val="21"/>
              </w:rPr>
            </w:pPr>
            <w:r>
              <w:rPr>
                <w:rFonts w:hint="eastAsia" w:ascii="仿宋_GB2312" w:hAnsi="Times New Roman" w:eastAsia="仿宋_GB2312"/>
                <w:kern w:val="0"/>
                <w:szCs w:val="21"/>
              </w:rPr>
              <w:t>76.38</w:t>
            </w:r>
          </w:p>
        </w:tc>
        <w:tc>
          <w:tcPr>
            <w:tcW w:w="3000" w:type="dxa"/>
            <w:tcBorders>
              <w:top w:val="nil"/>
              <w:left w:val="nil"/>
              <w:bottom w:val="single" w:color="auto" w:sz="8" w:space="0"/>
              <w:right w:val="single" w:color="auto" w:sz="8" w:space="0"/>
            </w:tcBorders>
            <w:vAlign w:val="center"/>
          </w:tcPr>
          <w:p>
            <w:pPr>
              <w:widowControl/>
              <w:jc w:val="center"/>
              <w:rPr>
                <w:rFonts w:ascii="仿宋_GB2312" w:hAnsi="Times New Roman" w:eastAsia="仿宋_GB2312"/>
                <w:kern w:val="0"/>
                <w:szCs w:val="21"/>
              </w:rPr>
            </w:pPr>
            <w:r>
              <w:rPr>
                <w:rFonts w:ascii="仿宋_GB2312" w:hAnsi="Times New Roman" w:eastAsia="仿宋_GB2312"/>
                <w:kern w:val="0"/>
                <w:szCs w:val="21"/>
              </w:rPr>
              <w:t>0.00</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vAlign w:val="center"/>
          </w:tcPr>
          <w:p>
            <w:pPr>
              <w:widowControl/>
              <w:jc w:val="left"/>
              <w:rPr>
                <w:rFonts w:ascii="仿宋_GB2312" w:hAnsi="Times New Roman" w:eastAsia="仿宋_GB2312"/>
                <w:kern w:val="0"/>
                <w:szCs w:val="21"/>
              </w:rPr>
            </w:pPr>
            <w:r>
              <w:rPr>
                <w:rFonts w:hint="eastAsia" w:ascii="仿宋_GB2312" w:hAnsi="Times New Roman" w:eastAsia="仿宋_GB2312"/>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tbl>
      <w:tblPr>
        <w:tblStyle w:val="6"/>
        <w:tblW w:w="0" w:type="auto"/>
        <w:tblInd w:w="0" w:type="dxa"/>
        <w:tblLayout w:type="autofit"/>
        <w:tblCellMar>
          <w:top w:w="0" w:type="dxa"/>
          <w:left w:w="108" w:type="dxa"/>
          <w:bottom w:w="0" w:type="dxa"/>
          <w:right w:w="108" w:type="dxa"/>
        </w:tblCellMar>
      </w:tblPr>
      <w:tblGrid>
        <w:gridCol w:w="1307"/>
        <w:gridCol w:w="2958"/>
        <w:gridCol w:w="889"/>
        <w:gridCol w:w="1180"/>
        <w:gridCol w:w="2217"/>
        <w:gridCol w:w="889"/>
        <w:gridCol w:w="1321"/>
        <w:gridCol w:w="3964"/>
        <w:gridCol w:w="889"/>
      </w:tblGrid>
      <w:tr>
        <w:trPr>
          <w:trHeight w:val="113" w:hRule="atLeast"/>
        </w:trPr>
        <w:tc>
          <w:tcPr>
            <w:tcW w:w="0" w:type="auto"/>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jc w:val="center"/>
              <w:rPr>
                <w:rFonts w:ascii="华文中宋" w:hAnsi="华文中宋" w:eastAsia="华文中宋" w:cs="宋体"/>
                <w:color w:val="000000"/>
                <w:kern w:val="0"/>
                <w:szCs w:val="32"/>
              </w:rPr>
            </w:pPr>
          </w:p>
          <w:p>
            <w:pPr>
              <w:widowControl/>
              <w:jc w:val="left"/>
              <w:rPr>
                <w:rFonts w:ascii="华文中宋" w:hAnsi="华文中宋" w:eastAsia="华文中宋" w:cs="宋体"/>
                <w:color w:val="000000"/>
                <w:kern w:val="0"/>
                <w:szCs w:val="32"/>
              </w:rPr>
            </w:pPr>
          </w:p>
          <w:p>
            <w:pPr>
              <w:widowControl/>
              <w:wordWrap w:val="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公开06表</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湖南省衡阳生态环境监测中心                                                                                                         单位：万元</w:t>
            </w:r>
          </w:p>
        </w:tc>
      </w:tr>
      <w:tr>
        <w:trPr>
          <w:trHeight w:val="113" w:hRule="atLeast"/>
        </w:trPr>
        <w:tc>
          <w:tcPr>
            <w:tcW w:w="13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 w:val="20"/>
                <w:szCs w:val="20"/>
              </w:rPr>
              <w:t>经济分类科目编码</w:t>
            </w:r>
          </w:p>
        </w:tc>
        <w:tc>
          <w:tcPr>
            <w:tcW w:w="31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决算数</w:t>
            </w:r>
          </w:p>
        </w:tc>
        <w:tc>
          <w:tcPr>
            <w:tcW w:w="11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经济分类科目编码</w:t>
            </w:r>
          </w:p>
        </w:tc>
        <w:tc>
          <w:tcPr>
            <w:tcW w:w="229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决算数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经济分类科目编码</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科目名称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决算数</w:t>
            </w:r>
          </w:p>
        </w:tc>
      </w:tr>
      <w:tr>
        <w:tblPrEx>
          <w:tblCellMar>
            <w:top w:w="0" w:type="dxa"/>
            <w:left w:w="108" w:type="dxa"/>
            <w:bottom w:w="0" w:type="dxa"/>
            <w:right w:w="108" w:type="dxa"/>
          </w:tblCellMar>
        </w:tblPrEx>
        <w:trPr>
          <w:trHeight w:val="689"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工资福利支出</w:t>
            </w:r>
          </w:p>
        </w:tc>
        <w:tc>
          <w:tcPr>
            <w:tcW w:w="0" w:type="auto"/>
            <w:tcBorders>
              <w:top w:val="nil"/>
              <w:left w:val="nil"/>
              <w:bottom w:val="single" w:color="auto" w:sz="4" w:space="0"/>
              <w:right w:val="single" w:color="auto" w:sz="4" w:space="0"/>
            </w:tcBorders>
            <w:shd w:val="clear" w:color="auto" w:fill="auto"/>
            <w:noWrap/>
            <w:vAlign w:val="center"/>
          </w:tcPr>
          <w:p>
            <w:pPr>
              <w:widowControl/>
              <w:wordWrap w:val="0"/>
              <w:jc w:val="center"/>
              <w:rPr>
                <w:rFonts w:ascii="仿宋" w:hAnsi="仿宋" w:eastAsia="仿宋" w:cs="Times New Roman"/>
                <w:color w:val="000000"/>
                <w:kern w:val="0"/>
                <w:szCs w:val="21"/>
              </w:rPr>
            </w:pPr>
            <w:r>
              <w:rPr>
                <w:rFonts w:hint="eastAsia" w:ascii="仿宋" w:hAnsi="仿宋" w:eastAsia="仿宋" w:cs="Times New Roman"/>
                <w:color w:val="000000"/>
                <w:kern w:val="0"/>
                <w:szCs w:val="21"/>
              </w:rPr>
              <w:t>776.41</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商品和服务支出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102.23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307</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债务利息及费用支出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700"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30101</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基本工资</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279.03</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30201</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办公费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8.20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30701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国内债务付息</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30102</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津贴补贴</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24.63</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30202</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印刷费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30702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国外债务付息</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30103</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奖金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30203</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咨询费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资本性支出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21.58</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30106</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伙食补助费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22.92</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30204</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手续费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房屋建筑物购建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30107</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绩效工资</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220.36</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30205</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5.33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办公设备购置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30108</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机关事业单位基本养老保险缴费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68.07</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30206</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电费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1.54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专用设备购置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30109</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职业年金缴费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30207</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邮电费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1.85</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31005</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基础设施建设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30110</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职工基本医疗保险缴费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65.93</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30208</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取暖费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31006</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大型修缮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30111</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公务员医疗补助缴费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30209</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物业管理费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18.00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31007</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信息网络及软件购置更新</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30112</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其他社会保障缴费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2.23</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30211</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差旅费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4.69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31008</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物资储备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30113</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住房公积金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90.22</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30212</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因公出国（境）费用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31009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土地补偿</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30114</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医疗费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0.03</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30213</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维修（护）费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0.62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31010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安置补助</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30199</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其他工资福利支出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3.00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30214</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租赁费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0.66</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31011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地上附着物和青苗补偿</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对个人和家庭的补助</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9.30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30215</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会议费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31012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拆迁补偿</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30301</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离休费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30216</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培训费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0.65</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31013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公务用车购置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19.57</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30302</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退休费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30217</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公务接待费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7.51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31019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其他交通工具购置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30303</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退职（役）费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30218</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专用材料费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31021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文物和陈列品购置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30304</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抚恤金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9.22</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30224</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被装购置费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31022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无形资产购置</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30305</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生活补助</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0.08</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30225</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专用燃料费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31099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其他资本性支出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30306</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救济费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30226</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劳务费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1.11</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399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其他支出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30307</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医疗费补助</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30227</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委托业务费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39906</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赠与</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30308</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助学金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30228</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工会经费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13.14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39907</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国家赔偿费用支出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30309</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奖励金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30229</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福利费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0.14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39908</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对民间非营利组织和群众性自治组织补贴</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30310</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个人农业生产补贴</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30231</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公务用车运行维护费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19.22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39999</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30311</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代缴社会保险费</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30239</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其他交通费用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4.52</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30399</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其他对个人和家庭的补助</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30240</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税金及附加费用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0.00</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p>
        </w:tc>
      </w:tr>
      <w:tr>
        <w:tblPrEx>
          <w:tblCellMar>
            <w:top w:w="0" w:type="dxa"/>
            <w:left w:w="108" w:type="dxa"/>
            <w:bottom w:w="0" w:type="dxa"/>
            <w:right w:w="108" w:type="dxa"/>
          </w:tblCellMar>
        </w:tblPrEx>
        <w:trPr>
          <w:trHeight w:val="284" w:hRule="exact"/>
        </w:trPr>
        <w:tc>
          <w:tcPr>
            <w:tcW w:w="130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w:t>
            </w:r>
          </w:p>
        </w:tc>
        <w:tc>
          <w:tcPr>
            <w:tcW w:w="310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p>
        </w:tc>
        <w:tc>
          <w:tcPr>
            <w:tcW w:w="116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30299</w:t>
            </w:r>
          </w:p>
        </w:tc>
        <w:tc>
          <w:tcPr>
            <w:tcW w:w="2297"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20"/>
              </w:rPr>
            </w:pPr>
            <w:r>
              <w:rPr>
                <w:rFonts w:hint="eastAsia" w:ascii="仿宋" w:hAnsi="仿宋" w:eastAsia="仿宋" w:cs="宋体"/>
                <w:color w:val="000000"/>
                <w:kern w:val="0"/>
                <w:szCs w:val="20"/>
              </w:rPr>
              <w:t xml:space="preserve">  其他商品和服务支出</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15.03</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Cs w:val="18"/>
              </w:rPr>
            </w:pPr>
            <w:r>
              <w:rPr>
                <w:rFonts w:hint="eastAsia" w:ascii="仿宋" w:hAnsi="仿宋" w:eastAsia="仿宋" w:cs="宋体"/>
                <w:color w:val="000000"/>
                <w:kern w:val="0"/>
                <w:szCs w:val="18"/>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p>
        </w:tc>
      </w:tr>
      <w:tr>
        <w:tblPrEx>
          <w:tblCellMar>
            <w:top w:w="0" w:type="dxa"/>
            <w:left w:w="108" w:type="dxa"/>
            <w:bottom w:w="0" w:type="dxa"/>
            <w:right w:w="108" w:type="dxa"/>
          </w:tblCellMar>
        </w:tblPrEx>
        <w:trPr>
          <w:trHeight w:val="284" w:hRule="exact"/>
        </w:trPr>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人员经费合计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785.71</w:t>
            </w:r>
          </w:p>
        </w:tc>
        <w:tc>
          <w:tcPr>
            <w:tcW w:w="0" w:type="auto"/>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20"/>
              </w:rPr>
            </w:pPr>
            <w:r>
              <w:rPr>
                <w:rFonts w:hint="eastAsia" w:ascii="仿宋" w:hAnsi="仿宋" w:eastAsia="仿宋" w:cs="宋体"/>
                <w:color w:val="000000"/>
                <w:kern w:val="0"/>
                <w:szCs w:val="20"/>
              </w:rPr>
              <w:t>公用经费合计</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Cs w:val="18"/>
              </w:rPr>
            </w:pPr>
            <w:r>
              <w:rPr>
                <w:rFonts w:hint="eastAsia" w:ascii="仿宋" w:hAnsi="仿宋" w:eastAsia="仿宋" w:cs="宋体"/>
                <w:color w:val="000000"/>
                <w:kern w:val="0"/>
                <w:szCs w:val="18"/>
              </w:rPr>
              <w:t>123.81</w:t>
            </w:r>
          </w:p>
        </w:tc>
      </w:tr>
      <w:tr>
        <w:tblPrEx>
          <w:tblCellMar>
            <w:top w:w="0" w:type="dxa"/>
            <w:left w:w="108" w:type="dxa"/>
            <w:bottom w:w="0" w:type="dxa"/>
            <w:right w:w="108" w:type="dxa"/>
          </w:tblCellMar>
        </w:tblPrEx>
        <w:trPr>
          <w:trHeight w:val="284" w:hRule="exact"/>
        </w:trPr>
        <w:tc>
          <w:tcPr>
            <w:tcW w:w="0" w:type="auto"/>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center"/>
        <w:rPr>
          <w:rFonts w:hint="eastAsia" w:ascii="Times New Roman" w:hAnsi="Times New Roman" w:eastAsia="方正小标宋_GBK" w:cs="Times New Roman"/>
          <w:color w:val="000000"/>
          <w:kern w:val="0"/>
          <w:sz w:val="36"/>
          <w:szCs w:val="36"/>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  湖南省衡阳生态环境监测中心                                                                                         </w:t>
      </w:r>
      <w:r>
        <w:rPr>
          <w:rFonts w:ascii="Times New Roman" w:hAnsi="Times New Roman" w:eastAsia="仿宋_GB2312" w:cs="Times New Roman"/>
          <w:color w:val="000000"/>
          <w:kern w:val="0"/>
          <w:szCs w:val="21"/>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57.57</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47.57</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19.57</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28.00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46.30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38.79</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19.57</w:t>
            </w:r>
          </w:p>
        </w:tc>
        <w:tc>
          <w:tcPr>
            <w:tcW w:w="1220" w:type="dxa"/>
            <w:tcBorders>
              <w:top w:val="nil"/>
              <w:left w:val="nil"/>
              <w:bottom w:val="single" w:color="auto" w:sz="8" w:space="0"/>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19.22</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7.51</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ind w:firstLine="630" w:firstLineChars="300"/>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 湖南省衡阳生态环境监测中心</w:t>
      </w:r>
      <w:r>
        <w:rPr>
          <w:rFonts w:ascii="Times New Roman" w:hAnsi="Times New Roman" w:eastAsia="仿宋_GB2312" w:cs="Times New Roman"/>
          <w:color w:val="000000"/>
          <w:kern w:val="0"/>
          <w:szCs w:val="21"/>
        </w:rPr>
        <w:t>：</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(本单位</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6"/>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Times New Roman" w:hAnsi="Times New Roman" w:eastAsia="仿宋_GB2312" w:cs="Times New Roman"/>
                <w:color w:val="000000"/>
                <w:kern w:val="0"/>
                <w:szCs w:val="21"/>
              </w:rPr>
              <w:t>湖南省衡阳生态环境监测中心</w:t>
            </w:r>
            <w:r>
              <w:rPr>
                <w:rFonts w:hint="eastAsia" w:ascii="宋体" w:hAnsi="宋体" w:eastAsia="宋体" w:cs="宋体"/>
                <w:kern w:val="0"/>
                <w:sz w:val="20"/>
                <w:szCs w:val="20"/>
              </w:rPr>
              <w:t>　</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本单位没有国有资本经营预算收入，也没有使用国有资本经营预算安排的支出，故本表无数据</w:t>
            </w:r>
          </w:p>
        </w:tc>
      </w:tr>
    </w:tbl>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ind w:firstLine="640" w:firstLineChars="200"/>
        <w:rPr>
          <w:rFonts w:ascii="仿宋" w:hAnsi="仿宋" w:eastAsia="仿宋"/>
          <w:b/>
          <w:sz w:val="32"/>
          <w:szCs w:val="32"/>
        </w:rPr>
      </w:pPr>
      <w:r>
        <w:rPr>
          <w:rFonts w:hint="eastAsia" w:ascii="仿宋" w:hAnsi="仿宋" w:eastAsia="仿宋"/>
          <w:b/>
          <w:sz w:val="32"/>
          <w:szCs w:val="32"/>
        </w:rPr>
        <w:t>一、收入支出决算总体情况说明</w:t>
      </w:r>
    </w:p>
    <w:p>
      <w:pPr>
        <w:pStyle w:val="5"/>
        <w:widowControl/>
        <w:spacing w:before="158" w:after="158" w:line="460" w:lineRule="atLeast"/>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1年度收入总计2596.48万元（含年初结转和结余资金</w:t>
      </w:r>
      <w:r>
        <w:rPr>
          <w:rFonts w:ascii="仿宋" w:hAnsi="仿宋" w:eastAsia="仿宋"/>
          <w:sz w:val="32"/>
          <w:szCs w:val="32"/>
        </w:rPr>
        <w:t>833.41</w:t>
      </w:r>
      <w:r>
        <w:rPr>
          <w:rFonts w:hint="eastAsia" w:ascii="仿宋" w:hAnsi="仿宋" w:eastAsia="仿宋"/>
          <w:sz w:val="32"/>
          <w:szCs w:val="32"/>
        </w:rPr>
        <w:t>万元）。与上年相比减少216.63万元，减少7.70</w:t>
      </w:r>
      <w:r>
        <w:rPr>
          <w:rFonts w:ascii="仿宋" w:hAnsi="仿宋" w:eastAsia="仿宋"/>
          <w:sz w:val="32"/>
          <w:szCs w:val="32"/>
        </w:rPr>
        <w:t>%</w:t>
      </w:r>
      <w:r>
        <w:rPr>
          <w:rFonts w:hint="eastAsia" w:ascii="仿宋" w:hAnsi="仿宋" w:eastAsia="仿宋"/>
          <w:sz w:val="32"/>
          <w:szCs w:val="32"/>
        </w:rPr>
        <w:t>。收入略有减少主要是因为项目经费拨款减少。</w:t>
      </w:r>
    </w:p>
    <w:p>
      <w:pPr>
        <w:pStyle w:val="10"/>
        <w:spacing w:line="360" w:lineRule="auto"/>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1年度支出总计2596.48万元</w:t>
      </w:r>
      <w:r>
        <w:rPr>
          <w:rFonts w:ascii="仿宋" w:hAnsi="仿宋" w:eastAsia="仿宋"/>
          <w:sz w:val="32"/>
          <w:szCs w:val="32"/>
        </w:rPr>
        <w:t>（含年</w:t>
      </w:r>
      <w:r>
        <w:rPr>
          <w:rFonts w:hint="eastAsia" w:ascii="仿宋" w:hAnsi="仿宋" w:eastAsia="仿宋"/>
          <w:sz w:val="32"/>
          <w:szCs w:val="32"/>
        </w:rPr>
        <w:t>末</w:t>
      </w:r>
      <w:r>
        <w:rPr>
          <w:rFonts w:ascii="仿宋" w:hAnsi="仿宋" w:eastAsia="仿宋"/>
          <w:sz w:val="32"/>
          <w:szCs w:val="32"/>
        </w:rPr>
        <w:t>结转和结余资金</w:t>
      </w:r>
      <w:r>
        <w:rPr>
          <w:rFonts w:hint="eastAsia" w:ascii="仿宋" w:hAnsi="仿宋" w:eastAsia="仿宋"/>
          <w:sz w:val="32"/>
          <w:szCs w:val="32"/>
        </w:rPr>
        <w:t>355</w:t>
      </w:r>
      <w:r>
        <w:rPr>
          <w:rFonts w:ascii="仿宋" w:hAnsi="仿宋" w:eastAsia="仿宋"/>
          <w:sz w:val="32"/>
          <w:szCs w:val="32"/>
        </w:rPr>
        <w:t>.</w:t>
      </w:r>
      <w:r>
        <w:rPr>
          <w:rFonts w:hint="eastAsia" w:ascii="仿宋" w:hAnsi="仿宋" w:eastAsia="仿宋"/>
          <w:sz w:val="32"/>
          <w:szCs w:val="32"/>
        </w:rPr>
        <w:t>53</w:t>
      </w:r>
      <w:r>
        <w:rPr>
          <w:rFonts w:ascii="仿宋" w:hAnsi="仿宋" w:eastAsia="仿宋"/>
          <w:sz w:val="32"/>
          <w:szCs w:val="32"/>
        </w:rPr>
        <w:t>万元）</w:t>
      </w:r>
      <w:r>
        <w:rPr>
          <w:rFonts w:hint="eastAsia" w:ascii="仿宋" w:hAnsi="仿宋" w:eastAsia="仿宋"/>
          <w:sz w:val="32"/>
          <w:szCs w:val="32"/>
        </w:rPr>
        <w:t>。与上年2813.11万，相比减少216.63万元，减少7.70</w:t>
      </w:r>
      <w:r>
        <w:rPr>
          <w:rFonts w:ascii="仿宋" w:hAnsi="仿宋" w:eastAsia="仿宋"/>
          <w:sz w:val="32"/>
          <w:szCs w:val="32"/>
        </w:rPr>
        <w:t>%</w:t>
      </w:r>
      <w:r>
        <w:rPr>
          <w:rFonts w:hint="eastAsia" w:ascii="仿宋" w:hAnsi="仿宋" w:eastAsia="仿宋"/>
          <w:sz w:val="32"/>
          <w:szCs w:val="32"/>
        </w:rPr>
        <w:t>。支出略有减少主要是因为项目经费支出减少。</w:t>
      </w:r>
    </w:p>
    <w:p>
      <w:pPr>
        <w:pStyle w:val="10"/>
        <w:ind w:firstLine="640" w:firstLineChars="200"/>
        <w:rPr>
          <w:rFonts w:ascii="仿宋" w:hAnsi="仿宋" w:eastAsia="仿宋"/>
          <w:b/>
          <w:sz w:val="32"/>
          <w:szCs w:val="32"/>
        </w:rPr>
      </w:pPr>
      <w:r>
        <w:rPr>
          <w:rFonts w:hint="eastAsia" w:ascii="仿宋" w:hAnsi="仿宋" w:eastAsia="仿宋"/>
          <w:b/>
          <w:sz w:val="32"/>
          <w:szCs w:val="32"/>
        </w:rPr>
        <w:t>二、收入决算情况说明</w:t>
      </w:r>
    </w:p>
    <w:p>
      <w:pPr>
        <w:pStyle w:val="10"/>
        <w:ind w:firstLine="640" w:firstLineChars="200"/>
        <w:rPr>
          <w:rFonts w:ascii="仿宋" w:hAnsi="仿宋" w:eastAsia="仿宋"/>
          <w:sz w:val="32"/>
          <w:szCs w:val="32"/>
        </w:rPr>
      </w:pPr>
      <w:r>
        <w:rPr>
          <w:rFonts w:hint="eastAsia" w:ascii="仿宋" w:hAnsi="仿宋" w:eastAsia="仿宋"/>
          <w:sz w:val="32"/>
          <w:szCs w:val="32"/>
        </w:rPr>
        <w:t>2021年度收入合计1763.08万元（不含年初结转和结余资金），其中：财政拨款收入1320.30万元，占74.89%；</w:t>
      </w:r>
      <w:r>
        <w:rPr>
          <w:rFonts w:hint="eastAsia" w:ascii="仿宋" w:hAnsi="仿宋" w:eastAsia="仿宋" w:cs="黑体"/>
          <w:sz w:val="32"/>
          <w:szCs w:val="32"/>
          <w:shd w:val="clear" w:color="auto" w:fill="auto"/>
        </w:rPr>
        <w:t>上级补助收入</w:t>
      </w:r>
      <w:r>
        <w:rPr>
          <w:rFonts w:ascii="仿宋" w:hAnsi="仿宋" w:eastAsia="仿宋" w:cs="黑体"/>
          <w:sz w:val="32"/>
          <w:szCs w:val="32"/>
          <w:shd w:val="clear" w:color="auto" w:fill="auto"/>
        </w:rPr>
        <w:t>0万元，占0%；事业收入0万元，占0%；经营收入0万元，占0%；附属单位上缴收入0万元，占0%；</w:t>
      </w:r>
      <w:r>
        <w:rPr>
          <w:rFonts w:hint="eastAsia" w:ascii="仿宋" w:hAnsi="仿宋" w:eastAsia="仿宋"/>
          <w:sz w:val="32"/>
          <w:szCs w:val="32"/>
        </w:rPr>
        <w:t>其他收入442.78万元，占25.11%。</w:t>
      </w:r>
    </w:p>
    <w:p>
      <w:pPr>
        <w:pStyle w:val="10"/>
        <w:ind w:firstLine="640" w:firstLineChars="200"/>
        <w:rPr>
          <w:rFonts w:ascii="仿宋" w:hAnsi="仿宋" w:eastAsia="仿宋"/>
          <w:b/>
          <w:sz w:val="32"/>
          <w:szCs w:val="32"/>
        </w:rPr>
      </w:pPr>
      <w:r>
        <w:rPr>
          <w:rFonts w:hint="eastAsia" w:ascii="仿宋" w:hAnsi="仿宋" w:eastAsia="仿宋"/>
          <w:b/>
          <w:sz w:val="32"/>
          <w:szCs w:val="32"/>
        </w:rPr>
        <w:t>三、支出决算情况说明</w:t>
      </w:r>
    </w:p>
    <w:p>
      <w:pPr>
        <w:pStyle w:val="10"/>
        <w:ind w:firstLine="640" w:firstLineChars="200"/>
        <w:rPr>
          <w:rFonts w:ascii="仿宋" w:hAnsi="仿宋" w:eastAsia="仿宋"/>
          <w:sz w:val="32"/>
          <w:szCs w:val="32"/>
        </w:rPr>
      </w:pPr>
      <w:r>
        <w:rPr>
          <w:rFonts w:hint="eastAsia" w:ascii="仿宋" w:hAnsi="仿宋" w:eastAsia="仿宋"/>
          <w:sz w:val="32"/>
          <w:szCs w:val="32"/>
        </w:rPr>
        <w:t>2021年度支出合计2042.20万元（不含年末结转和结余资金），其中：基本支出1340.01万元，占65.62%；项目支出702.19万元，占34.38%；</w:t>
      </w:r>
      <w:r>
        <w:rPr>
          <w:rFonts w:hint="eastAsia" w:ascii="仿宋" w:hAnsi="仿宋" w:eastAsia="仿宋" w:cs="黑体"/>
          <w:sz w:val="32"/>
          <w:szCs w:val="32"/>
          <w:shd w:val="clear" w:color="auto" w:fill="auto"/>
        </w:rPr>
        <w:t>上缴上级支出</w:t>
      </w:r>
      <w:r>
        <w:rPr>
          <w:rFonts w:ascii="仿宋" w:hAnsi="仿宋" w:eastAsia="仿宋" w:cs="黑体"/>
          <w:sz w:val="32"/>
          <w:szCs w:val="32"/>
          <w:shd w:val="clear" w:color="auto" w:fill="auto"/>
        </w:rPr>
        <w:t>0万元，占0%；经营支出0万元，占0%；对附属单位补助支出0万元，占0%</w:t>
      </w:r>
      <w:r>
        <w:rPr>
          <w:rFonts w:hint="eastAsia" w:ascii="仿宋" w:hAnsi="仿宋" w:eastAsia="仿宋"/>
          <w:sz w:val="32"/>
          <w:szCs w:val="32"/>
        </w:rPr>
        <w:t>。</w:t>
      </w:r>
    </w:p>
    <w:p>
      <w:pPr>
        <w:pStyle w:val="10"/>
        <w:ind w:firstLine="640" w:firstLineChars="200"/>
        <w:rPr>
          <w:rFonts w:ascii="仿宋" w:hAnsi="仿宋" w:eastAsia="仿宋" w:cs="Times New Roman"/>
          <w:sz w:val="32"/>
          <w:szCs w:val="32"/>
        </w:rPr>
      </w:pPr>
      <w:r>
        <w:rPr>
          <w:rFonts w:hint="eastAsia" w:ascii="仿宋" w:hAnsi="仿宋" w:eastAsia="仿宋"/>
          <w:b/>
          <w:sz w:val="32"/>
          <w:szCs w:val="32"/>
        </w:rPr>
        <w:t>四、财政拨款收入支出决算总体情况说明</w:t>
      </w:r>
    </w:p>
    <w:p>
      <w:pPr>
        <w:pStyle w:val="10"/>
        <w:ind w:firstLine="640" w:firstLineChars="200"/>
        <w:rPr>
          <w:rFonts w:ascii="仿宋" w:hAnsi="仿宋" w:eastAsia="仿宋"/>
          <w:b w:val="0"/>
          <w:bCs w:val="0"/>
          <w:color w:val="000000"/>
          <w:sz w:val="32"/>
          <w:szCs w:val="32"/>
        </w:rPr>
      </w:pPr>
      <w:r>
        <w:rPr>
          <w:rFonts w:ascii="仿宋" w:hAnsi="仿宋" w:eastAsia="仿宋"/>
          <w:sz w:val="32"/>
          <w:szCs w:val="32"/>
        </w:rPr>
        <w:t>2021</w:t>
      </w:r>
      <w:r>
        <w:rPr>
          <w:rFonts w:hint="eastAsia" w:ascii="仿宋" w:hAnsi="仿宋" w:eastAsia="仿宋"/>
          <w:sz w:val="32"/>
          <w:szCs w:val="32"/>
        </w:rPr>
        <w:t>年度财政拨款收入合计</w:t>
      </w:r>
      <w:r>
        <w:rPr>
          <w:rFonts w:ascii="仿宋" w:hAnsi="仿宋" w:eastAsia="仿宋"/>
          <w:sz w:val="32"/>
          <w:szCs w:val="32"/>
        </w:rPr>
        <w:t>1320.3</w:t>
      </w:r>
      <w:r>
        <w:rPr>
          <w:rFonts w:hint="eastAsia" w:ascii="仿宋" w:hAnsi="仿宋" w:eastAsia="仿宋"/>
          <w:sz w:val="32"/>
          <w:szCs w:val="32"/>
        </w:rPr>
        <w:t>万元（不含财政拨款年初结转和结余资金），与上年</w:t>
      </w:r>
      <w:r>
        <w:rPr>
          <w:rFonts w:ascii="仿宋" w:hAnsi="仿宋" w:eastAsia="仿宋"/>
          <w:sz w:val="32"/>
          <w:szCs w:val="32"/>
        </w:rPr>
        <w:t>1170.67</w:t>
      </w:r>
      <w:r>
        <w:rPr>
          <w:rFonts w:hint="eastAsia" w:ascii="仿宋" w:hAnsi="仿宋" w:eastAsia="仿宋"/>
          <w:sz w:val="32"/>
          <w:szCs w:val="32"/>
        </w:rPr>
        <w:t>万相比，增加</w:t>
      </w:r>
      <w:r>
        <w:rPr>
          <w:rFonts w:ascii="仿宋" w:hAnsi="仿宋" w:eastAsia="仿宋"/>
          <w:sz w:val="32"/>
          <w:szCs w:val="32"/>
        </w:rPr>
        <w:t>149.63</w:t>
      </w:r>
      <w:r>
        <w:rPr>
          <w:rFonts w:hint="eastAsia" w:ascii="仿宋" w:hAnsi="仿宋" w:eastAsia="仿宋"/>
          <w:sz w:val="32"/>
          <w:szCs w:val="32"/>
        </w:rPr>
        <w:t>万元</w:t>
      </w:r>
      <w:r>
        <w:rPr>
          <w:rFonts w:ascii="仿宋" w:hAnsi="仿宋" w:eastAsia="仿宋"/>
          <w:sz w:val="32"/>
          <w:szCs w:val="32"/>
        </w:rPr>
        <w:t>,增长12.7</w:t>
      </w:r>
      <w:r>
        <w:rPr>
          <w:rFonts w:hint="eastAsia" w:ascii="仿宋" w:hAnsi="仿宋" w:eastAsia="仿宋"/>
          <w:sz w:val="32"/>
          <w:szCs w:val="32"/>
        </w:rPr>
        <w:t>8</w:t>
      </w:r>
      <w:r>
        <w:rPr>
          <w:rFonts w:ascii="仿宋" w:hAnsi="仿宋" w:eastAsia="仿宋"/>
          <w:sz w:val="32"/>
          <w:szCs w:val="32"/>
        </w:rPr>
        <w:t>%，主要是因为</w:t>
      </w:r>
      <w:r>
        <w:rPr>
          <w:rFonts w:hint="eastAsia" w:ascii="仿宋" w:hAnsi="仿宋" w:eastAsia="仿宋"/>
          <w:sz w:val="32"/>
          <w:szCs w:val="32"/>
        </w:rPr>
        <w:t>2020年单位上收省级管理，此前2020年1-10月的经费由市级财政预拨列在其他收入，使用市级财政拨款的支出未列入一般公共预算财政拨款支出，而仅将省级财政保障的11-12月的经费列支在一般公共预算财政拨款中。</w:t>
      </w:r>
    </w:p>
    <w:p>
      <w:pPr>
        <w:pStyle w:val="10"/>
        <w:ind w:firstLine="640" w:firstLineChars="20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年度财政拨款支出合计</w:t>
      </w:r>
      <w:r>
        <w:rPr>
          <w:rFonts w:hint="eastAsia" w:ascii="仿宋" w:hAnsi="仿宋" w:eastAsia="仿宋" w:cs="Times New Roman"/>
          <w:sz w:val="32"/>
          <w:szCs w:val="32"/>
        </w:rPr>
        <w:t>1604.56</w:t>
      </w:r>
      <w:r>
        <w:rPr>
          <w:rFonts w:hint="eastAsia" w:ascii="仿宋" w:hAnsi="仿宋" w:eastAsia="仿宋"/>
          <w:sz w:val="32"/>
          <w:szCs w:val="32"/>
        </w:rPr>
        <w:t>万元（不含财政拨款年末结转和结余资金），与上年</w:t>
      </w:r>
      <w:r>
        <w:rPr>
          <w:rFonts w:ascii="仿宋" w:hAnsi="仿宋" w:eastAsia="仿宋"/>
          <w:sz w:val="32"/>
          <w:szCs w:val="32"/>
        </w:rPr>
        <w:t>234.12</w:t>
      </w:r>
      <w:r>
        <w:rPr>
          <w:rFonts w:hint="eastAsia" w:ascii="仿宋" w:hAnsi="仿宋" w:eastAsia="仿宋"/>
          <w:sz w:val="32"/>
          <w:szCs w:val="32"/>
        </w:rPr>
        <w:t>万相比，增加1370.44万元，增长585.36%。主要是因为2020年单位上收省级管理，此前2020年1-10月的经费由市级财政预拨列在其他收入，使用市级财政拨款的支出未列入一般公共预算财政拨款支出。</w:t>
      </w:r>
    </w:p>
    <w:p>
      <w:pPr>
        <w:pStyle w:val="10"/>
        <w:ind w:firstLine="640" w:firstLineChars="200"/>
        <w:rPr>
          <w:rFonts w:ascii="仿宋" w:hAnsi="仿宋" w:eastAsia="仿宋"/>
          <w:b/>
          <w:sz w:val="32"/>
          <w:szCs w:val="32"/>
        </w:rPr>
      </w:pPr>
      <w:r>
        <w:rPr>
          <w:rFonts w:hint="eastAsia" w:ascii="仿宋" w:hAnsi="仿宋" w:eastAsia="仿宋"/>
          <w:b/>
          <w:sz w:val="32"/>
          <w:szCs w:val="32"/>
        </w:rPr>
        <w:t>五、一般公共预算财政拨款支出决算情况说明</w:t>
      </w:r>
    </w:p>
    <w:p>
      <w:pPr>
        <w:pStyle w:val="10"/>
        <w:ind w:firstLine="640" w:firstLineChars="200"/>
        <w:rPr>
          <w:rFonts w:ascii="仿宋" w:hAnsi="仿宋" w:eastAsia="仿宋"/>
          <w:b/>
          <w:sz w:val="32"/>
          <w:szCs w:val="32"/>
        </w:rPr>
      </w:pPr>
      <w:r>
        <w:rPr>
          <w:rFonts w:hint="eastAsia" w:ascii="仿宋" w:hAnsi="仿宋" w:eastAsia="仿宋"/>
          <w:b/>
          <w:sz w:val="32"/>
          <w:szCs w:val="32"/>
        </w:rPr>
        <w:t>（一）财政拨款支出决算总体情况</w:t>
      </w:r>
    </w:p>
    <w:p>
      <w:pPr>
        <w:pStyle w:val="10"/>
        <w:ind w:firstLine="640" w:firstLineChars="200"/>
        <w:rPr>
          <w:rFonts w:ascii="仿宋" w:hAnsi="仿宋" w:eastAsia="仿宋" w:cs="Times New Roman"/>
          <w:sz w:val="32"/>
          <w:szCs w:val="32"/>
        </w:rPr>
      </w:pPr>
      <w:r>
        <w:rPr>
          <w:rFonts w:hint="eastAsia" w:ascii="仿宋" w:hAnsi="仿宋" w:eastAsia="仿宋"/>
          <w:sz w:val="32"/>
          <w:szCs w:val="32"/>
        </w:rPr>
        <w:t>2021年度财政拨款支出1604.56万元，占本年支出合计的78.57%，与上年相比，财政拨款支出增加1370.44万元，增长585.36%，主要是因为</w:t>
      </w:r>
      <w:r>
        <w:rPr>
          <w:rFonts w:hint="eastAsia" w:ascii="仿宋" w:hAnsi="仿宋" w:eastAsia="仿宋" w:cs="Times New Roman"/>
          <w:sz w:val="32"/>
          <w:szCs w:val="32"/>
        </w:rPr>
        <w:t>2020年单位上收省级管理，此前2020年1-10月的经费由市级财政预拨列在其他收入，使用市级财政拨款的支出未列入一般公共预算财政拨款支出。</w:t>
      </w:r>
    </w:p>
    <w:p>
      <w:pPr>
        <w:pStyle w:val="10"/>
        <w:ind w:firstLine="640" w:firstLineChars="200"/>
        <w:rPr>
          <w:rFonts w:ascii="仿宋" w:hAnsi="仿宋" w:eastAsia="仿宋"/>
          <w:b/>
          <w:sz w:val="32"/>
          <w:szCs w:val="32"/>
        </w:rPr>
      </w:pPr>
      <w:r>
        <w:rPr>
          <w:rFonts w:hint="eastAsia" w:ascii="仿宋" w:hAnsi="仿宋" w:eastAsia="仿宋"/>
          <w:b/>
          <w:sz w:val="32"/>
          <w:szCs w:val="32"/>
        </w:rPr>
        <w:t>（二）财政拨款支出决算结构情况</w:t>
      </w:r>
    </w:p>
    <w:p>
      <w:pPr>
        <w:pStyle w:val="10"/>
        <w:spacing w:line="360" w:lineRule="auto"/>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1年度财政拨款支出1604.56万元，主要用于以下方面：社会保障和就业支出81.66万元，占5.09%;卫生健康支出66.79万元，占4.16</w:t>
      </w:r>
      <w:r>
        <w:rPr>
          <w:rFonts w:ascii="仿宋" w:hAnsi="仿宋" w:eastAsia="仿宋"/>
          <w:sz w:val="32"/>
          <w:szCs w:val="32"/>
        </w:rPr>
        <w:t>%</w:t>
      </w:r>
      <w:r>
        <w:rPr>
          <w:rFonts w:hint="eastAsia" w:ascii="仿宋" w:hAnsi="仿宋" w:eastAsia="仿宋"/>
          <w:sz w:val="32"/>
          <w:szCs w:val="32"/>
        </w:rPr>
        <w:t>；节能环保支出1379.73万元，占85.99</w:t>
      </w:r>
      <w:r>
        <w:rPr>
          <w:rFonts w:ascii="仿宋" w:hAnsi="仿宋" w:eastAsia="仿宋"/>
          <w:sz w:val="32"/>
          <w:szCs w:val="32"/>
        </w:rPr>
        <w:t>%;</w:t>
      </w:r>
      <w:r>
        <w:rPr>
          <w:rFonts w:hint="eastAsia" w:ascii="仿宋" w:hAnsi="仿宋" w:eastAsia="仿宋"/>
          <w:sz w:val="32"/>
          <w:szCs w:val="32"/>
        </w:rPr>
        <w:t>住房保障支出76.38万元，占4.76</w:t>
      </w:r>
      <w:r>
        <w:rPr>
          <w:rFonts w:ascii="仿宋" w:hAnsi="仿宋" w:eastAsia="仿宋"/>
          <w:sz w:val="32"/>
          <w:szCs w:val="32"/>
        </w:rPr>
        <w:t>%</w:t>
      </w:r>
      <w:r>
        <w:rPr>
          <w:rFonts w:hint="eastAsia" w:ascii="仿宋" w:hAnsi="仿宋" w:eastAsia="仿宋"/>
          <w:sz w:val="32"/>
          <w:szCs w:val="32"/>
        </w:rPr>
        <w:t>。</w:t>
      </w:r>
    </w:p>
    <w:p>
      <w:pPr>
        <w:pStyle w:val="10"/>
        <w:ind w:firstLine="640" w:firstLineChars="200"/>
        <w:rPr>
          <w:rFonts w:ascii="仿宋" w:hAnsi="仿宋" w:eastAsia="仿宋"/>
          <w:b/>
          <w:sz w:val="32"/>
          <w:szCs w:val="32"/>
        </w:rPr>
      </w:pPr>
      <w:r>
        <w:rPr>
          <w:rFonts w:hint="eastAsia" w:ascii="仿宋" w:hAnsi="仿宋" w:eastAsia="仿宋"/>
          <w:b/>
          <w:sz w:val="32"/>
          <w:szCs w:val="32"/>
        </w:rPr>
        <w:t>（三）财政拨款支出决算具体情况</w:t>
      </w:r>
    </w:p>
    <w:p>
      <w:pPr>
        <w:pStyle w:val="10"/>
        <w:ind w:firstLine="640" w:firstLineChars="200"/>
        <w:rPr>
          <w:rFonts w:ascii="仿宋" w:hAnsi="仿宋" w:eastAsia="仿宋"/>
          <w:sz w:val="32"/>
          <w:szCs w:val="32"/>
        </w:rPr>
      </w:pPr>
      <w:r>
        <w:rPr>
          <w:rFonts w:hint="eastAsia" w:ascii="仿宋" w:hAnsi="仿宋" w:eastAsia="仿宋"/>
          <w:sz w:val="32"/>
          <w:szCs w:val="32"/>
        </w:rPr>
        <w:t>2021年度财政拨款支出年初预算数为1908.68万元，支出决算数为1604.56万元，完成年初预算的84.07%，其中：</w:t>
      </w:r>
    </w:p>
    <w:p>
      <w:pPr>
        <w:pStyle w:val="10"/>
        <w:ind w:firstLine="640" w:firstLineChars="200"/>
        <w:rPr>
          <w:rFonts w:ascii="仿宋" w:hAnsi="仿宋" w:eastAsia="仿宋"/>
          <w:sz w:val="32"/>
          <w:szCs w:val="32"/>
        </w:rPr>
      </w:pPr>
      <w:r>
        <w:rPr>
          <w:rFonts w:hint="eastAsia" w:ascii="仿宋" w:hAnsi="仿宋" w:eastAsia="仿宋"/>
          <w:sz w:val="32"/>
          <w:szCs w:val="32"/>
        </w:rPr>
        <w:t>1、社会保障和就业支出（类）行政事业单位养老支出（款）机关事业单位基本养老保险缴费支出（项）。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年初预算为72.44万元，支出决算为72.44万元，完成年初预算的100%，决算数与预算数一致，主要是单位本年人员无变化，严格执行预算。</w:t>
      </w:r>
    </w:p>
    <w:p>
      <w:pPr>
        <w:pStyle w:val="10"/>
        <w:ind w:firstLine="640" w:firstLineChars="200"/>
        <w:rPr>
          <w:rFonts w:ascii="仿宋" w:hAnsi="仿宋" w:eastAsia="仿宋"/>
          <w:sz w:val="32"/>
          <w:szCs w:val="32"/>
        </w:rPr>
      </w:pPr>
      <w:r>
        <w:rPr>
          <w:rFonts w:hint="eastAsia" w:ascii="仿宋" w:hAnsi="仿宋" w:eastAsia="仿宋"/>
          <w:sz w:val="32"/>
          <w:szCs w:val="32"/>
        </w:rPr>
        <w:t>2、社会保障和就业支出（类）抚恤（款）死亡抚恤（项）。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年初预算为0万元，年中追加预算9.22万元，支出决算为9.22万元，决算数大于年初预算数的主要原因是：年中申请追加单位在职人员死亡抚恤金。</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3、卫生健康支出（类）行政事业单位医疗（款）事业单位医疗（项）。</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年初预算为66.79万元，支出决算为66.79万元，完成年初预算的</w:t>
      </w:r>
      <w:r>
        <w:rPr>
          <w:rFonts w:ascii="仿宋" w:hAnsi="仿宋" w:eastAsia="仿宋"/>
          <w:sz w:val="32"/>
          <w:szCs w:val="32"/>
        </w:rPr>
        <w:t>100%</w:t>
      </w:r>
      <w:r>
        <w:rPr>
          <w:rFonts w:hint="eastAsia" w:ascii="仿宋" w:hAnsi="仿宋" w:eastAsia="仿宋"/>
          <w:sz w:val="32"/>
          <w:szCs w:val="32"/>
        </w:rPr>
        <w:t>，决算数与预算数一致，主要是单位本年人员无变化，严格执行预算。</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4、节能环保支出（类）环境保护管理事务（款）行政运行（项）。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年初预算为635.97万元，年中调整预算26.27万元，支出决算为662.24万元，完成全年预算的100</w:t>
      </w:r>
      <w:r>
        <w:rPr>
          <w:rFonts w:ascii="仿宋" w:hAnsi="仿宋" w:eastAsia="仿宋"/>
          <w:sz w:val="32"/>
          <w:szCs w:val="32"/>
        </w:rPr>
        <w:t>%</w:t>
      </w:r>
      <w:r>
        <w:rPr>
          <w:rFonts w:hint="eastAsia" w:ascii="仿宋" w:hAnsi="仿宋" w:eastAsia="仿宋"/>
          <w:sz w:val="32"/>
          <w:szCs w:val="32"/>
        </w:rPr>
        <w:t>，决算数大于年初预算数的主要原因是：上年结转经费调整用于人员经费。</w:t>
      </w:r>
    </w:p>
    <w:p>
      <w:pPr>
        <w:pStyle w:val="10"/>
        <w:ind w:firstLine="640" w:firstLineChars="200"/>
        <w:rPr>
          <w:rFonts w:ascii="仿宋" w:hAnsi="仿宋" w:eastAsia="仿宋"/>
          <w:sz w:val="32"/>
          <w:szCs w:val="32"/>
        </w:rPr>
      </w:pPr>
      <w:r>
        <w:rPr>
          <w:rFonts w:hint="eastAsia" w:ascii="仿宋" w:hAnsi="仿宋" w:eastAsia="仿宋"/>
          <w:sz w:val="32"/>
          <w:szCs w:val="32"/>
        </w:rPr>
        <w:t>5、节能环保支出（类）环境监测与监察（款）其他环境监测与监察支出（项）。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年初预算为0万元，年中调整预算18万元，支出决算为17.98万元，完成调整预算的99.89%，决算数大于年初预算数的主要原因是：年中调整预算用于公务用车购置。</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6、节能环保支出（类）污染防治（款）土壤（项）。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年初预算为0万元，支出决算数为62.99万元，决算数大于年初预算数的主要原因是：年中追加土壤能力建设项目仪器采购项目拨款。</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7、节能环保支出（类）污染防治（款）其他污染防治支出（项）。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年初预算为323万元，支出决算为300.06万元，完成年初预算的92.90</w:t>
      </w:r>
      <w:r>
        <w:rPr>
          <w:rFonts w:ascii="仿宋" w:hAnsi="仿宋" w:eastAsia="仿宋"/>
          <w:sz w:val="32"/>
          <w:szCs w:val="32"/>
        </w:rPr>
        <w:t>%</w:t>
      </w:r>
      <w:r>
        <w:rPr>
          <w:rFonts w:hint="eastAsia" w:ascii="仿宋" w:hAnsi="仿宋" w:eastAsia="仿宋"/>
          <w:sz w:val="32"/>
          <w:szCs w:val="32"/>
        </w:rPr>
        <w:t>，决算数小于年初预算数的主要原因是：购买仪器剩余了款项。</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8、节能环保支出（类）污染减排（款）生态环境监测与信息（项）。</w:t>
      </w:r>
    </w:p>
    <w:p>
      <w:pPr>
        <w:pStyle w:val="10"/>
        <w:ind w:firstLine="640" w:firstLineChars="200"/>
        <w:rPr>
          <w:rFonts w:ascii="仿宋" w:hAnsi="仿宋" w:eastAsia="仿宋"/>
          <w:sz w:val="32"/>
          <w:szCs w:val="32"/>
        </w:rPr>
      </w:pPr>
      <w:r>
        <w:rPr>
          <w:rFonts w:hint="eastAsia" w:ascii="仿宋" w:hAnsi="仿宋" w:eastAsia="仿宋"/>
          <w:sz w:val="32"/>
          <w:szCs w:val="32"/>
        </w:rPr>
        <w:t>年初预算为734.10万元，支出决算为336.47万元，完成年初预算的45.83</w:t>
      </w:r>
      <w:r>
        <w:rPr>
          <w:rFonts w:ascii="仿宋" w:hAnsi="仿宋" w:eastAsia="仿宋"/>
          <w:sz w:val="32"/>
          <w:szCs w:val="32"/>
        </w:rPr>
        <w:t>%</w:t>
      </w:r>
      <w:r>
        <w:rPr>
          <w:rFonts w:hint="eastAsia" w:ascii="仿宋" w:hAnsi="仿宋" w:eastAsia="仿宋"/>
          <w:sz w:val="32"/>
          <w:szCs w:val="32"/>
        </w:rPr>
        <w:t>，决算数小于年初预算数的主要原因是：项目未完成，有些款项当年未结账。</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8、住房保障支出（类）住房改革支出（款）住房公积金（项）。</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年初预算为76.38万元，支出决算为76.38万元，完成年初预算的</w:t>
      </w:r>
      <w:r>
        <w:rPr>
          <w:rFonts w:ascii="仿宋" w:hAnsi="仿宋" w:eastAsia="仿宋"/>
          <w:sz w:val="32"/>
          <w:szCs w:val="32"/>
        </w:rPr>
        <w:t>100%</w:t>
      </w:r>
      <w:r>
        <w:rPr>
          <w:rFonts w:hint="eastAsia" w:ascii="仿宋" w:hAnsi="仿宋" w:eastAsia="仿宋"/>
          <w:sz w:val="32"/>
          <w:szCs w:val="32"/>
        </w:rPr>
        <w:t>，决算数与预算数一致，主要是单位本年人员无变化，严格执行预算。</w:t>
      </w:r>
    </w:p>
    <w:p>
      <w:pPr>
        <w:pStyle w:val="10"/>
        <w:ind w:firstLine="640" w:firstLineChars="200"/>
        <w:rPr>
          <w:rFonts w:ascii="仿宋" w:hAnsi="仿宋" w:eastAsia="仿宋"/>
          <w:b/>
          <w:sz w:val="32"/>
          <w:szCs w:val="32"/>
        </w:rPr>
      </w:pPr>
      <w:r>
        <w:rPr>
          <w:rFonts w:hint="eastAsia" w:ascii="仿宋" w:hAnsi="仿宋" w:eastAsia="仿宋"/>
          <w:b/>
          <w:sz w:val="32"/>
          <w:szCs w:val="32"/>
        </w:rPr>
        <w:t>六、一般公共预算财政拨款基本支出决算情况说明</w:t>
      </w:r>
    </w:p>
    <w:p>
      <w:pPr>
        <w:pStyle w:val="10"/>
        <w:ind w:firstLine="640" w:firstLineChars="200"/>
        <w:rPr>
          <w:rFonts w:ascii="仿宋" w:hAnsi="仿宋" w:eastAsia="仿宋"/>
          <w:i/>
          <w:color w:val="FF0000"/>
          <w:sz w:val="32"/>
          <w:szCs w:val="32"/>
        </w:rPr>
      </w:pPr>
      <w:r>
        <w:rPr>
          <w:rFonts w:hint="eastAsia" w:ascii="仿宋" w:hAnsi="仿宋" w:eastAsia="仿宋"/>
          <w:sz w:val="32"/>
          <w:szCs w:val="32"/>
        </w:rPr>
        <w:t>2021年度财政拨款基本支出909.52万元，其中：人员经费785.71万元，占基本支出的86.39%,主要包括基本工资、津贴补贴、伙食补助费、绩效工资、机关事业单位基本养老保险缴费、职工基本医疗保险缴费、其他社会保障缴费、住房公积金、医疗费、其他工资福利支出、抚恤金、生活补助；公用经费123.81万元，占基本支出的13.61%，主要包括办公费、手续费、水费、电费、邮电费、物业管理费、差旅费、维修（护）费、租赁费、培训费、公务接待费、劳务费、工会经费、福利费、公务用车运行维护费、其他交通费用、其他商品和服务支出、办公设备购置、公务用车购置。</w:t>
      </w:r>
    </w:p>
    <w:p>
      <w:pPr>
        <w:pStyle w:val="10"/>
        <w:ind w:firstLine="640" w:firstLineChars="200"/>
        <w:rPr>
          <w:rFonts w:ascii="仿宋" w:hAnsi="仿宋" w:eastAsia="仿宋"/>
          <w:b/>
          <w:sz w:val="32"/>
          <w:szCs w:val="32"/>
        </w:rPr>
      </w:pPr>
      <w:r>
        <w:rPr>
          <w:rFonts w:hint="eastAsia" w:ascii="仿宋" w:hAnsi="仿宋" w:eastAsia="仿宋"/>
          <w:b/>
          <w:sz w:val="32"/>
          <w:szCs w:val="32"/>
        </w:rPr>
        <w:t>七、一般公共预算财政拨款“三公”经费支出决算情况说明</w:t>
      </w:r>
    </w:p>
    <w:p>
      <w:pPr>
        <w:pStyle w:val="10"/>
        <w:ind w:firstLine="640" w:firstLineChars="200"/>
        <w:rPr>
          <w:rFonts w:ascii="仿宋" w:hAnsi="仿宋" w:eastAsia="仿宋"/>
          <w:b/>
          <w:sz w:val="32"/>
          <w:szCs w:val="32"/>
        </w:rPr>
      </w:pPr>
      <w:r>
        <w:rPr>
          <w:rFonts w:hint="eastAsia" w:ascii="仿宋" w:hAnsi="仿宋" w:eastAsia="仿宋"/>
          <w:b/>
          <w:sz w:val="32"/>
          <w:szCs w:val="32"/>
        </w:rPr>
        <w:t>（一）“三公”经费财政拨款支出决算总体情况说明</w:t>
      </w:r>
    </w:p>
    <w:p>
      <w:pPr>
        <w:pStyle w:val="10"/>
        <w:ind w:firstLine="640" w:firstLineChars="200"/>
        <w:rPr>
          <w:rFonts w:ascii="仿宋" w:hAnsi="仿宋" w:eastAsia="仿宋"/>
          <w:sz w:val="32"/>
          <w:szCs w:val="32"/>
        </w:rPr>
      </w:pPr>
      <w:r>
        <w:rPr>
          <w:rFonts w:hint="eastAsia" w:ascii="仿宋" w:hAnsi="仿宋" w:eastAsia="仿宋"/>
          <w:sz w:val="32"/>
          <w:szCs w:val="32"/>
        </w:rPr>
        <w:t>2021年度“三公”经费财政拨款支出预算为57.57万元，支出决算为46.30万元，完成预算的80.42%，其中：</w:t>
      </w:r>
    </w:p>
    <w:p>
      <w:pPr>
        <w:pStyle w:val="10"/>
        <w:ind w:firstLine="640" w:firstLineChars="200"/>
        <w:rPr>
          <w:rFonts w:ascii="仿宋" w:hAnsi="仿宋" w:eastAsia="仿宋"/>
          <w:sz w:val="32"/>
          <w:szCs w:val="32"/>
        </w:rPr>
      </w:pPr>
      <w:r>
        <w:rPr>
          <w:rFonts w:hint="eastAsia" w:ascii="仿宋" w:hAnsi="仿宋" w:eastAsia="仿宋"/>
          <w:sz w:val="32"/>
          <w:szCs w:val="32"/>
        </w:rPr>
        <w:t>因公出国（境）费支出预算为0万元，支出决算为0万元，</w:t>
      </w:r>
      <w:r>
        <w:rPr>
          <w:rFonts w:hint="eastAsia" w:ascii="仿宋" w:hAnsi="仿宋" w:eastAsia="仿宋"/>
          <w:color w:val="000000"/>
          <w:sz w:val="32"/>
          <w:szCs w:val="32"/>
          <w:highlight w:val="none"/>
        </w:rPr>
        <w:t>决算数等于预算数的原因主要是疫情影响，今年未安排出国出境，与上年相比无变化，主要原因是主要是疫情影响，今年及去年均未安排出国出境</w:t>
      </w:r>
      <w:r>
        <w:rPr>
          <w:rFonts w:hint="eastAsia" w:ascii="仿宋" w:hAnsi="仿宋" w:eastAsia="仿宋"/>
          <w:sz w:val="32"/>
          <w:szCs w:val="32"/>
        </w:rPr>
        <w:t>。</w:t>
      </w:r>
    </w:p>
    <w:p>
      <w:pPr>
        <w:pStyle w:val="10"/>
        <w:ind w:firstLine="640" w:firstLineChars="200"/>
        <w:rPr>
          <w:rFonts w:ascii="仿宋" w:hAnsi="仿宋" w:eastAsia="仿宋"/>
          <w:color w:val="000000" w:themeColor="text1"/>
          <w:sz w:val="32"/>
          <w:szCs w:val="32"/>
        </w:rPr>
      </w:pPr>
      <w:r>
        <w:rPr>
          <w:rFonts w:hint="eastAsia" w:ascii="仿宋" w:hAnsi="仿宋" w:eastAsia="仿宋"/>
          <w:sz w:val="32"/>
          <w:szCs w:val="32"/>
        </w:rPr>
        <w:t>公务接待费支出预算为10.00万元，支出决算为7.51万元，完成预算的75.1%，决算数小于预算数的主要原因是部分公务接待费年末未结账转为下年结账，与上年决算数相比增加5.34万元，增加246.08%,增长的主要原因是</w:t>
      </w:r>
      <w:r>
        <w:rPr>
          <w:rFonts w:hint="eastAsia" w:ascii="仿宋" w:hAnsi="仿宋" w:eastAsia="仿宋"/>
          <w:color w:val="000000" w:themeColor="text1"/>
          <w:sz w:val="32"/>
          <w:szCs w:val="32"/>
        </w:rPr>
        <w:t>因为单位上收省级管理，</w:t>
      </w:r>
      <w:r>
        <w:rPr>
          <w:rFonts w:ascii="仿宋" w:hAnsi="仿宋" w:eastAsia="仿宋"/>
          <w:color w:val="000000" w:themeColor="text1"/>
          <w:sz w:val="32"/>
          <w:szCs w:val="32"/>
        </w:rPr>
        <w:t>2020</w:t>
      </w:r>
      <w:r>
        <w:rPr>
          <w:rFonts w:hint="eastAsia" w:ascii="仿宋" w:hAnsi="仿宋" w:eastAsia="仿宋"/>
          <w:color w:val="000000" w:themeColor="text1"/>
          <w:sz w:val="32"/>
          <w:szCs w:val="32"/>
        </w:rPr>
        <w:t>年</w:t>
      </w:r>
      <w:r>
        <w:rPr>
          <w:rFonts w:ascii="仿宋" w:hAnsi="仿宋" w:eastAsia="仿宋"/>
          <w:color w:val="000000" w:themeColor="text1"/>
          <w:sz w:val="32"/>
          <w:szCs w:val="32"/>
        </w:rPr>
        <w:t>1-10</w:t>
      </w:r>
      <w:r>
        <w:rPr>
          <w:rFonts w:hint="eastAsia" w:ascii="仿宋" w:hAnsi="仿宋" w:eastAsia="仿宋"/>
          <w:color w:val="000000" w:themeColor="text1"/>
          <w:sz w:val="32"/>
          <w:szCs w:val="32"/>
        </w:rPr>
        <w:t>月的经费由市级财政预拨，列在其他收入，使用市级财政拨款的三公经费支出（公务接待费）未列入一般公共预算财政拨款三公经费支出。</w:t>
      </w:r>
    </w:p>
    <w:p>
      <w:pPr>
        <w:pStyle w:val="10"/>
        <w:ind w:firstLine="640" w:firstLineChars="200"/>
        <w:rPr>
          <w:rFonts w:ascii="仿宋" w:hAnsi="仿宋" w:eastAsia="仿宋"/>
          <w:sz w:val="32"/>
          <w:szCs w:val="32"/>
        </w:rPr>
      </w:pPr>
      <w:r>
        <w:rPr>
          <w:rFonts w:hint="eastAsia" w:ascii="仿宋" w:hAnsi="仿宋" w:eastAsia="仿宋"/>
          <w:sz w:val="32"/>
          <w:szCs w:val="32"/>
        </w:rPr>
        <w:t>公务用车购置费支出年初无预算，年中追加预算为19.57万元，支出决算为19.57万元，完成预算的100%。与上年相比增加19.57万元，增长100%,增长的主要原因上年无购车支出，本年新购置一台业务用车。</w:t>
      </w:r>
    </w:p>
    <w:p>
      <w:pPr>
        <w:pStyle w:val="10"/>
        <w:spacing w:line="360" w:lineRule="auto"/>
        <w:ind w:firstLine="640" w:firstLineChars="200"/>
        <w:rPr>
          <w:rFonts w:ascii="仿宋" w:hAnsi="仿宋" w:eastAsia="仿宋"/>
          <w:color w:val="000000" w:themeColor="text1"/>
          <w:sz w:val="32"/>
          <w:szCs w:val="32"/>
        </w:rPr>
      </w:pPr>
      <w:r>
        <w:rPr>
          <w:rFonts w:hint="eastAsia" w:ascii="仿宋" w:hAnsi="仿宋" w:eastAsia="仿宋"/>
          <w:sz w:val="32"/>
          <w:szCs w:val="32"/>
        </w:rPr>
        <w:t>公务用车运行维护费支出预算为28.00万元，支出决算为19.22万元，完成预算的68.64%，决算数小于预算数的主要原因是部分费用未结账转至下年支出，与上年相比增加19.22万元，增长100%,增长的主要原因是</w:t>
      </w:r>
      <w:r>
        <w:rPr>
          <w:rFonts w:hint="eastAsia" w:ascii="仿宋" w:hAnsi="仿宋" w:eastAsia="仿宋"/>
          <w:color w:val="000000" w:themeColor="text1"/>
          <w:sz w:val="32"/>
          <w:szCs w:val="32"/>
        </w:rPr>
        <w:t>因为单位上收省级管理，</w:t>
      </w:r>
      <w:r>
        <w:rPr>
          <w:rFonts w:ascii="仿宋" w:hAnsi="仿宋" w:eastAsia="仿宋"/>
          <w:color w:val="000000" w:themeColor="text1"/>
          <w:sz w:val="32"/>
          <w:szCs w:val="32"/>
        </w:rPr>
        <w:t>2020</w:t>
      </w:r>
      <w:r>
        <w:rPr>
          <w:rFonts w:hint="eastAsia" w:ascii="仿宋" w:hAnsi="仿宋" w:eastAsia="仿宋"/>
          <w:color w:val="000000" w:themeColor="text1"/>
          <w:sz w:val="32"/>
          <w:szCs w:val="32"/>
        </w:rPr>
        <w:t>年</w:t>
      </w:r>
      <w:r>
        <w:rPr>
          <w:rFonts w:ascii="仿宋" w:hAnsi="仿宋" w:eastAsia="仿宋"/>
          <w:color w:val="000000" w:themeColor="text1"/>
          <w:sz w:val="32"/>
          <w:szCs w:val="32"/>
        </w:rPr>
        <w:t>1-10</w:t>
      </w:r>
      <w:r>
        <w:rPr>
          <w:rFonts w:hint="eastAsia" w:ascii="仿宋" w:hAnsi="仿宋" w:eastAsia="仿宋"/>
          <w:color w:val="000000" w:themeColor="text1"/>
          <w:sz w:val="32"/>
          <w:szCs w:val="32"/>
        </w:rPr>
        <w:t>月的经费由市级财政预拨，列在其他收入，使用市级财政拨款的三公经费支出（公务用车运行维护费）未列入一般公共预算财政拨款三公经费支出。</w:t>
      </w:r>
    </w:p>
    <w:p>
      <w:pPr>
        <w:pStyle w:val="10"/>
        <w:ind w:firstLine="640" w:firstLineChars="200"/>
        <w:rPr>
          <w:rFonts w:ascii="仿宋" w:hAnsi="仿宋" w:eastAsia="仿宋"/>
          <w:b/>
          <w:sz w:val="32"/>
          <w:szCs w:val="32"/>
        </w:rPr>
      </w:pPr>
      <w:r>
        <w:rPr>
          <w:rFonts w:hint="eastAsia" w:ascii="仿宋" w:hAnsi="仿宋" w:eastAsia="仿宋"/>
          <w:b/>
          <w:sz w:val="32"/>
          <w:szCs w:val="32"/>
        </w:rPr>
        <w:t>（二）“三公”经费财政拨款支出决算具体情况说明</w:t>
      </w:r>
    </w:p>
    <w:p>
      <w:pPr>
        <w:pStyle w:val="10"/>
        <w:ind w:firstLine="640" w:firstLineChars="200"/>
        <w:rPr>
          <w:rFonts w:ascii="仿宋" w:hAnsi="仿宋" w:eastAsia="仿宋"/>
          <w:sz w:val="32"/>
          <w:szCs w:val="32"/>
        </w:rPr>
      </w:pPr>
      <w:r>
        <w:rPr>
          <w:rFonts w:hint="eastAsia" w:ascii="仿宋" w:hAnsi="仿宋" w:eastAsia="仿宋"/>
          <w:sz w:val="32"/>
          <w:szCs w:val="32"/>
        </w:rPr>
        <w:t>2021年度“三公”经费财政拨款支出决算中，公务接待费支出决算7.51万元，占16.22%；因公出国（境）费支出决算0万元，占0%；公务用车购置费及运行维护费支出决算38.79万元，占83.78%。其中：</w:t>
      </w:r>
    </w:p>
    <w:p>
      <w:pPr>
        <w:pStyle w:val="10"/>
        <w:ind w:firstLine="640" w:firstLineChars="200"/>
        <w:rPr>
          <w:rFonts w:ascii="仿宋" w:hAnsi="仿宋" w:eastAsia="仿宋"/>
          <w:sz w:val="32"/>
          <w:szCs w:val="32"/>
        </w:rPr>
      </w:pPr>
      <w:r>
        <w:rPr>
          <w:rFonts w:hint="eastAsia" w:ascii="仿宋" w:hAnsi="仿宋" w:eastAsia="仿宋"/>
          <w:sz w:val="32"/>
          <w:szCs w:val="32"/>
        </w:rPr>
        <w:t xml:space="preserve"> 1、因公出国（境）费支出决算为0万元，</w:t>
      </w:r>
      <w:r>
        <w:rPr>
          <w:rFonts w:hint="eastAsia" w:ascii="宋体" w:hAnsi="宋体" w:eastAsia="宋体"/>
          <w:sz w:val="32"/>
          <w:szCs w:val="32"/>
        </w:rPr>
        <w:t>全</w:t>
      </w:r>
      <w:r>
        <w:rPr>
          <w:rFonts w:hint="eastAsia" w:ascii="仿宋" w:hAnsi="仿宋" w:eastAsia="仿宋"/>
          <w:sz w:val="32"/>
          <w:szCs w:val="32"/>
        </w:rPr>
        <w:t>年安排因公出国（境）团组</w:t>
      </w:r>
      <w:r>
        <w:rPr>
          <w:rFonts w:ascii="仿宋" w:hAnsi="仿宋" w:eastAsia="仿宋"/>
          <w:sz w:val="32"/>
          <w:szCs w:val="32"/>
        </w:rPr>
        <w:t>0</w:t>
      </w:r>
      <w:r>
        <w:rPr>
          <w:rFonts w:hint="eastAsia" w:ascii="仿宋" w:hAnsi="仿宋" w:eastAsia="仿宋"/>
          <w:sz w:val="32"/>
          <w:szCs w:val="32"/>
        </w:rPr>
        <w:t>个，累计</w:t>
      </w:r>
      <w:r>
        <w:rPr>
          <w:rFonts w:ascii="仿宋" w:hAnsi="仿宋" w:eastAsia="仿宋"/>
          <w:sz w:val="32"/>
          <w:szCs w:val="32"/>
        </w:rPr>
        <w:t>0</w:t>
      </w:r>
      <w:r>
        <w:rPr>
          <w:rFonts w:hint="eastAsia" w:ascii="仿宋" w:hAnsi="仿宋" w:eastAsia="仿宋"/>
          <w:sz w:val="32"/>
          <w:szCs w:val="32"/>
        </w:rPr>
        <w:t>人次，我单位无因公出国（境）活动。</w:t>
      </w:r>
    </w:p>
    <w:p>
      <w:pPr>
        <w:pStyle w:val="10"/>
        <w:ind w:firstLine="800" w:firstLineChars="250"/>
        <w:rPr>
          <w:rFonts w:ascii="仿宋" w:hAnsi="仿宋" w:eastAsia="仿宋"/>
          <w:sz w:val="32"/>
          <w:szCs w:val="32"/>
        </w:rPr>
      </w:pPr>
      <w:r>
        <w:rPr>
          <w:rFonts w:hint="eastAsia" w:ascii="仿宋" w:hAnsi="仿宋" w:eastAsia="仿宋"/>
          <w:sz w:val="32"/>
          <w:szCs w:val="32"/>
        </w:rPr>
        <w:t>2、公务接待费支出决算为7.51万元，全年共接待来访团组143个、来宾838人次，主要是</w:t>
      </w:r>
      <w:r>
        <w:rPr>
          <w:rFonts w:hint="eastAsia" w:ascii="仿宋" w:hAnsi="仿宋" w:eastAsia="仿宋"/>
          <w:color w:val="000000" w:themeColor="text1"/>
          <w:sz w:val="32"/>
          <w:szCs w:val="32"/>
        </w:rPr>
        <w:t>接待省中心、兄弟市州监测中心及各县监测站来我中心公务活动发生的接待支出。</w:t>
      </w:r>
    </w:p>
    <w:p>
      <w:pPr>
        <w:ind w:firstLine="800" w:firstLineChars="250"/>
        <w:rPr>
          <w:rFonts w:ascii="仿宋" w:hAnsi="仿宋" w:eastAsia="仿宋" w:cs="黑体"/>
          <w:color w:val="000000"/>
          <w:kern w:val="0"/>
          <w:sz w:val="32"/>
          <w:szCs w:val="32"/>
        </w:rPr>
      </w:pPr>
      <w:r>
        <w:rPr>
          <w:rFonts w:hint="eastAsia" w:ascii="仿宋" w:hAnsi="仿宋" w:eastAsia="仿宋"/>
          <w:sz w:val="32"/>
          <w:szCs w:val="32"/>
        </w:rPr>
        <w:t>3、公务用车购置费及运行维护费支出决算为38.79万元，其中：公务用车购置费19.57万元，单位本级更新公务用车1辆</w:t>
      </w:r>
      <w:r>
        <w:rPr>
          <w:rFonts w:hint="eastAsia" w:ascii="仿宋" w:hAnsi="仿宋" w:eastAsia="仿宋"/>
          <w:color w:val="000000" w:themeColor="text1"/>
          <w:sz w:val="32"/>
          <w:szCs w:val="32"/>
        </w:rPr>
        <w:t>；</w:t>
      </w:r>
      <w:r>
        <w:rPr>
          <w:rFonts w:hint="eastAsia" w:ascii="仿宋" w:hAnsi="仿宋" w:eastAsia="仿宋"/>
          <w:sz w:val="32"/>
          <w:szCs w:val="32"/>
        </w:rPr>
        <w:t>公务用车运行维护费19.22万元，主要是</w:t>
      </w:r>
      <w:r>
        <w:rPr>
          <w:rFonts w:ascii="仿宋" w:hAnsi="仿宋" w:eastAsia="仿宋" w:cs="Times New Roman"/>
          <w:sz w:val="32"/>
          <w:szCs w:val="32"/>
        </w:rPr>
        <w:t>公务用车</w:t>
      </w:r>
      <w:r>
        <w:rPr>
          <w:rFonts w:hint="eastAsia" w:ascii="仿宋" w:hAnsi="仿宋" w:eastAsia="仿宋" w:cs="Times New Roman"/>
          <w:sz w:val="32"/>
          <w:szCs w:val="32"/>
        </w:rPr>
        <w:t>加油、维修、保险等</w:t>
      </w:r>
      <w:r>
        <w:rPr>
          <w:rFonts w:ascii="仿宋" w:hAnsi="仿宋" w:eastAsia="仿宋" w:cs="Times New Roman"/>
          <w:sz w:val="32"/>
          <w:szCs w:val="32"/>
        </w:rPr>
        <w:t>支出</w:t>
      </w:r>
      <w:r>
        <w:rPr>
          <w:rFonts w:hint="eastAsia" w:ascii="仿宋" w:hAnsi="仿宋" w:eastAsia="仿宋"/>
          <w:sz w:val="32"/>
          <w:szCs w:val="32"/>
        </w:rPr>
        <w:t>。截止2021年12月31日，我单位开支财政拨款的公务用车保有量为7辆。</w:t>
      </w:r>
    </w:p>
    <w:p>
      <w:pPr>
        <w:pStyle w:val="10"/>
        <w:ind w:firstLine="640" w:firstLineChars="200"/>
        <w:rPr>
          <w:rFonts w:ascii="仿宋" w:hAnsi="仿宋" w:eastAsia="仿宋"/>
          <w:b/>
          <w:sz w:val="32"/>
          <w:szCs w:val="32"/>
        </w:rPr>
      </w:pPr>
      <w:r>
        <w:rPr>
          <w:rFonts w:hint="eastAsia" w:ascii="仿宋" w:hAnsi="仿宋" w:eastAsia="仿宋"/>
          <w:b/>
          <w:sz w:val="32"/>
          <w:szCs w:val="32"/>
        </w:rPr>
        <w:t>八、政府性基金预算收入支出决算情况</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2021年度本单位无政府性基金收支。</w:t>
      </w:r>
    </w:p>
    <w:p>
      <w:pPr>
        <w:pStyle w:val="10"/>
        <w:ind w:firstLine="640" w:firstLineChars="200"/>
        <w:rPr>
          <w:rFonts w:ascii="仿宋" w:hAnsi="仿宋" w:eastAsia="仿宋"/>
          <w:b/>
          <w:sz w:val="32"/>
          <w:szCs w:val="32"/>
        </w:rPr>
      </w:pPr>
      <w:r>
        <w:rPr>
          <w:rFonts w:hint="eastAsia" w:ascii="仿宋" w:hAnsi="仿宋" w:eastAsia="仿宋"/>
          <w:b/>
          <w:sz w:val="32"/>
          <w:szCs w:val="32"/>
        </w:rPr>
        <w:t>九、机关运行经费支出说明</w:t>
      </w:r>
    </w:p>
    <w:p>
      <w:pPr>
        <w:pStyle w:val="10"/>
        <w:spacing w:line="360" w:lineRule="auto"/>
        <w:ind w:firstLine="640" w:firstLineChars="200"/>
        <w:rPr>
          <w:rFonts w:ascii="仿宋" w:hAnsi="仿宋" w:eastAsia="仿宋"/>
          <w:sz w:val="32"/>
          <w:szCs w:val="32"/>
        </w:rPr>
      </w:pPr>
      <w:r>
        <w:rPr>
          <w:rFonts w:hint="eastAsia" w:ascii="仿宋" w:hAnsi="仿宋" w:eastAsia="仿宋"/>
          <w:sz w:val="32"/>
          <w:szCs w:val="32"/>
        </w:rPr>
        <w:t>本部门2021年度机关运行经费支出123.81万元，比上年决算数36.96万增加86.85万元，增加234.98%。主要原因是：</w:t>
      </w:r>
      <w:r>
        <w:rPr>
          <w:rFonts w:hint="eastAsia" w:ascii="仿宋" w:hAnsi="仿宋" w:eastAsia="仿宋"/>
          <w:color w:val="auto"/>
          <w:sz w:val="32"/>
          <w:szCs w:val="32"/>
        </w:rPr>
        <w:t>该数据体现的是单位一般公共预算财政拨款基本支出中公用经费支出，</w:t>
      </w:r>
      <w:r>
        <w:rPr>
          <w:rFonts w:hint="eastAsia" w:ascii="仿宋" w:hAnsi="仿宋" w:eastAsia="仿宋"/>
          <w:sz w:val="32"/>
          <w:szCs w:val="32"/>
        </w:rPr>
        <w:t>因为单位上收省级管理，</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1-10</w:t>
      </w:r>
      <w:r>
        <w:rPr>
          <w:rFonts w:hint="eastAsia" w:ascii="仿宋" w:hAnsi="仿宋" w:eastAsia="仿宋"/>
          <w:sz w:val="32"/>
          <w:szCs w:val="32"/>
        </w:rPr>
        <w:t>月的经费由市级财政预拨，列在其他收入，使用市级财政拨款的公用经费支出未列入</w:t>
      </w:r>
      <w:r>
        <w:rPr>
          <w:rFonts w:hint="eastAsia" w:ascii="仿宋" w:hAnsi="仿宋" w:eastAsia="仿宋"/>
          <w:color w:val="auto"/>
          <w:sz w:val="32"/>
          <w:szCs w:val="32"/>
        </w:rPr>
        <w:t>一般公共预算财政拨款基本支出中公用经费支出</w:t>
      </w:r>
      <w:r>
        <w:rPr>
          <w:rFonts w:hint="eastAsia" w:ascii="仿宋" w:hAnsi="仿宋" w:eastAsia="仿宋"/>
          <w:sz w:val="32"/>
          <w:szCs w:val="32"/>
        </w:rPr>
        <w:t>。</w:t>
      </w:r>
    </w:p>
    <w:p>
      <w:pPr>
        <w:pStyle w:val="10"/>
        <w:ind w:firstLine="640" w:firstLineChars="200"/>
        <w:rPr>
          <w:rFonts w:ascii="仿宋" w:hAnsi="仿宋" w:eastAsia="仿宋"/>
          <w:b/>
          <w:sz w:val="32"/>
          <w:szCs w:val="32"/>
        </w:rPr>
      </w:pPr>
      <w:r>
        <w:rPr>
          <w:rFonts w:hint="eastAsia" w:ascii="仿宋" w:hAnsi="仿宋" w:eastAsia="仿宋"/>
          <w:b/>
          <w:sz w:val="32"/>
          <w:szCs w:val="32"/>
        </w:rPr>
        <w:t>十、一般性支出情况说明</w:t>
      </w:r>
    </w:p>
    <w:p>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rPr>
        <w:t>2021年本部门开支会议费0万元;开支培训费0.65万元，用于参加各类业务培训支出，培训人数20人，主要为专业业务培训;2021年本单位</w:t>
      </w:r>
      <w:r>
        <w:rPr>
          <w:rFonts w:ascii="仿宋" w:hAnsi="仿宋" w:eastAsia="仿宋" w:cs="Times New Roman"/>
          <w:sz w:val="32"/>
          <w:szCs w:val="32"/>
        </w:rPr>
        <w:t>未举办节庆、晚会、论坛、赛事等活动。</w:t>
      </w:r>
    </w:p>
    <w:p>
      <w:pPr>
        <w:pStyle w:val="10"/>
        <w:ind w:firstLine="640" w:firstLineChars="200"/>
        <w:rPr>
          <w:rFonts w:ascii="仿宋" w:hAnsi="仿宋" w:eastAsia="仿宋"/>
          <w:b/>
          <w:sz w:val="32"/>
          <w:szCs w:val="32"/>
        </w:rPr>
      </w:pPr>
      <w:r>
        <w:rPr>
          <w:rFonts w:hint="eastAsia" w:ascii="仿宋" w:hAnsi="仿宋" w:eastAsia="仿宋"/>
          <w:b/>
          <w:sz w:val="32"/>
          <w:szCs w:val="32"/>
        </w:rPr>
        <w:t>十一、政府采购支出说明</w:t>
      </w:r>
    </w:p>
    <w:p>
      <w:pPr>
        <w:pStyle w:val="10"/>
        <w:ind w:firstLine="640" w:firstLineChars="200"/>
        <w:rPr>
          <w:rFonts w:hint="eastAsia" w:ascii="仿宋" w:hAnsi="仿宋" w:eastAsia="仿宋"/>
          <w:sz w:val="32"/>
          <w:szCs w:val="32"/>
        </w:rPr>
      </w:pPr>
      <w:r>
        <w:rPr>
          <w:rFonts w:hint="eastAsia" w:ascii="仿宋" w:hAnsi="仿宋" w:eastAsia="仿宋"/>
          <w:sz w:val="32"/>
          <w:szCs w:val="32"/>
        </w:rPr>
        <w:t>本部门2021年度政府采购支出总额430.04万元，其中：政府采购货物支出354.92万元、政府采购工程支出0万元、政府采购服务支出75.12万元。授予中小企业合同金额430.04万元，占政府采购支出总额的100%，其中：授予小微企业合同金额430.04万元，占政府采购支出总额的100%。</w:t>
      </w:r>
    </w:p>
    <w:p>
      <w:pPr>
        <w:pStyle w:val="10"/>
        <w:ind w:firstLine="640" w:firstLineChars="200"/>
        <w:rPr>
          <w:rFonts w:ascii="仿宋" w:hAnsi="仿宋" w:eastAsia="仿宋"/>
          <w:b/>
          <w:sz w:val="32"/>
          <w:szCs w:val="32"/>
        </w:rPr>
      </w:pPr>
      <w:r>
        <w:rPr>
          <w:rFonts w:hint="eastAsia" w:ascii="仿宋" w:hAnsi="仿宋" w:eastAsia="仿宋"/>
          <w:b/>
          <w:sz w:val="32"/>
          <w:szCs w:val="32"/>
        </w:rPr>
        <w:t>十二、国有资产占用情况说明</w:t>
      </w:r>
    </w:p>
    <w:p>
      <w:pPr>
        <w:pStyle w:val="10"/>
        <w:ind w:firstLine="640" w:firstLineChars="200"/>
        <w:rPr>
          <w:rFonts w:ascii="仿宋" w:hAnsi="仿宋" w:eastAsia="仿宋"/>
          <w:sz w:val="32"/>
          <w:szCs w:val="32"/>
        </w:rPr>
      </w:pPr>
      <w:r>
        <w:rPr>
          <w:rFonts w:hint="eastAsia" w:ascii="仿宋" w:hAnsi="仿宋" w:eastAsia="仿宋"/>
          <w:sz w:val="32"/>
          <w:szCs w:val="32"/>
        </w:rPr>
        <w:t>截至2021年12月31日，部门（单位）共有车辆7辆，其中：</w:t>
      </w:r>
      <w:r>
        <w:rPr>
          <w:rFonts w:hint="eastAsia" w:ascii="仿宋" w:hAnsi="仿宋" w:eastAsia="仿宋" w:cs="黑体"/>
          <w:sz w:val="32"/>
          <w:szCs w:val="32"/>
        </w:rPr>
        <w:t>领导干部用车</w:t>
      </w:r>
      <w:r>
        <w:rPr>
          <w:rFonts w:ascii="仿宋" w:hAnsi="仿宋" w:eastAsia="仿宋" w:cs="黑体"/>
          <w:sz w:val="32"/>
          <w:szCs w:val="32"/>
        </w:rPr>
        <w:t>0</w:t>
      </w:r>
      <w:r>
        <w:rPr>
          <w:rFonts w:hint="eastAsia" w:ascii="仿宋" w:hAnsi="仿宋" w:eastAsia="仿宋" w:cs="黑体"/>
          <w:sz w:val="32"/>
          <w:szCs w:val="32"/>
        </w:rPr>
        <w:t>辆、一般公务用车</w:t>
      </w:r>
      <w:r>
        <w:rPr>
          <w:rFonts w:ascii="仿宋" w:hAnsi="仿宋" w:eastAsia="仿宋" w:cs="黑体"/>
          <w:sz w:val="32"/>
          <w:szCs w:val="32"/>
        </w:rPr>
        <w:t>0</w:t>
      </w:r>
      <w:r>
        <w:rPr>
          <w:rFonts w:hint="eastAsia" w:ascii="仿宋" w:hAnsi="仿宋" w:eastAsia="仿宋" w:cs="黑体"/>
          <w:sz w:val="32"/>
          <w:szCs w:val="32"/>
        </w:rPr>
        <w:t>辆、一般执法执勤用车</w:t>
      </w:r>
      <w:r>
        <w:rPr>
          <w:rFonts w:ascii="仿宋" w:hAnsi="仿宋" w:eastAsia="仿宋" w:cs="黑体"/>
          <w:sz w:val="32"/>
          <w:szCs w:val="32"/>
        </w:rPr>
        <w:t>0</w:t>
      </w:r>
      <w:r>
        <w:rPr>
          <w:rFonts w:hint="eastAsia" w:ascii="仿宋" w:hAnsi="仿宋" w:eastAsia="仿宋" w:cs="黑体"/>
          <w:sz w:val="32"/>
          <w:szCs w:val="32"/>
        </w:rPr>
        <w:t>辆、</w:t>
      </w:r>
      <w:r>
        <w:rPr>
          <w:rFonts w:ascii="仿宋" w:hAnsi="仿宋" w:eastAsia="仿宋"/>
          <w:sz w:val="32"/>
          <w:szCs w:val="32"/>
        </w:rPr>
        <w:t>应急保障用车</w:t>
      </w:r>
      <w:r>
        <w:rPr>
          <w:rFonts w:hint="eastAsia" w:ascii="仿宋" w:hAnsi="仿宋" w:eastAsia="仿宋"/>
          <w:sz w:val="32"/>
          <w:szCs w:val="32"/>
        </w:rPr>
        <w:t>2辆、</w:t>
      </w:r>
      <w:r>
        <w:rPr>
          <w:rFonts w:hint="eastAsia" w:ascii="仿宋" w:hAnsi="仿宋" w:eastAsia="仿宋" w:cs="黑体"/>
          <w:sz w:val="32"/>
          <w:szCs w:val="32"/>
        </w:rPr>
        <w:t>特种专业技术用车</w:t>
      </w:r>
      <w:r>
        <w:rPr>
          <w:rFonts w:ascii="仿宋" w:hAnsi="仿宋" w:eastAsia="仿宋" w:cs="黑体"/>
          <w:sz w:val="32"/>
          <w:szCs w:val="32"/>
        </w:rPr>
        <w:t>0 辆、</w:t>
      </w:r>
      <w:r>
        <w:rPr>
          <w:rFonts w:hint="eastAsia" w:ascii="仿宋" w:hAnsi="仿宋" w:eastAsia="仿宋"/>
          <w:sz w:val="32"/>
          <w:szCs w:val="32"/>
        </w:rPr>
        <w:t>其他用车5辆，其他用车主要是监测业务车辆；单位价值50万元以上通用设备10台（套）；单位价值100万元以上专用设备3台（套）。</w:t>
      </w:r>
    </w:p>
    <w:p>
      <w:pPr>
        <w:pStyle w:val="10"/>
        <w:ind w:firstLine="640" w:firstLineChars="200"/>
        <w:rPr>
          <w:rFonts w:ascii="仿宋" w:hAnsi="仿宋" w:eastAsia="仿宋"/>
          <w:b/>
          <w:sz w:val="32"/>
          <w:szCs w:val="32"/>
        </w:rPr>
      </w:pPr>
      <w:r>
        <w:rPr>
          <w:rFonts w:hint="eastAsia" w:ascii="仿宋" w:hAnsi="仿宋" w:eastAsia="仿宋"/>
          <w:b/>
          <w:sz w:val="32"/>
          <w:szCs w:val="32"/>
        </w:rPr>
        <w:t>十三、2021年度预算绩效情况说明</w:t>
      </w:r>
    </w:p>
    <w:p>
      <w:pPr>
        <w:pStyle w:val="10"/>
        <w:spacing w:line="240" w:lineRule="auto"/>
        <w:ind w:firstLine="640" w:firstLineChars="200"/>
        <w:jc w:val="left"/>
        <w:rPr>
          <w:rFonts w:ascii="仿宋" w:hAnsi="仿宋" w:eastAsia="仿宋" w:cs="Times New Roman"/>
          <w:sz w:val="32"/>
          <w:szCs w:val="32"/>
        </w:rPr>
      </w:pPr>
      <w:r>
        <w:rPr>
          <w:rFonts w:hint="eastAsia" w:ascii="仿宋" w:hAnsi="仿宋" w:eastAsia="仿宋"/>
          <w:sz w:val="32"/>
          <w:szCs w:val="32"/>
        </w:rPr>
        <w:t>为进一步规范财政资金管理，强化绩效和责任意识，切实提高财政资金使用效益，我部门组织对</w:t>
      </w:r>
      <w:r>
        <w:rPr>
          <w:rFonts w:ascii="仿宋" w:hAnsi="仿宋" w:eastAsia="仿宋" w:cs="黑体"/>
          <w:sz w:val="32"/>
          <w:szCs w:val="32"/>
          <w:shd w:val="clear" w:color="auto" w:fill="auto"/>
        </w:rPr>
        <w:t>2021年部门整体支出进行绩效自评，涉及财政资金2042.20</w:t>
      </w:r>
      <w:r>
        <w:rPr>
          <w:rFonts w:hint="eastAsia" w:ascii="仿宋" w:hAnsi="仿宋" w:eastAsia="仿宋" w:cs="黑体"/>
          <w:sz w:val="32"/>
          <w:szCs w:val="32"/>
          <w:shd w:val="clear" w:color="auto" w:fill="auto"/>
        </w:rPr>
        <w:t>万元，其中：基本支出</w:t>
      </w:r>
      <w:r>
        <w:rPr>
          <w:rFonts w:ascii="仿宋" w:hAnsi="仿宋" w:eastAsia="仿宋" w:cs="黑体"/>
          <w:sz w:val="32"/>
          <w:szCs w:val="32"/>
        </w:rPr>
        <w:t>1340.01</w:t>
      </w:r>
      <w:r>
        <w:rPr>
          <w:rFonts w:hint="eastAsia" w:ascii="仿宋" w:hAnsi="仿宋" w:eastAsia="仿宋" w:cs="黑体"/>
          <w:sz w:val="32"/>
          <w:szCs w:val="32"/>
          <w:shd w:val="clear" w:color="auto" w:fill="auto"/>
        </w:rPr>
        <w:t>万元，项目支出</w:t>
      </w:r>
      <w:r>
        <w:rPr>
          <w:rFonts w:ascii="仿宋" w:hAnsi="仿宋" w:eastAsia="仿宋" w:cs="黑体"/>
          <w:sz w:val="32"/>
          <w:szCs w:val="32"/>
        </w:rPr>
        <w:t>702.19</w:t>
      </w:r>
      <w:r>
        <w:rPr>
          <w:rFonts w:hint="eastAsia" w:ascii="仿宋" w:hAnsi="仿宋" w:eastAsia="仿宋" w:cs="黑体"/>
          <w:sz w:val="32"/>
          <w:szCs w:val="32"/>
          <w:shd w:val="clear" w:color="auto" w:fill="auto"/>
        </w:rPr>
        <w:t>万元。从评价结果看，资金使用效益较好，达到了预期绩效目标。</w:t>
      </w:r>
    </w:p>
    <w:p>
      <w:pPr>
        <w:spacing w:line="600" w:lineRule="exact"/>
        <w:ind w:firstLine="640" w:firstLineChars="200"/>
        <w:rPr>
          <w:rFonts w:ascii="仿宋" w:hAnsi="仿宋" w:eastAsia="仿宋" w:cs="Times New Roman"/>
          <w:sz w:val="72"/>
          <w:szCs w:val="72"/>
        </w:rPr>
      </w:pPr>
      <w:r>
        <w:rPr>
          <w:rFonts w:hint="eastAsia" w:ascii="仿宋" w:hAnsi="仿宋" w:eastAsia="仿宋"/>
          <w:sz w:val="32"/>
          <w:szCs w:val="32"/>
        </w:rPr>
        <w:t>本部门预算绩效管理开展情况、绩效目标和绩效评价报告等详见附件。</w:t>
      </w:r>
      <w:r>
        <w:rPr>
          <w:rFonts w:ascii="仿宋" w:hAnsi="仿宋" w:eastAsia="仿宋" w:cs="Times New Roman"/>
          <w:sz w:val="32"/>
          <w:szCs w:val="32"/>
        </w:rPr>
        <w:br w:type="page"/>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rFonts w:ascii="仿宋" w:hAnsi="仿宋" w:eastAsia="仿宋"/>
          <w:b/>
          <w:sz w:val="72"/>
          <w:szCs w:val="72"/>
        </w:rPr>
      </w:pPr>
      <w:r>
        <w:rPr>
          <w:rFonts w:hint="eastAsia" w:ascii="仿宋" w:hAnsi="仿宋" w:eastAsia="仿宋"/>
          <w:b/>
          <w:sz w:val="72"/>
          <w:szCs w:val="72"/>
        </w:rPr>
        <w:t>第四部分</w:t>
      </w:r>
    </w:p>
    <w:p>
      <w:pPr>
        <w:jc w:val="center"/>
        <w:rPr>
          <w:rFonts w:ascii="仿宋" w:hAnsi="仿宋" w:eastAsia="仿宋" w:cs="黑体"/>
          <w:b/>
          <w:color w:val="000000"/>
          <w:kern w:val="0"/>
          <w:sz w:val="72"/>
          <w:szCs w:val="72"/>
        </w:rPr>
      </w:pPr>
    </w:p>
    <w:p>
      <w:pPr>
        <w:jc w:val="center"/>
        <w:rPr>
          <w:rFonts w:ascii="仿宋" w:hAnsi="仿宋" w:eastAsia="仿宋" w:cs="黑体"/>
          <w:b/>
          <w:color w:val="000000"/>
          <w:kern w:val="0"/>
          <w:sz w:val="72"/>
          <w:szCs w:val="72"/>
        </w:rPr>
      </w:pPr>
      <w:r>
        <w:rPr>
          <w:rFonts w:hint="eastAsia" w:ascii="仿宋" w:hAnsi="仿宋" w:eastAsia="仿宋" w:cs="黑体"/>
          <w:b/>
          <w:color w:val="000000"/>
          <w:kern w:val="0"/>
          <w:sz w:val="72"/>
          <w:szCs w:val="72"/>
        </w:rPr>
        <w:t>名词解释</w:t>
      </w:r>
    </w:p>
    <w:p>
      <w:pPr>
        <w:widowControl/>
        <w:jc w:val="left"/>
        <w:rPr>
          <w:rFonts w:ascii="仿宋" w:hAnsi="仿宋" w:eastAsia="仿宋" w:cs="黑体"/>
          <w:b/>
          <w:color w:val="000000"/>
          <w:kern w:val="0"/>
          <w:sz w:val="70"/>
          <w:szCs w:val="70"/>
        </w:rPr>
      </w:pPr>
      <w:r>
        <w:rPr>
          <w:rFonts w:ascii="仿宋" w:hAnsi="仿宋" w:eastAsia="仿宋" w:cs="黑体"/>
          <w:b/>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基本支出：指为保障机构正常运转、完成日常工作任务而发生的各项支出，包括人员支出和公用支出。</w:t>
      </w:r>
    </w:p>
    <w:p>
      <w:pPr>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项目支出：指在基本支出以外为完成相关行政任务和事业发展目标所发生的各项支出。</w:t>
      </w:r>
    </w:p>
    <w:p>
      <w:pPr>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“三公”经费：指通过财政拨款资金安排的因公出国（境）费、公务用车购置及运行费和公务接待费支出。</w:t>
      </w:r>
    </w:p>
    <w:p>
      <w:pPr>
        <w:ind w:firstLine="640" w:firstLineChars="200"/>
        <w:jc w:val="left"/>
        <w:rPr>
          <w:rFonts w:ascii="仿宋" w:hAnsi="仿宋" w:eastAsia="仿宋" w:cs="黑体"/>
          <w:color w:val="000000"/>
          <w:kern w:val="0"/>
          <w:sz w:val="32"/>
          <w:szCs w:val="32"/>
        </w:rPr>
      </w:pPr>
      <w:r>
        <w:rPr>
          <w:rFonts w:hint="eastAsia" w:ascii="仿宋" w:hAnsi="仿宋" w:eastAsia="仿宋" w:cs="黑体"/>
          <w:color w:val="000000"/>
          <w:kern w:val="0"/>
          <w:sz w:val="32"/>
          <w:szCs w:val="32"/>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0"/>
        <w:ind w:firstLine="200"/>
        <w:jc w:val="center"/>
        <w:rPr>
          <w:rFonts w:ascii="仿宋" w:hAnsi="仿宋" w:eastAsia="仿宋"/>
          <w:sz w:val="72"/>
          <w:szCs w:val="72"/>
        </w:rPr>
      </w:pPr>
    </w:p>
    <w:p>
      <w:pPr>
        <w:pStyle w:val="10"/>
        <w:jc w:val="center"/>
        <w:rPr>
          <w:rFonts w:asciiTheme="minorEastAsia" w:hAnsiTheme="minorEastAsia"/>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rFonts w:ascii="仿宋" w:hAnsi="仿宋" w:eastAsia="仿宋"/>
          <w:b/>
          <w:sz w:val="72"/>
          <w:szCs w:val="72"/>
        </w:rPr>
      </w:pPr>
      <w:r>
        <w:rPr>
          <w:rFonts w:hint="eastAsia" w:ascii="仿宋" w:hAnsi="仿宋" w:eastAsia="仿宋"/>
          <w:b/>
          <w:sz w:val="72"/>
          <w:szCs w:val="72"/>
        </w:rPr>
        <w:t>第五部分</w:t>
      </w:r>
    </w:p>
    <w:p>
      <w:pPr>
        <w:jc w:val="center"/>
        <w:rPr>
          <w:rFonts w:ascii="仿宋" w:hAnsi="仿宋" w:eastAsia="仿宋" w:cs="黑体"/>
          <w:b/>
          <w:color w:val="000000"/>
          <w:kern w:val="0"/>
          <w:sz w:val="72"/>
          <w:szCs w:val="72"/>
        </w:rPr>
      </w:pPr>
    </w:p>
    <w:p>
      <w:pPr>
        <w:jc w:val="center"/>
        <w:rPr>
          <w:rFonts w:ascii="仿宋" w:hAnsi="仿宋" w:eastAsia="仿宋" w:cs="黑体"/>
          <w:b/>
          <w:color w:val="000000"/>
          <w:kern w:val="0"/>
          <w:sz w:val="72"/>
          <w:szCs w:val="72"/>
        </w:rPr>
      </w:pPr>
      <w:r>
        <w:rPr>
          <w:rFonts w:hint="eastAsia" w:ascii="仿宋" w:hAnsi="仿宋" w:eastAsia="仿宋" w:cs="黑体"/>
          <w:b/>
          <w:color w:val="000000"/>
          <w:kern w:val="0"/>
          <w:sz w:val="72"/>
          <w:szCs w:val="72"/>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880" w:firstLineChars="200"/>
        <w:jc w:val="center"/>
        <w:rPr>
          <w:rFonts w:ascii="仿宋" w:hAnsi="仿宋" w:eastAsia="仿宋" w:cs="黑体"/>
          <w:b/>
          <w:color w:val="000000"/>
          <w:kern w:val="0"/>
          <w:sz w:val="44"/>
          <w:szCs w:val="44"/>
        </w:rPr>
      </w:pPr>
      <w:r>
        <w:rPr>
          <w:rFonts w:hint="eastAsia" w:ascii="仿宋" w:hAnsi="仿宋" w:eastAsia="仿宋" w:cs="黑体"/>
          <w:b/>
          <w:color w:val="000000"/>
          <w:kern w:val="0"/>
          <w:sz w:val="44"/>
          <w:szCs w:val="44"/>
        </w:rPr>
        <w:t>2021年度部门整体支出绩效评价报告</w:t>
      </w:r>
    </w:p>
    <w:p>
      <w:pPr>
        <w:pStyle w:val="13"/>
        <w:widowControl/>
        <w:spacing w:line="360" w:lineRule="auto"/>
        <w:ind w:firstLine="643"/>
        <w:jc w:val="left"/>
        <w:rPr>
          <w:rFonts w:ascii="仿宋" w:hAnsi="仿宋" w:eastAsia="仿宋"/>
          <w:b/>
          <w:sz w:val="32"/>
          <w:szCs w:val="32"/>
        </w:rPr>
      </w:pPr>
      <w:r>
        <w:rPr>
          <w:rFonts w:hint="eastAsia" w:ascii="仿宋" w:hAnsi="仿宋" w:eastAsia="仿宋"/>
          <w:b/>
          <w:sz w:val="32"/>
          <w:szCs w:val="32"/>
        </w:rPr>
        <w:t>一、单位基本情况</w:t>
      </w:r>
    </w:p>
    <w:p>
      <w:pPr>
        <w:snapToGrid w:val="0"/>
        <w:spacing w:line="360" w:lineRule="auto"/>
        <w:ind w:firstLine="640" w:firstLineChars="200"/>
        <w:jc w:val="left"/>
        <w:rPr>
          <w:rFonts w:ascii="仿宋" w:hAnsi="仿宋" w:eastAsia="仿宋"/>
          <w:b/>
          <w:sz w:val="32"/>
          <w:szCs w:val="32"/>
        </w:rPr>
      </w:pPr>
      <w:r>
        <w:rPr>
          <w:rFonts w:ascii="仿宋" w:hAnsi="仿宋" w:eastAsia="仿宋"/>
          <w:b/>
          <w:sz w:val="32"/>
          <w:szCs w:val="32"/>
        </w:rPr>
        <w:t>（一）职能职责</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1、承担衡阳市生态环境质量监测和生态状况监测、评价等工作。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2、负责衡阳市生态环境监测数据采集、分析研判、信息推送等工作，开展生态环境监测领域科学研究。</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3、负责衡阳市生态环境质量监测网络体系建设、质量管理控制等工作。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4、承担省厅交办的辐射监测工作。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5、参与重大、跨界执法监测和应急监测等工作。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6、负责配合实施衡阳市生态环境监测能力建设等工作。</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7、承担上级交办的其他工作。</w:t>
      </w:r>
    </w:p>
    <w:p>
      <w:pPr>
        <w:snapToGrid w:val="0"/>
        <w:spacing w:line="360" w:lineRule="auto"/>
        <w:ind w:firstLine="640" w:firstLineChars="200"/>
        <w:rPr>
          <w:rFonts w:ascii="仿宋" w:hAnsi="仿宋" w:eastAsia="仿宋"/>
          <w:b/>
          <w:sz w:val="32"/>
          <w:szCs w:val="32"/>
        </w:rPr>
      </w:pPr>
      <w:r>
        <w:rPr>
          <w:rFonts w:ascii="仿宋" w:hAnsi="仿宋" w:eastAsia="仿宋"/>
          <w:b/>
          <w:sz w:val="32"/>
          <w:szCs w:val="32"/>
        </w:rPr>
        <w:t>（二）机构设置</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隶属于湖南省生态环境厅的国家环境质量监测网络二级站，系副处级公益一类全额拨款事业单位，独立编制、独立核算，下设科室11个。</w:t>
      </w:r>
    </w:p>
    <w:p>
      <w:pPr>
        <w:pStyle w:val="13"/>
        <w:widowControl/>
        <w:spacing w:line="360" w:lineRule="auto"/>
        <w:ind w:firstLine="643"/>
        <w:rPr>
          <w:rFonts w:ascii="仿宋" w:hAnsi="仿宋" w:eastAsia="仿宋"/>
          <w:b/>
          <w:sz w:val="32"/>
          <w:szCs w:val="32"/>
        </w:rPr>
      </w:pPr>
      <w:r>
        <w:rPr>
          <w:rFonts w:hint="eastAsia" w:ascii="仿宋" w:hAnsi="仿宋" w:eastAsia="仿宋"/>
          <w:b/>
          <w:sz w:val="32"/>
          <w:szCs w:val="32"/>
        </w:rPr>
        <w:t>二、基本支出情况</w:t>
      </w:r>
    </w:p>
    <w:p>
      <w:pPr>
        <w:widowControl/>
        <w:spacing w:line="360" w:lineRule="auto"/>
        <w:ind w:firstLine="640" w:firstLineChars="200"/>
        <w:jc w:val="left"/>
        <w:rPr>
          <w:rFonts w:ascii="仿宋" w:hAnsi="仿宋" w:eastAsia="仿宋"/>
          <w:sz w:val="32"/>
          <w:szCs w:val="32"/>
        </w:rPr>
      </w:pPr>
      <w:r>
        <w:rPr>
          <w:rFonts w:ascii="仿宋" w:hAnsi="仿宋" w:eastAsia="仿宋" w:cs="仿宋"/>
          <w:sz w:val="32"/>
          <w:szCs w:val="32"/>
        </w:rPr>
        <w:t>202</w:t>
      </w:r>
      <w:r>
        <w:rPr>
          <w:rFonts w:hint="eastAsia" w:ascii="仿宋" w:hAnsi="仿宋" w:eastAsia="仿宋" w:cs="仿宋"/>
          <w:sz w:val="32"/>
          <w:szCs w:val="32"/>
        </w:rPr>
        <w:t>1年我中心纳入绩效自评范围的基本支出本年预算为1427.17万元（其中包括调整预算追加的575.59万元），本年实际支出1340万元（其中一般公共预算基本支出为909.52万元,执行率为100%），资金用途</w:t>
      </w:r>
      <w:r>
        <w:rPr>
          <w:rFonts w:ascii="仿宋" w:hAnsi="仿宋" w:eastAsia="仿宋"/>
          <w:sz w:val="32"/>
          <w:szCs w:val="32"/>
        </w:rPr>
        <w:t>主要是为保障单位机构正常运转、完成日常工作任务而发生的各项支出，包括用于基本工资、津贴补贴等人员经费以及办公费、印刷费、水电费、办公设备购置等公用经费。</w:t>
      </w:r>
    </w:p>
    <w:p>
      <w:pPr>
        <w:pStyle w:val="13"/>
        <w:widowControl/>
        <w:spacing w:line="360" w:lineRule="auto"/>
        <w:ind w:firstLine="643"/>
        <w:rPr>
          <w:rFonts w:ascii="仿宋" w:hAnsi="仿宋" w:eastAsia="仿宋"/>
          <w:b/>
          <w:sz w:val="32"/>
          <w:szCs w:val="32"/>
        </w:rPr>
      </w:pPr>
      <w:r>
        <w:rPr>
          <w:rFonts w:hint="eastAsia" w:ascii="仿宋" w:hAnsi="仿宋" w:eastAsia="仿宋"/>
          <w:b/>
          <w:sz w:val="32"/>
          <w:szCs w:val="32"/>
        </w:rPr>
        <w:t>三、项目支出情况</w:t>
      </w:r>
    </w:p>
    <w:p>
      <w:pPr>
        <w:widowControl/>
        <w:spacing w:line="360" w:lineRule="auto"/>
        <w:ind w:firstLine="640" w:firstLineChars="200"/>
        <w:rPr>
          <w:rFonts w:ascii="仿宋" w:hAnsi="仿宋" w:eastAsia="仿宋"/>
          <w:sz w:val="32"/>
          <w:szCs w:val="32"/>
        </w:rPr>
      </w:pPr>
      <w:r>
        <w:rPr>
          <w:rFonts w:hint="eastAsia" w:ascii="仿宋" w:hAnsi="仿宋" w:eastAsia="仿宋"/>
          <w:sz w:val="32"/>
          <w:szCs w:val="32"/>
        </w:rPr>
        <w:t>2021年财政当年预算安排了业务工作专项资金101.5万元，其中环境质量监测项目经费88.36万元、党建扶贫项目经费13.14万元。2021年业务工作专项支出为327.47万元(包括上年结转资金)， 其中2021年财政当年预算安排的业务工作专项支出为53.45万元，预算执行率为52.66%（包括环境质量监测项目支出为40.31万元，预算执行率为45.62%；党建扶贫项目支出为13.14万元，预算执行率为100%）。</w:t>
      </w:r>
    </w:p>
    <w:p>
      <w:pPr>
        <w:widowControl/>
        <w:spacing w:line="360" w:lineRule="auto"/>
        <w:ind w:firstLine="640" w:firstLineChars="200"/>
        <w:jc w:val="left"/>
        <w:rPr>
          <w:rFonts w:ascii="仿宋" w:hAnsi="仿宋" w:eastAsia="仿宋"/>
          <w:b/>
          <w:sz w:val="32"/>
          <w:szCs w:val="32"/>
        </w:rPr>
      </w:pPr>
      <w:r>
        <w:rPr>
          <w:rFonts w:ascii="仿宋" w:hAnsi="仿宋" w:eastAsia="仿宋"/>
          <w:b/>
          <w:sz w:val="32"/>
          <w:szCs w:val="32"/>
        </w:rPr>
        <w:t>四、部门</w:t>
      </w:r>
      <w:r>
        <w:rPr>
          <w:rFonts w:hint="eastAsia" w:ascii="仿宋" w:hAnsi="仿宋" w:eastAsia="仿宋"/>
          <w:b/>
          <w:sz w:val="32"/>
          <w:szCs w:val="32"/>
        </w:rPr>
        <w:t>整体支出绩效情况</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（一）基本支出</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绩效目标完成情况：</w:t>
      </w:r>
      <w:r>
        <w:rPr>
          <w:rFonts w:ascii="仿宋" w:hAnsi="仿宋" w:eastAsia="仿宋"/>
          <w:sz w:val="32"/>
          <w:szCs w:val="32"/>
        </w:rPr>
        <w:t>衡阳中心把过“紧日子”作为长期工作方针，坚持依法理财，精细管理，厉行节约</w:t>
      </w:r>
      <w:r>
        <w:rPr>
          <w:rFonts w:hint="eastAsia" w:ascii="仿宋" w:hAnsi="仿宋" w:eastAsia="仿宋"/>
          <w:sz w:val="32"/>
          <w:szCs w:val="32"/>
        </w:rPr>
        <w:t>，保障单位机构的正常运转，为单位完成各项工作提供有力支撑。</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产出指标：按进度完成预算执行，各项经费均未超过年初预算。</w:t>
      </w:r>
    </w:p>
    <w:p>
      <w:pPr>
        <w:widowControl/>
        <w:spacing w:line="360" w:lineRule="auto"/>
        <w:ind w:firstLine="200"/>
        <w:jc w:val="left"/>
        <w:rPr>
          <w:rFonts w:ascii="仿宋" w:hAnsi="仿宋" w:eastAsia="仿宋"/>
          <w:color w:val="000000"/>
          <w:sz w:val="32"/>
          <w:szCs w:val="32"/>
        </w:rPr>
      </w:pPr>
      <w:r>
        <w:rPr>
          <w:rFonts w:hint="eastAsia" w:ascii="仿宋" w:hAnsi="仿宋" w:eastAsia="仿宋"/>
          <w:color w:val="000000"/>
          <w:sz w:val="32"/>
          <w:szCs w:val="32"/>
        </w:rPr>
        <w:t>效益指标：基本支出全年部门预算资金执行率在93.89%,资金到位率100%,按照资金管理办法、财务管理规定，合法依规的使用资金。为生态环境保护工作提供技术支持。</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（二）项目支出</w:t>
      </w:r>
    </w:p>
    <w:p>
      <w:pPr>
        <w:widowControl/>
        <w:spacing w:line="360" w:lineRule="auto"/>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绩效目标完成情况（主要为业务工作专项）：</w:t>
      </w:r>
    </w:p>
    <w:p>
      <w:pPr>
        <w:widowControl/>
        <w:spacing w:line="360" w:lineRule="auto"/>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1、环境质量监测方面</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水环境质量监测：手工监测方面，继续组织完成46个湘江衡阳段干流及各支流断面、16个县级以上集中式饮用水水源地水质监测。每月定期对舂陵水、湘江衡阳段干流开展铊加密监测。完成国家地表水采测分离测站数据三级审核、数据上传工作；自动监测工作方面，每日开展辖区内10个水质自动监测数据的二级审核工作，并安排专人监控这些水质自动站的运行维护情况。每月组织开展省控、市控水质自动站的月度质控考核和现场检查，按时向省中心提交省控点位质控月报。每月对衡阳市水质自动监测数据进行统计分析评价，编制并向市局提交衡阳市自动监测水质月报。</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环境空气质量监测：开展城区3个监测点的大气降水监测，7个国控空气自动站点、9个省控空气自动站点和1个重金属空气自动站点的二级审核、质量检查、质控考核、巡检工作和臭氧校准仪的量值传递工作。</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声环境质量监测：按照“十四五衡阳市声环境点位设置方案”开展市城区衡阳市区域声环境、道路交通声环境、每季度功能区环境噪声监测。</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农村环境质量监测：每季度对下辖县区环境空气质量试点监测结果和下辖县区县域河流和农业面源污染控制断面监测结果进行审核并上报。</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土壤环境质量监测：按照2021年国家环境监测方案，开展国家网土壤基础点、重点风险监控点和一般风险监控点的监测。</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污染源监测：完成51家重点排污单位的监督性监测，其中19个水环境重点排污单位、11个大气环境重点排污单位、13个土壤环境污染重点监管单位和8个其它重点排污单位，配合市生态环境局开展执法监测170项，完成来样监测100项。</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应急监测：按照省厅及市局具体工作安排，继续对主要河流断面、饮用水源地、重点企业排放口、雨水排放口、废水循环水池等进行应急监测并持续开展应急演练。               </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按要求完成重金属断面监测，黑臭水体专项监测，河流底泥监测，并协助完成地下水水质试点双源清单调查监测工作及降尘中重金属监测等工作。</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产出指标：</w:t>
      </w:r>
      <w:r>
        <w:rPr>
          <w:rFonts w:hint="eastAsia" w:ascii="仿宋" w:hAnsi="仿宋" w:eastAsia="仿宋"/>
          <w:color w:val="000000"/>
          <w:sz w:val="32"/>
          <w:szCs w:val="32"/>
        </w:rPr>
        <w:t>各项工作按计划开展，在2021年12月前全年高质量完成所有工作既定目标，各项工作的经费均未超过年初预算。</w:t>
      </w:r>
    </w:p>
    <w:p>
      <w:pPr>
        <w:widowControl/>
        <w:spacing w:line="360" w:lineRule="auto"/>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效益指标：</w:t>
      </w:r>
      <w:r>
        <w:rPr>
          <w:rFonts w:hint="eastAsia" w:ascii="仿宋" w:hAnsi="仿宋" w:eastAsia="仿宋"/>
          <w:color w:val="000000"/>
          <w:sz w:val="32"/>
          <w:szCs w:val="32"/>
        </w:rPr>
        <w:t>环境质量监测经费2021年财政预算当年安排资金执行率为45.62%，资金到位率100%。按照资金管理办法、财务管理规定，合法依规的使用资金。为生态环境保护工作提供技术支持。</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2、党建扶贫方面</w:t>
      </w:r>
    </w:p>
    <w:p>
      <w:pPr>
        <w:widowControl/>
        <w:spacing w:line="360" w:lineRule="auto"/>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按计划时间完成三会一课、主题党日活动、集中学习、参观学习、支部选举、党史学习教育、组织生活会和党员民主评议等党建工作。</w:t>
      </w:r>
    </w:p>
    <w:p>
      <w:pPr>
        <w:widowControl/>
        <w:spacing w:line="360" w:lineRule="auto"/>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完成党员大会，总支部委员会会议，党课，主题党日活动。</w:t>
      </w:r>
    </w:p>
    <w:p>
      <w:pPr>
        <w:widowControl/>
        <w:spacing w:line="360" w:lineRule="auto"/>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完成脱贫攻坚工作，走访活动入户，开展节日慰问，协助完成疫情防控工作。</w:t>
      </w:r>
    </w:p>
    <w:p>
      <w:pPr>
        <w:widowControl/>
        <w:spacing w:line="360" w:lineRule="auto"/>
        <w:ind w:firstLine="640" w:firstLineChars="200"/>
        <w:jc w:val="left"/>
        <w:rPr>
          <w:rFonts w:ascii="仿宋" w:hAnsi="仿宋" w:eastAsia="仿宋" w:cs="仿宋_GB2312"/>
          <w:color w:val="000000"/>
          <w:kern w:val="0"/>
          <w:sz w:val="32"/>
          <w:szCs w:val="32"/>
        </w:rPr>
      </w:pPr>
      <w:r>
        <w:rPr>
          <w:rFonts w:hint="eastAsia" w:ascii="仿宋" w:hAnsi="仿宋" w:eastAsia="仿宋"/>
          <w:color w:val="000000"/>
          <w:sz w:val="32"/>
          <w:szCs w:val="32"/>
        </w:rPr>
        <w:t>产出指标：各项工作按计划开展，在2021年12月前全年高质量完成所有工作既定目标，各项工作的经费均未超过年初预算。</w:t>
      </w:r>
    </w:p>
    <w:p>
      <w:pPr>
        <w:widowControl/>
        <w:spacing w:line="360" w:lineRule="auto"/>
        <w:ind w:firstLine="200"/>
        <w:jc w:val="left"/>
        <w:rPr>
          <w:rFonts w:ascii="仿宋" w:hAnsi="仿宋" w:eastAsia="仿宋"/>
          <w:color w:val="000000"/>
          <w:sz w:val="32"/>
          <w:szCs w:val="32"/>
        </w:rPr>
      </w:pPr>
      <w:r>
        <w:rPr>
          <w:rFonts w:hint="eastAsia" w:ascii="仿宋" w:hAnsi="仿宋" w:eastAsia="仿宋"/>
          <w:color w:val="000000"/>
          <w:sz w:val="32"/>
          <w:szCs w:val="32"/>
        </w:rPr>
        <w:t>效益指标：党建扶贫经费2021年财政预算当年安排资金执行率为100%，资金到位率为100%。按照资金管理办法、财务管理规定，合法依规的使用资金。为生态环境保护工作提供技术支持。</w:t>
      </w:r>
    </w:p>
    <w:p>
      <w:pPr>
        <w:widowControl/>
        <w:spacing w:line="360" w:lineRule="auto"/>
        <w:ind w:firstLine="640" w:firstLineChars="200"/>
        <w:jc w:val="left"/>
        <w:rPr>
          <w:rFonts w:ascii="仿宋" w:hAnsi="仿宋" w:eastAsia="仿宋"/>
          <w:b/>
          <w:sz w:val="32"/>
          <w:szCs w:val="32"/>
        </w:rPr>
      </w:pPr>
      <w:r>
        <w:rPr>
          <w:rFonts w:hint="eastAsia" w:ascii="仿宋" w:hAnsi="仿宋" w:eastAsia="仿宋"/>
          <w:b/>
          <w:color w:val="000000"/>
          <w:sz w:val="32"/>
          <w:szCs w:val="32"/>
        </w:rPr>
        <w:t>五、</w:t>
      </w:r>
      <w:r>
        <w:rPr>
          <w:rFonts w:hint="eastAsia" w:ascii="仿宋" w:hAnsi="仿宋" w:eastAsia="仿宋"/>
          <w:b/>
          <w:sz w:val="32"/>
          <w:szCs w:val="32"/>
        </w:rPr>
        <w:t>存在的主要问题及下一步改进措施</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预</w:t>
      </w:r>
      <w:r>
        <w:rPr>
          <w:rFonts w:ascii="仿宋" w:hAnsi="仿宋" w:eastAsia="仿宋"/>
          <w:sz w:val="32"/>
          <w:szCs w:val="32"/>
        </w:rPr>
        <w:t>算编制不够严谨和全面，需进一步提高预算编制到位率，做准做全基本支出预算，做准项目支出预算</w:t>
      </w:r>
      <w:r>
        <w:rPr>
          <w:rFonts w:hint="eastAsia" w:ascii="仿宋" w:hAnsi="仿宋" w:eastAsia="仿宋"/>
          <w:sz w:val="32"/>
          <w:szCs w:val="32"/>
        </w:rPr>
        <w:t>。</w:t>
      </w:r>
    </w:p>
    <w:p>
      <w:pPr>
        <w:widowControl/>
        <w:spacing w:line="360" w:lineRule="auto"/>
        <w:ind w:firstLine="640" w:firstLineChars="200"/>
        <w:jc w:val="left"/>
        <w:rPr>
          <w:rFonts w:ascii="仿宋" w:hAnsi="仿宋" w:eastAsia="仿宋"/>
          <w:b/>
          <w:sz w:val="32"/>
          <w:szCs w:val="32"/>
        </w:rPr>
      </w:pPr>
      <w:r>
        <w:rPr>
          <w:rFonts w:hint="eastAsia" w:ascii="仿宋" w:hAnsi="仿宋" w:eastAsia="仿宋"/>
          <w:b/>
          <w:sz w:val="32"/>
          <w:szCs w:val="32"/>
        </w:rPr>
        <w:t>六、绩效自评结果拟应用和公开情况</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绩效自评结果上报湖南省生态环境监测中心。</w:t>
      </w:r>
    </w:p>
    <w:p>
      <w:pPr>
        <w:widowControl/>
        <w:spacing w:line="360" w:lineRule="auto"/>
        <w:ind w:firstLine="640" w:firstLineChars="200"/>
        <w:jc w:val="left"/>
        <w:rPr>
          <w:rFonts w:ascii="仿宋" w:hAnsi="仿宋" w:eastAsia="仿宋"/>
          <w:b/>
          <w:sz w:val="32"/>
          <w:szCs w:val="32"/>
        </w:rPr>
      </w:pPr>
      <w:r>
        <w:rPr>
          <w:rFonts w:hint="eastAsia" w:ascii="仿宋" w:hAnsi="仿宋" w:eastAsia="仿宋"/>
          <w:b/>
          <w:sz w:val="32"/>
          <w:szCs w:val="32"/>
        </w:rPr>
        <w:t>七、其他需要说明的情况</w:t>
      </w:r>
    </w:p>
    <w:p>
      <w:pPr>
        <w:widowControl/>
        <w:spacing w:line="360" w:lineRule="auto"/>
        <w:ind w:firstLine="640" w:firstLineChars="200"/>
        <w:jc w:val="left"/>
        <w:rPr>
          <w:rFonts w:ascii="仿宋" w:hAnsi="仿宋" w:eastAsia="仿宋"/>
          <w:sz w:val="32"/>
          <w:szCs w:val="32"/>
        </w:rPr>
      </w:pPr>
      <w:r>
        <w:rPr>
          <w:rFonts w:hint="eastAsia" w:ascii="仿宋" w:hAnsi="仿宋" w:eastAsia="仿宋"/>
          <w:sz w:val="32"/>
          <w:szCs w:val="32"/>
        </w:rPr>
        <w:t>无</w:t>
      </w:r>
    </w:p>
    <w:p>
      <w:pPr>
        <w:widowControl/>
        <w:spacing w:line="360" w:lineRule="auto"/>
        <w:ind w:firstLine="640" w:firstLineChars="200"/>
        <w:jc w:val="left"/>
        <w:rPr>
          <w:rFonts w:ascii="仿宋" w:hAnsi="仿宋" w:eastAsia="仿宋"/>
          <w:sz w:val="32"/>
          <w:szCs w:val="32"/>
        </w:rPr>
      </w:pPr>
    </w:p>
    <w:p>
      <w:pPr>
        <w:ind w:firstLine="640" w:firstLineChars="200"/>
        <w:jc w:val="left"/>
        <w:rPr>
          <w:rFonts w:ascii="仿宋" w:hAnsi="仿宋" w:eastAsia="仿宋" w:cs="黑体"/>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7032D2"/>
    <w:multiLevelType w:val="singleLevel"/>
    <w:tmpl w:val="727032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4506F9"/>
    <w:rsid w:val="000050C4"/>
    <w:rsid w:val="0002229B"/>
    <w:rsid w:val="000273BD"/>
    <w:rsid w:val="000415B7"/>
    <w:rsid w:val="00041E3F"/>
    <w:rsid w:val="000534E4"/>
    <w:rsid w:val="00055DAA"/>
    <w:rsid w:val="00061F7B"/>
    <w:rsid w:val="000658A3"/>
    <w:rsid w:val="00074155"/>
    <w:rsid w:val="000873EF"/>
    <w:rsid w:val="00095C5A"/>
    <w:rsid w:val="000A3F69"/>
    <w:rsid w:val="000D28A9"/>
    <w:rsid w:val="000F7280"/>
    <w:rsid w:val="00103957"/>
    <w:rsid w:val="00124A1F"/>
    <w:rsid w:val="001420B1"/>
    <w:rsid w:val="00152C6D"/>
    <w:rsid w:val="00162D39"/>
    <w:rsid w:val="001678BD"/>
    <w:rsid w:val="00182373"/>
    <w:rsid w:val="001A67DB"/>
    <w:rsid w:val="001C3C29"/>
    <w:rsid w:val="001D51E5"/>
    <w:rsid w:val="001E080D"/>
    <w:rsid w:val="001E53D0"/>
    <w:rsid w:val="001F0C3B"/>
    <w:rsid w:val="00202C14"/>
    <w:rsid w:val="00202C82"/>
    <w:rsid w:val="00202F6A"/>
    <w:rsid w:val="002051DA"/>
    <w:rsid w:val="00214427"/>
    <w:rsid w:val="002154C4"/>
    <w:rsid w:val="00226CB7"/>
    <w:rsid w:val="002326FD"/>
    <w:rsid w:val="00241591"/>
    <w:rsid w:val="00264552"/>
    <w:rsid w:val="00264EF9"/>
    <w:rsid w:val="00265724"/>
    <w:rsid w:val="0027426B"/>
    <w:rsid w:val="002E0A30"/>
    <w:rsid w:val="002F3CA5"/>
    <w:rsid w:val="003130C4"/>
    <w:rsid w:val="00316C4B"/>
    <w:rsid w:val="0032192B"/>
    <w:rsid w:val="003479BD"/>
    <w:rsid w:val="003626D5"/>
    <w:rsid w:val="0037197D"/>
    <w:rsid w:val="00375441"/>
    <w:rsid w:val="003768D5"/>
    <w:rsid w:val="003824A6"/>
    <w:rsid w:val="003B1330"/>
    <w:rsid w:val="003B3979"/>
    <w:rsid w:val="003C28E0"/>
    <w:rsid w:val="003C4197"/>
    <w:rsid w:val="003C47E6"/>
    <w:rsid w:val="003C4FC2"/>
    <w:rsid w:val="003E2331"/>
    <w:rsid w:val="004031C1"/>
    <w:rsid w:val="00416E61"/>
    <w:rsid w:val="0042790C"/>
    <w:rsid w:val="004506F9"/>
    <w:rsid w:val="00466D8D"/>
    <w:rsid w:val="004717A2"/>
    <w:rsid w:val="00473DF3"/>
    <w:rsid w:val="00487911"/>
    <w:rsid w:val="00491741"/>
    <w:rsid w:val="004B0CEE"/>
    <w:rsid w:val="004E037B"/>
    <w:rsid w:val="00500E5F"/>
    <w:rsid w:val="005122EF"/>
    <w:rsid w:val="0051441A"/>
    <w:rsid w:val="00517C33"/>
    <w:rsid w:val="00517D5F"/>
    <w:rsid w:val="00521AF2"/>
    <w:rsid w:val="00523644"/>
    <w:rsid w:val="0054069E"/>
    <w:rsid w:val="00544866"/>
    <w:rsid w:val="00576414"/>
    <w:rsid w:val="005767CC"/>
    <w:rsid w:val="00590D9F"/>
    <w:rsid w:val="00595D26"/>
    <w:rsid w:val="005A74E6"/>
    <w:rsid w:val="005B404E"/>
    <w:rsid w:val="005C0741"/>
    <w:rsid w:val="005D4D55"/>
    <w:rsid w:val="005E2CFB"/>
    <w:rsid w:val="005F2103"/>
    <w:rsid w:val="005F3D1C"/>
    <w:rsid w:val="0062378F"/>
    <w:rsid w:val="006319D8"/>
    <w:rsid w:val="00641842"/>
    <w:rsid w:val="00651EEC"/>
    <w:rsid w:val="00686673"/>
    <w:rsid w:val="00691E8C"/>
    <w:rsid w:val="00692FDE"/>
    <w:rsid w:val="006A073C"/>
    <w:rsid w:val="006A1509"/>
    <w:rsid w:val="006A22C4"/>
    <w:rsid w:val="006A348B"/>
    <w:rsid w:val="006A351B"/>
    <w:rsid w:val="006B0422"/>
    <w:rsid w:val="006C1B53"/>
    <w:rsid w:val="006D7730"/>
    <w:rsid w:val="006E5284"/>
    <w:rsid w:val="006F3EB5"/>
    <w:rsid w:val="006F7864"/>
    <w:rsid w:val="00702E34"/>
    <w:rsid w:val="00704395"/>
    <w:rsid w:val="00710FE7"/>
    <w:rsid w:val="0071761F"/>
    <w:rsid w:val="00717621"/>
    <w:rsid w:val="00720FF1"/>
    <w:rsid w:val="00727A53"/>
    <w:rsid w:val="00787B42"/>
    <w:rsid w:val="007A4D94"/>
    <w:rsid w:val="007B32B8"/>
    <w:rsid w:val="007C4539"/>
    <w:rsid w:val="007E6A4F"/>
    <w:rsid w:val="007F3657"/>
    <w:rsid w:val="007F7A57"/>
    <w:rsid w:val="00810D72"/>
    <w:rsid w:val="00812ED5"/>
    <w:rsid w:val="00816BE3"/>
    <w:rsid w:val="008277D9"/>
    <w:rsid w:val="0084478C"/>
    <w:rsid w:val="00852A6B"/>
    <w:rsid w:val="0086492C"/>
    <w:rsid w:val="0086638C"/>
    <w:rsid w:val="008A3E8D"/>
    <w:rsid w:val="008A77EB"/>
    <w:rsid w:val="008C2FE7"/>
    <w:rsid w:val="009237C4"/>
    <w:rsid w:val="00944C48"/>
    <w:rsid w:val="00950252"/>
    <w:rsid w:val="00967F5D"/>
    <w:rsid w:val="00995A28"/>
    <w:rsid w:val="009A0F95"/>
    <w:rsid w:val="009B3ADF"/>
    <w:rsid w:val="009C3B52"/>
    <w:rsid w:val="009E6817"/>
    <w:rsid w:val="009E6E9A"/>
    <w:rsid w:val="00A01D2B"/>
    <w:rsid w:val="00A42218"/>
    <w:rsid w:val="00A70249"/>
    <w:rsid w:val="00A70B02"/>
    <w:rsid w:val="00A71CA9"/>
    <w:rsid w:val="00A71D9F"/>
    <w:rsid w:val="00A879EB"/>
    <w:rsid w:val="00A92E9F"/>
    <w:rsid w:val="00AD1486"/>
    <w:rsid w:val="00B33BEA"/>
    <w:rsid w:val="00B57C9F"/>
    <w:rsid w:val="00B63572"/>
    <w:rsid w:val="00B82FF7"/>
    <w:rsid w:val="00B845B3"/>
    <w:rsid w:val="00B85D8B"/>
    <w:rsid w:val="00BB4A40"/>
    <w:rsid w:val="00BD6C3E"/>
    <w:rsid w:val="00BE3674"/>
    <w:rsid w:val="00C10681"/>
    <w:rsid w:val="00C22C49"/>
    <w:rsid w:val="00C3049A"/>
    <w:rsid w:val="00C31B1E"/>
    <w:rsid w:val="00C405F0"/>
    <w:rsid w:val="00C77645"/>
    <w:rsid w:val="00CA353B"/>
    <w:rsid w:val="00CA7C0A"/>
    <w:rsid w:val="00CC625F"/>
    <w:rsid w:val="00CE04C3"/>
    <w:rsid w:val="00CE76A0"/>
    <w:rsid w:val="00CF3E74"/>
    <w:rsid w:val="00D148C6"/>
    <w:rsid w:val="00D17A8A"/>
    <w:rsid w:val="00D415BA"/>
    <w:rsid w:val="00D63780"/>
    <w:rsid w:val="00D644EE"/>
    <w:rsid w:val="00D678FC"/>
    <w:rsid w:val="00D71774"/>
    <w:rsid w:val="00D75489"/>
    <w:rsid w:val="00D774B9"/>
    <w:rsid w:val="00DA3583"/>
    <w:rsid w:val="00DD06FF"/>
    <w:rsid w:val="00DD086F"/>
    <w:rsid w:val="00DD5FE9"/>
    <w:rsid w:val="00DE008E"/>
    <w:rsid w:val="00DE5C01"/>
    <w:rsid w:val="00DF13BB"/>
    <w:rsid w:val="00E00C7A"/>
    <w:rsid w:val="00E03F60"/>
    <w:rsid w:val="00E11810"/>
    <w:rsid w:val="00E209CF"/>
    <w:rsid w:val="00E3436F"/>
    <w:rsid w:val="00E37D6C"/>
    <w:rsid w:val="00E423EA"/>
    <w:rsid w:val="00E55B68"/>
    <w:rsid w:val="00E67BE6"/>
    <w:rsid w:val="00E8683C"/>
    <w:rsid w:val="00E979CA"/>
    <w:rsid w:val="00EA2B72"/>
    <w:rsid w:val="00EA55E8"/>
    <w:rsid w:val="00EB7D14"/>
    <w:rsid w:val="00EC31F8"/>
    <w:rsid w:val="00EC3F17"/>
    <w:rsid w:val="00F150EE"/>
    <w:rsid w:val="00F51B38"/>
    <w:rsid w:val="00F5287C"/>
    <w:rsid w:val="00F74360"/>
    <w:rsid w:val="00FB462F"/>
    <w:rsid w:val="00FE16FA"/>
    <w:rsid w:val="00FE328A"/>
    <w:rsid w:val="00FE6269"/>
    <w:rsid w:val="00FF5CD6"/>
    <w:rsid w:val="026C695A"/>
    <w:rsid w:val="05B524A3"/>
    <w:rsid w:val="1FA83694"/>
    <w:rsid w:val="235F5328"/>
    <w:rsid w:val="3BA7084C"/>
    <w:rsid w:val="3FEF0729"/>
    <w:rsid w:val="56661B7E"/>
    <w:rsid w:val="567556C1"/>
    <w:rsid w:val="570D4334"/>
    <w:rsid w:val="676C78A4"/>
    <w:rsid w:val="6962740C"/>
    <w:rsid w:val="6C4038DA"/>
    <w:rsid w:val="6EE92007"/>
    <w:rsid w:val="6F645BE2"/>
    <w:rsid w:val="733B13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paragraph" w:customStyle="1" w:styleId="13">
    <w:name w:val="列出段落1"/>
    <w:basedOn w:val="1"/>
    <w:unhideWhenUsed/>
    <w:qFormat/>
    <w:uiPriority w:val="99"/>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DFBDD-C1AD-4382-B0A4-2EB331B5FF0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2553</Words>
  <Characters>14554</Characters>
  <Lines>121</Lines>
  <Paragraphs>34</Paragraphs>
  <TotalTime>21</TotalTime>
  <ScaleCrop>false</ScaleCrop>
  <LinksUpToDate>false</LinksUpToDate>
  <CharactersWithSpaces>17073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rani</cp:lastModifiedBy>
  <cp:lastPrinted>2022-09-14T03:08:00Z</cp:lastPrinted>
  <dcterms:modified xsi:type="dcterms:W3CDTF">2023-09-16T08:02:49Z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1824FCE5CF1B44E9A6E73F530102BC66_13</vt:lpwstr>
  </property>
</Properties>
</file>