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rFonts w:hint="eastAsia"/>
          <w:sz w:val="56"/>
          <w:szCs w:val="56"/>
        </w:rPr>
      </w:pPr>
    </w:p>
    <w:p>
      <w:pPr>
        <w:pStyle w:val="13"/>
        <w:jc w:val="center"/>
        <w:rPr>
          <w:sz w:val="56"/>
          <w:szCs w:val="56"/>
        </w:rPr>
      </w:pPr>
    </w:p>
    <w:p>
      <w:pPr>
        <w:pStyle w:val="13"/>
        <w:jc w:val="center"/>
        <w:rPr>
          <w:sz w:val="84"/>
          <w:szCs w:val="84"/>
        </w:rPr>
      </w:pPr>
    </w:p>
    <w:p>
      <w:pPr>
        <w:pStyle w:val="13"/>
        <w:jc w:val="center"/>
        <w:rPr>
          <w:rFonts w:hint="eastAsia"/>
          <w:sz w:val="84"/>
          <w:szCs w:val="84"/>
          <w:lang w:eastAsia="zh-CN"/>
        </w:rPr>
      </w:pPr>
    </w:p>
    <w:p>
      <w:pPr>
        <w:pStyle w:val="13"/>
        <w:jc w:val="center"/>
        <w:rPr>
          <w:rFonts w:hint="eastAsia"/>
          <w:sz w:val="72"/>
          <w:szCs w:val="72"/>
          <w:lang w:eastAsia="zh-CN"/>
        </w:rPr>
      </w:pPr>
      <w:r>
        <w:rPr>
          <w:rFonts w:hint="eastAsia"/>
          <w:sz w:val="72"/>
          <w:szCs w:val="72"/>
          <w:lang w:eastAsia="zh-CN"/>
        </w:rPr>
        <w:t>2021年度</w:t>
      </w:r>
    </w:p>
    <w:p>
      <w:pPr>
        <w:pStyle w:val="13"/>
        <w:jc w:val="center"/>
        <w:rPr>
          <w:rFonts w:hint="eastAsia"/>
          <w:sz w:val="72"/>
          <w:szCs w:val="72"/>
          <w:lang w:eastAsia="zh-CN"/>
        </w:rPr>
      </w:pPr>
      <w:r>
        <w:rPr>
          <w:rFonts w:hint="eastAsia"/>
          <w:sz w:val="72"/>
          <w:szCs w:val="72"/>
          <w:lang w:eastAsia="zh-CN"/>
        </w:rPr>
        <w:t>湖南省郴州生态环境监测中心</w:t>
      </w:r>
    </w:p>
    <w:p>
      <w:pPr>
        <w:pStyle w:val="13"/>
        <w:jc w:val="center"/>
        <w:rPr>
          <w:sz w:val="72"/>
          <w:szCs w:val="72"/>
        </w:rPr>
      </w:pPr>
      <w:r>
        <w:rPr>
          <w:rFonts w:hint="eastAsia"/>
          <w:sz w:val="72"/>
          <w:szCs w:val="72"/>
        </w:rPr>
        <w:t>部门决算</w:t>
      </w: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jc w:val="center"/>
        <w:rPr>
          <w:sz w:val="32"/>
          <w:szCs w:val="32"/>
        </w:rPr>
      </w:pPr>
    </w:p>
    <w:p>
      <w:pPr>
        <w:pStyle w:val="13"/>
        <w:jc w:val="center"/>
        <w:rPr>
          <w:sz w:val="32"/>
          <w:szCs w:val="32"/>
        </w:rPr>
      </w:pPr>
    </w:p>
    <w:p>
      <w:pPr>
        <w:pStyle w:val="13"/>
        <w:spacing w:line="540" w:lineRule="exact"/>
        <w:jc w:val="center"/>
        <w:rPr>
          <w:sz w:val="56"/>
          <w:szCs w:val="56"/>
        </w:rPr>
      </w:pPr>
    </w:p>
    <w:p>
      <w:pPr>
        <w:pStyle w:val="13"/>
        <w:spacing w:line="500" w:lineRule="exact"/>
        <w:jc w:val="both"/>
        <w:rPr>
          <w:b/>
          <w:sz w:val="36"/>
          <w:szCs w:val="28"/>
        </w:rPr>
      </w:pPr>
    </w:p>
    <w:p>
      <w:pPr>
        <w:pStyle w:val="13"/>
        <w:spacing w:line="500" w:lineRule="exact"/>
        <w:jc w:val="center"/>
        <w:rPr>
          <w:b/>
          <w:sz w:val="36"/>
          <w:szCs w:val="28"/>
        </w:rPr>
      </w:pPr>
      <w:r>
        <w:rPr>
          <w:rFonts w:hint="eastAsia"/>
          <w:b/>
          <w:sz w:val="36"/>
          <w:szCs w:val="28"/>
        </w:rPr>
        <w:t>目录</w:t>
      </w:r>
    </w:p>
    <w:p>
      <w:pPr>
        <w:pStyle w:val="13"/>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湖南省郴州生态环境监测中心</w:t>
      </w:r>
      <w:r>
        <w:rPr>
          <w:rFonts w:hint="eastAsia"/>
          <w:b/>
          <w:sz w:val="28"/>
          <w:szCs w:val="28"/>
        </w:rPr>
        <w:t>单位概况</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3"/>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3"/>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3"/>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3"/>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3"/>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3"/>
        <w:ind w:firstLine="560" w:firstLineChars="200"/>
        <w:rPr>
          <w:rFonts w:hint="eastAsia" w:ascii="仿宋_GB2312" w:hAnsi="仿宋_GB2312" w:eastAsia="宋体" w:cs="仿宋_GB2312"/>
          <w:sz w:val="28"/>
          <w:szCs w:val="28"/>
        </w:rPr>
      </w:pPr>
      <w:r>
        <w:rPr>
          <w:rFonts w:hint="eastAsia" w:ascii="仿宋_GB2312" w:hAnsi="仿宋_GB2312" w:cs="仿宋_GB2312" w:eastAsiaTheme="minorEastAsia"/>
          <w:sz w:val="28"/>
          <w:szCs w:val="28"/>
        </w:rPr>
        <w:t>十三、</w:t>
      </w:r>
      <w:r>
        <w:rPr>
          <w:rFonts w:hint="eastAsia" w:ascii="仿宋_GB2312" w:hAnsi="仿宋_GB2312" w:eastAsia="宋体" w:cs="仿宋_GB2312"/>
          <w:sz w:val="28"/>
          <w:szCs w:val="28"/>
        </w:rPr>
        <w:t>关于部门整体支出、单位项目支出、重点（专项）项目支出绩效自评情况说明</w:t>
      </w:r>
    </w:p>
    <w:p>
      <w:pPr>
        <w:pStyle w:val="13"/>
        <w:spacing w:line="500" w:lineRule="exact"/>
        <w:ind w:firstLine="700" w:firstLineChars="250"/>
        <w:rPr>
          <w:rFonts w:ascii="仿宋_GB2312" w:hAnsi="仿宋_GB2312" w:cs="仿宋_GB2312" w:eastAsiaTheme="minorEastAsia"/>
          <w:sz w:val="28"/>
          <w:szCs w:val="28"/>
        </w:rPr>
      </w:pP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黑体" w:eastAsia="黑体" w:cs="黑体" w:hAnsiTheme="minorHAnsi"/>
          <w:color w:val="000000"/>
          <w:kern w:val="0"/>
          <w:sz w:val="72"/>
          <w:szCs w:val="72"/>
          <w:lang w:val="en-US" w:eastAsia="zh-CN" w:bidi="ar-SA"/>
        </w:rPr>
      </w:pPr>
    </w:p>
    <w:p>
      <w:pPr>
        <w:pStyle w:val="13"/>
        <w:jc w:val="center"/>
        <w:rPr>
          <w:rFonts w:hint="eastAsia" w:ascii="黑体" w:eastAsia="黑体" w:cs="黑体" w:hAnsiTheme="minorHAnsi"/>
          <w:color w:val="000000"/>
          <w:kern w:val="0"/>
          <w:sz w:val="72"/>
          <w:szCs w:val="72"/>
          <w:lang w:val="en-US" w:eastAsia="zh-CN" w:bidi="ar-SA"/>
        </w:rPr>
      </w:pPr>
      <w:r>
        <w:rPr>
          <w:rFonts w:hint="eastAsia" w:ascii="黑体" w:eastAsia="黑体" w:cs="黑体" w:hAnsiTheme="minorHAnsi"/>
          <w:color w:val="000000"/>
          <w:kern w:val="0"/>
          <w:sz w:val="72"/>
          <w:szCs w:val="72"/>
          <w:lang w:val="en-US" w:eastAsia="zh-CN" w:bidi="ar-SA"/>
        </w:rPr>
        <w:t xml:space="preserve">第一部分 </w:t>
      </w:r>
    </w:p>
    <w:p>
      <w:pPr>
        <w:pStyle w:val="13"/>
        <w:jc w:val="center"/>
        <w:rPr>
          <w:rFonts w:hint="eastAsia" w:ascii="黑体" w:eastAsia="黑体" w:cs="黑体" w:hAnsiTheme="minorHAnsi"/>
          <w:color w:val="000000"/>
          <w:kern w:val="0"/>
          <w:sz w:val="72"/>
          <w:szCs w:val="72"/>
          <w:lang w:val="en-US" w:eastAsia="zh-CN" w:bidi="ar-SA"/>
        </w:rPr>
      </w:pPr>
      <w:r>
        <w:rPr>
          <w:rFonts w:hint="eastAsia" w:ascii="黑体" w:eastAsia="黑体" w:cs="黑体" w:hAnsiTheme="minorHAnsi"/>
          <w:color w:val="000000"/>
          <w:kern w:val="0"/>
          <w:sz w:val="72"/>
          <w:szCs w:val="72"/>
          <w:lang w:val="en-US" w:eastAsia="zh-CN" w:bidi="ar-SA"/>
        </w:rPr>
        <w:t>湖南省郴州生态环境监测中心</w:t>
      </w:r>
    </w:p>
    <w:p>
      <w:pPr>
        <w:pStyle w:val="13"/>
        <w:jc w:val="center"/>
        <w:rPr>
          <w:rFonts w:hint="eastAsia" w:ascii="黑体" w:eastAsia="黑体" w:cs="黑体" w:hAnsiTheme="minorHAnsi"/>
          <w:color w:val="000000"/>
          <w:kern w:val="0"/>
          <w:sz w:val="72"/>
          <w:szCs w:val="72"/>
          <w:lang w:val="en-US" w:eastAsia="zh-CN" w:bidi="ar-SA"/>
        </w:rPr>
      </w:pPr>
      <w:r>
        <w:rPr>
          <w:rFonts w:hint="eastAsia" w:ascii="黑体" w:eastAsia="黑体" w:cs="黑体" w:hAnsiTheme="minorHAnsi"/>
          <w:color w:val="000000"/>
          <w:kern w:val="0"/>
          <w:sz w:val="72"/>
          <w:szCs w:val="72"/>
          <w:lang w:val="en-US" w:eastAsia="zh-CN" w:bidi="ar-SA"/>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4"/>
        <w:ind w:left="720" w:firstLine="0" w:firstLineChars="0"/>
        <w:jc w:val="left"/>
        <w:rPr>
          <w:rFonts w:ascii="黑体" w:hAnsi="黑体" w:eastAsia="黑体"/>
          <w:sz w:val="32"/>
          <w:szCs w:val="32"/>
        </w:rPr>
      </w:pPr>
    </w:p>
    <w:p>
      <w:pPr>
        <w:pStyle w:val="14"/>
        <w:ind w:left="720" w:firstLine="0" w:firstLineChars="0"/>
        <w:jc w:val="left"/>
        <w:rPr>
          <w:rFonts w:ascii="黑体" w:hAnsi="黑体" w:eastAsia="黑体"/>
          <w:sz w:val="32"/>
          <w:szCs w:val="32"/>
        </w:rPr>
      </w:pPr>
    </w:p>
    <w:p>
      <w:pPr>
        <w:pStyle w:val="14"/>
        <w:ind w:left="720" w:firstLine="0" w:firstLineChars="0"/>
        <w:jc w:val="left"/>
        <w:rPr>
          <w:rFonts w:ascii="黑体" w:hAnsi="黑体" w:eastAsia="黑体"/>
          <w:sz w:val="32"/>
          <w:szCs w:val="32"/>
        </w:rPr>
      </w:pPr>
    </w:p>
    <w:p>
      <w:pPr>
        <w:pStyle w:val="14"/>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line="600" w:lineRule="exact"/>
        <w:ind w:firstLine="560" w:firstLineChars="200"/>
        <w:rPr>
          <w:rFonts w:hint="eastAsia" w:asciiTheme="minorEastAsia" w:hAnsiTheme="minorEastAsia"/>
          <w:bCs/>
          <w:kern w:val="0"/>
          <w:sz w:val="28"/>
          <w:szCs w:val="28"/>
        </w:rPr>
      </w:pPr>
      <w:r>
        <w:rPr>
          <w:rFonts w:hint="eastAsia" w:asciiTheme="minorEastAsia" w:hAnsiTheme="minorEastAsia"/>
          <w:bCs/>
          <w:kern w:val="0"/>
          <w:sz w:val="28"/>
          <w:szCs w:val="28"/>
          <w:lang w:eastAsia="zh-CN"/>
        </w:rPr>
        <w:t>湖南省</w:t>
      </w:r>
      <w:r>
        <w:rPr>
          <w:rFonts w:hint="eastAsia" w:asciiTheme="minorEastAsia" w:hAnsiTheme="minorEastAsia"/>
          <w:bCs/>
          <w:kern w:val="0"/>
          <w:sz w:val="28"/>
          <w:szCs w:val="28"/>
        </w:rPr>
        <w:t>郴州</w:t>
      </w:r>
      <w:r>
        <w:rPr>
          <w:rFonts w:hint="eastAsia" w:asciiTheme="minorEastAsia" w:hAnsiTheme="minorEastAsia"/>
          <w:bCs/>
          <w:kern w:val="0"/>
          <w:sz w:val="28"/>
          <w:szCs w:val="28"/>
          <w:lang w:eastAsia="zh-CN"/>
        </w:rPr>
        <w:t>生态环境监测中心为</w:t>
      </w:r>
      <w:r>
        <w:rPr>
          <w:rFonts w:hint="eastAsia" w:asciiTheme="minorEastAsia" w:hAnsiTheme="minorEastAsia"/>
          <w:bCs/>
          <w:kern w:val="0"/>
          <w:sz w:val="28"/>
          <w:szCs w:val="28"/>
          <w:lang w:val="en-US" w:eastAsia="zh-CN"/>
        </w:rPr>
        <w:t>省生态环境厅驻市州生态环境监测机构，为副处级公益一类事业单位，由省生态环境厅主管。</w:t>
      </w:r>
      <w:r>
        <w:rPr>
          <w:rFonts w:hint="eastAsia" w:asciiTheme="minorEastAsia" w:hAnsiTheme="minorEastAsia"/>
          <w:bCs/>
          <w:kern w:val="0"/>
          <w:sz w:val="28"/>
          <w:szCs w:val="28"/>
          <w:lang w:eastAsia="zh-CN"/>
        </w:rPr>
        <w:t>单位的主要职责是</w:t>
      </w:r>
      <w:r>
        <w:rPr>
          <w:rFonts w:hint="eastAsia" w:asciiTheme="minorEastAsia" w:hAnsiTheme="minorEastAsia"/>
          <w:bCs/>
          <w:kern w:val="0"/>
          <w:sz w:val="28"/>
          <w:szCs w:val="28"/>
          <w:lang w:val="en-US" w:eastAsia="zh-CN"/>
        </w:rPr>
        <w:t>负责派驻行政区域内生态环境质量监测、分析评价工作；负责派驻行政区域内环境质量监测网络和信息系统的维护管理；指导和协助市州生态环境局开展生态环境应急监测、执法监测、污染源监测等工作；负责对县级环境监测机构开展技术和业务指导；负责承办上级部门交办的其他环境监测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hint="eastAsia" w:asciiTheme="minorEastAsia" w:hAnsiTheme="minorEastAsia"/>
          <w:bCs/>
          <w:kern w:val="0"/>
          <w:sz w:val="28"/>
          <w:szCs w:val="28"/>
        </w:rPr>
      </w:pPr>
      <w:r>
        <w:rPr>
          <w:rFonts w:hint="eastAsia" w:asciiTheme="minorEastAsia" w:hAnsiTheme="minorEastAsia"/>
          <w:bCs/>
          <w:kern w:val="0"/>
          <w:sz w:val="28"/>
          <w:szCs w:val="28"/>
        </w:rPr>
        <w:t>（一）内设机构设置。</w:t>
      </w:r>
    </w:p>
    <w:p>
      <w:pPr>
        <w:widowControl/>
        <w:spacing w:line="600" w:lineRule="exact"/>
        <w:ind w:firstLine="560" w:firstLineChars="200"/>
        <w:rPr>
          <w:rFonts w:asciiTheme="minorEastAsia" w:hAnsiTheme="minorEastAsia"/>
          <w:bCs/>
          <w:kern w:val="0"/>
          <w:sz w:val="28"/>
          <w:szCs w:val="28"/>
        </w:rPr>
      </w:pPr>
      <w:r>
        <w:rPr>
          <w:rFonts w:hint="eastAsia" w:asciiTheme="minorEastAsia" w:hAnsiTheme="minorEastAsia"/>
          <w:bCs/>
          <w:kern w:val="0"/>
          <w:sz w:val="28"/>
          <w:szCs w:val="28"/>
          <w:lang w:val="en-US" w:eastAsia="zh-CN"/>
        </w:rPr>
        <w:t>本部门核定编制60人，在职人员49人，聘用人员23人。内设科室9个，分别是办公室、党建人事科（监察室）、财务科、综合研究科、分析技术科、质量管理科、现场监测科、土壤生态监测科和自动监测科。</w:t>
      </w:r>
    </w:p>
    <w:p>
      <w:pPr>
        <w:widowControl/>
        <w:numPr>
          <w:ilvl w:val="0"/>
          <w:numId w:val="2"/>
        </w:numPr>
        <w:spacing w:line="600" w:lineRule="exact"/>
        <w:rPr>
          <w:rFonts w:hint="eastAsia" w:asciiTheme="minorEastAsia" w:hAnsiTheme="minorEastAsia"/>
          <w:bCs/>
          <w:kern w:val="0"/>
          <w:sz w:val="28"/>
          <w:szCs w:val="28"/>
        </w:rPr>
      </w:pPr>
      <w:r>
        <w:rPr>
          <w:rFonts w:hint="eastAsia" w:asciiTheme="minorEastAsia" w:hAnsiTheme="minorEastAsia"/>
          <w:bCs/>
          <w:kern w:val="0"/>
          <w:sz w:val="28"/>
          <w:szCs w:val="28"/>
        </w:rPr>
        <w:t>决算单位构成。</w:t>
      </w:r>
    </w:p>
    <w:p>
      <w:pPr>
        <w:widowControl/>
        <w:numPr>
          <w:ilvl w:val="-1"/>
          <w:numId w:val="0"/>
        </w:numPr>
        <w:spacing w:line="600" w:lineRule="exact"/>
        <w:ind w:firstLine="560" w:firstLineChars="200"/>
        <w:rPr>
          <w:rFonts w:hint="eastAsia" w:asciiTheme="minorEastAsia" w:hAnsiTheme="minorEastAsia" w:eastAsiaTheme="minorEastAsia"/>
          <w:bCs/>
          <w:kern w:val="0"/>
          <w:sz w:val="28"/>
          <w:szCs w:val="28"/>
          <w:lang w:eastAsia="zh-CN"/>
        </w:rPr>
      </w:pPr>
      <w:r>
        <w:rPr>
          <w:rFonts w:hint="eastAsia" w:asciiTheme="minorEastAsia" w:hAnsiTheme="minorEastAsia"/>
          <w:bCs/>
          <w:kern w:val="0"/>
          <w:sz w:val="28"/>
          <w:szCs w:val="28"/>
          <w:lang w:eastAsia="zh-CN"/>
        </w:rPr>
        <w:t>湖南省</w:t>
      </w:r>
      <w:r>
        <w:rPr>
          <w:rFonts w:hint="eastAsia" w:asciiTheme="minorEastAsia" w:hAnsiTheme="minorEastAsia"/>
          <w:bCs/>
          <w:kern w:val="0"/>
          <w:sz w:val="28"/>
          <w:szCs w:val="28"/>
        </w:rPr>
        <w:t>郴州</w:t>
      </w:r>
      <w:r>
        <w:rPr>
          <w:rFonts w:hint="eastAsia" w:asciiTheme="minorEastAsia" w:hAnsiTheme="minorEastAsia"/>
          <w:bCs/>
          <w:kern w:val="0"/>
          <w:sz w:val="28"/>
          <w:szCs w:val="28"/>
          <w:lang w:eastAsia="zh-CN"/>
        </w:rPr>
        <w:t>生态环境监测中心</w:t>
      </w:r>
      <w:r>
        <w:rPr>
          <w:rFonts w:asciiTheme="minorEastAsia" w:hAnsiTheme="minorEastAsia"/>
          <w:bCs/>
          <w:kern w:val="0"/>
          <w:sz w:val="28"/>
          <w:szCs w:val="28"/>
        </w:rPr>
        <w:t>20</w:t>
      </w:r>
      <w:r>
        <w:rPr>
          <w:rFonts w:hint="eastAsia" w:asciiTheme="minorEastAsia" w:hAnsiTheme="minorEastAsia"/>
          <w:bCs/>
          <w:kern w:val="0"/>
          <w:sz w:val="28"/>
          <w:szCs w:val="28"/>
        </w:rPr>
        <w:t>2</w:t>
      </w:r>
      <w:r>
        <w:rPr>
          <w:rFonts w:hint="eastAsia" w:asciiTheme="minorEastAsia" w:hAnsiTheme="minorEastAsia"/>
          <w:bCs/>
          <w:kern w:val="0"/>
          <w:sz w:val="28"/>
          <w:szCs w:val="28"/>
          <w:lang w:val="en-US" w:eastAsia="zh-CN"/>
        </w:rPr>
        <w:t>1</w:t>
      </w:r>
      <w:r>
        <w:rPr>
          <w:rFonts w:hint="eastAsia" w:asciiTheme="minorEastAsia" w:hAnsiTheme="minorEastAsia"/>
          <w:bCs/>
          <w:kern w:val="0"/>
          <w:sz w:val="28"/>
          <w:szCs w:val="28"/>
        </w:rPr>
        <w:t>年部门决算汇总公开单位构成包括：</w:t>
      </w:r>
      <w:r>
        <w:rPr>
          <w:rFonts w:hint="eastAsia" w:asciiTheme="minorEastAsia" w:hAnsiTheme="minorEastAsia"/>
          <w:bCs/>
          <w:kern w:val="0"/>
          <w:sz w:val="28"/>
          <w:szCs w:val="28"/>
          <w:lang w:eastAsia="zh-CN"/>
        </w:rPr>
        <w:t>湖南省</w:t>
      </w:r>
      <w:r>
        <w:rPr>
          <w:rFonts w:hint="eastAsia" w:asciiTheme="minorEastAsia" w:hAnsiTheme="minorEastAsia"/>
          <w:bCs/>
          <w:kern w:val="0"/>
          <w:sz w:val="28"/>
          <w:szCs w:val="28"/>
        </w:rPr>
        <w:t>郴州</w:t>
      </w:r>
      <w:r>
        <w:rPr>
          <w:rFonts w:hint="eastAsia" w:asciiTheme="minorEastAsia" w:hAnsiTheme="minorEastAsia"/>
          <w:bCs/>
          <w:kern w:val="0"/>
          <w:sz w:val="28"/>
          <w:szCs w:val="28"/>
          <w:lang w:eastAsia="zh-CN"/>
        </w:rPr>
        <w:t>生态环境监测中心</w:t>
      </w:r>
      <w:r>
        <w:rPr>
          <w:rFonts w:hint="eastAsia" w:asciiTheme="minorEastAsia" w:hAnsiTheme="minorEastAsia"/>
          <w:bCs/>
          <w:kern w:val="0"/>
          <w:sz w:val="28"/>
          <w:szCs w:val="28"/>
        </w:rPr>
        <w:t>本级</w:t>
      </w:r>
      <w:r>
        <w:rPr>
          <w:rFonts w:hint="eastAsia" w:asciiTheme="minorEastAsia" w:hAnsiTheme="minorEastAsia"/>
          <w:bCs/>
          <w:kern w:val="0"/>
          <w:sz w:val="28"/>
          <w:szCs w:val="28"/>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1803" w:bottom="720" w:left="1803" w:header="851" w:footer="992" w:gutter="0"/>
          <w:cols w:space="425" w:num="1"/>
          <w:docGrid w:type="lines" w:linePitch="312" w:charSpace="0"/>
        </w:sectPr>
      </w:pPr>
    </w:p>
    <w:tbl>
      <w:tblPr>
        <w:tblStyle w:val="9"/>
        <w:tblW w:w="14081" w:type="dxa"/>
        <w:tblInd w:w="93" w:type="dxa"/>
        <w:tblLayout w:type="autofit"/>
        <w:tblCellMar>
          <w:top w:w="0" w:type="dxa"/>
          <w:left w:w="108" w:type="dxa"/>
          <w:bottom w:w="0" w:type="dxa"/>
          <w:right w:w="108" w:type="dxa"/>
        </w:tblCellMar>
      </w:tblPr>
      <w:tblGrid>
        <w:gridCol w:w="4126"/>
        <w:gridCol w:w="449"/>
        <w:gridCol w:w="631"/>
        <w:gridCol w:w="599"/>
        <w:gridCol w:w="98"/>
        <w:gridCol w:w="232"/>
        <w:gridCol w:w="3468"/>
        <w:gridCol w:w="845"/>
        <w:gridCol w:w="1460"/>
        <w:gridCol w:w="657"/>
        <w:gridCol w:w="1516"/>
      </w:tblGrid>
      <w:tr>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ascii="宋体" w:hAnsi="宋体" w:eastAsia="宋体" w:cs="宋体"/>
                <w:color w:val="000000"/>
                <w:kern w:val="0"/>
                <w:sz w:val="20"/>
                <w:szCs w:val="20"/>
              </w:rPr>
              <w:t xml:space="preserve"> </w:t>
            </w:r>
            <w:r>
              <w:rPr>
                <w:rFonts w:hint="eastAsia" w:ascii="宋体" w:hAnsi="宋体" w:eastAsia="宋体" w:cs="宋体"/>
                <w:i w:val="0"/>
                <w:iCs w:val="0"/>
                <w:color w:val="000000"/>
                <w:kern w:val="0"/>
                <w:sz w:val="22"/>
                <w:szCs w:val="22"/>
                <w:u w:val="none"/>
                <w:lang w:val="en-US" w:eastAsia="zh-CN" w:bidi="ar"/>
              </w:rPr>
              <w:t>湖南省郴州生态环境监测中心</w:t>
            </w:r>
          </w:p>
        </w:tc>
        <w:tc>
          <w:tcPr>
            <w:tcW w:w="697"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5805"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8276"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30"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1,184.22</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0</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lang w:eastAsia="zh-CN"/>
              </w:rPr>
              <w:t>八</w:t>
            </w:r>
            <w:r>
              <w:rPr>
                <w:rFonts w:hint="eastAsia" w:ascii="宋体" w:hAnsi="宋体" w:eastAsia="宋体" w:cs="宋体"/>
                <w:kern w:val="0"/>
                <w:sz w:val="22"/>
              </w:rPr>
              <w:t>、</w:t>
            </w:r>
            <w:r>
              <w:rPr>
                <w:rFonts w:hint="eastAsia" w:ascii="宋体" w:hAnsi="宋体" w:eastAsia="宋体" w:cs="宋体"/>
                <w:kern w:val="0"/>
                <w:sz w:val="22"/>
                <w:lang w:eastAsia="zh-CN"/>
              </w:rPr>
              <w:t>社会保障和就业</w:t>
            </w:r>
            <w:r>
              <w:rPr>
                <w:rFonts w:hint="eastAsia" w:ascii="宋体" w:hAnsi="宋体" w:eastAsia="宋体" w:cs="宋体"/>
                <w:kern w:val="0"/>
                <w:sz w:val="22"/>
              </w:rPr>
              <w:t>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102.03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lang w:eastAsia="zh-CN"/>
              </w:rPr>
              <w:t>九</w:t>
            </w:r>
            <w:r>
              <w:rPr>
                <w:rFonts w:hint="eastAsia" w:ascii="宋体" w:hAnsi="宋体" w:eastAsia="宋体" w:cs="宋体"/>
                <w:kern w:val="0"/>
                <w:sz w:val="22"/>
              </w:rPr>
              <w:t>、</w:t>
            </w:r>
            <w:r>
              <w:rPr>
                <w:rFonts w:hint="eastAsia" w:ascii="宋体" w:hAnsi="宋体" w:eastAsia="宋体" w:cs="宋体"/>
                <w:kern w:val="0"/>
                <w:sz w:val="22"/>
                <w:lang w:eastAsia="zh-CN"/>
              </w:rPr>
              <w:t>卫生健康</w:t>
            </w:r>
            <w:r>
              <w:rPr>
                <w:rFonts w:hint="eastAsia" w:ascii="宋体" w:hAnsi="宋体" w:eastAsia="宋体" w:cs="宋体"/>
                <w:kern w:val="0"/>
                <w:sz w:val="22"/>
              </w:rPr>
              <w:t>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33.81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lang w:eastAsia="zh-CN"/>
              </w:rPr>
              <w:t>十</w:t>
            </w:r>
            <w:r>
              <w:rPr>
                <w:rFonts w:hint="eastAsia" w:ascii="宋体" w:hAnsi="宋体" w:eastAsia="宋体" w:cs="宋体"/>
                <w:kern w:val="0"/>
                <w:sz w:val="22"/>
              </w:rPr>
              <w:t>、</w:t>
            </w:r>
            <w:r>
              <w:rPr>
                <w:rFonts w:hint="eastAsia" w:ascii="宋体" w:hAnsi="宋体" w:eastAsia="宋体" w:cs="宋体"/>
                <w:kern w:val="0"/>
                <w:sz w:val="22"/>
                <w:lang w:eastAsia="zh-CN"/>
              </w:rPr>
              <w:t>节能环保</w:t>
            </w:r>
            <w:r>
              <w:rPr>
                <w:rFonts w:hint="eastAsia" w:ascii="宋体" w:hAnsi="宋体" w:eastAsia="宋体" w:cs="宋体"/>
                <w:kern w:val="0"/>
                <w:sz w:val="22"/>
              </w:rPr>
              <w:t>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2602.61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lang w:eastAsia="zh-CN"/>
              </w:rPr>
              <w:t>十九</w:t>
            </w:r>
            <w:r>
              <w:rPr>
                <w:rFonts w:hint="eastAsia" w:ascii="宋体" w:hAnsi="宋体" w:eastAsia="宋体" w:cs="宋体"/>
                <w:kern w:val="0"/>
                <w:sz w:val="22"/>
              </w:rPr>
              <w:t>、</w:t>
            </w:r>
            <w:r>
              <w:rPr>
                <w:rFonts w:hint="eastAsia" w:ascii="宋体" w:hAnsi="宋体" w:eastAsia="宋体" w:cs="宋体"/>
                <w:kern w:val="0"/>
                <w:sz w:val="22"/>
                <w:lang w:eastAsia="zh-CN"/>
              </w:rPr>
              <w:t>住房保障</w:t>
            </w:r>
            <w:r>
              <w:rPr>
                <w:rFonts w:hint="eastAsia" w:ascii="宋体" w:hAnsi="宋体" w:eastAsia="宋体" w:cs="宋体"/>
                <w:kern w:val="0"/>
                <w:sz w:val="22"/>
              </w:rPr>
              <w:t>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47.73　</w:t>
            </w:r>
          </w:p>
        </w:tc>
      </w:tr>
      <w:tr>
        <w:tblPrEx>
          <w:tblCellMar>
            <w:top w:w="0" w:type="dxa"/>
            <w:left w:w="108" w:type="dxa"/>
            <w:bottom w:w="0" w:type="dxa"/>
            <w:right w:w="108" w:type="dxa"/>
          </w:tblCellMar>
        </w:tblPrEx>
        <w:trPr>
          <w:trHeight w:val="423"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二十三、其他支出</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14.85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kern w:val="0"/>
                <w:sz w:val="22"/>
                <w:lang w:val="en-US" w:eastAsia="zh-CN"/>
              </w:rPr>
            </w:pPr>
            <w:r>
              <w:rPr>
                <w:rFonts w:hint="eastAsia" w:ascii="宋体" w:hAnsi="宋体" w:eastAsia="宋体" w:cs="宋体"/>
                <w:i w:val="0"/>
                <w:iCs w:val="0"/>
                <w:color w:val="000000"/>
                <w:kern w:val="0"/>
                <w:sz w:val="20"/>
                <w:szCs w:val="20"/>
                <w:u w:val="none"/>
                <w:lang w:val="en-US" w:eastAsia="zh-CN" w:bidi="ar"/>
              </w:rPr>
              <w:t>984.63</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230" w:type="dxa"/>
            <w:gridSpan w:val="2"/>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kern w:val="0"/>
                <w:sz w:val="22"/>
                <w:lang w:val="en-US"/>
              </w:rPr>
            </w:pPr>
            <w:r>
              <w:rPr>
                <w:rFonts w:hint="eastAsia" w:ascii="宋体" w:hAnsi="宋体" w:eastAsia="宋体" w:cs="宋体"/>
                <w:i w:val="0"/>
                <w:iCs w:val="0"/>
                <w:color w:val="000000"/>
                <w:kern w:val="0"/>
                <w:sz w:val="20"/>
                <w:szCs w:val="20"/>
                <w:u w:val="none"/>
                <w:lang w:val="en-US" w:eastAsia="zh-CN" w:bidi="ar"/>
              </w:rPr>
              <w:t>2,168.85</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
                <w:bCs/>
                <w:kern w:val="0"/>
                <w:sz w:val="22"/>
                <w:lang w:val="en-US"/>
              </w:rPr>
            </w:pPr>
            <w:r>
              <w:rPr>
                <w:rFonts w:hint="default" w:ascii="宋体" w:hAnsi="宋体" w:eastAsia="宋体" w:cs="宋体"/>
                <w:b/>
                <w:bCs/>
                <w:kern w:val="0"/>
                <w:sz w:val="22"/>
                <w:lang w:val="en-US"/>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363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2,801.03</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1,133.27</w:t>
            </w:r>
          </w:p>
        </w:tc>
        <w:tc>
          <w:tcPr>
            <w:tcW w:w="379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501.1</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23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3,302.13</w:t>
            </w:r>
          </w:p>
        </w:tc>
        <w:tc>
          <w:tcPr>
            <w:tcW w:w="3798"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b/>
                <w:bCs/>
                <w:kern w:val="0"/>
                <w:sz w:val="22"/>
                <w:lang w:val="en-US"/>
              </w:rPr>
            </w:pPr>
          </w:p>
        </w:tc>
        <w:tc>
          <w:tcPr>
            <w:tcW w:w="84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3633"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val="0"/>
                <w:bCs w:val="0"/>
                <w:kern w:val="0"/>
                <w:sz w:val="22"/>
              </w:rPr>
            </w:pPr>
            <w:r>
              <w:rPr>
                <w:rFonts w:hint="eastAsia" w:ascii="宋体" w:hAnsi="宋体" w:eastAsia="宋体" w:cs="宋体"/>
                <w:b w:val="0"/>
                <w:bCs w:val="0"/>
                <w:kern w:val="0"/>
                <w:sz w:val="22"/>
              </w:rPr>
              <w:t>　3302.13</w:t>
            </w:r>
          </w:p>
        </w:tc>
      </w:tr>
      <w:tr>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9"/>
        <w:tblW w:w="15428" w:type="dxa"/>
        <w:tblInd w:w="0" w:type="dxa"/>
        <w:tblLayout w:type="fixed"/>
        <w:tblCellMar>
          <w:top w:w="0" w:type="dxa"/>
          <w:left w:w="0" w:type="dxa"/>
          <w:bottom w:w="0" w:type="dxa"/>
          <w:right w:w="0" w:type="dxa"/>
        </w:tblCellMar>
      </w:tblPr>
      <w:tblGrid>
        <w:gridCol w:w="3736"/>
        <w:gridCol w:w="222"/>
        <w:gridCol w:w="222"/>
        <w:gridCol w:w="3616"/>
        <w:gridCol w:w="1145"/>
        <w:gridCol w:w="1145"/>
        <w:gridCol w:w="1145"/>
        <w:gridCol w:w="724"/>
        <w:gridCol w:w="724"/>
        <w:gridCol w:w="2696"/>
        <w:gridCol w:w="53"/>
      </w:tblGrid>
      <w:tr>
        <w:tblPrEx>
          <w:tblCellMar>
            <w:top w:w="0" w:type="dxa"/>
            <w:left w:w="0" w:type="dxa"/>
            <w:bottom w:w="0" w:type="dxa"/>
            <w:right w:w="0" w:type="dxa"/>
          </w:tblCellMar>
        </w:tblPrEx>
        <w:trPr>
          <w:trHeight w:val="435" w:hRule="atLeast"/>
        </w:trPr>
        <w:tc>
          <w:tcPr>
            <w:tcW w:w="15428" w:type="dxa"/>
            <w:gridSpan w:val="11"/>
            <w:tcBorders>
              <w:top w:val="nil"/>
              <w:left w:val="nil"/>
              <w:bottom w:val="nil"/>
              <w:right w:val="nil"/>
            </w:tcBorders>
            <w:shd w:val="clear" w:color="auto" w:fill="auto"/>
            <w:noWrap/>
            <w:tcMar>
              <w:top w:w="15" w:type="dxa"/>
              <w:left w:w="15" w:type="dxa"/>
              <w:bottom w:w="0" w:type="dxa"/>
              <w:right w:w="15" w:type="dxa"/>
            </w:tcMar>
            <w:vAlign w:val="center"/>
          </w:tcPr>
          <w:tbl>
            <w:tblPr>
              <w:tblStyle w:val="9"/>
              <w:tblW w:w="14930"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330"/>
              <w:gridCol w:w="330"/>
              <w:gridCol w:w="325"/>
              <w:gridCol w:w="5"/>
              <w:gridCol w:w="2845"/>
              <w:gridCol w:w="5"/>
              <w:gridCol w:w="1465"/>
              <w:gridCol w:w="5"/>
              <w:gridCol w:w="1615"/>
              <w:gridCol w:w="5"/>
              <w:gridCol w:w="1495"/>
              <w:gridCol w:w="5"/>
              <w:gridCol w:w="1315"/>
              <w:gridCol w:w="5"/>
              <w:gridCol w:w="1570"/>
              <w:gridCol w:w="5"/>
              <w:gridCol w:w="1795"/>
              <w:gridCol w:w="5"/>
              <w:gridCol w:w="1795"/>
              <w:gridCol w:w="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375" w:hRule="atLeast"/>
              </w:trPr>
              <w:tc>
                <w:tcPr>
                  <w:tcW w:w="14925" w:type="dxa"/>
                  <w:gridSpan w:val="20"/>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300" w:hRule="atLeast"/>
              </w:trPr>
              <w:tc>
                <w:tcPr>
                  <w:tcW w:w="330"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330"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330"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850"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470"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620"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500"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320"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575"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800"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800" w:type="dxa"/>
                  <w:gridSpan w:val="2"/>
                  <w:tcBorders>
                    <w:top w:val="nil"/>
                    <w:left w:val="nil"/>
                    <w:bottom w:val="nil"/>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300" w:hRule="atLeast"/>
              </w:trPr>
              <w:tc>
                <w:tcPr>
                  <w:tcW w:w="3840" w:type="dxa"/>
                  <w:gridSpan w:val="6"/>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部门：湖南省郴州生态环境监测中心</w:t>
                  </w:r>
                </w:p>
              </w:tc>
              <w:tc>
                <w:tcPr>
                  <w:tcW w:w="1470" w:type="dxa"/>
                  <w:gridSpan w:val="2"/>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3120" w:type="dxa"/>
                  <w:gridSpan w:val="4"/>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2021年度</w:t>
                  </w:r>
                </w:p>
              </w:tc>
              <w:tc>
                <w:tcPr>
                  <w:tcW w:w="1320" w:type="dxa"/>
                  <w:gridSpan w:val="2"/>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575" w:type="dxa"/>
                  <w:gridSpan w:val="2"/>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800" w:type="dxa"/>
                  <w:gridSpan w:val="2"/>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800" w:type="dxa"/>
                  <w:gridSpan w:val="2"/>
                  <w:tcBorders>
                    <w:top w:val="nil"/>
                    <w:left w:val="nil"/>
                    <w:bottom w:val="single" w:color="808080" w:sz="4" w:space="0"/>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3840" w:type="dxa"/>
                  <w:gridSpan w:val="6"/>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470" w:type="dxa"/>
                  <w:gridSpan w:val="2"/>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1620" w:type="dxa"/>
                  <w:gridSpan w:val="2"/>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财政拨款收入</w:t>
                  </w:r>
                </w:p>
              </w:tc>
              <w:tc>
                <w:tcPr>
                  <w:tcW w:w="1500" w:type="dxa"/>
                  <w:gridSpan w:val="2"/>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1320" w:type="dxa"/>
                  <w:gridSpan w:val="2"/>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事业收入</w:t>
                  </w:r>
                </w:p>
              </w:tc>
              <w:tc>
                <w:tcPr>
                  <w:tcW w:w="1575" w:type="dxa"/>
                  <w:gridSpan w:val="2"/>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经营收入</w:t>
                  </w:r>
                </w:p>
              </w:tc>
              <w:tc>
                <w:tcPr>
                  <w:tcW w:w="1800" w:type="dxa"/>
                  <w:gridSpan w:val="2"/>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附属单位上缴收入</w:t>
                  </w:r>
                </w:p>
              </w:tc>
              <w:tc>
                <w:tcPr>
                  <w:tcW w:w="1800" w:type="dxa"/>
                  <w:gridSpan w:val="2"/>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2850" w:type="dxa"/>
                  <w:gridSpan w:val="2"/>
                  <w:vMerge w:val="restart"/>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47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62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50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32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575"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80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80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850" w:type="dxa"/>
                  <w:gridSpan w:val="2"/>
                  <w:vMerge w:val="continue"/>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47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62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50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32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575"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80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80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850" w:type="dxa"/>
                  <w:gridSpan w:val="2"/>
                  <w:vMerge w:val="continue"/>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47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62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50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32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575"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80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800" w:type="dxa"/>
                  <w:gridSpan w:val="2"/>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3840" w:type="dxa"/>
                  <w:gridSpan w:val="6"/>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470" w:type="dxa"/>
                  <w:gridSpan w:val="2"/>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20" w:type="dxa"/>
                  <w:gridSpan w:val="2"/>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500" w:type="dxa"/>
                  <w:gridSpan w:val="2"/>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20" w:type="dxa"/>
                  <w:gridSpan w:val="2"/>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575" w:type="dxa"/>
                  <w:gridSpan w:val="2"/>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800" w:type="dxa"/>
                  <w:gridSpan w:val="2"/>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800" w:type="dxa"/>
                  <w:gridSpan w:val="2"/>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3840" w:type="dxa"/>
                  <w:gridSpan w:val="6"/>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2,168.85</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1,184.22</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984.63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科学技术支出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300.00</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20609</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科技重大项目</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300.00</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2060999</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其他科技重大项目</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102.03</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80.01</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102.03</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80.01</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2080502</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9.60</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70.41</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70.41</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2080506</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22.02</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33.81</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33.81</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1,651.04</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1,022.67</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628.37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960.72</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525.15</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435.57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760.72</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525.15</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2110102</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21102</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环境监测与监察</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179.02</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36.20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2110299</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其他环境监测与监察支出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179.02</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36.20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21103</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污染防治</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84.98</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35.00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2110301</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大气</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49.98</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2110307</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土壤</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21111</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污染减排</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426.32</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426.32</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2111101</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生态环境监测与信息</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426.32</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426.32</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47.73</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47.73</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34.25</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45"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22999</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34.25</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dxa"/>
                <w:trHeight w:val="300" w:hRule="atLeast"/>
              </w:trPr>
              <w:tc>
                <w:tcPr>
                  <w:tcW w:w="990"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2299999</w:t>
                  </w:r>
                </w:p>
              </w:tc>
              <w:tc>
                <w:tcPr>
                  <w:tcW w:w="285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47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34.25</w:t>
                  </w:r>
                </w:p>
              </w:tc>
              <w:tc>
                <w:tcPr>
                  <w:tcW w:w="16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575"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00" w:type="dxa"/>
                  <w:gridSpan w:val="2"/>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300" w:hRule="atLeast"/>
              </w:trPr>
              <w:tc>
                <w:tcPr>
                  <w:tcW w:w="14925" w:type="dxa"/>
                  <w:gridSpan w:val="20"/>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注：本表反映部门本年度取得的各项收入情况。</w:t>
                  </w:r>
                </w:p>
              </w:tc>
            </w:tr>
          </w:tbl>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both"/>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both"/>
              <w:rPr>
                <w:rFonts w:ascii="华文中宋" w:hAnsi="华文中宋" w:eastAsia="华文中宋" w:cs="宋体"/>
                <w:color w:val="00000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75" w:hRule="atLeast"/>
        </w:trPr>
        <w:tc>
          <w:tcPr>
            <w:tcW w:w="15375" w:type="dxa"/>
            <w:gridSpan w:val="10"/>
            <w:tcBorders>
              <w:top w:val="nil"/>
              <w:left w:val="nil"/>
              <w:bottom w:val="nil"/>
              <w:right w:val="single" w:color="808080" w:sz="4" w:space="0"/>
            </w:tcBorders>
            <w:shd w:val="clear" w:color="auto" w:fill="FFFFFF"/>
            <w:noWrap/>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30"/>
                <w:szCs w:val="30"/>
                <w:u w:val="none"/>
                <w:lang w:val="en-US" w:eastAsia="zh-CN" w:bidi="ar"/>
              </w:rPr>
            </w:pPr>
          </w:p>
          <w:p>
            <w:pPr>
              <w:keepNext w:val="0"/>
              <w:keepLines w:val="0"/>
              <w:widowControl/>
              <w:suppressLineNumbers w:val="0"/>
              <w:jc w:val="center"/>
              <w:textAlignment w:val="center"/>
              <w:rPr>
                <w:rFonts w:hint="eastAsia" w:ascii="黑体" w:hAnsi="宋体" w:eastAsia="黑体" w:cs="黑体"/>
                <w:i w:val="0"/>
                <w:iCs w:val="0"/>
                <w:color w:val="000000"/>
                <w:kern w:val="0"/>
                <w:sz w:val="30"/>
                <w:szCs w:val="30"/>
                <w:u w:val="none"/>
                <w:lang w:val="en-US" w:eastAsia="zh-CN" w:bidi="ar"/>
              </w:rPr>
            </w:pPr>
          </w:p>
          <w:p>
            <w:pPr>
              <w:keepNext w:val="0"/>
              <w:keepLines w:val="0"/>
              <w:widowControl/>
              <w:suppressLineNumbers w:val="0"/>
              <w:jc w:val="center"/>
              <w:textAlignment w:val="center"/>
              <w:rPr>
                <w:rFonts w:hint="eastAsia" w:ascii="黑体" w:hAnsi="宋体" w:eastAsia="黑体" w:cs="黑体"/>
                <w:i w:val="0"/>
                <w:iCs w:val="0"/>
                <w:color w:val="000000"/>
                <w:kern w:val="0"/>
                <w:sz w:val="30"/>
                <w:szCs w:val="30"/>
                <w:u w:val="none"/>
                <w:lang w:val="en-US" w:eastAsia="zh-CN" w:bidi="ar"/>
              </w:rPr>
            </w:pPr>
          </w:p>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696" w:type="dxa"/>
            <w:tcBorders>
              <w:top w:val="nil"/>
              <w:left w:val="nil"/>
              <w:bottom w:val="nil"/>
              <w:right w:val="single" w:color="80808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部门：湖南省郴州生态环境监测中心</w:t>
            </w:r>
          </w:p>
        </w:tc>
        <w:tc>
          <w:tcPr>
            <w:tcW w:w="0" w:type="auto"/>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rPr>
                <w:rFonts w:hint="eastAsia" w:ascii="宋体" w:hAnsi="宋体" w:eastAsia="宋体" w:cs="宋体"/>
                <w:i w:val="0"/>
                <w:iCs w:val="0"/>
                <w:color w:val="000000"/>
                <w:sz w:val="18"/>
                <w:szCs w:val="18"/>
                <w:u w:val="none"/>
              </w:rPr>
            </w:pPr>
          </w:p>
        </w:tc>
        <w:tc>
          <w:tcPr>
            <w:tcW w:w="7051" w:type="dxa"/>
            <w:gridSpan w:val="4"/>
            <w:tcBorders>
              <w:top w:val="nil"/>
              <w:left w:val="nil"/>
              <w:bottom w:val="nil"/>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0" w:type="auto"/>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696" w:type="dxa"/>
            <w:tcBorders>
              <w:top w:val="nil"/>
              <w:left w:val="nil"/>
              <w:bottom w:val="single" w:color="808080" w:sz="4" w:space="0"/>
              <w:right w:val="single" w:color="80808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1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1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1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724"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上缴上级支出</w:t>
            </w:r>
          </w:p>
        </w:tc>
        <w:tc>
          <w:tcPr>
            <w:tcW w:w="724"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经营支出</w:t>
            </w:r>
          </w:p>
        </w:tc>
        <w:tc>
          <w:tcPr>
            <w:tcW w:w="2696"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418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24"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24"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696"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418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24"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24"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696"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418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24"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724"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696"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724" w:type="dxa"/>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24" w:type="dxa"/>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696" w:type="dxa"/>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2,801.03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1,142.72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1,658.30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102.03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2,602.61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959.16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1,643.45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959.16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959.16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759.16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759.16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环境监测与监察</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179.02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2110299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其他环境监测与监察支出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污染防治</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882.15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882.15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大气</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38.52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38.52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2110307</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土壤</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2110399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其他污染防治支出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813.22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813.22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21111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污染减排</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582.29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582.29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2111101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生态环境监测与信息</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582.29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582.29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14.85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14.85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22999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14.85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14.85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2299999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9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3" w:type="dxa"/>
          <w:trHeight w:val="300" w:hRule="atLeast"/>
        </w:trPr>
        <w:tc>
          <w:tcPr>
            <w:tcW w:w="15375" w:type="dxa"/>
            <w:gridSpan w:val="10"/>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注：本表反映部门本年度各项支出情况。</w:t>
            </w:r>
          </w:p>
        </w:tc>
      </w:tr>
    </w:tbl>
    <w:tbl>
      <w:tblPr>
        <w:tblStyle w:val="9"/>
        <w:tblpPr w:leftFromText="180" w:rightFromText="180" w:vertAnchor="text" w:horzAnchor="page" w:tblpX="836" w:tblpY="598"/>
        <w:tblOverlap w:val="never"/>
        <w:tblW w:w="155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92"/>
        <w:gridCol w:w="948"/>
        <w:gridCol w:w="1316"/>
        <w:gridCol w:w="3102"/>
        <w:gridCol w:w="662"/>
        <w:gridCol w:w="1695"/>
        <w:gridCol w:w="1695"/>
        <w:gridCol w:w="1695"/>
        <w:gridCol w:w="1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5521" w:type="dxa"/>
            <w:gridSpan w:val="9"/>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948"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316"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102"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662"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95"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95"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95"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6" w:type="dxa"/>
            <w:tcBorders>
              <w:top w:val="nil"/>
              <w:left w:val="nil"/>
              <w:bottom w:val="nil"/>
              <w:right w:val="single" w:color="80808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856" w:type="dxa"/>
            <w:gridSpan w:val="3"/>
            <w:tcBorders>
              <w:top w:val="nil"/>
              <w:left w:val="nil"/>
              <w:bottom w:val="single" w:color="808080" w:sz="4" w:space="0"/>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部门：湖南省郴州生态环境监测中心</w:t>
            </w:r>
          </w:p>
        </w:tc>
        <w:tc>
          <w:tcPr>
            <w:tcW w:w="3102" w:type="dxa"/>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2357" w:type="dxa"/>
            <w:gridSpan w:val="2"/>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2021年度</w:t>
            </w:r>
          </w:p>
        </w:tc>
        <w:tc>
          <w:tcPr>
            <w:tcW w:w="1695" w:type="dxa"/>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695" w:type="dxa"/>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816" w:type="dxa"/>
            <w:tcBorders>
              <w:top w:val="nil"/>
              <w:left w:val="nil"/>
              <w:bottom w:val="single" w:color="808080" w:sz="4" w:space="0"/>
              <w:right w:val="single" w:color="80808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856"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     入</w:t>
            </w:r>
          </w:p>
        </w:tc>
        <w:tc>
          <w:tcPr>
            <w:tcW w:w="10665" w:type="dxa"/>
            <w:gridSpan w:val="6"/>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592" w:type="dxa"/>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948"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1316"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3102" w:type="dxa"/>
            <w:vMerge w:val="restart"/>
            <w:tcBorders>
              <w:top w:val="nil"/>
              <w:left w:val="nil"/>
              <w:bottom w:val="single" w:color="000000" w:sz="4" w:space="0"/>
              <w:right w:val="single" w:color="000000" w:sz="4" w:space="0"/>
            </w:tcBorders>
            <w:shd w:val="clear" w:color="auto" w:fill="FFFFFF"/>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662"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1695" w:type="dxa"/>
            <w:vMerge w:val="restart"/>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695"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一般公共预算财政拨款</w:t>
            </w:r>
          </w:p>
        </w:tc>
        <w:tc>
          <w:tcPr>
            <w:tcW w:w="1695"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政府性基金预算财政拨款</w:t>
            </w:r>
          </w:p>
        </w:tc>
        <w:tc>
          <w:tcPr>
            <w:tcW w:w="1816"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592" w:type="dxa"/>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948"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316"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102" w:type="dxa"/>
            <w:vMerge w:val="continue"/>
            <w:tcBorders>
              <w:top w:val="nil"/>
              <w:left w:val="nil"/>
              <w:bottom w:val="single" w:color="000000" w:sz="4" w:space="0"/>
              <w:right w:val="single" w:color="000000" w:sz="4" w:space="0"/>
            </w:tcBorders>
            <w:shd w:val="clear" w:color="auto" w:fill="FFFFFF"/>
            <w:vAlign w:val="bottom"/>
          </w:tcPr>
          <w:p>
            <w:pPr>
              <w:jc w:val="center"/>
              <w:rPr>
                <w:rFonts w:hint="eastAsia" w:ascii="宋体" w:hAnsi="宋体" w:eastAsia="宋体" w:cs="宋体"/>
                <w:i w:val="0"/>
                <w:iCs w:val="0"/>
                <w:color w:val="000000"/>
                <w:sz w:val="20"/>
                <w:szCs w:val="20"/>
                <w:u w:val="none"/>
              </w:rPr>
            </w:pPr>
          </w:p>
        </w:tc>
        <w:tc>
          <w:tcPr>
            <w:tcW w:w="662"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695" w:type="dxa"/>
            <w:vMerge w:val="continue"/>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695"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695"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816"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948"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3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102" w:type="dxa"/>
            <w:tcBorders>
              <w:top w:val="nil"/>
              <w:left w:val="nil"/>
              <w:bottom w:val="single" w:color="000000" w:sz="4" w:space="0"/>
              <w:right w:val="single" w:color="000000" w:sz="4" w:space="0"/>
            </w:tcBorders>
            <w:shd w:val="clear" w:color="auto" w:fill="FFFFFF"/>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662"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w:t>
            </w: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1,184.22</w:t>
            </w: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w:t>
            </w: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三、国有资本经营财政拨款</w:t>
            </w: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80.01</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80.01</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33.81</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33.81</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1,985.70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1,985.70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47.73</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47.73</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b/>
                <w:bCs/>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3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3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1,184.22</w:t>
            </w: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2,147.25</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2,147.25</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年初财政拨款结转和结余</w:t>
            </w: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3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1,133.27</w:t>
            </w: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年末财政拨款结转和结余</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170.24</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170.24</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一般公共预算财政拨款</w:t>
            </w: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3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1,133.27</w:t>
            </w:r>
          </w:p>
        </w:tc>
        <w:tc>
          <w:tcPr>
            <w:tcW w:w="3102"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695"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695"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695"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8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政府性基金预算财政拨款</w:t>
            </w: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3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102"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1695"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695"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695"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8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国有资本经营预算财政拨款</w:t>
            </w: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3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102"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695"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695"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695"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1816" w:type="dxa"/>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948"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3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2,317.49</w:t>
            </w:r>
          </w:p>
        </w:tc>
        <w:tc>
          <w:tcPr>
            <w:tcW w:w="310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66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2,317.49</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2,317.49</w:t>
            </w:r>
          </w:p>
        </w:tc>
        <w:tc>
          <w:tcPr>
            <w:tcW w:w="1695"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1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705" w:type="dxa"/>
            <w:gridSpan w:val="8"/>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注：本表反映部门本年度一般公共预算财政拨款、政府性基金预算财政拨款和国有资本经营预算财政拨款的总收支和年末结转结余情况。</w:t>
            </w:r>
          </w:p>
        </w:tc>
        <w:tc>
          <w:tcPr>
            <w:tcW w:w="1816" w:type="dxa"/>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bl>
    <w:p>
      <w:pPr>
        <w:widowControl/>
        <w:jc w:val="both"/>
        <w:rPr>
          <w:rFonts w:ascii="Times New Roman" w:hAnsi="Times New Roman" w:eastAsia="方正小标宋_GBK" w:cs="Times New Roman"/>
          <w:color w:val="000000"/>
          <w:kern w:val="0"/>
          <w:sz w:val="36"/>
          <w:szCs w:val="21"/>
        </w:rPr>
      </w:pPr>
    </w:p>
    <w:p>
      <w:pPr>
        <w:widowControl/>
        <w:jc w:val="both"/>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tbl>
      <w:tblPr>
        <w:tblStyle w:val="9"/>
        <w:tblpPr w:leftFromText="180" w:rightFromText="180" w:vertAnchor="text" w:horzAnchor="page" w:tblpX="2370" w:tblpY="514"/>
        <w:tblOverlap w:val="never"/>
        <w:tblW w:w="130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9"/>
        <w:gridCol w:w="306"/>
        <w:gridCol w:w="306"/>
        <w:gridCol w:w="4426"/>
        <w:gridCol w:w="2082"/>
        <w:gridCol w:w="1880"/>
        <w:gridCol w:w="29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3050" w:type="dxa"/>
            <w:gridSpan w:val="7"/>
            <w:tcBorders>
              <w:top w:val="nil"/>
              <w:left w:val="nil"/>
              <w:bottom w:val="nil"/>
              <w:right w:val="single" w:color="808080" w:sz="4" w:space="0"/>
            </w:tcBorders>
            <w:shd w:val="clear" w:color="auto" w:fill="FFFFFF"/>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39"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306"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306"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4426"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082"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880"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911" w:type="dxa"/>
            <w:tcBorders>
              <w:top w:val="nil"/>
              <w:left w:val="nil"/>
              <w:bottom w:val="nil"/>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77" w:type="dxa"/>
            <w:gridSpan w:val="4"/>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部门：湖南省郴州生态环境监测中心</w:t>
            </w:r>
          </w:p>
        </w:tc>
        <w:tc>
          <w:tcPr>
            <w:tcW w:w="2082" w:type="dxa"/>
            <w:tcBorders>
              <w:top w:val="nil"/>
              <w:left w:val="nil"/>
              <w:bottom w:val="single" w:color="80808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1880"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911" w:type="dxa"/>
            <w:tcBorders>
              <w:top w:val="nil"/>
              <w:left w:val="nil"/>
              <w:bottom w:val="single" w:color="808080" w:sz="4" w:space="0"/>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77"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6873" w:type="dxa"/>
            <w:gridSpan w:val="3"/>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4426" w:type="dxa"/>
            <w:vMerge w:val="restart"/>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2082"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880"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2911"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51" w:type="dxa"/>
            <w:gridSpan w:val="3"/>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26" w:type="dxa"/>
            <w:vMerge w:val="continue"/>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2082"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880"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911"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4426" w:type="dxa"/>
            <w:vMerge w:val="continue"/>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2082"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880"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911"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77"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177" w:type="dxa"/>
            <w:gridSpan w:val="4"/>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2,147.25</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685.14</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1,462.11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80.01</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80.01</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80.01</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80.01</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2080502</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9.60</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9.60</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70.41</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70.41</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33.81</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33.81</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33.81</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1,985.70</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523.59</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1,462.11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523.59</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523.59</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523.59</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523.59</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21102</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环境监测与监察</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36.20</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36.20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2110299</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其他环境监测与监察支出</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36.20</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21103</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污染防治</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843.63</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843.63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2110307</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土壤</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30.41</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2110399</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其他污染防治支出</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813.22</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813.22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21111</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污染减排</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582.29</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582.29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2111101</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生态环境监测与信息</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582.29</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47.73</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751" w:type="dxa"/>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4426"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2082"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47.73</w:t>
            </w:r>
          </w:p>
        </w:tc>
        <w:tc>
          <w:tcPr>
            <w:tcW w:w="1880"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47.73</w:t>
            </w:r>
          </w:p>
        </w:tc>
        <w:tc>
          <w:tcPr>
            <w:tcW w:w="2911" w:type="dxa"/>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50" w:type="dxa"/>
            <w:gridSpan w:val="7"/>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注：本表反映部门本年度一般公共预算财政拨款支出情况。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bookmarkEnd w:id="1"/>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9"/>
        <w:tblW w:w="1582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6"/>
        <w:gridCol w:w="3216"/>
        <w:gridCol w:w="1432"/>
        <w:gridCol w:w="716"/>
        <w:gridCol w:w="2216"/>
        <w:gridCol w:w="1043"/>
        <w:gridCol w:w="716"/>
        <w:gridCol w:w="4016"/>
        <w:gridCol w:w="1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5827" w:type="dxa"/>
            <w:gridSpan w:val="9"/>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nil"/>
              <w:left w:val="nil"/>
              <w:bottom w:val="single" w:color="80808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部门：湖南省郴州生态环境监测中心</w:t>
            </w:r>
          </w:p>
        </w:tc>
        <w:tc>
          <w:tcPr>
            <w:tcW w:w="0" w:type="auto"/>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0" w:type="auto"/>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single" w:color="80808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0" w:type="auto"/>
            <w:gridSpan w:val="6"/>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92" w:type="dxa"/>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3075"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603"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692"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2122"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429"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692"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3837"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685"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92" w:type="dxa"/>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075"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603"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692"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122"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429"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692"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3837"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685"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567.65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94.19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基本工资</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313.68</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津贴补贴</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印刷费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奖金</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咨询费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伙食补助费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手续费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绩效工资</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54.39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57.53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职业年金缴费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31007</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信息网络及软件购置更新</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31008</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78.26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租赁费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地上附着物和青苗补偿</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离休费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退休费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其他交通工具购置</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退职（役）费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专用材料费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文物和陈列品购置</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抚恤金</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被装购置费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无形资产购置</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生活补助</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专用燃料费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31099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救济费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劳务费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医疗费补助</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39906</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赠与</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工会经费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15.82</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39907</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奖励金</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39908</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对民间非营利组织和群众性自治组织补贴</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公务用车运行维护费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30.43</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39999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代缴社会保险费</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其他交通费用</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税金及附加费用</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0.02</w:t>
            </w: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nil"/>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其他商品和服务支出</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gridSpan w:val="2"/>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人员经费合计</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590.95</w:t>
            </w:r>
          </w:p>
        </w:tc>
        <w:tc>
          <w:tcPr>
            <w:tcW w:w="0" w:type="auto"/>
            <w:gridSpan w:val="5"/>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公用经费合计</w:t>
            </w:r>
          </w:p>
        </w:tc>
        <w:tc>
          <w:tcPr>
            <w:tcW w:w="0" w:type="auto"/>
            <w:tcBorders>
              <w:top w:val="nil"/>
              <w:left w:val="nil"/>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gridSpan w:val="9"/>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注：本表反映部门本年度一般公共预算财政拨款基本支出明细情况。</w:t>
            </w:r>
          </w:p>
        </w:tc>
      </w:tr>
    </w:tbl>
    <w:p>
      <w:pPr>
        <w:widowControl/>
        <w:jc w:val="both"/>
        <w:rPr>
          <w:rFonts w:hint="eastAsia" w:ascii="Times New Roman" w:hAnsi="Times New Roman" w:eastAsia="方正小标宋_GBK" w:cs="Times New Roman"/>
          <w:color w:val="000000"/>
          <w:kern w:val="0"/>
          <w:sz w:val="36"/>
          <w:szCs w:val="36"/>
        </w:rPr>
      </w:pPr>
    </w:p>
    <w:p>
      <w:pPr>
        <w:widowControl/>
        <w:jc w:val="both"/>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9"/>
        <w:tblW w:w="1582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92"/>
        <w:gridCol w:w="2078"/>
        <w:gridCol w:w="1034"/>
        <w:gridCol w:w="1034"/>
        <w:gridCol w:w="1034"/>
        <w:gridCol w:w="1029"/>
        <w:gridCol w:w="1034"/>
        <w:gridCol w:w="1034"/>
        <w:gridCol w:w="1034"/>
        <w:gridCol w:w="1034"/>
        <w:gridCol w:w="1034"/>
        <w:gridCol w:w="1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5827" w:type="dxa"/>
            <w:gridSpan w:val="12"/>
            <w:tcBorders>
              <w:top w:val="nil"/>
              <w:left w:val="nil"/>
              <w:bottom w:val="nil"/>
              <w:right w:val="single" w:color="80808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692"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22"/>
                <w:szCs w:val="22"/>
                <w:u w:val="none"/>
              </w:rPr>
            </w:pPr>
          </w:p>
        </w:tc>
        <w:tc>
          <w:tcPr>
            <w:tcW w:w="2078"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29"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756" w:type="dxa"/>
            <w:tcBorders>
              <w:top w:val="nil"/>
              <w:left w:val="nil"/>
              <w:bottom w:val="nil"/>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70" w:type="dxa"/>
            <w:gridSpan w:val="2"/>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部门：湖南省郴州生态环境监测中心</w:t>
            </w:r>
          </w:p>
        </w:tc>
        <w:tc>
          <w:tcPr>
            <w:tcW w:w="1034"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063" w:type="dxa"/>
            <w:gridSpan w:val="2"/>
            <w:tcBorders>
              <w:top w:val="nil"/>
              <w:left w:val="nil"/>
              <w:bottom w:val="single" w:color="808080" w:sz="4" w:space="0"/>
              <w:right w:val="nil"/>
            </w:tcBorders>
            <w:shd w:val="clear" w:color="auto" w:fill="FFFFFF"/>
            <w:noWrap/>
            <w:vAlign w:val="center"/>
          </w:tcPr>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1034"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034" w:type="dxa"/>
            <w:tcBorders>
              <w:top w:val="nil"/>
              <w:left w:val="nil"/>
              <w:bottom w:val="single" w:color="808080"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756" w:type="dxa"/>
            <w:tcBorders>
              <w:top w:val="nil"/>
              <w:left w:val="nil"/>
              <w:bottom w:val="single" w:color="808080" w:sz="4" w:space="0"/>
              <w:right w:val="single" w:color="80808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8901" w:type="dxa"/>
            <w:gridSpan w:val="6"/>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w:t>
            </w:r>
          </w:p>
        </w:tc>
        <w:tc>
          <w:tcPr>
            <w:tcW w:w="6926" w:type="dxa"/>
            <w:gridSpan w:val="6"/>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trPr>
        <w:tc>
          <w:tcPr>
            <w:tcW w:w="2692" w:type="dxa"/>
            <w:vMerge w:val="restart"/>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078"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因公出国（境）费</w:t>
            </w:r>
          </w:p>
        </w:tc>
        <w:tc>
          <w:tcPr>
            <w:tcW w:w="3102" w:type="dxa"/>
            <w:gridSpan w:val="3"/>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公务用车购置及运行费</w:t>
            </w:r>
          </w:p>
        </w:tc>
        <w:tc>
          <w:tcPr>
            <w:tcW w:w="1029"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c>
          <w:tcPr>
            <w:tcW w:w="1034"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034"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因公出国（境）费</w:t>
            </w:r>
          </w:p>
        </w:tc>
        <w:tc>
          <w:tcPr>
            <w:tcW w:w="3102" w:type="dxa"/>
            <w:gridSpan w:val="3"/>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公务用车购置及运行费</w:t>
            </w:r>
          </w:p>
        </w:tc>
        <w:tc>
          <w:tcPr>
            <w:tcW w:w="1756" w:type="dxa"/>
            <w:vMerge w:val="restart"/>
            <w:tcBorders>
              <w:top w:val="nil"/>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4" w:hRule="atLeast"/>
        </w:trPr>
        <w:tc>
          <w:tcPr>
            <w:tcW w:w="2692" w:type="dxa"/>
            <w:vMerge w:val="continue"/>
            <w:tcBorders>
              <w:top w:val="nil"/>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078"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034" w:type="dxa"/>
            <w:tcBorders>
              <w:top w:val="nil"/>
              <w:left w:val="nil"/>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034" w:type="dxa"/>
            <w:tcBorders>
              <w:top w:val="nil"/>
              <w:left w:val="nil"/>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公务用车购置费</w:t>
            </w:r>
          </w:p>
        </w:tc>
        <w:tc>
          <w:tcPr>
            <w:tcW w:w="1034" w:type="dxa"/>
            <w:tcBorders>
              <w:top w:val="nil"/>
              <w:left w:val="nil"/>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公务用车运行费</w:t>
            </w:r>
          </w:p>
        </w:tc>
        <w:tc>
          <w:tcPr>
            <w:tcW w:w="1029"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034"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034"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1034" w:type="dxa"/>
            <w:tcBorders>
              <w:top w:val="nil"/>
              <w:left w:val="nil"/>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034" w:type="dxa"/>
            <w:tcBorders>
              <w:top w:val="nil"/>
              <w:left w:val="nil"/>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公务用车购置费</w:t>
            </w:r>
          </w:p>
        </w:tc>
        <w:tc>
          <w:tcPr>
            <w:tcW w:w="1034" w:type="dxa"/>
            <w:tcBorders>
              <w:top w:val="nil"/>
              <w:left w:val="nil"/>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公务用车运行费</w:t>
            </w:r>
          </w:p>
        </w:tc>
        <w:tc>
          <w:tcPr>
            <w:tcW w:w="1756" w:type="dxa"/>
            <w:vMerge w:val="continue"/>
            <w:tcBorders>
              <w:top w:val="nil"/>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2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0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0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75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2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53.50</w:t>
            </w:r>
          </w:p>
        </w:tc>
        <w:tc>
          <w:tcPr>
            <w:tcW w:w="20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49.50</w:t>
            </w:r>
          </w:p>
        </w:tc>
        <w:tc>
          <w:tcPr>
            <w:tcW w:w="10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18.00</w:t>
            </w:r>
          </w:p>
        </w:tc>
        <w:tc>
          <w:tcPr>
            <w:tcW w:w="10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31.50</w:t>
            </w:r>
          </w:p>
        </w:tc>
        <w:tc>
          <w:tcPr>
            <w:tcW w:w="10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c>
          <w:tcPr>
            <w:tcW w:w="10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51.94</w:t>
            </w:r>
          </w:p>
        </w:tc>
        <w:tc>
          <w:tcPr>
            <w:tcW w:w="10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48.41</w:t>
            </w:r>
          </w:p>
        </w:tc>
        <w:tc>
          <w:tcPr>
            <w:tcW w:w="10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17.98</w:t>
            </w:r>
          </w:p>
        </w:tc>
        <w:tc>
          <w:tcPr>
            <w:tcW w:w="10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30.43</w:t>
            </w:r>
          </w:p>
        </w:tc>
        <w:tc>
          <w:tcPr>
            <w:tcW w:w="175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15827" w:type="dxa"/>
            <w:gridSpan w:val="12"/>
            <w:tcBorders>
              <w:top w:val="nil"/>
              <w:left w:val="nil"/>
              <w:bottom w:val="nil"/>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湖南省郴州生态环境监测中心</w:t>
      </w:r>
      <w:r>
        <w:rPr>
          <w:rFonts w:ascii="Times New Roman" w:hAnsi="Times New Roman" w:eastAsia="仿宋_GB2312" w:cs="Times New Roman"/>
          <w:color w:val="000000"/>
          <w:kern w:val="0"/>
          <w:szCs w:val="21"/>
        </w:rPr>
        <w:t xml:space="preserve">                                                                                            公开08表</w:t>
      </w:r>
    </w:p>
    <w:p>
      <w:pPr>
        <w:widowControl/>
        <w:jc w:val="center"/>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9"/>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0"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ind w:firstLine="630" w:firstLineChars="3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ind w:firstLine="1050" w:firstLineChars="500"/>
        <w:jc w:val="left"/>
        <w:rPr>
          <w:rFonts w:ascii="黑体" w:hAnsi="黑体" w:eastAsia="黑体"/>
          <w:szCs w:val="21"/>
        </w:rPr>
      </w:pPr>
      <w:r>
        <w:rPr>
          <w:rFonts w:hint="eastAsia" w:ascii="Times New Roman" w:hAnsi="Times New Roman" w:eastAsia="仿宋_GB2312" w:cs="Times New Roman"/>
          <w:kern w:val="0"/>
          <w:szCs w:val="21"/>
        </w:rPr>
        <w:t>湖南省郴州生态环境监测中心没有政府性基金收入，也没有使用政府性基金安排的支出，故本表无数据。</w:t>
      </w:r>
      <w:r>
        <w:rPr>
          <w:rFonts w:ascii="黑体" w:hAnsi="黑体" w:eastAsia="黑体"/>
          <w:szCs w:val="21"/>
        </w:rPr>
        <w:br w:type="page"/>
      </w:r>
    </w:p>
    <w:tbl>
      <w:tblPr>
        <w:tblStyle w:val="9"/>
        <w:tblW w:w="13366" w:type="dxa"/>
        <w:tblInd w:w="1245" w:type="dxa"/>
        <w:tblLayout w:type="autofit"/>
        <w:tblCellMar>
          <w:top w:w="0" w:type="dxa"/>
          <w:left w:w="108" w:type="dxa"/>
          <w:bottom w:w="0" w:type="dxa"/>
          <w:right w:w="108" w:type="dxa"/>
        </w:tblCellMar>
      </w:tblPr>
      <w:tblGrid>
        <w:gridCol w:w="236"/>
        <w:gridCol w:w="560"/>
        <w:gridCol w:w="187"/>
        <w:gridCol w:w="1035"/>
        <w:gridCol w:w="1665"/>
        <w:gridCol w:w="328"/>
        <w:gridCol w:w="897"/>
        <w:gridCol w:w="328"/>
        <w:gridCol w:w="998"/>
        <w:gridCol w:w="1294"/>
        <w:gridCol w:w="328"/>
        <w:gridCol w:w="1355"/>
        <w:gridCol w:w="3827"/>
        <w:gridCol w:w="328"/>
      </w:tblGrid>
      <w:tr>
        <w:tblPrEx>
          <w:tblCellMar>
            <w:top w:w="0" w:type="dxa"/>
            <w:left w:w="108" w:type="dxa"/>
            <w:bottom w:w="0" w:type="dxa"/>
            <w:right w:w="108" w:type="dxa"/>
          </w:tblCellMar>
        </w:tblPrEx>
        <w:trPr>
          <w:gridAfter w:val="1"/>
          <w:wAfter w:w="328" w:type="dxa"/>
          <w:trHeight w:val="720" w:hRule="atLeast"/>
        </w:trPr>
        <w:tc>
          <w:tcPr>
            <w:tcW w:w="13038" w:type="dxa"/>
            <w:gridSpan w:val="13"/>
            <w:tcBorders>
              <w:top w:val="nil"/>
              <w:left w:val="nil"/>
              <w:bottom w:val="nil"/>
              <w:right w:val="nil"/>
            </w:tcBorders>
            <w:shd w:val="clear" w:color="000000" w:fill="FFFFFF"/>
            <w:vAlign w:val="center"/>
          </w:tcPr>
          <w:p>
            <w:pPr>
              <w:widowControl/>
              <w:jc w:val="center"/>
              <w:rPr>
                <w:rFonts w:hint="eastAsia" w:ascii="华文中宋" w:hAnsi="华文中宋" w:eastAsia="华文中宋" w:cs="宋体"/>
                <w:kern w:val="0"/>
                <w:sz w:val="32"/>
                <w:szCs w:val="32"/>
              </w:rPr>
            </w:pPr>
          </w:p>
          <w:p>
            <w:pPr>
              <w:widowControl/>
              <w:jc w:val="center"/>
              <w:rPr>
                <w:rFonts w:hint="eastAsia" w:ascii="华文中宋" w:hAnsi="华文中宋" w:eastAsia="华文中宋" w:cs="宋体"/>
                <w:kern w:val="0"/>
                <w:sz w:val="32"/>
                <w:szCs w:val="32"/>
              </w:rPr>
            </w:pPr>
          </w:p>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236"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4"/>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3"/>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gridAfter w:val="1"/>
          <w:wAfter w:w="328" w:type="dxa"/>
          <w:trHeight w:val="598" w:hRule="atLeast"/>
        </w:trPr>
        <w:tc>
          <w:tcPr>
            <w:tcW w:w="3683" w:type="dxa"/>
            <w:gridSpan w:val="5"/>
            <w:tcBorders>
              <w:top w:val="nil"/>
              <w:left w:val="nil"/>
              <w:bottom w:val="nil"/>
              <w:right w:val="nil"/>
            </w:tcBorders>
            <w:shd w:val="clear" w:color="000000" w:fill="FFFFFF"/>
            <w:noWrap/>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部门： 湖南省郴州生态环境监测中心</w:t>
            </w:r>
          </w:p>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3"/>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gridAfter w:val="1"/>
          <w:wAfter w:w="328" w:type="dxa"/>
          <w:trHeight w:val="402" w:hRule="atLeast"/>
        </w:trPr>
        <w:tc>
          <w:tcPr>
            <w:tcW w:w="3683" w:type="dxa"/>
            <w:gridSpan w:val="5"/>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8"/>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gridAfter w:val="1"/>
          <w:wAfter w:w="328" w:type="dxa"/>
          <w:trHeight w:val="402" w:hRule="atLeast"/>
        </w:trPr>
        <w:tc>
          <w:tcPr>
            <w:tcW w:w="2018" w:type="dxa"/>
            <w:gridSpan w:val="4"/>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16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4"/>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3"/>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gridAfter w:val="1"/>
          <w:wAfter w:w="328" w:type="dxa"/>
          <w:trHeight w:val="402" w:hRule="atLeast"/>
        </w:trPr>
        <w:tc>
          <w:tcPr>
            <w:tcW w:w="2018" w:type="dxa"/>
            <w:gridSpan w:val="4"/>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4"/>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gridAfter w:val="1"/>
          <w:wAfter w:w="328" w:type="dxa"/>
          <w:trHeight w:val="402" w:hRule="atLeast"/>
        </w:trPr>
        <w:tc>
          <w:tcPr>
            <w:tcW w:w="2018" w:type="dxa"/>
            <w:gridSpan w:val="4"/>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4"/>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gridAfter w:val="1"/>
          <w:wAfter w:w="328" w:type="dxa"/>
          <w:trHeight w:val="402" w:hRule="atLeast"/>
        </w:trPr>
        <w:tc>
          <w:tcPr>
            <w:tcW w:w="3683" w:type="dxa"/>
            <w:gridSpan w:val="5"/>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gridAfter w:val="1"/>
          <w:wAfter w:w="328" w:type="dxa"/>
          <w:trHeight w:val="402" w:hRule="atLeast"/>
        </w:trPr>
        <w:tc>
          <w:tcPr>
            <w:tcW w:w="3683" w:type="dxa"/>
            <w:gridSpan w:val="5"/>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gridAfter w:val="1"/>
          <w:wAfter w:w="328" w:type="dxa"/>
          <w:trHeight w:val="402" w:hRule="atLeast"/>
        </w:trPr>
        <w:tc>
          <w:tcPr>
            <w:tcW w:w="983"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700"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gridAfter w:val="1"/>
          <w:wAfter w:w="328" w:type="dxa"/>
          <w:trHeight w:val="402" w:hRule="atLeast"/>
        </w:trPr>
        <w:tc>
          <w:tcPr>
            <w:tcW w:w="983"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700"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gridAfter w:val="1"/>
          <w:wAfter w:w="328" w:type="dxa"/>
          <w:trHeight w:val="402" w:hRule="atLeast"/>
        </w:trPr>
        <w:tc>
          <w:tcPr>
            <w:tcW w:w="983"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700"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gridAfter w:val="1"/>
          <w:wAfter w:w="328" w:type="dxa"/>
          <w:trHeight w:val="402" w:hRule="atLeast"/>
        </w:trPr>
        <w:tc>
          <w:tcPr>
            <w:tcW w:w="983"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700"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gridAfter w:val="1"/>
          <w:wAfter w:w="328" w:type="dxa"/>
          <w:trHeight w:val="402" w:hRule="atLeast"/>
        </w:trPr>
        <w:tc>
          <w:tcPr>
            <w:tcW w:w="983" w:type="dxa"/>
            <w:gridSpan w:val="3"/>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700"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gridAfter w:val="1"/>
          <w:wAfter w:w="328" w:type="dxa"/>
          <w:trHeight w:val="402" w:hRule="atLeast"/>
        </w:trPr>
        <w:tc>
          <w:tcPr>
            <w:tcW w:w="983" w:type="dxa"/>
            <w:gridSpan w:val="3"/>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700"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4"/>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3"/>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gridAfter w:val="1"/>
          <w:wAfter w:w="328" w:type="dxa"/>
          <w:trHeight w:val="720" w:hRule="atLeast"/>
        </w:trPr>
        <w:tc>
          <w:tcPr>
            <w:tcW w:w="13038" w:type="dxa"/>
            <w:gridSpan w:val="13"/>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pStyle w:val="2"/>
              <w:rPr>
                <w:rFonts w:hint="default" w:eastAsia="宋体"/>
                <w:lang w:val="en-US" w:eastAsia="zh-CN"/>
              </w:rPr>
            </w:pPr>
            <w:r>
              <w:rPr>
                <w:rFonts w:hint="eastAsia" w:ascii="宋体" w:hAnsi="宋体" w:eastAsia="宋体" w:cs="宋体"/>
                <w:kern w:val="0"/>
                <w:sz w:val="24"/>
                <w:szCs w:val="24"/>
                <w:lang w:val="en-US" w:eastAsia="zh-CN"/>
              </w:rPr>
              <w:t>本部门无国有资本经营预算收入、支出，故本表为空表。</w:t>
            </w:r>
          </w:p>
        </w:tc>
      </w:tr>
    </w:tbl>
    <w:p>
      <w:pPr>
        <w:pStyle w:val="13"/>
        <w:rPr>
          <w:sz w:val="72"/>
          <w:szCs w:val="72"/>
        </w:rPr>
        <w:sectPr>
          <w:pgSz w:w="16838" w:h="11906" w:orient="landscape"/>
          <w:pgMar w:top="0" w:right="567" w:bottom="0" w:left="567" w:header="851" w:footer="992" w:gutter="0"/>
          <w:cols w:space="0" w:num="1"/>
          <w:rtlGutter w:val="0"/>
          <w:docGrid w:type="lines" w:linePitch="312" w:charSpace="0"/>
        </w:sectPr>
      </w:pPr>
    </w:p>
    <w:p>
      <w:pPr>
        <w:pStyle w:val="13"/>
        <w:rPr>
          <w:sz w:val="72"/>
          <w:szCs w:val="72"/>
        </w:rPr>
      </w:pPr>
    </w:p>
    <w:p>
      <w:pPr>
        <w:pStyle w:val="13"/>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r>
        <w:rPr>
          <w:rFonts w:hint="eastAsia"/>
          <w:sz w:val="72"/>
          <w:szCs w:val="72"/>
        </w:rPr>
        <w:t>第三部分</w:t>
      </w:r>
    </w:p>
    <w:p>
      <w:pPr>
        <w:pStyle w:val="13"/>
        <w:jc w:val="center"/>
        <w:rPr>
          <w:sz w:val="70"/>
          <w:szCs w:val="70"/>
        </w:rPr>
      </w:pPr>
    </w:p>
    <w:p>
      <w:pPr>
        <w:pStyle w:val="13"/>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3"/>
        <w:rPr>
          <w:rFonts w:asciiTheme="minorEastAsia" w:hAnsiTheme="minorEastAsia" w:eastAsiaTheme="minorEastAsia"/>
          <w:sz w:val="32"/>
          <w:szCs w:val="32"/>
        </w:rPr>
      </w:pPr>
    </w:p>
    <w:p>
      <w:pPr>
        <w:pStyle w:val="13"/>
        <w:rPr>
          <w:rFonts w:hAnsi="黑体"/>
          <w:b/>
          <w:sz w:val="28"/>
          <w:szCs w:val="28"/>
        </w:rPr>
      </w:pPr>
      <w:r>
        <w:rPr>
          <w:rFonts w:hint="eastAsia" w:hAnsi="黑体"/>
          <w:b/>
          <w:sz w:val="28"/>
          <w:szCs w:val="28"/>
        </w:rPr>
        <w:t>一、收入支出决算总体情况说明</w:t>
      </w:r>
    </w:p>
    <w:p>
      <w:pPr>
        <w:pStyle w:val="7"/>
        <w:widowControl/>
        <w:pBdr>
          <w:top w:val="none" w:color="auto" w:sz="0" w:space="0"/>
          <w:left w:val="none" w:color="auto" w:sz="0" w:space="0"/>
          <w:bottom w:val="none" w:color="auto" w:sz="0" w:space="0"/>
          <w:right w:val="none" w:color="auto" w:sz="0" w:space="0"/>
        </w:pBdr>
        <w:spacing w:before="158" w:after="158" w:line="460" w:lineRule="atLeast"/>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2021年度收</w:t>
      </w:r>
      <w:r>
        <w:rPr>
          <w:rFonts w:hint="eastAsia" w:asciiTheme="minorEastAsia" w:hAnsiTheme="minorEastAsia" w:eastAsiaTheme="minorEastAsia"/>
          <w:sz w:val="28"/>
          <w:szCs w:val="28"/>
          <w:lang w:val="en-US" w:eastAsia="zh-CN"/>
        </w:rPr>
        <w:t>入</w:t>
      </w:r>
      <w:r>
        <w:rPr>
          <w:rFonts w:hint="eastAsia" w:asciiTheme="minorEastAsia" w:hAnsiTheme="minorEastAsia" w:eastAsiaTheme="minorEastAsia"/>
          <w:sz w:val="28"/>
          <w:szCs w:val="28"/>
        </w:rPr>
        <w:t>总计</w:t>
      </w:r>
      <w:r>
        <w:rPr>
          <w:rFonts w:hint="eastAsia" w:asciiTheme="minorEastAsia" w:hAnsiTheme="minorEastAsia" w:eastAsiaTheme="minorEastAsia"/>
          <w:sz w:val="28"/>
          <w:szCs w:val="28"/>
          <w:lang w:val="en-US" w:eastAsia="zh-CN"/>
        </w:rPr>
        <w:t>3302.13</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（含年初结转和结余资金</w:t>
      </w:r>
      <w:r>
        <w:rPr>
          <w:rFonts w:hint="eastAsia" w:ascii="宋体" w:hAnsi="宋体" w:eastAsia="宋体"/>
          <w:sz w:val="28"/>
          <w:szCs w:val="28"/>
          <w:highlight w:val="none"/>
          <w:lang w:val="en-US" w:eastAsia="zh-CN"/>
        </w:rPr>
        <w:t>1</w:t>
      </w:r>
      <w:r>
        <w:rPr>
          <w:rFonts w:hint="eastAsia" w:asciiTheme="minorEastAsia" w:hAnsiTheme="minorEastAsia" w:eastAsiaTheme="minorEastAsia" w:cstheme="minorBidi"/>
          <w:i w:val="0"/>
          <w:iCs w:val="0"/>
          <w:color w:val="000000"/>
          <w:kern w:val="0"/>
          <w:sz w:val="28"/>
          <w:szCs w:val="28"/>
          <w:u w:val="none"/>
          <w:lang w:val="en-US" w:eastAsia="zh-CN" w:bidi="ar"/>
        </w:rPr>
        <w:t>133.27</w:t>
      </w:r>
      <w:r>
        <w:rPr>
          <w:rFonts w:hint="eastAsia" w:ascii="宋体" w:hAnsi="宋体" w:eastAsia="宋体"/>
          <w:sz w:val="28"/>
          <w:szCs w:val="28"/>
          <w:highlight w:val="none"/>
        </w:rPr>
        <w:t>万元）</w:t>
      </w:r>
      <w:r>
        <w:rPr>
          <w:rFonts w:hint="eastAsia" w:asciiTheme="minorEastAsia" w:hAnsiTheme="minorEastAsia" w:eastAsiaTheme="minorEastAsia"/>
          <w:sz w:val="28"/>
          <w:szCs w:val="28"/>
        </w:rPr>
        <w:t>。与上年相比，增加</w:t>
      </w:r>
      <w:r>
        <w:rPr>
          <w:rFonts w:hint="eastAsia" w:asciiTheme="minorEastAsia" w:hAnsiTheme="minorEastAsia" w:eastAsiaTheme="minorEastAsia"/>
          <w:sz w:val="28"/>
          <w:szCs w:val="28"/>
          <w:lang w:val="en-US" w:eastAsia="zh-CN"/>
        </w:rPr>
        <w:t>541</w:t>
      </w:r>
      <w:r>
        <w:rPr>
          <w:rFonts w:hint="eastAsia" w:asciiTheme="minorEastAsia" w:hAnsiTheme="minorEastAsia" w:eastAsiaTheme="minorEastAsia"/>
          <w:sz w:val="28"/>
          <w:szCs w:val="28"/>
        </w:rPr>
        <w:t>万元，增长</w:t>
      </w:r>
      <w:r>
        <w:rPr>
          <w:rFonts w:hint="eastAsia" w:asciiTheme="minorEastAsia" w:hAnsiTheme="minorEastAsia" w:eastAsiaTheme="minorEastAsia"/>
          <w:sz w:val="28"/>
          <w:szCs w:val="28"/>
          <w:lang w:val="en-US" w:eastAsia="zh-CN"/>
        </w:rPr>
        <w:t>19.59</w:t>
      </w:r>
      <w:r>
        <w:rPr>
          <w:rFonts w:hint="eastAsia" w:asciiTheme="minorEastAsia" w:hAnsiTheme="minorEastAsia" w:eastAsiaTheme="minorEastAsia"/>
          <w:sz w:val="28"/>
          <w:szCs w:val="28"/>
        </w:rPr>
        <w:t>%，主要</w:t>
      </w:r>
      <w:r>
        <w:rPr>
          <w:rFonts w:hint="eastAsia" w:asciiTheme="minorEastAsia" w:hAnsiTheme="minorEastAsia"/>
          <w:sz w:val="28"/>
          <w:szCs w:val="28"/>
          <w:lang w:val="en-US" w:eastAsia="zh-CN"/>
        </w:rPr>
        <w:t>原因</w:t>
      </w:r>
      <w:r>
        <w:rPr>
          <w:rFonts w:hint="eastAsia" w:asciiTheme="minorEastAsia" w:hAnsiTheme="minorEastAsia" w:eastAsiaTheme="minorEastAsia"/>
          <w:sz w:val="28"/>
          <w:szCs w:val="28"/>
          <w:lang w:val="en-US" w:eastAsia="zh-CN"/>
        </w:rPr>
        <w:t>一是为了完成预算执行率达标任务，将上年大量的结余资金使用完毕，二是垂改后工作任务量加大，相应各项经费</w:t>
      </w:r>
      <w:r>
        <w:rPr>
          <w:rFonts w:hint="eastAsia" w:asciiTheme="minorEastAsia" w:hAnsiTheme="minorEastAsia"/>
          <w:sz w:val="28"/>
          <w:szCs w:val="28"/>
          <w:lang w:val="en-US" w:eastAsia="zh-CN"/>
        </w:rPr>
        <w:t>拨款</w:t>
      </w:r>
      <w:r>
        <w:rPr>
          <w:rFonts w:hint="eastAsia" w:asciiTheme="minorEastAsia" w:hAnsiTheme="minorEastAsia" w:eastAsiaTheme="minorEastAsia"/>
          <w:sz w:val="28"/>
          <w:szCs w:val="28"/>
          <w:lang w:val="en-US" w:eastAsia="zh-CN"/>
        </w:rPr>
        <w:t>增加。</w:t>
      </w:r>
    </w:p>
    <w:p>
      <w:pPr>
        <w:pStyle w:val="7"/>
        <w:widowControl/>
        <w:pBdr>
          <w:top w:val="none" w:color="auto" w:sz="0" w:space="0"/>
          <w:left w:val="none" w:color="auto" w:sz="0" w:space="0"/>
          <w:bottom w:val="none" w:color="auto" w:sz="0" w:space="0"/>
          <w:right w:val="none" w:color="auto" w:sz="0" w:space="0"/>
        </w:pBdr>
        <w:spacing w:before="158" w:after="158" w:line="460" w:lineRule="atLeast"/>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2021年度</w:t>
      </w:r>
      <w:r>
        <w:rPr>
          <w:rFonts w:hint="eastAsia" w:asciiTheme="minorEastAsia" w:hAnsiTheme="minorEastAsia"/>
          <w:sz w:val="28"/>
          <w:szCs w:val="28"/>
          <w:lang w:val="en-US" w:eastAsia="zh-CN"/>
        </w:rPr>
        <w:t>支出</w:t>
      </w:r>
      <w:r>
        <w:rPr>
          <w:rFonts w:hint="eastAsia" w:asciiTheme="minorEastAsia" w:hAnsiTheme="minorEastAsia" w:eastAsiaTheme="minorEastAsia"/>
          <w:sz w:val="28"/>
          <w:szCs w:val="28"/>
        </w:rPr>
        <w:t>总计</w:t>
      </w:r>
      <w:r>
        <w:rPr>
          <w:rFonts w:hint="eastAsia" w:asciiTheme="minorEastAsia" w:hAnsiTheme="minorEastAsia" w:eastAsiaTheme="minorEastAsia"/>
          <w:sz w:val="28"/>
          <w:szCs w:val="28"/>
          <w:lang w:val="en-US" w:eastAsia="zh-CN"/>
        </w:rPr>
        <w:t>3302.13</w:t>
      </w:r>
      <w:r>
        <w:rPr>
          <w:rFonts w:hint="eastAsia" w:asciiTheme="minorEastAsia" w:hAnsiTheme="minorEastAsia" w:eastAsiaTheme="minorEastAsia"/>
          <w:sz w:val="28"/>
          <w:szCs w:val="28"/>
        </w:rPr>
        <w:t>万元</w:t>
      </w:r>
      <w:r>
        <w:rPr>
          <w:rFonts w:hint="eastAsia" w:ascii="宋体" w:hAnsi="宋体" w:eastAsia="宋体"/>
          <w:sz w:val="28"/>
          <w:szCs w:val="28"/>
          <w:highlight w:val="none"/>
        </w:rPr>
        <w:t>（含年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宋体" w:hAnsi="宋体" w:eastAsia="宋体"/>
          <w:sz w:val="28"/>
          <w:szCs w:val="28"/>
          <w:highlight w:val="none"/>
          <w:lang w:val="en-US" w:eastAsia="zh-CN"/>
        </w:rPr>
        <w:t>501</w:t>
      </w:r>
      <w:r>
        <w:rPr>
          <w:rFonts w:hint="eastAsia" w:asciiTheme="minorEastAsia" w:hAnsiTheme="minorEastAsia" w:eastAsiaTheme="minorEastAsia" w:cstheme="minorBidi"/>
          <w:i w:val="0"/>
          <w:iCs w:val="0"/>
          <w:kern w:val="0"/>
          <w:sz w:val="28"/>
          <w:szCs w:val="28"/>
          <w:u w:val="none"/>
          <w:lang w:val="en-US" w:eastAsia="zh-CN" w:bidi="ar"/>
        </w:rPr>
        <w:t>.</w:t>
      </w:r>
      <w:r>
        <w:rPr>
          <w:rFonts w:hint="eastAsia" w:asciiTheme="minorEastAsia" w:hAnsiTheme="minorEastAsia" w:cstheme="minorBidi"/>
          <w:i w:val="0"/>
          <w:iCs w:val="0"/>
          <w:kern w:val="0"/>
          <w:sz w:val="28"/>
          <w:szCs w:val="28"/>
          <w:u w:val="none"/>
          <w:lang w:val="en-US" w:eastAsia="zh-CN" w:bidi="ar"/>
        </w:rPr>
        <w:t>10</w:t>
      </w:r>
      <w:r>
        <w:rPr>
          <w:rFonts w:hint="eastAsia" w:ascii="宋体" w:hAnsi="宋体" w:eastAsia="宋体"/>
          <w:sz w:val="28"/>
          <w:szCs w:val="28"/>
          <w:highlight w:val="none"/>
        </w:rPr>
        <w:t>万元）</w:t>
      </w:r>
      <w:r>
        <w:rPr>
          <w:rFonts w:hint="eastAsia" w:asciiTheme="minorEastAsia" w:hAnsiTheme="minorEastAsia" w:eastAsiaTheme="minorEastAsia"/>
          <w:sz w:val="28"/>
          <w:szCs w:val="28"/>
        </w:rPr>
        <w:t>。与上年相比，增加</w:t>
      </w:r>
      <w:r>
        <w:rPr>
          <w:rFonts w:hint="eastAsia" w:asciiTheme="minorEastAsia" w:hAnsiTheme="minorEastAsia" w:eastAsiaTheme="minorEastAsia"/>
          <w:sz w:val="28"/>
          <w:szCs w:val="28"/>
          <w:lang w:val="en-US" w:eastAsia="zh-CN"/>
        </w:rPr>
        <w:t>541</w:t>
      </w:r>
      <w:r>
        <w:rPr>
          <w:rFonts w:hint="eastAsia" w:asciiTheme="minorEastAsia" w:hAnsiTheme="minorEastAsia" w:eastAsiaTheme="minorEastAsia"/>
          <w:sz w:val="28"/>
          <w:szCs w:val="28"/>
        </w:rPr>
        <w:t>万元，增长</w:t>
      </w:r>
      <w:r>
        <w:rPr>
          <w:rFonts w:hint="eastAsia" w:asciiTheme="minorEastAsia" w:hAnsiTheme="minorEastAsia" w:eastAsiaTheme="minorEastAsia"/>
          <w:sz w:val="28"/>
          <w:szCs w:val="28"/>
          <w:lang w:val="en-US" w:eastAsia="zh-CN"/>
        </w:rPr>
        <w:t>19.59</w:t>
      </w:r>
      <w:r>
        <w:rPr>
          <w:rFonts w:hint="eastAsia" w:asciiTheme="minorEastAsia" w:hAnsiTheme="minorEastAsia" w:eastAsiaTheme="minorEastAsia"/>
          <w:sz w:val="28"/>
          <w:szCs w:val="28"/>
        </w:rPr>
        <w:t>%，主要</w:t>
      </w:r>
      <w:r>
        <w:rPr>
          <w:rFonts w:hint="eastAsia" w:asciiTheme="minorEastAsia" w:hAnsiTheme="minorEastAsia"/>
          <w:sz w:val="28"/>
          <w:szCs w:val="28"/>
          <w:lang w:val="en-US" w:eastAsia="zh-CN"/>
        </w:rPr>
        <w:t>原因一</w:t>
      </w:r>
      <w:r>
        <w:rPr>
          <w:rFonts w:hint="eastAsia" w:asciiTheme="minorEastAsia" w:hAnsiTheme="minorEastAsia" w:eastAsiaTheme="minorEastAsia"/>
          <w:sz w:val="28"/>
          <w:szCs w:val="28"/>
          <w:lang w:val="en-US" w:eastAsia="zh-CN"/>
        </w:rPr>
        <w:t>是为了完成预算执行率达标任务，将上年大量的结余资金使用完毕，二是垂改后工作任务量加大，相应各项经费支出增加。</w:t>
      </w:r>
    </w:p>
    <w:p>
      <w:pPr>
        <w:pStyle w:val="13"/>
        <w:rPr>
          <w:rFonts w:hAnsi="黑体"/>
          <w:b/>
          <w:sz w:val="28"/>
          <w:szCs w:val="28"/>
        </w:rPr>
      </w:pPr>
      <w:r>
        <w:rPr>
          <w:rFonts w:hint="eastAsia" w:hAnsi="黑体"/>
          <w:b/>
          <w:sz w:val="28"/>
          <w:szCs w:val="28"/>
        </w:rPr>
        <w:t>二、收入决算情况说明</w:t>
      </w:r>
    </w:p>
    <w:p>
      <w:pPr>
        <w:pStyle w:val="7"/>
        <w:widowControl/>
        <w:pBdr>
          <w:top w:val="none" w:color="auto" w:sz="0" w:space="0"/>
          <w:left w:val="none" w:color="auto" w:sz="0" w:space="0"/>
          <w:bottom w:val="none" w:color="auto" w:sz="0" w:space="0"/>
          <w:right w:val="none" w:color="auto" w:sz="0" w:space="0"/>
        </w:pBdr>
        <w:spacing w:before="158" w:after="158" w:line="460" w:lineRule="atLeas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2021年度收入合计2168.85万元</w:t>
      </w:r>
      <w:r>
        <w:rPr>
          <w:rFonts w:hint="eastAsia" w:ascii="宋体" w:hAnsi="宋体" w:eastAsia="宋体"/>
          <w:sz w:val="28"/>
          <w:szCs w:val="28"/>
          <w:highlight w:val="none"/>
        </w:rPr>
        <w:t>（不含年初结转和结余资金）</w:t>
      </w:r>
      <w:r>
        <w:rPr>
          <w:rFonts w:hint="eastAsia" w:asciiTheme="minorEastAsia" w:hAnsiTheme="minorEastAsia" w:eastAsiaTheme="minorEastAsia"/>
          <w:sz w:val="28"/>
          <w:szCs w:val="28"/>
        </w:rPr>
        <w:t>，其中：财政拨款收入1184.22万元，占</w:t>
      </w:r>
      <w:r>
        <w:rPr>
          <w:rFonts w:hint="eastAsia" w:asciiTheme="minorEastAsia" w:hAnsiTheme="minorEastAsia" w:eastAsiaTheme="minorEastAsia"/>
          <w:sz w:val="28"/>
          <w:szCs w:val="28"/>
          <w:lang w:val="en-US" w:eastAsia="zh-CN"/>
        </w:rPr>
        <w:t>54.6</w:t>
      </w:r>
      <w:r>
        <w:rPr>
          <w:rFonts w:hint="eastAsia" w:asciiTheme="minorEastAsia" w:hAnsiTheme="minorEastAsia" w:eastAsiaTheme="minorEastAsia"/>
          <w:sz w:val="28"/>
          <w:szCs w:val="28"/>
        </w:rPr>
        <w:t>%；上级补助收入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%；事业收入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%；经营收入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%；附属单位上缴收入</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%；其他收入984.63万元，占</w:t>
      </w:r>
      <w:r>
        <w:rPr>
          <w:rFonts w:hint="eastAsia" w:asciiTheme="minorEastAsia" w:hAnsiTheme="minorEastAsia" w:eastAsiaTheme="minorEastAsia"/>
          <w:sz w:val="28"/>
          <w:szCs w:val="28"/>
          <w:lang w:val="en-US" w:eastAsia="zh-CN"/>
        </w:rPr>
        <w:t>45.4</w:t>
      </w:r>
      <w:r>
        <w:rPr>
          <w:rFonts w:hint="eastAsia" w:asciiTheme="minorEastAsia" w:hAnsiTheme="minorEastAsia" w:eastAsiaTheme="minorEastAsia"/>
          <w:sz w:val="28"/>
          <w:szCs w:val="28"/>
        </w:rPr>
        <w:t>%。</w:t>
      </w:r>
    </w:p>
    <w:p>
      <w:pPr>
        <w:pStyle w:val="13"/>
        <w:rPr>
          <w:rFonts w:hAnsi="黑体"/>
          <w:b/>
          <w:sz w:val="28"/>
          <w:szCs w:val="28"/>
        </w:rPr>
      </w:pPr>
      <w:r>
        <w:rPr>
          <w:rFonts w:hint="eastAsia" w:hAnsi="黑体"/>
          <w:b/>
          <w:sz w:val="28"/>
          <w:szCs w:val="28"/>
        </w:rPr>
        <w:t>三、支出决算情况说明</w:t>
      </w:r>
    </w:p>
    <w:p>
      <w:pPr>
        <w:pStyle w:val="7"/>
        <w:widowControl/>
        <w:pBdr>
          <w:top w:val="none" w:color="auto" w:sz="0" w:space="0"/>
          <w:left w:val="none" w:color="auto" w:sz="0" w:space="0"/>
          <w:bottom w:val="none" w:color="auto" w:sz="0" w:space="0"/>
          <w:right w:val="none" w:color="auto" w:sz="0" w:space="0"/>
        </w:pBdr>
        <w:spacing w:before="158" w:after="158" w:line="460" w:lineRule="atLeas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2021年度支出合计2801.03万元</w:t>
      </w:r>
      <w:r>
        <w:rPr>
          <w:rFonts w:hint="eastAsia" w:ascii="宋体" w:hAnsi="宋体" w:eastAsia="宋体"/>
          <w:sz w:val="28"/>
          <w:szCs w:val="28"/>
          <w:highlight w:val="none"/>
        </w:rPr>
        <w:t>（不含年</w:t>
      </w:r>
      <w:r>
        <w:rPr>
          <w:rFonts w:hint="eastAsia" w:ascii="宋体" w:hAnsi="宋体" w:eastAsia="宋体"/>
          <w:sz w:val="28"/>
          <w:szCs w:val="28"/>
          <w:highlight w:val="none"/>
          <w:lang w:val="en-US" w:eastAsia="zh-CN"/>
        </w:rPr>
        <w:t>末</w:t>
      </w:r>
      <w:r>
        <w:rPr>
          <w:rFonts w:hint="eastAsia" w:ascii="宋体" w:hAnsi="宋体" w:eastAsia="宋体"/>
          <w:sz w:val="28"/>
          <w:szCs w:val="28"/>
          <w:highlight w:val="none"/>
        </w:rPr>
        <w:t>结转和结余资金）</w:t>
      </w:r>
      <w:r>
        <w:rPr>
          <w:rFonts w:hint="eastAsia" w:asciiTheme="minorEastAsia" w:hAnsiTheme="minorEastAsia" w:eastAsiaTheme="minorEastAsia"/>
          <w:sz w:val="28"/>
          <w:szCs w:val="28"/>
        </w:rPr>
        <w:t>，其中：基本支出1142.72万元，占</w:t>
      </w:r>
      <w:r>
        <w:rPr>
          <w:rFonts w:hint="eastAsia" w:asciiTheme="minorEastAsia" w:hAnsiTheme="minorEastAsia" w:eastAsiaTheme="minorEastAsia"/>
          <w:sz w:val="28"/>
          <w:szCs w:val="28"/>
          <w:lang w:val="en-US" w:eastAsia="zh-CN"/>
        </w:rPr>
        <w:t>40.8</w:t>
      </w:r>
      <w:r>
        <w:rPr>
          <w:rFonts w:hint="eastAsia" w:asciiTheme="minorEastAsia" w:hAnsiTheme="minorEastAsia" w:eastAsiaTheme="minorEastAsia"/>
          <w:sz w:val="28"/>
          <w:szCs w:val="28"/>
        </w:rPr>
        <w:t>%；项目支出1658.3万元，占</w:t>
      </w:r>
      <w:r>
        <w:rPr>
          <w:rFonts w:hint="eastAsia" w:asciiTheme="minorEastAsia" w:hAnsiTheme="minorEastAsia" w:eastAsiaTheme="minorEastAsia"/>
          <w:sz w:val="28"/>
          <w:szCs w:val="28"/>
          <w:lang w:val="en-US" w:eastAsia="zh-CN"/>
        </w:rPr>
        <w:t>59.2</w:t>
      </w:r>
      <w:r>
        <w:rPr>
          <w:rFonts w:hint="eastAsia" w:asciiTheme="minorEastAsia" w:hAnsiTheme="minorEastAsia" w:eastAsiaTheme="minorEastAsia"/>
          <w:sz w:val="28"/>
          <w:szCs w:val="28"/>
        </w:rPr>
        <w:t>%；上缴上级支出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%；经营支出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%；对附属单位补助支出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w:t>
      </w:r>
    </w:p>
    <w:p>
      <w:pPr>
        <w:pStyle w:val="13"/>
        <w:rPr>
          <w:rFonts w:hAnsi="黑体"/>
          <w:b/>
          <w:sz w:val="28"/>
          <w:szCs w:val="28"/>
        </w:rPr>
      </w:pPr>
      <w:r>
        <w:rPr>
          <w:rFonts w:hint="eastAsia" w:hAnsi="黑体"/>
          <w:b/>
          <w:sz w:val="28"/>
          <w:szCs w:val="28"/>
        </w:rPr>
        <w:t>四、财政拨款收入支出决算总体情况说明</w:t>
      </w:r>
    </w:p>
    <w:p>
      <w:pPr>
        <w:pStyle w:val="13"/>
        <w:ind w:firstLine="560" w:firstLineChars="200"/>
        <w:rPr>
          <w:rFonts w:hint="eastAsia" w:asciiTheme="minorEastAsia" w:hAnsiTheme="minorEastAsia" w:eastAsiaTheme="minorEastAsia"/>
          <w:sz w:val="28"/>
          <w:szCs w:val="28"/>
          <w:lang w:val="en-US" w:eastAsia="zh-CN"/>
        </w:rPr>
      </w:pPr>
      <w:r>
        <w:rPr>
          <w:rFonts w:hint="eastAsia" w:ascii="宋体" w:hAnsi="宋体" w:eastAsia="宋体"/>
          <w:sz w:val="28"/>
          <w:szCs w:val="28"/>
        </w:rPr>
        <w:t>202</w:t>
      </w:r>
      <w:r>
        <w:rPr>
          <w:rFonts w:hint="eastAsia" w:ascii="宋体" w:hAnsi="宋体" w:eastAsia="宋体"/>
          <w:sz w:val="28"/>
          <w:szCs w:val="28"/>
          <w:lang w:val="en-US" w:eastAsia="zh-CN"/>
        </w:rPr>
        <w:t>1</w:t>
      </w:r>
      <w:r>
        <w:rPr>
          <w:rFonts w:hint="eastAsia" w:ascii="宋体" w:hAnsi="宋体" w:eastAsia="宋体"/>
          <w:sz w:val="28"/>
          <w:szCs w:val="28"/>
        </w:rPr>
        <w:t>年度财政拨款收入合计</w:t>
      </w:r>
      <w:r>
        <w:rPr>
          <w:rFonts w:hint="eastAsia" w:ascii="宋体" w:hAnsi="宋体" w:eastAsia="宋体"/>
          <w:sz w:val="28"/>
          <w:szCs w:val="28"/>
          <w:lang w:val="en-US" w:eastAsia="zh-CN"/>
        </w:rPr>
        <w:t>1184.22</w:t>
      </w:r>
      <w:r>
        <w:rPr>
          <w:rFonts w:hint="eastAsia" w:ascii="宋体" w:hAnsi="宋体" w:eastAsia="宋体"/>
          <w:sz w:val="28"/>
          <w:szCs w:val="28"/>
        </w:rPr>
        <w:t>万元（</w:t>
      </w:r>
      <w:r>
        <w:rPr>
          <w:rFonts w:hint="eastAsia" w:ascii="宋体" w:hAnsi="宋体" w:eastAsia="宋体"/>
          <w:sz w:val="28"/>
          <w:szCs w:val="28"/>
          <w:highlight w:val="none"/>
        </w:rPr>
        <w:t>不含</w:t>
      </w:r>
      <w:r>
        <w:rPr>
          <w:rFonts w:hint="eastAsia" w:ascii="宋体" w:hAnsi="宋体" w:eastAsia="宋体"/>
          <w:sz w:val="28"/>
          <w:szCs w:val="28"/>
        </w:rPr>
        <w:t>年初财政拨款结转和结余资金），与上年1614.02</w:t>
      </w:r>
      <w:r>
        <w:rPr>
          <w:rFonts w:hint="eastAsia" w:ascii="宋体" w:hAnsi="宋体" w:eastAsia="宋体"/>
          <w:sz w:val="28"/>
          <w:szCs w:val="28"/>
          <w:lang w:val="en-US" w:eastAsia="zh-CN"/>
        </w:rPr>
        <w:t>万</w:t>
      </w:r>
      <w:r>
        <w:rPr>
          <w:rFonts w:hint="eastAsia" w:ascii="宋体" w:hAnsi="宋体" w:eastAsia="宋体"/>
          <w:sz w:val="28"/>
          <w:szCs w:val="28"/>
        </w:rPr>
        <w:t>相比，</w:t>
      </w:r>
      <w:r>
        <w:rPr>
          <w:rFonts w:hint="eastAsia" w:ascii="宋体" w:hAnsi="宋体" w:eastAsia="宋体"/>
          <w:sz w:val="28"/>
          <w:szCs w:val="28"/>
          <w:lang w:val="en-US" w:eastAsia="zh-CN"/>
        </w:rPr>
        <w:t>减少429.8</w:t>
      </w:r>
      <w:r>
        <w:rPr>
          <w:rFonts w:hint="eastAsia" w:ascii="宋体" w:hAnsi="宋体" w:eastAsia="宋体"/>
          <w:sz w:val="28"/>
          <w:szCs w:val="28"/>
        </w:rPr>
        <w:t>万元,减少</w:t>
      </w:r>
      <w:r>
        <w:rPr>
          <w:rFonts w:hint="eastAsia" w:ascii="宋体" w:hAnsi="宋体" w:eastAsia="宋体"/>
          <w:sz w:val="28"/>
          <w:szCs w:val="28"/>
          <w:lang w:val="en-US" w:eastAsia="zh-CN"/>
        </w:rPr>
        <w:t>26.63</w:t>
      </w:r>
      <w:r>
        <w:rPr>
          <w:rFonts w:hint="eastAsia" w:ascii="宋体" w:hAnsi="宋体" w:eastAsia="宋体"/>
          <w:sz w:val="28"/>
          <w:szCs w:val="28"/>
        </w:rPr>
        <w:t>%，主要</w:t>
      </w:r>
      <w:r>
        <w:rPr>
          <w:rFonts w:hint="eastAsia" w:asciiTheme="minorEastAsia" w:hAnsiTheme="minorEastAsia" w:eastAsiaTheme="minorEastAsia"/>
          <w:sz w:val="28"/>
          <w:szCs w:val="28"/>
        </w:rPr>
        <w:t>是</w:t>
      </w:r>
      <w:r>
        <w:rPr>
          <w:rFonts w:hint="eastAsia" w:asciiTheme="minorEastAsia" w:hAnsiTheme="minorEastAsia" w:eastAsiaTheme="minorEastAsia"/>
          <w:sz w:val="28"/>
          <w:szCs w:val="28"/>
          <w:lang w:val="en-US" w:eastAsia="zh-CN"/>
        </w:rPr>
        <w:t>因为上年大量的结余资金未使用完毕，本年度拨款减少。</w:t>
      </w:r>
    </w:p>
    <w:p>
      <w:pPr>
        <w:pStyle w:val="13"/>
        <w:ind w:firstLine="560" w:firstLineChars="200"/>
        <w:rPr>
          <w:rFonts w:hint="eastAsia" w:ascii="宋体" w:hAnsi="宋体" w:eastAsia="宋体"/>
          <w:b/>
          <w:bCs/>
          <w:color w:val="FF0000"/>
          <w:sz w:val="28"/>
          <w:szCs w:val="28"/>
          <w:lang w:val="en-US" w:eastAsia="zh-CN"/>
        </w:rPr>
      </w:pPr>
      <w:r>
        <w:rPr>
          <w:rFonts w:hint="eastAsia" w:ascii="宋体" w:hAnsi="宋体" w:eastAsia="宋体"/>
          <w:sz w:val="28"/>
          <w:szCs w:val="28"/>
        </w:rPr>
        <w:t>202</w:t>
      </w:r>
      <w:r>
        <w:rPr>
          <w:rFonts w:hint="eastAsia" w:ascii="宋体" w:hAnsi="宋体" w:eastAsia="宋体"/>
          <w:sz w:val="28"/>
          <w:szCs w:val="28"/>
          <w:lang w:val="en-US" w:eastAsia="zh-CN"/>
        </w:rPr>
        <w:t>1</w:t>
      </w:r>
      <w:r>
        <w:rPr>
          <w:rFonts w:hint="eastAsia" w:ascii="宋体" w:hAnsi="宋体" w:eastAsia="宋体"/>
          <w:sz w:val="28"/>
          <w:szCs w:val="28"/>
        </w:rPr>
        <w:t>年度财政拨款支出合计</w:t>
      </w:r>
      <w:r>
        <w:rPr>
          <w:rFonts w:hint="eastAsia" w:ascii="宋体" w:hAnsi="宋体" w:eastAsia="宋体"/>
          <w:sz w:val="28"/>
          <w:szCs w:val="28"/>
          <w:lang w:val="en-US" w:eastAsia="zh-CN"/>
        </w:rPr>
        <w:t>2147.25</w:t>
      </w:r>
      <w:r>
        <w:rPr>
          <w:rFonts w:hint="eastAsia" w:ascii="宋体" w:hAnsi="宋体" w:eastAsia="宋体"/>
          <w:sz w:val="28"/>
          <w:szCs w:val="28"/>
        </w:rPr>
        <w:t>万元（</w:t>
      </w:r>
      <w:r>
        <w:rPr>
          <w:rFonts w:hint="eastAsia" w:ascii="宋体" w:hAnsi="宋体" w:eastAsia="宋体"/>
          <w:sz w:val="28"/>
          <w:szCs w:val="28"/>
          <w:highlight w:val="none"/>
        </w:rPr>
        <w:t>不含</w:t>
      </w:r>
      <w:r>
        <w:rPr>
          <w:rFonts w:hint="eastAsia" w:ascii="宋体" w:hAnsi="宋体" w:eastAsia="宋体"/>
          <w:sz w:val="28"/>
          <w:szCs w:val="28"/>
        </w:rPr>
        <w:t>年</w:t>
      </w:r>
      <w:r>
        <w:rPr>
          <w:rFonts w:hint="eastAsia" w:ascii="宋体" w:hAnsi="宋体" w:eastAsia="宋体"/>
          <w:sz w:val="28"/>
          <w:szCs w:val="28"/>
          <w:lang w:val="en-US" w:eastAsia="zh-CN"/>
        </w:rPr>
        <w:t>末</w:t>
      </w:r>
      <w:r>
        <w:rPr>
          <w:rFonts w:hint="eastAsia" w:ascii="宋体" w:hAnsi="宋体" w:eastAsia="宋体"/>
          <w:sz w:val="28"/>
          <w:szCs w:val="28"/>
        </w:rPr>
        <w:t>财政拨款结转和结余资金），与上年534.95</w:t>
      </w:r>
      <w:r>
        <w:rPr>
          <w:rFonts w:hint="eastAsia" w:ascii="宋体" w:hAnsi="宋体" w:eastAsia="宋体"/>
          <w:sz w:val="28"/>
          <w:szCs w:val="28"/>
          <w:lang w:val="en-US" w:eastAsia="zh-CN"/>
        </w:rPr>
        <w:t>万元</w:t>
      </w:r>
      <w:r>
        <w:rPr>
          <w:rFonts w:hint="eastAsia" w:ascii="宋体" w:hAnsi="宋体" w:eastAsia="宋体"/>
          <w:sz w:val="28"/>
          <w:szCs w:val="28"/>
        </w:rPr>
        <w:t>相比，增加</w:t>
      </w:r>
      <w:r>
        <w:rPr>
          <w:rFonts w:hint="eastAsia" w:ascii="宋体" w:hAnsi="宋体" w:eastAsia="宋体"/>
          <w:sz w:val="28"/>
          <w:szCs w:val="28"/>
          <w:lang w:val="en-US" w:eastAsia="zh-CN"/>
        </w:rPr>
        <w:t>1612.3</w:t>
      </w:r>
      <w:r>
        <w:rPr>
          <w:rFonts w:hint="eastAsia" w:ascii="宋体" w:hAnsi="宋体" w:eastAsia="宋体"/>
          <w:sz w:val="28"/>
          <w:szCs w:val="28"/>
        </w:rPr>
        <w:t>万元,增长</w:t>
      </w:r>
      <w:r>
        <w:rPr>
          <w:rFonts w:hint="eastAsia" w:ascii="宋体" w:hAnsi="宋体" w:eastAsia="宋体"/>
          <w:sz w:val="28"/>
          <w:szCs w:val="28"/>
          <w:lang w:val="en-US" w:eastAsia="zh-CN"/>
        </w:rPr>
        <w:t>301.4</w:t>
      </w:r>
      <w:r>
        <w:rPr>
          <w:rFonts w:hint="eastAsia" w:ascii="宋体" w:hAnsi="宋体" w:eastAsia="宋体"/>
          <w:sz w:val="28"/>
          <w:szCs w:val="28"/>
        </w:rPr>
        <w:t>%，主要原因一是由于2020年生态环境监测机构垂直管理，改革过渡期间，部分开支先由市级财政垫付，当年未下达预算批复，垫付的资金未纳入预算，导致2020年一般公共预算</w:t>
      </w:r>
      <w:r>
        <w:rPr>
          <w:rFonts w:hint="eastAsia" w:ascii="宋体" w:hAnsi="宋体" w:eastAsia="宋体"/>
          <w:sz w:val="28"/>
          <w:szCs w:val="28"/>
          <w:lang w:val="en-US" w:eastAsia="zh-CN"/>
        </w:rPr>
        <w:t>支出</w:t>
      </w:r>
      <w:r>
        <w:rPr>
          <w:rFonts w:hint="eastAsia" w:ascii="宋体" w:hAnsi="宋体" w:eastAsia="宋体"/>
          <w:sz w:val="28"/>
          <w:szCs w:val="28"/>
        </w:rPr>
        <w:t>基数小；二是为了完成预算执行率达标任务，将上年大量的结余资金使用完毕；三是垂改后工作任务量加大，相应各项经费支出增加。</w:t>
      </w:r>
    </w:p>
    <w:p>
      <w:pPr>
        <w:pStyle w:val="13"/>
        <w:ind w:firstLine="640"/>
        <w:rPr>
          <w:rFonts w:hAnsi="黑体"/>
          <w:b/>
          <w:sz w:val="28"/>
          <w:szCs w:val="28"/>
        </w:rPr>
      </w:pPr>
      <w:r>
        <w:rPr>
          <w:rFonts w:hint="eastAsia" w:hAnsi="黑体"/>
          <w:b/>
          <w:sz w:val="28"/>
          <w:szCs w:val="28"/>
        </w:rPr>
        <w:t>五、一般公共预算财政拨款支出决算情况说明</w:t>
      </w:r>
    </w:p>
    <w:p>
      <w:pPr>
        <w:pStyle w:val="13"/>
        <w:ind w:firstLine="560"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（一）财政拨款支出决算总体情况</w:t>
      </w:r>
    </w:p>
    <w:p>
      <w:pPr>
        <w:pStyle w:val="13"/>
        <w:ind w:firstLine="64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2021年度财政拨款支出2147.25万元，占本年支出合计的</w:t>
      </w:r>
      <w:r>
        <w:rPr>
          <w:rFonts w:hint="eastAsia" w:asciiTheme="minorEastAsia" w:hAnsiTheme="minorEastAsia" w:eastAsiaTheme="minorEastAsia"/>
          <w:sz w:val="28"/>
          <w:szCs w:val="28"/>
          <w:lang w:val="en-US" w:eastAsia="zh-CN"/>
        </w:rPr>
        <w:t>76.66</w:t>
      </w:r>
      <w:r>
        <w:rPr>
          <w:rFonts w:hint="eastAsia" w:asciiTheme="minorEastAsia" w:hAnsiTheme="minorEastAsia" w:eastAsiaTheme="minorEastAsia"/>
          <w:sz w:val="28"/>
          <w:szCs w:val="28"/>
        </w:rPr>
        <w:t>%，与上年相比，财政拨款支出增加</w:t>
      </w:r>
      <w:r>
        <w:rPr>
          <w:rFonts w:hint="eastAsia" w:asciiTheme="minorEastAsia" w:hAnsiTheme="minorEastAsia" w:eastAsiaTheme="minorEastAsia"/>
          <w:sz w:val="28"/>
          <w:szCs w:val="28"/>
          <w:lang w:val="en-US" w:eastAsia="zh-CN"/>
        </w:rPr>
        <w:t>1612.3</w:t>
      </w:r>
      <w:r>
        <w:rPr>
          <w:rFonts w:hint="eastAsia" w:asciiTheme="minorEastAsia" w:hAnsiTheme="minorEastAsia" w:eastAsiaTheme="minorEastAsia"/>
          <w:sz w:val="28"/>
          <w:szCs w:val="28"/>
        </w:rPr>
        <w:t>万元，增长</w:t>
      </w:r>
      <w:r>
        <w:rPr>
          <w:rFonts w:hint="eastAsia" w:asciiTheme="minorEastAsia" w:hAnsiTheme="minorEastAsia" w:eastAsiaTheme="minorEastAsia"/>
          <w:sz w:val="28"/>
          <w:szCs w:val="28"/>
          <w:lang w:val="en-US" w:eastAsia="zh-CN"/>
        </w:rPr>
        <w:t>301</w:t>
      </w:r>
      <w:r>
        <w:rPr>
          <w:rFonts w:hint="eastAsia" w:ascii="宋体" w:hAnsi="宋体" w:eastAsia="宋体"/>
          <w:sz w:val="28"/>
          <w:szCs w:val="28"/>
          <w:lang w:val="en-US" w:eastAsia="zh-CN"/>
        </w:rPr>
        <w:t>.4</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主要原因一是由于2020年生态环境监测机构垂直管理，改革过渡期间，部分开支先由市级财政垫付，当年未下达预算批复，垫付的资金未纳入预算，导致2020年一般公共预算支出基数小；二是为了完成预算执行率达标任务，将上年大量的结余资金使用完毕；三是垂改后工作任务量加大，相应各项经费支出增加。</w:t>
      </w:r>
    </w:p>
    <w:p>
      <w:pPr>
        <w:pStyle w:val="13"/>
        <w:ind w:firstLine="560"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（二）财政拨款支出决算结构情况</w:t>
      </w:r>
    </w:p>
    <w:p>
      <w:pPr>
        <w:pStyle w:val="13"/>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2021年度财政拨款支出2147.25万元，主要用于以下方面：社会保障和就业支出</w:t>
      </w:r>
      <w:r>
        <w:rPr>
          <w:rFonts w:hint="eastAsia" w:asciiTheme="minorEastAsia" w:hAnsiTheme="minorEastAsia" w:eastAsiaTheme="minorEastAsia"/>
          <w:sz w:val="28"/>
          <w:szCs w:val="28"/>
          <w:lang w:val="en-US" w:eastAsia="zh-CN"/>
        </w:rPr>
        <w:t>80.01</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3.72</w:t>
      </w:r>
      <w:r>
        <w:rPr>
          <w:rFonts w:hint="eastAsia" w:asciiTheme="minorEastAsia" w:hAnsiTheme="minorEastAsia" w:eastAsiaTheme="minorEastAsia"/>
          <w:sz w:val="28"/>
          <w:szCs w:val="28"/>
        </w:rPr>
        <w:t>%；卫生健康支出</w:t>
      </w:r>
      <w:r>
        <w:rPr>
          <w:rFonts w:hint="eastAsia" w:asciiTheme="minorEastAsia" w:hAnsiTheme="minorEastAsia" w:eastAsiaTheme="minorEastAsia"/>
          <w:sz w:val="28"/>
          <w:szCs w:val="28"/>
          <w:lang w:val="en-US" w:eastAsia="zh-CN"/>
        </w:rPr>
        <w:t>33.81</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1.57</w:t>
      </w:r>
      <w:r>
        <w:rPr>
          <w:rFonts w:hint="eastAsia" w:asciiTheme="minorEastAsia" w:hAnsiTheme="minorEastAsia" w:eastAsiaTheme="minorEastAsia"/>
          <w:sz w:val="28"/>
          <w:szCs w:val="28"/>
        </w:rPr>
        <w:t>%;节能环保支出1985.7万元，占</w:t>
      </w:r>
      <w:r>
        <w:rPr>
          <w:rFonts w:hint="eastAsia" w:asciiTheme="minorEastAsia" w:hAnsiTheme="minorEastAsia" w:eastAsiaTheme="minorEastAsia"/>
          <w:sz w:val="28"/>
          <w:szCs w:val="28"/>
          <w:lang w:val="en-US" w:eastAsia="zh-CN"/>
        </w:rPr>
        <w:t>92.48</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；住房保障支出</w:t>
      </w:r>
      <w:r>
        <w:rPr>
          <w:rFonts w:hint="eastAsia" w:asciiTheme="minorEastAsia" w:hAnsiTheme="minorEastAsia" w:eastAsiaTheme="minorEastAsia"/>
          <w:sz w:val="28"/>
          <w:szCs w:val="28"/>
          <w:lang w:val="en-US" w:eastAsia="zh-CN"/>
        </w:rPr>
        <w:t>47.73</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2.23</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val="en-US" w:eastAsia="zh-CN"/>
        </w:rPr>
        <w:t>。</w:t>
      </w:r>
    </w:p>
    <w:p>
      <w:pPr>
        <w:pStyle w:val="13"/>
        <w:ind w:firstLine="700" w:firstLineChars="250"/>
        <w:rPr>
          <w:rFonts w:asciiTheme="minorEastAsia" w:hAnsiTheme="minorEastAsia" w:eastAsiaTheme="minorEastAsia"/>
          <w:b/>
          <w:sz w:val="28"/>
          <w:szCs w:val="28"/>
        </w:rPr>
      </w:pPr>
      <w:r>
        <w:rPr>
          <w:rFonts w:hint="eastAsia" w:asciiTheme="minorEastAsia" w:hAnsiTheme="minorEastAsia" w:eastAsiaTheme="minorEastAsia"/>
          <w:b/>
          <w:sz w:val="28"/>
          <w:szCs w:val="28"/>
        </w:rPr>
        <w:t>（三）财政拨款支出决算具体情况</w:t>
      </w:r>
    </w:p>
    <w:p>
      <w:pPr>
        <w:pStyle w:val="13"/>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2021年度财政拨款支出年初预算数为</w:t>
      </w:r>
      <w:r>
        <w:rPr>
          <w:rFonts w:hint="eastAsia" w:asciiTheme="minorEastAsia" w:hAnsiTheme="minorEastAsia" w:eastAsiaTheme="minorEastAsia"/>
          <w:sz w:val="28"/>
          <w:szCs w:val="28"/>
          <w:lang w:val="en-US" w:eastAsia="zh-CN"/>
        </w:rPr>
        <w:t>2246.32</w:t>
      </w:r>
      <w:r>
        <w:rPr>
          <w:rFonts w:hint="eastAsia" w:asciiTheme="minorEastAsia" w:hAnsiTheme="minorEastAsia" w:eastAsiaTheme="minorEastAsia"/>
          <w:sz w:val="28"/>
          <w:szCs w:val="28"/>
        </w:rPr>
        <w:t>万元，支出决算数为2147.25万元，完成年初预算的</w:t>
      </w:r>
      <w:r>
        <w:rPr>
          <w:rFonts w:hint="eastAsia" w:asciiTheme="minorEastAsia" w:hAnsiTheme="minorEastAsia" w:eastAsiaTheme="minorEastAsia"/>
          <w:sz w:val="28"/>
          <w:szCs w:val="28"/>
          <w:lang w:val="en-US" w:eastAsia="zh-CN"/>
        </w:rPr>
        <w:t>95.59</w:t>
      </w:r>
      <w:r>
        <w:rPr>
          <w:rFonts w:hint="eastAsia" w:asciiTheme="minorEastAsia" w:hAnsiTheme="minorEastAsia" w:eastAsiaTheme="minorEastAsia"/>
          <w:sz w:val="28"/>
          <w:szCs w:val="28"/>
        </w:rPr>
        <w:t>%，其中：</w:t>
      </w:r>
    </w:p>
    <w:p>
      <w:pPr>
        <w:pStyle w:val="13"/>
        <w:numPr>
          <w:ilvl w:val="0"/>
          <w:numId w:val="3"/>
        </w:numPr>
        <w:ind w:firstLine="700" w:firstLineChars="250"/>
        <w:rPr>
          <w:rFonts w:hint="eastAsia" w:asciiTheme="minorEastAsia" w:hAnsiTheme="minorEastAsia" w:eastAsiaTheme="minorEastAsia"/>
          <w:sz w:val="28"/>
          <w:szCs w:val="28"/>
        </w:rPr>
      </w:pPr>
      <w:r>
        <w:rPr>
          <w:rFonts w:hint="eastAsia" w:cs="黑体" w:asciiTheme="minorEastAsia" w:hAnsiTheme="minorEastAsia" w:eastAsiaTheme="minorEastAsia"/>
          <w:b w:val="0"/>
          <w:bCs w:val="0"/>
          <w:i w:val="0"/>
          <w:iCs w:val="0"/>
          <w:color w:val="000000"/>
          <w:kern w:val="0"/>
          <w:sz w:val="28"/>
          <w:szCs w:val="28"/>
          <w:u w:val="none"/>
          <w:lang w:val="en-US" w:eastAsia="zh-CN" w:bidi="ar"/>
        </w:rPr>
        <w:t>社会保障和就业支出（类）行政事业单位养老支出（款）</w:t>
      </w:r>
      <w:r>
        <w:rPr>
          <w:rFonts w:hint="eastAsia" w:asciiTheme="minorEastAsia" w:hAnsiTheme="minorEastAsia" w:eastAsiaTheme="minorEastAsia"/>
          <w:sz w:val="28"/>
          <w:szCs w:val="28"/>
        </w:rPr>
        <w:t>事业单位离退休</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项）</w:t>
      </w:r>
      <w:r>
        <w:rPr>
          <w:rFonts w:hint="eastAsia" w:asciiTheme="minorEastAsia" w:hAnsiTheme="minorEastAsia" w:eastAsiaTheme="minorEastAsia"/>
          <w:sz w:val="28"/>
          <w:szCs w:val="28"/>
        </w:rPr>
        <w:t>。</w:t>
      </w:r>
    </w:p>
    <w:p>
      <w:pPr>
        <w:pStyle w:val="13"/>
        <w:numPr>
          <w:ilvl w:val="-1"/>
          <w:numId w:val="0"/>
        </w:numPr>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9.6</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9.6</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我单位无人员变化 ，严格按预算执行决算</w:t>
      </w:r>
      <w:r>
        <w:rPr>
          <w:rFonts w:hint="eastAsia" w:asciiTheme="minorEastAsia" w:hAnsiTheme="minorEastAsia" w:eastAsiaTheme="minorEastAsia"/>
          <w:sz w:val="28"/>
          <w:szCs w:val="28"/>
          <w:lang w:eastAsia="zh-CN"/>
        </w:rPr>
        <w:t>。</w:t>
      </w:r>
    </w:p>
    <w:p>
      <w:pPr>
        <w:pStyle w:val="13"/>
        <w:numPr>
          <w:ilvl w:val="0"/>
          <w:numId w:val="3"/>
        </w:numPr>
        <w:ind w:firstLine="700" w:firstLineChars="250"/>
        <w:rPr>
          <w:rFonts w:hint="eastAsia" w:asciiTheme="minorEastAsia" w:hAnsiTheme="minorEastAsia" w:eastAsiaTheme="minorEastAsia"/>
          <w:sz w:val="28"/>
          <w:szCs w:val="28"/>
        </w:rPr>
      </w:pPr>
      <w:r>
        <w:rPr>
          <w:rFonts w:hint="eastAsia" w:cs="黑体" w:asciiTheme="minorEastAsia" w:hAnsiTheme="minorEastAsia" w:eastAsiaTheme="minorEastAsia"/>
          <w:b w:val="0"/>
          <w:bCs w:val="0"/>
          <w:i w:val="0"/>
          <w:iCs w:val="0"/>
          <w:color w:val="000000"/>
          <w:kern w:val="0"/>
          <w:sz w:val="28"/>
          <w:szCs w:val="28"/>
          <w:u w:val="none"/>
          <w:lang w:val="en-US" w:eastAsia="zh-CN" w:bidi="ar"/>
        </w:rPr>
        <w:t>社会保障和就业支出（类）行政事业单位养老支出（款）</w:t>
      </w:r>
      <w:r>
        <w:rPr>
          <w:rFonts w:hint="eastAsia" w:asciiTheme="minorEastAsia" w:hAnsiTheme="minorEastAsia" w:eastAsiaTheme="minorEastAsia"/>
          <w:sz w:val="28"/>
          <w:szCs w:val="28"/>
        </w:rPr>
        <w:t>机关事业单位基本养老保险缴费支出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项）</w:t>
      </w:r>
      <w:r>
        <w:rPr>
          <w:rFonts w:hint="eastAsia" w:asciiTheme="minorEastAsia" w:hAnsiTheme="minorEastAsia" w:eastAsiaTheme="minorEastAsia"/>
          <w:sz w:val="28"/>
          <w:szCs w:val="28"/>
        </w:rPr>
        <w:t>。</w:t>
      </w:r>
    </w:p>
    <w:p>
      <w:pPr>
        <w:pStyle w:val="13"/>
        <w:numPr>
          <w:ilvl w:val="-1"/>
          <w:numId w:val="0"/>
        </w:numPr>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70.41</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70.41</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我单位无人员变化 ，严格按预算执行决算</w:t>
      </w:r>
      <w:r>
        <w:rPr>
          <w:rFonts w:hint="eastAsia" w:asciiTheme="minorEastAsia" w:hAnsiTheme="minorEastAsia" w:eastAsiaTheme="minorEastAsia"/>
          <w:sz w:val="28"/>
          <w:szCs w:val="28"/>
          <w:lang w:eastAsia="zh-CN"/>
        </w:rPr>
        <w:t>。</w:t>
      </w:r>
    </w:p>
    <w:p>
      <w:pPr>
        <w:pStyle w:val="13"/>
        <w:numPr>
          <w:ilvl w:val="0"/>
          <w:numId w:val="4"/>
        </w:numPr>
        <w:ind w:left="40" w:leftChars="0" w:firstLine="800" w:firstLineChars="0"/>
        <w:rPr>
          <w:rFonts w:hint="eastAsia" w:asciiTheme="minorEastAsia" w:hAnsiTheme="minorEastAsia" w:eastAsiaTheme="minorEastAsia"/>
          <w:sz w:val="28"/>
          <w:szCs w:val="28"/>
          <w:lang w:eastAsia="zh-CN"/>
        </w:rPr>
      </w:pPr>
      <w:r>
        <w:rPr>
          <w:rFonts w:hint="eastAsia" w:ascii="宋体" w:hAnsi="宋体" w:eastAsia="宋体" w:cs="宋体"/>
          <w:b w:val="0"/>
          <w:bCs w:val="0"/>
          <w:i w:val="0"/>
          <w:iCs w:val="0"/>
          <w:color w:val="000000"/>
          <w:kern w:val="0"/>
          <w:sz w:val="28"/>
          <w:szCs w:val="28"/>
          <w:u w:val="none"/>
          <w:lang w:val="en-US" w:eastAsia="zh-CN" w:bidi="ar"/>
        </w:rPr>
        <w:t>卫生健康支出</w:t>
      </w:r>
      <w:r>
        <w:rPr>
          <w:rFonts w:hint="eastAsia" w:cs="黑体" w:asciiTheme="minorEastAsia" w:hAnsiTheme="minorEastAsia" w:eastAsiaTheme="minorEastAsia"/>
          <w:b w:val="0"/>
          <w:bCs w:val="0"/>
          <w:i w:val="0"/>
          <w:iCs w:val="0"/>
          <w:color w:val="000000"/>
          <w:kern w:val="0"/>
          <w:sz w:val="28"/>
          <w:szCs w:val="28"/>
          <w:u w:val="none"/>
          <w:lang w:val="en-US" w:eastAsia="zh-CN" w:bidi="ar"/>
        </w:rPr>
        <w:t>（类）</w:t>
      </w:r>
      <w:r>
        <w:rPr>
          <w:rFonts w:hint="eastAsia" w:ascii="宋体" w:hAnsi="宋体" w:eastAsia="宋体" w:cs="宋体"/>
          <w:b w:val="0"/>
          <w:bCs w:val="0"/>
          <w:i w:val="0"/>
          <w:iCs w:val="0"/>
          <w:color w:val="000000"/>
          <w:kern w:val="0"/>
          <w:sz w:val="28"/>
          <w:szCs w:val="28"/>
          <w:u w:val="none"/>
          <w:lang w:val="en-US" w:eastAsia="zh-CN" w:bidi="ar"/>
        </w:rPr>
        <w:t>行政事业单位医疗</w:t>
      </w:r>
      <w:r>
        <w:rPr>
          <w:rFonts w:hint="eastAsia" w:cs="黑体" w:asciiTheme="minorEastAsia" w:hAnsiTheme="minorEastAsia" w:eastAsiaTheme="minorEastAsia"/>
          <w:b w:val="0"/>
          <w:bCs w:val="0"/>
          <w:i w:val="0"/>
          <w:iCs w:val="0"/>
          <w:color w:val="000000"/>
          <w:kern w:val="0"/>
          <w:sz w:val="28"/>
          <w:szCs w:val="28"/>
          <w:u w:val="none"/>
          <w:lang w:val="en-US" w:eastAsia="zh-CN" w:bidi="ar"/>
        </w:rPr>
        <w:t>（款）</w:t>
      </w:r>
      <w:r>
        <w:rPr>
          <w:rFonts w:hint="eastAsia" w:asciiTheme="minorEastAsia" w:hAnsiTheme="minorEastAsia" w:eastAsiaTheme="minorEastAsia"/>
          <w:sz w:val="28"/>
          <w:szCs w:val="28"/>
          <w:lang w:val="en-US" w:eastAsia="zh-CN"/>
        </w:rPr>
        <w:t>事业单位医疗</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项）。</w:t>
      </w:r>
    </w:p>
    <w:p>
      <w:pPr>
        <w:pStyle w:val="13"/>
        <w:numPr>
          <w:ilvl w:val="-1"/>
          <w:numId w:val="0"/>
        </w:numPr>
        <w:ind w:left="0" w:leftChars="0"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33.81</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33.81</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我单位无人员变化 ，严格按预算执行决算</w:t>
      </w:r>
      <w:r>
        <w:rPr>
          <w:rFonts w:hint="eastAsia" w:asciiTheme="minorEastAsia" w:hAnsiTheme="minorEastAsia" w:eastAsiaTheme="minorEastAsia"/>
          <w:sz w:val="28"/>
          <w:szCs w:val="28"/>
          <w:lang w:eastAsia="zh-CN"/>
        </w:rPr>
        <w:t>。</w:t>
      </w:r>
    </w:p>
    <w:p>
      <w:pPr>
        <w:pStyle w:val="13"/>
        <w:numPr>
          <w:ilvl w:val="0"/>
          <w:numId w:val="4"/>
        </w:numPr>
        <w:ind w:left="40" w:firstLine="800" w:firstLineChars="0"/>
        <w:rPr>
          <w:rFonts w:hint="eastAsia" w:asciiTheme="minorEastAsia" w:hAnsiTheme="minorEastAsia" w:eastAsiaTheme="minorEastAsia"/>
          <w:sz w:val="28"/>
          <w:szCs w:val="28"/>
          <w:lang w:val="en-US" w:eastAsia="zh-CN"/>
        </w:rPr>
      </w:pPr>
      <w:r>
        <w:rPr>
          <w:rFonts w:hint="eastAsia" w:cs="黑体" w:asciiTheme="minorEastAsia" w:hAnsiTheme="minorEastAsia" w:eastAsiaTheme="minorEastAsia"/>
          <w:b w:val="0"/>
          <w:bCs w:val="0"/>
          <w:i w:val="0"/>
          <w:iCs w:val="0"/>
          <w:color w:val="000000"/>
          <w:kern w:val="0"/>
          <w:sz w:val="28"/>
          <w:szCs w:val="28"/>
          <w:u w:val="none"/>
          <w:lang w:val="en-US" w:eastAsia="zh-CN" w:bidi="ar"/>
        </w:rPr>
        <w:t>节能环保支出（类）环境保护管理事务（款）</w:t>
      </w:r>
      <w:r>
        <w:rPr>
          <w:rFonts w:hint="eastAsia" w:asciiTheme="minorEastAsia" w:hAnsiTheme="minorEastAsia" w:eastAsiaTheme="minorEastAsia"/>
          <w:sz w:val="28"/>
          <w:szCs w:val="28"/>
          <w:lang w:val="en-US" w:eastAsia="zh-CN"/>
        </w:rPr>
        <w:t>行政运行</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项）。</w:t>
      </w:r>
    </w:p>
    <w:p>
      <w:pPr>
        <w:pStyle w:val="13"/>
        <w:numPr>
          <w:ilvl w:val="-1"/>
          <w:numId w:val="0"/>
        </w:numPr>
        <w:ind w:left="0"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525.15</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523.59</w:t>
      </w:r>
      <w:r>
        <w:rPr>
          <w:rFonts w:hint="eastAsia" w:asciiTheme="minorEastAsia" w:hAnsiTheme="minorEastAsia" w:eastAsiaTheme="minorEastAsia"/>
          <w:sz w:val="28"/>
          <w:szCs w:val="28"/>
        </w:rPr>
        <w:t>万元，完成年初预算的</w:t>
      </w:r>
      <w:r>
        <w:rPr>
          <w:rFonts w:hint="eastAsia" w:asciiTheme="minorEastAsia" w:hAnsiTheme="minorEastAsia" w:eastAsiaTheme="minorEastAsia"/>
          <w:sz w:val="28"/>
          <w:szCs w:val="28"/>
          <w:lang w:val="en-US" w:eastAsia="zh-CN"/>
        </w:rPr>
        <w:t>99.7</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决算数小于年初预算数的主要原因是</w:t>
      </w:r>
      <w:r>
        <w:rPr>
          <w:rFonts w:hint="eastAsia" w:asciiTheme="minorEastAsia" w:hAnsiTheme="minorEastAsia" w:eastAsiaTheme="minorEastAsia"/>
          <w:sz w:val="28"/>
          <w:szCs w:val="28"/>
          <w:lang w:val="en-US" w:eastAsia="zh-CN"/>
        </w:rPr>
        <w:t>年底付款时账户名称有误，导致支付失败被退回，资金未使用完毕。</w:t>
      </w:r>
    </w:p>
    <w:p>
      <w:pPr>
        <w:pStyle w:val="13"/>
        <w:numPr>
          <w:ilvl w:val="0"/>
          <w:numId w:val="4"/>
        </w:numPr>
        <w:ind w:left="40" w:firstLine="800" w:firstLineChars="0"/>
        <w:rPr>
          <w:rFonts w:hint="eastAsia" w:asciiTheme="minorEastAsia" w:hAnsiTheme="minorEastAsia" w:eastAsiaTheme="minorEastAsia"/>
          <w:sz w:val="28"/>
          <w:szCs w:val="28"/>
          <w:lang w:val="en-US" w:eastAsia="zh-CN"/>
        </w:rPr>
      </w:pPr>
      <w:r>
        <w:rPr>
          <w:rFonts w:hint="eastAsia" w:cs="黑体" w:asciiTheme="minorEastAsia" w:hAnsiTheme="minorEastAsia" w:eastAsiaTheme="minorEastAsia"/>
          <w:b w:val="0"/>
          <w:bCs w:val="0"/>
          <w:i w:val="0"/>
          <w:iCs w:val="0"/>
          <w:color w:val="000000"/>
          <w:kern w:val="0"/>
          <w:sz w:val="28"/>
          <w:szCs w:val="28"/>
          <w:u w:val="none"/>
          <w:lang w:val="en-US" w:eastAsia="zh-CN" w:bidi="ar"/>
        </w:rPr>
        <w:t>节能环保支出（类）</w:t>
      </w:r>
      <w:r>
        <w:rPr>
          <w:rFonts w:hint="eastAsia" w:asciiTheme="minorEastAsia" w:hAnsiTheme="minorEastAsia" w:eastAsiaTheme="minorEastAsia"/>
          <w:sz w:val="28"/>
          <w:szCs w:val="28"/>
          <w:lang w:val="en-US" w:eastAsia="zh-CN"/>
        </w:rPr>
        <w:t>环境监测与监察</w:t>
      </w:r>
      <w:r>
        <w:rPr>
          <w:rFonts w:hint="eastAsia" w:cs="黑体" w:asciiTheme="minorEastAsia" w:hAnsiTheme="minorEastAsia" w:eastAsiaTheme="minorEastAsia"/>
          <w:b w:val="0"/>
          <w:bCs w:val="0"/>
          <w:i w:val="0"/>
          <w:iCs w:val="0"/>
          <w:color w:val="000000"/>
          <w:kern w:val="0"/>
          <w:sz w:val="28"/>
          <w:szCs w:val="28"/>
          <w:u w:val="none"/>
          <w:lang w:val="en-US" w:eastAsia="zh-CN" w:bidi="ar"/>
        </w:rPr>
        <w:t>（款）</w:t>
      </w:r>
      <w:r>
        <w:rPr>
          <w:rFonts w:hint="eastAsia" w:asciiTheme="minorEastAsia" w:hAnsiTheme="minorEastAsia" w:eastAsiaTheme="minorEastAsia"/>
          <w:sz w:val="28"/>
          <w:szCs w:val="28"/>
          <w:lang w:val="en-US" w:eastAsia="zh-CN"/>
        </w:rPr>
        <w:t>其他环境监测与监察支出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项）。</w:t>
      </w:r>
    </w:p>
    <w:p>
      <w:pPr>
        <w:pStyle w:val="13"/>
        <w:numPr>
          <w:ilvl w:val="-1"/>
          <w:numId w:val="0"/>
        </w:numPr>
        <w:ind w:left="0"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36.2</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val="en-US" w:eastAsia="zh-CN"/>
        </w:rPr>
        <w:t>该项支出是年中财政下达的生态环境监测能力建设专项资金。</w:t>
      </w:r>
    </w:p>
    <w:p>
      <w:pPr>
        <w:pStyle w:val="13"/>
        <w:numPr>
          <w:ilvl w:val="0"/>
          <w:numId w:val="4"/>
        </w:numPr>
        <w:ind w:left="40" w:firstLine="800" w:firstLineChars="0"/>
        <w:rPr>
          <w:rFonts w:hint="eastAsia" w:asciiTheme="minorEastAsia" w:hAnsiTheme="minorEastAsia" w:eastAsiaTheme="minorEastAsia"/>
          <w:sz w:val="28"/>
          <w:szCs w:val="28"/>
          <w:lang w:val="en-US" w:eastAsia="zh-CN"/>
        </w:rPr>
      </w:pPr>
      <w:r>
        <w:rPr>
          <w:rFonts w:hint="eastAsia" w:cs="黑体" w:asciiTheme="minorEastAsia" w:hAnsiTheme="minorEastAsia" w:eastAsiaTheme="minorEastAsia"/>
          <w:b w:val="0"/>
          <w:bCs w:val="0"/>
          <w:i w:val="0"/>
          <w:iCs w:val="0"/>
          <w:color w:val="000000"/>
          <w:kern w:val="0"/>
          <w:sz w:val="28"/>
          <w:szCs w:val="28"/>
          <w:u w:val="none"/>
          <w:lang w:val="en-US" w:eastAsia="zh-CN" w:bidi="ar"/>
        </w:rPr>
        <w:t>节能环保支出（类）</w:t>
      </w:r>
      <w:r>
        <w:rPr>
          <w:rFonts w:hint="eastAsia" w:asciiTheme="minorEastAsia" w:hAnsiTheme="minorEastAsia" w:eastAsiaTheme="minorEastAsia"/>
          <w:sz w:val="28"/>
          <w:szCs w:val="28"/>
          <w:lang w:val="en-US" w:eastAsia="zh-CN"/>
        </w:rPr>
        <w:t>污染防治</w:t>
      </w:r>
      <w:r>
        <w:rPr>
          <w:rFonts w:hint="eastAsia" w:cs="黑体" w:asciiTheme="minorEastAsia" w:hAnsiTheme="minorEastAsia" w:eastAsiaTheme="minorEastAsia"/>
          <w:b w:val="0"/>
          <w:bCs w:val="0"/>
          <w:i w:val="0"/>
          <w:iCs w:val="0"/>
          <w:color w:val="000000"/>
          <w:kern w:val="0"/>
          <w:sz w:val="28"/>
          <w:szCs w:val="28"/>
          <w:u w:val="none"/>
          <w:lang w:val="en-US" w:eastAsia="zh-CN" w:bidi="ar"/>
        </w:rPr>
        <w:t>（款）</w:t>
      </w:r>
      <w:r>
        <w:rPr>
          <w:rFonts w:hint="eastAsia" w:asciiTheme="minorEastAsia" w:hAnsiTheme="minorEastAsia" w:eastAsiaTheme="minorEastAsia"/>
          <w:sz w:val="28"/>
          <w:szCs w:val="28"/>
          <w:lang w:val="en-US" w:eastAsia="zh-CN"/>
        </w:rPr>
        <w:t>土壤</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项）。</w:t>
      </w:r>
    </w:p>
    <w:p>
      <w:pPr>
        <w:pStyle w:val="13"/>
        <w:numPr>
          <w:ilvl w:val="-1"/>
          <w:numId w:val="0"/>
        </w:numPr>
        <w:ind w:left="0"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30.41</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val="en-US" w:eastAsia="zh-CN"/>
        </w:rPr>
        <w:t>该项支出是年中财政下达的土壤环境及底泥监测经费专项资金。</w:t>
      </w:r>
    </w:p>
    <w:p>
      <w:pPr>
        <w:pStyle w:val="13"/>
        <w:numPr>
          <w:ilvl w:val="0"/>
          <w:numId w:val="4"/>
        </w:numPr>
        <w:ind w:left="40" w:firstLine="800" w:firstLineChars="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 </w:t>
      </w:r>
      <w:r>
        <w:rPr>
          <w:rFonts w:hint="eastAsia" w:cs="黑体" w:asciiTheme="minorEastAsia" w:hAnsiTheme="minorEastAsia" w:eastAsiaTheme="minorEastAsia"/>
          <w:b w:val="0"/>
          <w:bCs w:val="0"/>
          <w:i w:val="0"/>
          <w:iCs w:val="0"/>
          <w:color w:val="000000"/>
          <w:kern w:val="0"/>
          <w:sz w:val="28"/>
          <w:szCs w:val="28"/>
          <w:u w:val="none"/>
          <w:lang w:val="en-US" w:eastAsia="zh-CN" w:bidi="ar"/>
        </w:rPr>
        <w:t>节能环保支出（类）</w:t>
      </w:r>
      <w:r>
        <w:rPr>
          <w:rFonts w:hint="eastAsia" w:asciiTheme="minorEastAsia" w:hAnsiTheme="minorEastAsia" w:eastAsiaTheme="minorEastAsia"/>
          <w:sz w:val="28"/>
          <w:szCs w:val="28"/>
          <w:lang w:val="en-US" w:eastAsia="zh-CN"/>
        </w:rPr>
        <w:t>污染防治</w:t>
      </w:r>
      <w:r>
        <w:rPr>
          <w:rFonts w:hint="eastAsia" w:cs="黑体" w:asciiTheme="minorEastAsia" w:hAnsiTheme="minorEastAsia" w:eastAsiaTheme="minorEastAsia"/>
          <w:b w:val="0"/>
          <w:bCs w:val="0"/>
          <w:i w:val="0"/>
          <w:iCs w:val="0"/>
          <w:color w:val="000000"/>
          <w:kern w:val="0"/>
          <w:sz w:val="28"/>
          <w:szCs w:val="28"/>
          <w:u w:val="none"/>
          <w:lang w:val="en-US" w:eastAsia="zh-CN" w:bidi="ar"/>
        </w:rPr>
        <w:t>（款）</w:t>
      </w:r>
      <w:r>
        <w:rPr>
          <w:rFonts w:hint="eastAsia" w:asciiTheme="minorEastAsia" w:hAnsiTheme="minorEastAsia" w:eastAsiaTheme="minorEastAsia"/>
          <w:sz w:val="28"/>
          <w:szCs w:val="28"/>
          <w:lang w:val="en-US" w:eastAsia="zh-CN"/>
        </w:rPr>
        <w:t>其他污染防治支出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项）。</w:t>
      </w:r>
    </w:p>
    <w:p>
      <w:pPr>
        <w:pStyle w:val="13"/>
        <w:numPr>
          <w:ilvl w:val="-1"/>
          <w:numId w:val="0"/>
        </w:numPr>
        <w:ind w:left="0"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820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813.22</w:t>
      </w:r>
      <w:r>
        <w:rPr>
          <w:rFonts w:hint="eastAsia" w:asciiTheme="minorEastAsia" w:hAnsiTheme="minorEastAsia" w:eastAsiaTheme="minorEastAsia"/>
          <w:sz w:val="28"/>
          <w:szCs w:val="28"/>
        </w:rPr>
        <w:t>万</w:t>
      </w:r>
      <w:r>
        <w:rPr>
          <w:rFonts w:hint="eastAsia" w:asciiTheme="minorEastAsia" w:hAnsiTheme="minorEastAsia" w:eastAsiaTheme="minorEastAsia"/>
          <w:sz w:val="28"/>
          <w:szCs w:val="28"/>
          <w:lang w:val="en-US" w:eastAsia="zh-CN"/>
        </w:rPr>
        <w:t>元</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完成年初预算的</w:t>
      </w:r>
      <w:r>
        <w:rPr>
          <w:rFonts w:hint="eastAsia" w:asciiTheme="minorEastAsia" w:hAnsiTheme="minorEastAsia" w:eastAsiaTheme="minorEastAsia"/>
          <w:sz w:val="28"/>
          <w:szCs w:val="28"/>
          <w:lang w:val="en-US" w:eastAsia="zh-CN"/>
        </w:rPr>
        <w:t>99.17</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决算数小于年初预算数的主要原因是</w:t>
      </w:r>
      <w:r>
        <w:rPr>
          <w:rFonts w:hint="eastAsia" w:asciiTheme="minorEastAsia" w:hAnsiTheme="minorEastAsia" w:eastAsiaTheme="minorEastAsia"/>
          <w:sz w:val="28"/>
          <w:szCs w:val="28"/>
          <w:lang w:val="en-US" w:eastAsia="zh-CN"/>
        </w:rPr>
        <w:t>该项目实际中标金额小于预算数，按照中标金额支付专项项目资金。</w:t>
      </w:r>
    </w:p>
    <w:p>
      <w:pPr>
        <w:pStyle w:val="13"/>
        <w:numPr>
          <w:ilvl w:val="0"/>
          <w:numId w:val="4"/>
        </w:numPr>
        <w:ind w:left="40" w:firstLine="800" w:firstLineChars="0"/>
        <w:rPr>
          <w:rFonts w:hint="eastAsia" w:asciiTheme="minorEastAsia" w:hAnsiTheme="minorEastAsia" w:eastAsiaTheme="minorEastAsia"/>
          <w:sz w:val="28"/>
          <w:szCs w:val="28"/>
          <w:lang w:val="en-US" w:eastAsia="zh-CN"/>
        </w:rPr>
      </w:pPr>
      <w:r>
        <w:rPr>
          <w:rFonts w:hint="eastAsia" w:cs="黑体" w:asciiTheme="minorEastAsia" w:hAnsiTheme="minorEastAsia" w:eastAsiaTheme="minorEastAsia"/>
          <w:b w:val="0"/>
          <w:bCs w:val="0"/>
          <w:i w:val="0"/>
          <w:iCs w:val="0"/>
          <w:color w:val="000000"/>
          <w:kern w:val="0"/>
          <w:sz w:val="28"/>
          <w:szCs w:val="28"/>
          <w:u w:val="none"/>
          <w:lang w:val="en-US" w:eastAsia="zh-CN" w:bidi="ar"/>
        </w:rPr>
        <w:t>节能环保支出（类）</w:t>
      </w:r>
      <w:r>
        <w:rPr>
          <w:rFonts w:hint="eastAsia" w:asciiTheme="minorEastAsia" w:hAnsiTheme="minorEastAsia" w:eastAsiaTheme="minorEastAsia"/>
          <w:sz w:val="28"/>
          <w:szCs w:val="28"/>
          <w:lang w:val="en-US" w:eastAsia="zh-CN"/>
        </w:rPr>
        <w:t>污染减排</w:t>
      </w:r>
      <w:r>
        <w:rPr>
          <w:rFonts w:hint="eastAsia" w:cs="黑体" w:asciiTheme="minorEastAsia" w:hAnsiTheme="minorEastAsia" w:eastAsiaTheme="minorEastAsia"/>
          <w:b w:val="0"/>
          <w:bCs w:val="0"/>
          <w:i w:val="0"/>
          <w:iCs w:val="0"/>
          <w:color w:val="000000"/>
          <w:kern w:val="0"/>
          <w:sz w:val="28"/>
          <w:szCs w:val="28"/>
          <w:u w:val="none"/>
          <w:lang w:val="en-US" w:eastAsia="zh-CN" w:bidi="ar"/>
        </w:rPr>
        <w:t>（款）</w:t>
      </w:r>
      <w:r>
        <w:rPr>
          <w:rFonts w:hint="eastAsia" w:asciiTheme="minorEastAsia" w:hAnsiTheme="minorEastAsia" w:eastAsiaTheme="minorEastAsia"/>
          <w:sz w:val="28"/>
          <w:szCs w:val="28"/>
          <w:lang w:val="en-US" w:eastAsia="zh-CN"/>
        </w:rPr>
        <w:t>生态环境监测与信息</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项）。</w:t>
      </w:r>
    </w:p>
    <w:p>
      <w:pPr>
        <w:pStyle w:val="13"/>
        <w:numPr>
          <w:ilvl w:val="-1"/>
          <w:numId w:val="0"/>
        </w:numPr>
        <w:ind w:left="0"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739.62</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582.29</w:t>
      </w:r>
      <w:r>
        <w:rPr>
          <w:rFonts w:hint="eastAsia" w:asciiTheme="minorEastAsia" w:hAnsiTheme="minorEastAsia" w:eastAsiaTheme="minorEastAsia"/>
          <w:sz w:val="28"/>
          <w:szCs w:val="28"/>
        </w:rPr>
        <w:t>万</w:t>
      </w:r>
      <w:r>
        <w:rPr>
          <w:rFonts w:hint="eastAsia" w:asciiTheme="minorEastAsia" w:hAnsiTheme="minorEastAsia" w:eastAsiaTheme="minorEastAsia"/>
          <w:sz w:val="28"/>
          <w:szCs w:val="28"/>
          <w:lang w:val="en-US" w:eastAsia="zh-CN"/>
        </w:rPr>
        <w:t>元</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完成年初预算的</w:t>
      </w:r>
      <w:r>
        <w:rPr>
          <w:rFonts w:hint="eastAsia" w:asciiTheme="minorEastAsia" w:hAnsiTheme="minorEastAsia" w:eastAsiaTheme="minorEastAsia"/>
          <w:sz w:val="28"/>
          <w:szCs w:val="28"/>
          <w:lang w:val="en-US" w:eastAsia="zh-CN"/>
        </w:rPr>
        <w:t>78.73</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决算数小于年初预算数的主要原因是</w:t>
      </w:r>
      <w:r>
        <w:rPr>
          <w:rFonts w:hint="eastAsia" w:asciiTheme="minorEastAsia" w:hAnsiTheme="minorEastAsia" w:eastAsiaTheme="minorEastAsia"/>
          <w:sz w:val="28"/>
          <w:szCs w:val="28"/>
          <w:lang w:val="en-US" w:eastAsia="zh-CN"/>
        </w:rPr>
        <w:t>该业务经费当年有结余，结转到下年继续使用。</w:t>
      </w:r>
    </w:p>
    <w:p>
      <w:pPr>
        <w:pStyle w:val="13"/>
        <w:numPr>
          <w:ilvl w:val="0"/>
          <w:numId w:val="4"/>
        </w:numPr>
        <w:ind w:left="40" w:firstLine="800" w:firstLineChars="0"/>
        <w:rPr>
          <w:rFonts w:hint="eastAsia" w:asciiTheme="minorEastAsia" w:hAnsiTheme="minorEastAsia" w:eastAsiaTheme="minorEastAsia"/>
          <w:sz w:val="28"/>
          <w:szCs w:val="28"/>
          <w:lang w:val="en-US" w:eastAsia="zh-CN"/>
        </w:rPr>
      </w:pPr>
      <w:r>
        <w:rPr>
          <w:rFonts w:hint="eastAsia" w:cs="黑体" w:asciiTheme="minorEastAsia" w:hAnsiTheme="minorEastAsia" w:eastAsiaTheme="minorEastAsia"/>
          <w:b w:val="0"/>
          <w:bCs w:val="0"/>
          <w:i w:val="0"/>
          <w:iCs w:val="0"/>
          <w:color w:val="000000"/>
          <w:kern w:val="0"/>
          <w:sz w:val="28"/>
          <w:szCs w:val="28"/>
          <w:u w:val="none"/>
          <w:lang w:val="en-US" w:eastAsia="zh-CN" w:bidi="ar"/>
        </w:rPr>
        <w:t>住房保障支出（类）住房改革支出（款）</w:t>
      </w:r>
      <w:r>
        <w:rPr>
          <w:rFonts w:hint="eastAsia" w:asciiTheme="minorEastAsia" w:hAnsiTheme="minorEastAsia" w:eastAsiaTheme="minorEastAsia"/>
          <w:sz w:val="28"/>
          <w:szCs w:val="28"/>
          <w:lang w:val="en-US" w:eastAsia="zh-CN"/>
        </w:rPr>
        <w:t>住房公积金（项）。</w:t>
      </w:r>
    </w:p>
    <w:p>
      <w:pPr>
        <w:pStyle w:val="13"/>
        <w:numPr>
          <w:ilvl w:val="-1"/>
          <w:numId w:val="0"/>
        </w:numPr>
        <w:ind w:left="0"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年初预算为</w:t>
      </w:r>
      <w:r>
        <w:rPr>
          <w:rFonts w:hint="eastAsia" w:asciiTheme="minorEastAsia" w:hAnsiTheme="minorEastAsia" w:eastAsiaTheme="minorEastAsia"/>
          <w:sz w:val="28"/>
          <w:szCs w:val="28"/>
          <w:lang w:val="en-US" w:eastAsia="zh-CN"/>
        </w:rPr>
        <w:t>47.73</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47.73</w:t>
      </w:r>
      <w:r>
        <w:rPr>
          <w:rFonts w:hint="eastAsia" w:asciiTheme="minorEastAsia" w:hAnsiTheme="minorEastAsia" w:eastAsiaTheme="minorEastAsia"/>
          <w:sz w:val="28"/>
          <w:szCs w:val="28"/>
        </w:rPr>
        <w:t>万</w:t>
      </w:r>
      <w:r>
        <w:rPr>
          <w:rFonts w:hint="eastAsia" w:asciiTheme="minorEastAsia" w:hAnsiTheme="minorEastAsia" w:eastAsiaTheme="minorEastAsia"/>
          <w:sz w:val="28"/>
          <w:szCs w:val="28"/>
          <w:lang w:val="en-US" w:eastAsia="zh-CN"/>
        </w:rPr>
        <w:t>元</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完成年初预算的</w:t>
      </w:r>
      <w:r>
        <w:rPr>
          <w:rFonts w:hint="eastAsia" w:asciiTheme="minorEastAsia" w:hAnsiTheme="minorEastAsia" w:eastAsiaTheme="minorEastAsia"/>
          <w:sz w:val="28"/>
          <w:szCs w:val="28"/>
          <w:lang w:val="en-US" w:eastAsia="zh-CN"/>
        </w:rPr>
        <w:t>100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我单位无人员变化 ，严格按预算执行决算</w:t>
      </w:r>
      <w:r>
        <w:rPr>
          <w:rFonts w:hint="eastAsia" w:asciiTheme="minorEastAsia" w:hAnsiTheme="minorEastAsia" w:eastAsiaTheme="minorEastAsia"/>
          <w:sz w:val="28"/>
          <w:szCs w:val="28"/>
          <w:lang w:eastAsia="zh-CN"/>
        </w:rPr>
        <w:t>。</w:t>
      </w:r>
    </w:p>
    <w:p>
      <w:pPr>
        <w:pStyle w:val="13"/>
        <w:rPr>
          <w:rFonts w:hAnsi="黑体"/>
          <w:b/>
          <w:sz w:val="28"/>
          <w:szCs w:val="28"/>
        </w:rPr>
      </w:pPr>
      <w:r>
        <w:rPr>
          <w:rFonts w:hint="eastAsia" w:hAnsi="黑体"/>
          <w:b/>
          <w:sz w:val="28"/>
          <w:szCs w:val="28"/>
        </w:rPr>
        <w:t>六、一般公共预算财政拨款基本支出决算情况说明</w:t>
      </w:r>
    </w:p>
    <w:p>
      <w:pPr>
        <w:pStyle w:val="13"/>
        <w:ind w:firstLine="560" w:firstLineChars="200"/>
        <w:rPr>
          <w:rFonts w:hint="eastAsia" w:asciiTheme="minorEastAsia" w:hAnsiTheme="minorEastAsia" w:eastAsiaTheme="minorEastAsia"/>
          <w:i/>
          <w:color w:val="FF0000"/>
          <w:sz w:val="28"/>
          <w:szCs w:val="28"/>
          <w:lang w:val="en-US" w:eastAsia="zh-CN"/>
        </w:rPr>
      </w:pPr>
      <w:r>
        <w:rPr>
          <w:rFonts w:hint="eastAsia" w:asciiTheme="minorEastAsia" w:hAnsiTheme="minorEastAsia" w:eastAsiaTheme="minorEastAsia"/>
          <w:sz w:val="28"/>
          <w:szCs w:val="28"/>
        </w:rPr>
        <w:t>2021年度财政拨款基本支出685.14万元，其中：人员经费590.95万元，占基本支出的</w:t>
      </w:r>
      <w:r>
        <w:rPr>
          <w:rFonts w:hint="eastAsia" w:asciiTheme="minorEastAsia" w:hAnsiTheme="minorEastAsia" w:eastAsiaTheme="minorEastAsia"/>
          <w:sz w:val="28"/>
          <w:szCs w:val="28"/>
          <w:lang w:val="en-US" w:eastAsia="zh-CN"/>
        </w:rPr>
        <w:t>86.25</w:t>
      </w:r>
      <w:r>
        <w:rPr>
          <w:rFonts w:hint="eastAsia" w:asciiTheme="minorEastAsia" w:hAnsiTheme="minorEastAsia" w:eastAsiaTheme="minorEastAsia"/>
          <w:sz w:val="28"/>
          <w:szCs w:val="28"/>
        </w:rPr>
        <w:t>%,主要包括基本工资、津贴补贴、</w:t>
      </w:r>
      <w:r>
        <w:rPr>
          <w:rFonts w:hint="eastAsia" w:asciiTheme="minorEastAsia" w:hAnsiTheme="minorEastAsia" w:eastAsiaTheme="minorEastAsia"/>
          <w:sz w:val="28"/>
          <w:szCs w:val="28"/>
          <w:lang w:val="en-US" w:eastAsia="zh-CN"/>
        </w:rPr>
        <w:t>五险一金、</w:t>
      </w:r>
      <w:r>
        <w:rPr>
          <w:rFonts w:hint="eastAsia" w:asciiTheme="minorEastAsia" w:hAnsiTheme="minorEastAsia" w:eastAsiaTheme="minorEastAsia"/>
          <w:sz w:val="28"/>
          <w:szCs w:val="28"/>
        </w:rPr>
        <w:t>奖金、伙食补助费</w:t>
      </w:r>
      <w:r>
        <w:rPr>
          <w:rFonts w:hint="eastAsia" w:asciiTheme="minorEastAsia" w:hAnsiTheme="minorEastAsia" w:eastAsiaTheme="minorEastAsia"/>
          <w:sz w:val="28"/>
          <w:szCs w:val="28"/>
          <w:lang w:val="en-US" w:eastAsia="zh-CN"/>
        </w:rPr>
        <w:t>等</w:t>
      </w:r>
      <w:r>
        <w:rPr>
          <w:rFonts w:hint="eastAsia" w:asciiTheme="minorEastAsia" w:hAnsiTheme="minorEastAsia" w:eastAsiaTheme="minorEastAsia"/>
          <w:sz w:val="28"/>
          <w:szCs w:val="28"/>
        </w:rPr>
        <w:t>；公用经费94.19万元，占基本支出的</w:t>
      </w:r>
      <w:r>
        <w:rPr>
          <w:rFonts w:hint="eastAsia" w:asciiTheme="minorEastAsia" w:hAnsiTheme="minorEastAsia" w:eastAsiaTheme="minorEastAsia"/>
          <w:sz w:val="28"/>
          <w:szCs w:val="28"/>
          <w:lang w:val="en-US" w:eastAsia="zh-CN"/>
        </w:rPr>
        <w:t>13.75</w:t>
      </w:r>
      <w:r>
        <w:rPr>
          <w:rFonts w:hint="eastAsia" w:asciiTheme="minorEastAsia" w:hAnsiTheme="minorEastAsia" w:eastAsiaTheme="minorEastAsia"/>
          <w:sz w:val="28"/>
          <w:szCs w:val="28"/>
        </w:rPr>
        <w:t>%，主要包括办公费、 物业管理费、</w:t>
      </w:r>
      <w:r>
        <w:rPr>
          <w:rFonts w:hint="eastAsia" w:asciiTheme="minorEastAsia" w:hAnsiTheme="minorEastAsia" w:eastAsiaTheme="minorEastAsia"/>
          <w:sz w:val="28"/>
          <w:szCs w:val="28"/>
          <w:lang w:val="en-US" w:eastAsia="zh-CN"/>
        </w:rPr>
        <w:t>工会经费、福利费、公务接待、公务用车运行维护费等。</w:t>
      </w:r>
    </w:p>
    <w:p>
      <w:pPr>
        <w:pStyle w:val="13"/>
        <w:rPr>
          <w:rFonts w:hAnsi="黑体"/>
          <w:b/>
          <w:sz w:val="28"/>
          <w:szCs w:val="28"/>
        </w:rPr>
      </w:pPr>
      <w:r>
        <w:rPr>
          <w:rFonts w:hint="eastAsia" w:hAnsi="黑体"/>
          <w:b/>
          <w:sz w:val="28"/>
          <w:szCs w:val="28"/>
        </w:rPr>
        <w:t>七、一般公共预算财政拨款“三公”经费支出决算情况说明</w:t>
      </w:r>
    </w:p>
    <w:p>
      <w:pPr>
        <w:pStyle w:val="13"/>
        <w:rPr>
          <w:rFonts w:asciiTheme="minorEastAsia" w:hAnsiTheme="minorEastAsia" w:eastAsiaTheme="minorEastAsia"/>
          <w:b/>
          <w:sz w:val="28"/>
          <w:szCs w:val="28"/>
        </w:rPr>
      </w:pPr>
      <w:r>
        <w:rPr>
          <w:rFonts w:hint="eastAsia" w:asciiTheme="minorEastAsia" w:hAnsiTheme="minorEastAsia" w:eastAsiaTheme="minorEastAsia"/>
          <w:b/>
          <w:sz w:val="28"/>
          <w:szCs w:val="28"/>
        </w:rPr>
        <w:t>（一）“三公”经费财政拨款支出决算总体情况说明</w:t>
      </w:r>
    </w:p>
    <w:p>
      <w:pPr>
        <w:pStyle w:val="13"/>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2021年度“三公”经费财政拨款支出预算为</w:t>
      </w:r>
      <w:r>
        <w:rPr>
          <w:rFonts w:hint="eastAsia" w:asciiTheme="minorEastAsia" w:hAnsiTheme="minorEastAsia" w:eastAsiaTheme="minorEastAsia"/>
          <w:sz w:val="28"/>
          <w:szCs w:val="28"/>
          <w:lang w:val="en-US" w:eastAsia="zh-CN"/>
        </w:rPr>
        <w:t>53.5</w:t>
      </w:r>
      <w:r>
        <w:rPr>
          <w:rFonts w:hint="eastAsia" w:asciiTheme="minorEastAsia" w:hAnsiTheme="minorEastAsia" w:eastAsiaTheme="minorEastAsia"/>
          <w:sz w:val="28"/>
          <w:szCs w:val="28"/>
        </w:rPr>
        <w:t>万元，支出决算为51.94万元，完成预算的</w:t>
      </w:r>
      <w:r>
        <w:rPr>
          <w:rFonts w:hint="eastAsia" w:asciiTheme="minorEastAsia" w:hAnsiTheme="minorEastAsia" w:eastAsiaTheme="minorEastAsia"/>
          <w:sz w:val="28"/>
          <w:szCs w:val="28"/>
          <w:lang w:val="en-US" w:eastAsia="zh-CN"/>
        </w:rPr>
        <w:t>97.08</w:t>
      </w:r>
      <w:r>
        <w:rPr>
          <w:rFonts w:hint="eastAsia" w:asciiTheme="minorEastAsia" w:hAnsiTheme="minorEastAsia" w:eastAsiaTheme="minorEastAsia"/>
          <w:sz w:val="28"/>
          <w:szCs w:val="28"/>
        </w:rPr>
        <w:t>%，其中：</w:t>
      </w:r>
    </w:p>
    <w:p>
      <w:pPr>
        <w:pStyle w:val="13"/>
        <w:ind w:firstLine="700" w:firstLineChars="250"/>
        <w:rPr>
          <w:rFonts w:hint="eastAsia" w:asciiTheme="minorEastAsia" w:hAnsiTheme="minorEastAsia" w:eastAsiaTheme="minorEastAsia"/>
          <w:color w:val="auto"/>
          <w:sz w:val="28"/>
          <w:szCs w:val="28"/>
        </w:rPr>
      </w:pPr>
      <w:r>
        <w:rPr>
          <w:rFonts w:hint="eastAsia" w:asciiTheme="minorEastAsia" w:hAnsiTheme="minorEastAsia" w:eastAsiaTheme="minorEastAsia"/>
          <w:sz w:val="28"/>
          <w:szCs w:val="28"/>
        </w:rPr>
        <w:t>因公出国（境）费支出预算为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w:t>
      </w:r>
      <w:r>
        <w:rPr>
          <w:rFonts w:hint="eastAsia" w:ascii="宋体" w:hAnsi="宋体" w:eastAsia="宋体"/>
          <w:color w:val="auto"/>
          <w:sz w:val="28"/>
          <w:szCs w:val="28"/>
          <w:highlight w:val="none"/>
        </w:rPr>
        <w:t>决算数等于预算数的</w:t>
      </w:r>
      <w:r>
        <w:rPr>
          <w:rFonts w:hint="eastAsia" w:ascii="宋体" w:hAnsi="宋体" w:eastAsia="宋体"/>
          <w:color w:val="auto"/>
          <w:sz w:val="28"/>
          <w:szCs w:val="28"/>
          <w:highlight w:val="none"/>
          <w:lang w:val="en-US" w:eastAsia="zh-CN"/>
        </w:rPr>
        <w:t>原因</w:t>
      </w:r>
      <w:r>
        <w:rPr>
          <w:rFonts w:hint="eastAsia" w:ascii="宋体" w:hAnsi="宋体" w:eastAsia="宋体"/>
          <w:color w:val="auto"/>
          <w:sz w:val="28"/>
          <w:szCs w:val="28"/>
          <w:highlight w:val="none"/>
        </w:rPr>
        <w:t>主要是疫情影响，今年未安排出国出境，与上年相比无变化，主要原因是主要是疫情影响，今年及去年均未安排出国出境</w:t>
      </w:r>
      <w:r>
        <w:rPr>
          <w:rFonts w:hint="eastAsia" w:asciiTheme="minorEastAsia" w:hAnsiTheme="minorEastAsia" w:eastAsiaTheme="minorEastAsia"/>
          <w:color w:val="auto"/>
          <w:sz w:val="28"/>
          <w:szCs w:val="28"/>
        </w:rPr>
        <w:t>。</w:t>
      </w:r>
    </w:p>
    <w:p>
      <w:pPr>
        <w:pStyle w:val="13"/>
        <w:ind w:firstLine="700" w:firstLineChars="250"/>
        <w:rPr>
          <w:rFonts w:hint="default" w:asciiTheme="minorEastAsia" w:hAnsiTheme="minorEastAsia" w:eastAsiaTheme="minorEastAsia"/>
          <w:sz w:val="28"/>
          <w:szCs w:val="28"/>
          <w:lang w:eastAsia="zh-CN"/>
        </w:rPr>
      </w:pPr>
      <w:r>
        <w:rPr>
          <w:rFonts w:hint="eastAsia" w:asciiTheme="minorEastAsia" w:hAnsiTheme="minorEastAsia" w:eastAsiaTheme="minorEastAsia"/>
          <w:sz w:val="28"/>
          <w:szCs w:val="28"/>
        </w:rPr>
        <w:t>公务接待费支出预算为</w:t>
      </w: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3.53</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88.25</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highlight w:val="none"/>
        </w:rPr>
        <w:t>决算数小于预算数的主要原因厉行节约，压缩开支</w:t>
      </w:r>
      <w:r>
        <w:rPr>
          <w:rFonts w:hint="eastAsia" w:asciiTheme="minorEastAsia" w:hAnsiTheme="minorEastAsia" w:eastAsiaTheme="minorEastAsia"/>
          <w:sz w:val="28"/>
          <w:szCs w:val="28"/>
          <w:highlight w:val="none"/>
          <w:lang w:eastAsia="zh-CN"/>
        </w:rPr>
        <w:t>。</w:t>
      </w:r>
      <w:r>
        <w:rPr>
          <w:rFonts w:hint="eastAsia" w:asciiTheme="minorEastAsia" w:hAnsiTheme="minorEastAsia" w:eastAsiaTheme="minorEastAsia"/>
          <w:sz w:val="28"/>
          <w:szCs w:val="28"/>
          <w:highlight w:val="none"/>
          <w:lang w:val="en-US" w:eastAsia="zh-CN"/>
        </w:rPr>
        <w:t>与上年决算数相比增加3.07万元，增长667.39%，主要原因是</w:t>
      </w:r>
      <w:r>
        <w:rPr>
          <w:rFonts w:hint="eastAsia" w:asciiTheme="minorEastAsia" w:hAnsiTheme="minorEastAsia" w:eastAsiaTheme="minorEastAsia"/>
          <w:sz w:val="28"/>
          <w:szCs w:val="28"/>
          <w:lang w:val="en-US" w:eastAsia="zh-CN"/>
        </w:rPr>
        <w:t>垂改后工作任务量加大，接待任务同时增加。</w:t>
      </w:r>
    </w:p>
    <w:p>
      <w:pPr>
        <w:pStyle w:val="13"/>
        <w:ind w:firstLine="560" w:firstLineChars="20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公务用车购置费支出</w:t>
      </w:r>
      <w:r>
        <w:rPr>
          <w:rFonts w:hint="eastAsia" w:asciiTheme="minorEastAsia" w:hAnsiTheme="minorEastAsia" w:eastAsiaTheme="minorEastAsia"/>
          <w:sz w:val="28"/>
          <w:szCs w:val="28"/>
          <w:lang w:val="en-US" w:eastAsia="zh-CN"/>
        </w:rPr>
        <w:t>年初</w:t>
      </w:r>
      <w:r>
        <w:rPr>
          <w:rFonts w:hint="eastAsia" w:asciiTheme="minorEastAsia" w:hAnsiTheme="minorEastAsia" w:eastAsiaTheme="minorEastAsia"/>
          <w:sz w:val="28"/>
          <w:szCs w:val="28"/>
        </w:rPr>
        <w:t>预算为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w:t>
      </w:r>
      <w:r>
        <w:rPr>
          <w:rFonts w:hint="eastAsia" w:asciiTheme="minorEastAsia" w:hAnsiTheme="minorEastAsia" w:eastAsiaTheme="minorEastAsia"/>
          <w:sz w:val="28"/>
          <w:szCs w:val="28"/>
          <w:lang w:val="en-US" w:eastAsia="zh-CN"/>
        </w:rPr>
        <w:t>年中下达生态环境监测能力建设监测业务用车购置专项资金18万元，</w:t>
      </w:r>
      <w:r>
        <w:rPr>
          <w:rFonts w:hint="eastAsia" w:asciiTheme="minorEastAsia" w:hAnsiTheme="minorEastAsia" w:eastAsiaTheme="minorEastAsia"/>
          <w:sz w:val="28"/>
          <w:szCs w:val="28"/>
        </w:rPr>
        <w:t>支出决算为</w:t>
      </w:r>
      <w:r>
        <w:rPr>
          <w:rFonts w:hint="eastAsia" w:asciiTheme="minorEastAsia" w:hAnsiTheme="minorEastAsia" w:eastAsiaTheme="minorEastAsia"/>
          <w:sz w:val="28"/>
          <w:szCs w:val="28"/>
          <w:lang w:val="en-US" w:eastAsia="zh-CN"/>
        </w:rPr>
        <w:t>17.98</w:t>
      </w:r>
      <w:r>
        <w:rPr>
          <w:rFonts w:hint="eastAsia" w:asciiTheme="minorEastAsia" w:hAnsiTheme="minorEastAsia" w:eastAsiaTheme="minorEastAsia"/>
          <w:sz w:val="28"/>
          <w:szCs w:val="28"/>
        </w:rPr>
        <w:t>万元，完成</w:t>
      </w:r>
      <w:r>
        <w:rPr>
          <w:rFonts w:hint="eastAsia" w:asciiTheme="minorEastAsia" w:hAnsiTheme="minorEastAsia" w:eastAsiaTheme="minorEastAsia"/>
          <w:sz w:val="28"/>
          <w:szCs w:val="28"/>
          <w:lang w:val="en-US" w:eastAsia="zh-CN"/>
        </w:rPr>
        <w:t>全年</w:t>
      </w:r>
      <w:bookmarkStart w:id="3" w:name="_GoBack"/>
      <w:bookmarkEnd w:id="3"/>
      <w:r>
        <w:rPr>
          <w:rFonts w:hint="eastAsia" w:asciiTheme="minorEastAsia" w:hAnsiTheme="minorEastAsia" w:eastAsiaTheme="minorEastAsia"/>
          <w:sz w:val="28"/>
          <w:szCs w:val="28"/>
        </w:rPr>
        <w:t>预算</w:t>
      </w:r>
      <w:r>
        <w:rPr>
          <w:rFonts w:hint="eastAsia" w:asciiTheme="minorEastAsia" w:hAnsiTheme="minorEastAsia" w:eastAsiaTheme="minorEastAsia"/>
          <w:sz w:val="28"/>
          <w:szCs w:val="28"/>
          <w:lang w:val="en-US" w:eastAsia="zh-CN"/>
        </w:rPr>
        <w:t>的99.89</w:t>
      </w:r>
      <w:r>
        <w:rPr>
          <w:rFonts w:hint="eastAsia" w:asciiTheme="minorEastAsia" w:hAnsiTheme="minorEastAsia" w:eastAsiaTheme="minorEastAsia"/>
          <w:sz w:val="28"/>
          <w:szCs w:val="28"/>
        </w:rPr>
        <w:t>%，决算数</w:t>
      </w:r>
      <w:r>
        <w:rPr>
          <w:rFonts w:hint="eastAsia" w:asciiTheme="minorEastAsia" w:hAnsiTheme="minorEastAsia" w:eastAsiaTheme="minorEastAsia"/>
          <w:sz w:val="28"/>
          <w:szCs w:val="28"/>
          <w:lang w:val="en-US" w:eastAsia="zh-CN"/>
        </w:rPr>
        <w:t>与追加</w:t>
      </w:r>
      <w:r>
        <w:rPr>
          <w:rFonts w:hint="eastAsia" w:asciiTheme="minorEastAsia" w:hAnsiTheme="minorEastAsia" w:eastAsiaTheme="minorEastAsia"/>
          <w:sz w:val="28"/>
          <w:szCs w:val="28"/>
        </w:rPr>
        <w:t>预算数</w:t>
      </w:r>
      <w:r>
        <w:rPr>
          <w:rFonts w:hint="eastAsia" w:asciiTheme="minorEastAsia" w:hAnsiTheme="minorEastAsia" w:eastAsiaTheme="minorEastAsia"/>
          <w:sz w:val="28"/>
          <w:szCs w:val="28"/>
          <w:lang w:val="en-US" w:eastAsia="zh-CN"/>
        </w:rPr>
        <w:t>基本持平，</w:t>
      </w:r>
      <w:r>
        <w:rPr>
          <w:rFonts w:hint="eastAsia" w:asciiTheme="minorEastAsia" w:hAnsiTheme="minorEastAsia" w:eastAsiaTheme="minorEastAsia"/>
          <w:sz w:val="28"/>
          <w:szCs w:val="28"/>
        </w:rPr>
        <w:t>与上年</w:t>
      </w:r>
      <w:r>
        <w:rPr>
          <w:rFonts w:hint="eastAsia" w:asciiTheme="minorEastAsia" w:hAnsiTheme="minorEastAsia" w:eastAsiaTheme="minorEastAsia"/>
          <w:sz w:val="28"/>
          <w:szCs w:val="28"/>
          <w:lang w:val="en-US" w:eastAsia="zh-CN"/>
        </w:rPr>
        <w:t>决算数</w:t>
      </w:r>
      <w:r>
        <w:rPr>
          <w:rFonts w:hint="eastAsia" w:asciiTheme="minorEastAsia" w:hAnsiTheme="minorEastAsia" w:eastAsiaTheme="minorEastAsia"/>
          <w:sz w:val="28"/>
          <w:szCs w:val="28"/>
        </w:rPr>
        <w:t>相比增加</w:t>
      </w:r>
      <w:r>
        <w:rPr>
          <w:rFonts w:hint="eastAsia" w:asciiTheme="minorEastAsia" w:hAnsiTheme="minorEastAsia" w:eastAsiaTheme="minorEastAsia"/>
          <w:sz w:val="28"/>
          <w:szCs w:val="28"/>
          <w:lang w:val="en-US" w:eastAsia="zh-CN"/>
        </w:rPr>
        <w:t>17.98</w:t>
      </w:r>
      <w:r>
        <w:rPr>
          <w:rFonts w:hint="eastAsia" w:asciiTheme="minorEastAsia" w:hAnsiTheme="minorEastAsia" w:eastAsiaTheme="minorEastAsia"/>
          <w:sz w:val="28"/>
          <w:szCs w:val="28"/>
        </w:rPr>
        <w:t>万元，增长的主要原因是</w:t>
      </w:r>
      <w:r>
        <w:rPr>
          <w:rFonts w:hint="eastAsia" w:asciiTheme="minorEastAsia" w:hAnsiTheme="minorEastAsia" w:eastAsiaTheme="minorEastAsia"/>
          <w:sz w:val="28"/>
          <w:szCs w:val="28"/>
          <w:lang w:val="en-US" w:eastAsia="zh-CN"/>
        </w:rPr>
        <w:t>上年车辆均未报废，没有购车计划，今年报废车辆1辆，同时又下达了专项资金，满足购车条件新增车辆一台。</w:t>
      </w:r>
    </w:p>
    <w:p>
      <w:pPr>
        <w:pStyle w:val="13"/>
        <w:ind w:firstLine="700" w:firstLineChars="25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公务用车运行维护费支出预算为</w:t>
      </w:r>
      <w:r>
        <w:rPr>
          <w:rFonts w:hint="eastAsia" w:asciiTheme="minorEastAsia" w:hAnsiTheme="minorEastAsia" w:eastAsiaTheme="minorEastAsia"/>
          <w:sz w:val="28"/>
          <w:szCs w:val="28"/>
          <w:lang w:val="en-US" w:eastAsia="zh-CN"/>
        </w:rPr>
        <w:t>31.5</w:t>
      </w:r>
      <w:r>
        <w:rPr>
          <w:rFonts w:hint="eastAsia" w:asciiTheme="minorEastAsia" w:hAnsiTheme="minorEastAsia" w:eastAsiaTheme="minorEastAsia"/>
          <w:sz w:val="28"/>
          <w:szCs w:val="28"/>
        </w:rPr>
        <w:t>万元，支出决算为</w:t>
      </w:r>
      <w:r>
        <w:rPr>
          <w:rFonts w:hint="eastAsia" w:asciiTheme="minorEastAsia" w:hAnsiTheme="minorEastAsia" w:eastAsiaTheme="minorEastAsia"/>
          <w:sz w:val="28"/>
          <w:szCs w:val="28"/>
          <w:lang w:val="en-US" w:eastAsia="zh-CN"/>
        </w:rPr>
        <w:t>30.43</w:t>
      </w:r>
      <w:r>
        <w:rPr>
          <w:rFonts w:hint="eastAsia" w:asciiTheme="minorEastAsia" w:hAnsiTheme="minorEastAsia" w:eastAsiaTheme="minorEastAsia"/>
          <w:sz w:val="28"/>
          <w:szCs w:val="28"/>
        </w:rPr>
        <w:t>万元，完成预算的</w:t>
      </w:r>
      <w:r>
        <w:rPr>
          <w:rFonts w:hint="eastAsia" w:asciiTheme="minorEastAsia" w:hAnsiTheme="minorEastAsia" w:eastAsiaTheme="minorEastAsia"/>
          <w:sz w:val="28"/>
          <w:szCs w:val="28"/>
          <w:lang w:val="en-US" w:eastAsia="zh-CN"/>
        </w:rPr>
        <w:t>96.6</w:t>
      </w:r>
      <w:r>
        <w:rPr>
          <w:rFonts w:hint="eastAsia" w:asciiTheme="minorEastAsia" w:hAnsiTheme="minorEastAsia" w:eastAsiaTheme="minorEastAsia"/>
          <w:sz w:val="28"/>
          <w:szCs w:val="28"/>
        </w:rPr>
        <w:t>%，决算数小于预算数的主要原因是</w:t>
      </w:r>
      <w:r>
        <w:rPr>
          <w:rFonts w:hint="eastAsia" w:asciiTheme="minorEastAsia" w:hAnsiTheme="minorEastAsia" w:eastAsiaTheme="minorEastAsia"/>
          <w:sz w:val="28"/>
          <w:szCs w:val="28"/>
          <w:highlight w:val="none"/>
        </w:rPr>
        <w:t>厉行节约，压缩开支</w:t>
      </w:r>
      <w:r>
        <w:rPr>
          <w:rFonts w:hint="eastAsia" w:asciiTheme="minorEastAsia" w:hAnsiTheme="minorEastAsia" w:eastAsiaTheme="minorEastAsia"/>
          <w:sz w:val="28"/>
          <w:szCs w:val="28"/>
          <w:highlight w:val="none"/>
          <w:lang w:eastAsia="zh-CN"/>
        </w:rPr>
        <w:t>，</w:t>
      </w:r>
      <w:r>
        <w:rPr>
          <w:rFonts w:hint="eastAsia" w:asciiTheme="minorEastAsia" w:hAnsiTheme="minorEastAsia" w:eastAsiaTheme="minorEastAsia"/>
          <w:sz w:val="28"/>
          <w:szCs w:val="28"/>
        </w:rPr>
        <w:t>与上年相比增加</w:t>
      </w:r>
      <w:r>
        <w:rPr>
          <w:rFonts w:hint="eastAsia" w:asciiTheme="minorEastAsia" w:hAnsiTheme="minorEastAsia" w:eastAsiaTheme="minorEastAsia"/>
          <w:sz w:val="28"/>
          <w:szCs w:val="28"/>
          <w:lang w:val="en-US" w:eastAsia="zh-CN"/>
        </w:rPr>
        <w:t>18.61</w:t>
      </w:r>
      <w:r>
        <w:rPr>
          <w:rFonts w:hint="eastAsia" w:asciiTheme="minorEastAsia" w:hAnsiTheme="minorEastAsia" w:eastAsiaTheme="minorEastAsia"/>
          <w:sz w:val="28"/>
          <w:szCs w:val="28"/>
        </w:rPr>
        <w:t>万元，增长</w:t>
      </w:r>
      <w:r>
        <w:rPr>
          <w:rFonts w:hint="eastAsia" w:asciiTheme="minorEastAsia" w:hAnsiTheme="minorEastAsia" w:eastAsiaTheme="minorEastAsia"/>
          <w:sz w:val="28"/>
          <w:szCs w:val="28"/>
          <w:lang w:val="en-US" w:eastAsia="zh-CN"/>
        </w:rPr>
        <w:t>219.97</w:t>
      </w:r>
      <w:r>
        <w:rPr>
          <w:rFonts w:hint="eastAsia" w:asciiTheme="minorEastAsia" w:hAnsiTheme="minorEastAsia" w:eastAsiaTheme="minorEastAsia"/>
          <w:sz w:val="28"/>
          <w:szCs w:val="28"/>
        </w:rPr>
        <w:t>%,增长主要原因</w:t>
      </w:r>
      <w:r>
        <w:rPr>
          <w:rFonts w:hint="eastAsia" w:asciiTheme="minorEastAsia" w:hAnsiTheme="minorEastAsia" w:eastAsiaTheme="minorEastAsia"/>
          <w:sz w:val="28"/>
          <w:szCs w:val="28"/>
          <w:highlight w:val="none"/>
          <w:lang w:val="en-US" w:eastAsia="zh-CN"/>
        </w:rPr>
        <w:t>一是</w:t>
      </w:r>
      <w:r>
        <w:rPr>
          <w:rFonts w:hint="eastAsia" w:asciiTheme="minorEastAsia" w:hAnsiTheme="minorEastAsia" w:eastAsiaTheme="minorEastAsia"/>
          <w:sz w:val="28"/>
          <w:szCs w:val="28"/>
          <w:lang w:val="en-US" w:eastAsia="zh-CN"/>
        </w:rPr>
        <w:t>2020年生态环境监测机构垂直管理，改革过渡期间，当年</w:t>
      </w:r>
      <w:r>
        <w:rPr>
          <w:rFonts w:hint="eastAsia" w:asciiTheme="minorEastAsia" w:hAnsiTheme="minorEastAsia" w:eastAsiaTheme="minorEastAsia"/>
          <w:sz w:val="28"/>
          <w:szCs w:val="28"/>
          <w:highlight w:val="none"/>
          <w:lang w:val="en-US" w:eastAsia="zh-CN"/>
        </w:rPr>
        <w:t>资金下达晚，部分款项到2021年支付；二是我单位</w:t>
      </w:r>
      <w:r>
        <w:rPr>
          <w:rFonts w:hint="eastAsia" w:asciiTheme="minorEastAsia" w:hAnsiTheme="minorEastAsia" w:eastAsiaTheme="minorEastAsia"/>
          <w:sz w:val="28"/>
          <w:szCs w:val="28"/>
          <w:lang w:val="en-US" w:eastAsia="zh-CN"/>
        </w:rPr>
        <w:t>车辆车龄较长，均超过10年，其中两台超过20年，一年两检，车辆老化导致维修费增加；三是垂改后工作任务量加大，相应公务用车运行维护费支出增加。</w:t>
      </w:r>
    </w:p>
    <w:p>
      <w:pPr>
        <w:pStyle w:val="13"/>
        <w:rPr>
          <w:rFonts w:asciiTheme="minorEastAsia" w:hAnsiTheme="minorEastAsia" w:eastAsiaTheme="minorEastAsia"/>
          <w:b/>
          <w:sz w:val="28"/>
          <w:szCs w:val="28"/>
        </w:rPr>
      </w:pPr>
      <w:r>
        <w:rPr>
          <w:rFonts w:hint="eastAsia" w:asciiTheme="minorEastAsia" w:hAnsiTheme="minorEastAsia" w:eastAsiaTheme="minorEastAsia"/>
          <w:b/>
          <w:sz w:val="28"/>
          <w:szCs w:val="28"/>
        </w:rPr>
        <w:t>（二）“三公”经费财政拨款支出决算具体情况说明</w:t>
      </w:r>
    </w:p>
    <w:p>
      <w:pPr>
        <w:pStyle w:val="13"/>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2021年度“三公”经费财政拨款支出决算中，公务接待费支出决算</w:t>
      </w:r>
      <w:r>
        <w:rPr>
          <w:rFonts w:hint="eastAsia" w:asciiTheme="minorEastAsia" w:hAnsiTheme="minorEastAsia" w:eastAsiaTheme="minorEastAsia"/>
          <w:sz w:val="28"/>
          <w:szCs w:val="28"/>
          <w:lang w:val="en-US" w:eastAsia="zh-CN"/>
        </w:rPr>
        <w:t>3.53</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6.8</w:t>
      </w:r>
      <w:r>
        <w:rPr>
          <w:rFonts w:hint="eastAsia" w:asciiTheme="minorEastAsia" w:hAnsiTheme="minorEastAsia" w:eastAsiaTheme="minorEastAsia"/>
          <w:sz w:val="28"/>
          <w:szCs w:val="28"/>
        </w:rPr>
        <w:t>%,因公出国（境）费支出决算</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%,公务用车购置费及运行维护费支出决算</w:t>
      </w:r>
      <w:r>
        <w:rPr>
          <w:rFonts w:hint="eastAsia" w:asciiTheme="minorEastAsia" w:hAnsiTheme="minorEastAsia" w:eastAsiaTheme="minorEastAsia"/>
          <w:sz w:val="28"/>
          <w:szCs w:val="28"/>
          <w:lang w:val="en-US" w:eastAsia="zh-CN"/>
        </w:rPr>
        <w:t>48.41</w:t>
      </w:r>
      <w:r>
        <w:rPr>
          <w:rFonts w:hint="eastAsia" w:asciiTheme="minorEastAsia" w:hAnsiTheme="minorEastAsia" w:eastAsiaTheme="minorEastAsia"/>
          <w:sz w:val="28"/>
          <w:szCs w:val="28"/>
        </w:rPr>
        <w:t>万元，占</w:t>
      </w:r>
      <w:r>
        <w:rPr>
          <w:rFonts w:hint="eastAsia" w:asciiTheme="minorEastAsia" w:hAnsiTheme="minorEastAsia" w:eastAsiaTheme="minorEastAsia"/>
          <w:sz w:val="28"/>
          <w:szCs w:val="28"/>
          <w:lang w:val="en-US" w:eastAsia="zh-CN"/>
        </w:rPr>
        <w:t>93.2</w:t>
      </w:r>
      <w:r>
        <w:rPr>
          <w:rFonts w:hint="eastAsia" w:asciiTheme="minorEastAsia" w:hAnsiTheme="minorEastAsia" w:eastAsiaTheme="minorEastAsia"/>
          <w:sz w:val="28"/>
          <w:szCs w:val="28"/>
        </w:rPr>
        <w:t>%。其中：</w:t>
      </w:r>
    </w:p>
    <w:p>
      <w:pPr>
        <w:pStyle w:val="13"/>
        <w:ind w:firstLine="560" w:firstLineChars="200"/>
        <w:rPr>
          <w:rFonts w:hint="eastAsia" w:asciiTheme="minorEastAsia" w:hAnsiTheme="minorEastAsia" w:eastAsiaTheme="minorEastAsia"/>
          <w:b/>
          <w:sz w:val="28"/>
          <w:szCs w:val="28"/>
        </w:rPr>
      </w:pPr>
      <w:r>
        <w:rPr>
          <w:rFonts w:hint="eastAsia" w:asciiTheme="minorEastAsia" w:hAnsiTheme="minorEastAsia" w:eastAsiaTheme="minorEastAsia"/>
          <w:sz w:val="28"/>
          <w:szCs w:val="28"/>
        </w:rPr>
        <w:t>1、因公出国（境）费支出决算为</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万元，全年安排因公出国（境）团组</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个，累计</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人次</w:t>
      </w:r>
      <w:r>
        <w:rPr>
          <w:rFonts w:hint="eastAsia" w:asciiTheme="minorEastAsia" w:hAnsiTheme="minorEastAsia" w:eastAsiaTheme="minorEastAsia"/>
          <w:sz w:val="28"/>
          <w:szCs w:val="28"/>
          <w:lang w:eastAsia="zh-CN"/>
        </w:rPr>
        <w:t>；</w:t>
      </w:r>
    </w:p>
    <w:p>
      <w:pPr>
        <w:pStyle w:val="13"/>
        <w:ind w:firstLine="700" w:firstLineChars="25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2、公务接待费支出决算为</w:t>
      </w:r>
      <w:r>
        <w:rPr>
          <w:rFonts w:hint="eastAsia" w:asciiTheme="minorEastAsia" w:hAnsiTheme="minorEastAsia" w:eastAsiaTheme="minorEastAsia"/>
          <w:sz w:val="28"/>
          <w:szCs w:val="28"/>
          <w:lang w:val="en-US" w:eastAsia="zh-CN"/>
        </w:rPr>
        <w:t>3.53</w:t>
      </w:r>
      <w:r>
        <w:rPr>
          <w:rFonts w:hint="eastAsia" w:asciiTheme="minorEastAsia" w:hAnsiTheme="minorEastAsia" w:eastAsiaTheme="minorEastAsia"/>
          <w:sz w:val="28"/>
          <w:szCs w:val="28"/>
        </w:rPr>
        <w:t>万元，全年共接待来访团组</w:t>
      </w:r>
      <w:r>
        <w:rPr>
          <w:rFonts w:hint="eastAsia" w:asciiTheme="minorEastAsia" w:hAnsiTheme="minorEastAsia" w:eastAsiaTheme="minorEastAsia"/>
          <w:sz w:val="28"/>
          <w:szCs w:val="28"/>
          <w:lang w:val="en-US" w:eastAsia="zh-CN"/>
        </w:rPr>
        <w:t>48</w:t>
      </w:r>
      <w:r>
        <w:rPr>
          <w:rFonts w:hint="eastAsia" w:asciiTheme="minorEastAsia" w:hAnsiTheme="minorEastAsia" w:eastAsiaTheme="minorEastAsia"/>
          <w:sz w:val="28"/>
          <w:szCs w:val="28"/>
        </w:rPr>
        <w:t>个、来宾</w:t>
      </w:r>
      <w:r>
        <w:rPr>
          <w:rFonts w:hint="eastAsia" w:asciiTheme="minorEastAsia" w:hAnsiTheme="minorEastAsia" w:eastAsiaTheme="minorEastAsia"/>
          <w:sz w:val="28"/>
          <w:szCs w:val="28"/>
          <w:lang w:val="en-US" w:eastAsia="zh-CN"/>
        </w:rPr>
        <w:t>307</w:t>
      </w:r>
      <w:r>
        <w:rPr>
          <w:rFonts w:hint="eastAsia" w:asciiTheme="minorEastAsia" w:hAnsiTheme="minorEastAsia" w:eastAsiaTheme="minorEastAsia"/>
          <w:sz w:val="28"/>
          <w:szCs w:val="28"/>
        </w:rPr>
        <w:t>人次，</w:t>
      </w:r>
      <w:r>
        <w:rPr>
          <w:rFonts w:hint="eastAsia" w:asciiTheme="minorEastAsia" w:hAnsiTheme="minorEastAsia" w:eastAsiaTheme="minorEastAsia"/>
          <w:sz w:val="28"/>
          <w:szCs w:val="28"/>
          <w:highlight w:val="none"/>
        </w:rPr>
        <w:t>主要是</w:t>
      </w:r>
      <w:r>
        <w:rPr>
          <w:rFonts w:hint="eastAsia" w:asciiTheme="minorEastAsia" w:hAnsiTheme="minorEastAsia" w:eastAsiaTheme="minorEastAsia"/>
          <w:sz w:val="28"/>
          <w:szCs w:val="28"/>
          <w:highlight w:val="none"/>
          <w:lang w:eastAsia="zh-CN"/>
        </w:rPr>
        <w:t>省级各</w:t>
      </w:r>
      <w:r>
        <w:rPr>
          <w:rFonts w:hint="eastAsia" w:asciiTheme="minorEastAsia" w:hAnsiTheme="minorEastAsia" w:eastAsiaTheme="minorEastAsia"/>
          <w:sz w:val="28"/>
          <w:szCs w:val="28"/>
          <w:highlight w:val="none"/>
          <w:lang w:val="en-US" w:eastAsia="zh-CN"/>
        </w:rPr>
        <w:t>项</w:t>
      </w:r>
      <w:r>
        <w:rPr>
          <w:rFonts w:hint="eastAsia" w:asciiTheme="minorEastAsia" w:hAnsiTheme="minorEastAsia" w:eastAsiaTheme="minorEastAsia"/>
          <w:sz w:val="28"/>
          <w:szCs w:val="28"/>
          <w:highlight w:val="none"/>
          <w:lang w:eastAsia="zh-CN"/>
        </w:rPr>
        <w:t>业务工作检查</w:t>
      </w:r>
      <w:r>
        <w:rPr>
          <w:rFonts w:hint="eastAsia" w:asciiTheme="minorEastAsia" w:hAnsiTheme="minorEastAsia" w:eastAsiaTheme="minorEastAsia"/>
          <w:sz w:val="28"/>
          <w:szCs w:val="28"/>
          <w:highlight w:val="none"/>
          <w:lang w:val="en-US" w:eastAsia="zh-CN"/>
        </w:rPr>
        <w:t>及兄弟单位业务交流</w:t>
      </w:r>
      <w:r>
        <w:rPr>
          <w:rFonts w:hint="eastAsia" w:asciiTheme="minorEastAsia" w:hAnsiTheme="minorEastAsia" w:eastAsiaTheme="minorEastAsia"/>
          <w:sz w:val="28"/>
          <w:szCs w:val="28"/>
          <w:highlight w:val="none"/>
          <w:lang w:eastAsia="zh-CN"/>
        </w:rPr>
        <w:t>等</w:t>
      </w:r>
      <w:r>
        <w:rPr>
          <w:rFonts w:hint="eastAsia" w:asciiTheme="minorEastAsia" w:hAnsiTheme="minorEastAsia" w:eastAsiaTheme="minorEastAsia"/>
          <w:sz w:val="28"/>
          <w:szCs w:val="28"/>
          <w:highlight w:val="none"/>
        </w:rPr>
        <w:t>发生的接待支出</w:t>
      </w:r>
      <w:r>
        <w:rPr>
          <w:rFonts w:hint="eastAsia" w:asciiTheme="minorEastAsia" w:hAnsiTheme="minorEastAsia" w:eastAsiaTheme="minorEastAsia"/>
          <w:sz w:val="28"/>
          <w:szCs w:val="28"/>
          <w:highlight w:val="none"/>
          <w:lang w:eastAsia="zh-CN"/>
        </w:rPr>
        <w:t>。</w:t>
      </w:r>
    </w:p>
    <w:p>
      <w:pPr>
        <w:ind w:firstLine="700" w:firstLineChars="250"/>
        <w:rPr>
          <w:rFonts w:cs="黑体" w:asciiTheme="minorEastAsia" w:hAnsiTheme="minorEastAsia"/>
          <w:color w:val="000000"/>
          <w:kern w:val="0"/>
          <w:sz w:val="28"/>
          <w:szCs w:val="28"/>
        </w:rPr>
      </w:pPr>
      <w:r>
        <w:rPr>
          <w:rFonts w:hint="eastAsia" w:asciiTheme="minorEastAsia" w:hAnsiTheme="minorEastAsia"/>
          <w:sz w:val="28"/>
          <w:szCs w:val="28"/>
        </w:rPr>
        <w:t>3、公务用车购置费及运行维护费支出决算为</w:t>
      </w:r>
      <w:r>
        <w:rPr>
          <w:rFonts w:hint="eastAsia" w:asciiTheme="minorEastAsia" w:hAnsiTheme="minorEastAsia"/>
          <w:sz w:val="28"/>
          <w:szCs w:val="28"/>
          <w:lang w:val="en-US" w:eastAsia="zh-CN"/>
        </w:rPr>
        <w:t>48.41</w:t>
      </w:r>
      <w:r>
        <w:rPr>
          <w:rFonts w:hint="eastAsia" w:asciiTheme="minorEastAsia" w:hAnsiTheme="minorEastAsia"/>
          <w:sz w:val="28"/>
          <w:szCs w:val="28"/>
        </w:rPr>
        <w:t>万元，其中：公务用车购置费</w:t>
      </w:r>
      <w:r>
        <w:rPr>
          <w:rFonts w:hint="eastAsia" w:asciiTheme="minorEastAsia" w:hAnsiTheme="minorEastAsia"/>
          <w:sz w:val="28"/>
          <w:szCs w:val="28"/>
          <w:lang w:val="en-US" w:eastAsia="zh-CN"/>
        </w:rPr>
        <w:t>17.98</w:t>
      </w:r>
      <w:r>
        <w:rPr>
          <w:rFonts w:hint="eastAsia" w:asciiTheme="minorEastAsia" w:hAnsiTheme="minorEastAsia"/>
          <w:sz w:val="28"/>
          <w:szCs w:val="28"/>
        </w:rPr>
        <w:t>万元，</w:t>
      </w:r>
      <w:r>
        <w:rPr>
          <w:rFonts w:hint="eastAsia" w:asciiTheme="minorEastAsia" w:hAnsiTheme="minorEastAsia"/>
          <w:sz w:val="28"/>
          <w:szCs w:val="28"/>
          <w:lang w:val="en-US" w:eastAsia="zh-CN"/>
        </w:rPr>
        <w:t>湖南省郴州生态环境监测中心</w:t>
      </w:r>
      <w:r>
        <w:rPr>
          <w:rFonts w:hint="eastAsia" w:asciiTheme="minorEastAsia" w:hAnsiTheme="minorEastAsia"/>
          <w:sz w:val="28"/>
          <w:szCs w:val="28"/>
        </w:rPr>
        <w:t>本级更新公务用车</w:t>
      </w:r>
      <w:r>
        <w:rPr>
          <w:rFonts w:hint="eastAsia" w:asciiTheme="minorEastAsia" w:hAnsiTheme="minorEastAsia"/>
          <w:sz w:val="28"/>
          <w:szCs w:val="28"/>
          <w:lang w:val="en-US" w:eastAsia="zh-CN"/>
        </w:rPr>
        <w:t>1</w:t>
      </w:r>
      <w:r>
        <w:rPr>
          <w:rFonts w:hint="eastAsia" w:asciiTheme="minorEastAsia" w:hAnsiTheme="minorEastAsia"/>
          <w:sz w:val="28"/>
          <w:szCs w:val="28"/>
        </w:rPr>
        <w:t>辆</w:t>
      </w:r>
      <w:r>
        <w:rPr>
          <w:rFonts w:hint="eastAsia" w:asciiTheme="minorEastAsia" w:hAnsiTheme="minorEastAsia"/>
          <w:color w:val="000000" w:themeColor="text1"/>
          <w:sz w:val="28"/>
          <w:szCs w:val="28"/>
          <w14:textFill>
            <w14:solidFill>
              <w14:schemeClr w14:val="tx1"/>
            </w14:solidFill>
          </w14:textFill>
        </w:rPr>
        <w:t>。</w:t>
      </w:r>
      <w:r>
        <w:rPr>
          <w:rFonts w:hint="eastAsia" w:asciiTheme="minorEastAsia" w:hAnsiTheme="minorEastAsia"/>
          <w:sz w:val="28"/>
          <w:szCs w:val="28"/>
        </w:rPr>
        <w:t>公务用车运行维护费</w:t>
      </w:r>
      <w:r>
        <w:rPr>
          <w:rFonts w:hint="eastAsia" w:asciiTheme="minorEastAsia" w:hAnsiTheme="minorEastAsia"/>
          <w:sz w:val="28"/>
          <w:szCs w:val="28"/>
          <w:lang w:val="en-US" w:eastAsia="zh-CN"/>
        </w:rPr>
        <w:t>30.43</w:t>
      </w:r>
      <w:r>
        <w:rPr>
          <w:rFonts w:hint="eastAsia" w:asciiTheme="minorEastAsia" w:hAnsiTheme="minorEastAsia"/>
          <w:sz w:val="28"/>
          <w:szCs w:val="28"/>
        </w:rPr>
        <w:t>万元，主要是</w:t>
      </w:r>
      <w:r>
        <w:rPr>
          <w:rFonts w:hint="eastAsia" w:asciiTheme="minorEastAsia" w:hAnsiTheme="minorEastAsia"/>
          <w:sz w:val="28"/>
          <w:szCs w:val="28"/>
          <w:highlight w:val="none"/>
          <w:lang w:eastAsia="zh-CN"/>
        </w:rPr>
        <w:t>车辆燃油费、</w:t>
      </w:r>
      <w:r>
        <w:rPr>
          <w:rFonts w:hint="eastAsia" w:asciiTheme="minorEastAsia" w:hAnsiTheme="minorEastAsia"/>
          <w:sz w:val="28"/>
          <w:szCs w:val="28"/>
          <w:highlight w:val="none"/>
          <w:lang w:val="en-US" w:eastAsia="zh-CN"/>
        </w:rPr>
        <w:t>车辆</w:t>
      </w:r>
      <w:r>
        <w:rPr>
          <w:rFonts w:hint="eastAsia" w:asciiTheme="minorEastAsia" w:hAnsiTheme="minorEastAsia"/>
          <w:sz w:val="28"/>
          <w:szCs w:val="28"/>
          <w:highlight w:val="none"/>
          <w:lang w:eastAsia="zh-CN"/>
        </w:rPr>
        <w:t>维修费、</w:t>
      </w:r>
      <w:r>
        <w:rPr>
          <w:rFonts w:hint="eastAsia" w:asciiTheme="minorEastAsia" w:hAnsiTheme="minorEastAsia"/>
          <w:sz w:val="28"/>
          <w:szCs w:val="28"/>
          <w:highlight w:val="none"/>
          <w:lang w:val="en-US" w:eastAsia="zh-CN"/>
        </w:rPr>
        <w:t>车辆保险费、</w:t>
      </w:r>
      <w:r>
        <w:rPr>
          <w:rFonts w:hint="eastAsia" w:asciiTheme="minorEastAsia" w:hAnsiTheme="minorEastAsia"/>
          <w:sz w:val="28"/>
          <w:szCs w:val="28"/>
          <w:highlight w:val="none"/>
          <w:lang w:eastAsia="zh-CN"/>
        </w:rPr>
        <w:t>高速公路过路</w:t>
      </w:r>
      <w:r>
        <w:rPr>
          <w:rFonts w:hint="eastAsia" w:asciiTheme="minorEastAsia" w:hAnsiTheme="minorEastAsia"/>
          <w:sz w:val="28"/>
          <w:szCs w:val="28"/>
          <w:highlight w:val="none"/>
          <w:lang w:val="en-US" w:eastAsia="zh-CN"/>
        </w:rPr>
        <w:t>过桥</w:t>
      </w:r>
      <w:r>
        <w:rPr>
          <w:rFonts w:hint="eastAsia" w:asciiTheme="minorEastAsia" w:hAnsiTheme="minorEastAsia"/>
          <w:sz w:val="28"/>
          <w:szCs w:val="28"/>
          <w:highlight w:val="none"/>
          <w:lang w:eastAsia="zh-CN"/>
        </w:rPr>
        <w:t>费等</w:t>
      </w:r>
      <w:r>
        <w:rPr>
          <w:rFonts w:hint="eastAsia" w:asciiTheme="minorEastAsia" w:hAnsiTheme="minorEastAsia"/>
          <w:sz w:val="28"/>
          <w:szCs w:val="28"/>
        </w:rPr>
        <w:t>支出</w:t>
      </w:r>
      <w:r>
        <w:rPr>
          <w:rFonts w:hint="eastAsia" w:asciiTheme="minorEastAsia" w:hAnsiTheme="minorEastAsia"/>
          <w:sz w:val="28"/>
          <w:szCs w:val="28"/>
          <w:lang w:eastAsia="zh-CN"/>
        </w:rPr>
        <w:t>。</w:t>
      </w:r>
      <w:r>
        <w:rPr>
          <w:rFonts w:hint="eastAsia" w:asciiTheme="minorEastAsia" w:hAnsiTheme="minorEastAsia"/>
          <w:sz w:val="28"/>
          <w:szCs w:val="28"/>
        </w:rPr>
        <w:t>截止2021年12月31日，我单位开支财政拨款的公务用车保有量为</w:t>
      </w:r>
      <w:r>
        <w:rPr>
          <w:rFonts w:hint="eastAsia" w:asciiTheme="minorEastAsia" w:hAnsiTheme="minorEastAsia"/>
          <w:sz w:val="28"/>
          <w:szCs w:val="28"/>
          <w:lang w:val="en-US" w:eastAsia="zh-CN"/>
        </w:rPr>
        <w:t>7</w:t>
      </w:r>
      <w:r>
        <w:rPr>
          <w:rFonts w:hint="eastAsia" w:asciiTheme="minorEastAsia" w:hAnsiTheme="minorEastAsia"/>
          <w:sz w:val="28"/>
          <w:szCs w:val="28"/>
        </w:rPr>
        <w:t>辆。</w:t>
      </w:r>
    </w:p>
    <w:p>
      <w:pPr>
        <w:pStyle w:val="13"/>
        <w:rPr>
          <w:rFonts w:hAnsi="黑体"/>
          <w:b/>
          <w:sz w:val="28"/>
          <w:szCs w:val="28"/>
        </w:rPr>
      </w:pPr>
      <w:r>
        <w:rPr>
          <w:rFonts w:hint="eastAsia" w:hAnsi="黑体"/>
          <w:b/>
          <w:sz w:val="28"/>
          <w:szCs w:val="28"/>
        </w:rPr>
        <w:t>八、政府性基金预算收入支出决算情况</w:t>
      </w:r>
    </w:p>
    <w:p>
      <w:pPr>
        <w:pStyle w:val="13"/>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湖南省郴州生态环境监测中心</w:t>
      </w:r>
      <w:r>
        <w:rPr>
          <w:rFonts w:hint="eastAsia" w:asciiTheme="minorEastAsia" w:hAnsiTheme="minorEastAsia" w:eastAsiaTheme="minorEastAsia"/>
          <w:sz w:val="28"/>
          <w:szCs w:val="28"/>
          <w:lang w:val="en-US" w:eastAsia="zh-CN"/>
        </w:rPr>
        <w:t>2021年</w:t>
      </w:r>
      <w:r>
        <w:rPr>
          <w:rFonts w:hint="eastAsia" w:asciiTheme="minorEastAsia" w:hAnsiTheme="minorEastAsia" w:eastAsiaTheme="minorEastAsia"/>
          <w:sz w:val="28"/>
          <w:szCs w:val="28"/>
        </w:rPr>
        <w:t>没有政府性基金收入，也没有使用政府性基金安排的支出。</w:t>
      </w:r>
    </w:p>
    <w:p>
      <w:pPr>
        <w:pStyle w:val="13"/>
        <w:rPr>
          <w:rFonts w:hAnsi="黑体"/>
          <w:b/>
          <w:sz w:val="28"/>
          <w:szCs w:val="28"/>
        </w:rPr>
      </w:pPr>
      <w:r>
        <w:rPr>
          <w:rFonts w:hint="eastAsia" w:hAnsi="黑体"/>
          <w:b/>
          <w:sz w:val="28"/>
          <w:szCs w:val="28"/>
        </w:rPr>
        <w:t>九、机关运行经费支出说明</w:t>
      </w:r>
    </w:p>
    <w:p>
      <w:pPr>
        <w:pStyle w:val="13"/>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本部门2021年度机关运行经费支出94.19万元，比年初预算数减少</w:t>
      </w:r>
      <w:r>
        <w:rPr>
          <w:rFonts w:hint="eastAsia" w:asciiTheme="minorEastAsia" w:hAnsiTheme="minorEastAsia" w:eastAsiaTheme="minorEastAsia"/>
          <w:sz w:val="28"/>
          <w:szCs w:val="28"/>
          <w:lang w:val="en-US" w:eastAsia="zh-CN"/>
        </w:rPr>
        <w:t>9.81</w:t>
      </w:r>
      <w:r>
        <w:rPr>
          <w:rFonts w:hint="eastAsia" w:asciiTheme="minorEastAsia" w:hAnsiTheme="minorEastAsia" w:eastAsiaTheme="minorEastAsia"/>
          <w:sz w:val="28"/>
          <w:szCs w:val="28"/>
        </w:rPr>
        <w:t>万元，降低</w:t>
      </w:r>
      <w:r>
        <w:rPr>
          <w:rFonts w:hint="eastAsia" w:asciiTheme="minorEastAsia" w:hAnsiTheme="minorEastAsia" w:eastAsiaTheme="minorEastAsia"/>
          <w:sz w:val="28"/>
          <w:szCs w:val="28"/>
          <w:lang w:val="en-US" w:eastAsia="zh-CN"/>
        </w:rPr>
        <w:t>9.43</w:t>
      </w:r>
      <w:r>
        <w:rPr>
          <w:rFonts w:hint="eastAsia" w:asciiTheme="minorEastAsia" w:hAnsiTheme="minorEastAsia" w:eastAsiaTheme="minorEastAsia"/>
          <w:sz w:val="28"/>
          <w:szCs w:val="28"/>
        </w:rPr>
        <w:t>%。主要原因</w:t>
      </w:r>
      <w:r>
        <w:rPr>
          <w:rFonts w:hint="eastAsia" w:asciiTheme="minorEastAsia" w:hAnsiTheme="minorEastAsia" w:eastAsiaTheme="minorEastAsia"/>
          <w:sz w:val="28"/>
          <w:szCs w:val="28"/>
          <w:lang w:val="en-US" w:eastAsia="zh-CN"/>
        </w:rPr>
        <w:t>一是</w:t>
      </w:r>
      <w:r>
        <w:rPr>
          <w:rFonts w:hint="eastAsia" w:asciiTheme="minorEastAsia" w:hAnsiTheme="minorEastAsia" w:eastAsiaTheme="minorEastAsia"/>
          <w:sz w:val="28"/>
          <w:szCs w:val="28"/>
          <w:lang w:eastAsia="zh-CN"/>
        </w:rPr>
        <w:t>年末支付公务用车加油充值时因对方单位</w:t>
      </w:r>
      <w:r>
        <w:rPr>
          <w:rFonts w:hint="eastAsia" w:asciiTheme="minorEastAsia" w:hAnsiTheme="minorEastAsia" w:eastAsiaTheme="minorEastAsia"/>
          <w:sz w:val="28"/>
          <w:szCs w:val="28"/>
          <w:lang w:val="en-US" w:eastAsia="zh-CN"/>
        </w:rPr>
        <w:t>账户名称</w:t>
      </w:r>
      <w:r>
        <w:rPr>
          <w:rFonts w:hint="eastAsia" w:asciiTheme="minorEastAsia" w:hAnsiTheme="minorEastAsia" w:eastAsiaTheme="minorEastAsia"/>
          <w:sz w:val="28"/>
          <w:szCs w:val="28"/>
          <w:lang w:eastAsia="zh-CN"/>
        </w:rPr>
        <w:t>错误退单而形成结余，</w:t>
      </w:r>
      <w:r>
        <w:rPr>
          <w:rFonts w:hint="eastAsia" w:asciiTheme="minorEastAsia" w:hAnsiTheme="minorEastAsia" w:eastAsiaTheme="minorEastAsia"/>
          <w:sz w:val="28"/>
          <w:szCs w:val="28"/>
          <w:lang w:val="en-US" w:eastAsia="zh-CN"/>
        </w:rPr>
        <w:t>二是</w:t>
      </w:r>
      <w:r>
        <w:rPr>
          <w:rFonts w:hint="eastAsia" w:asciiTheme="minorEastAsia" w:hAnsiTheme="minorEastAsia" w:eastAsiaTheme="minorEastAsia"/>
          <w:sz w:val="28"/>
          <w:szCs w:val="28"/>
          <w:highlight w:val="none"/>
        </w:rPr>
        <w:t>原因厉行节约，压缩开支</w:t>
      </w:r>
      <w:r>
        <w:rPr>
          <w:rFonts w:hint="eastAsia" w:asciiTheme="minorEastAsia" w:hAnsiTheme="minorEastAsia" w:eastAsiaTheme="minorEastAsia"/>
          <w:sz w:val="28"/>
          <w:szCs w:val="28"/>
          <w:highlight w:val="none"/>
          <w:lang w:eastAsia="zh-CN"/>
        </w:rPr>
        <w:t>。</w:t>
      </w:r>
    </w:p>
    <w:p>
      <w:pPr>
        <w:pStyle w:val="13"/>
        <w:rPr>
          <w:rFonts w:hAnsi="黑体"/>
          <w:b/>
          <w:sz w:val="28"/>
          <w:szCs w:val="28"/>
        </w:rPr>
      </w:pPr>
      <w:r>
        <w:rPr>
          <w:rFonts w:hint="eastAsia" w:hAnsi="黑体"/>
          <w:b/>
          <w:sz w:val="28"/>
          <w:szCs w:val="28"/>
        </w:rPr>
        <w:t>十、一般性支出情况说明</w:t>
      </w:r>
    </w:p>
    <w:p>
      <w:pPr>
        <w:pStyle w:val="13"/>
        <w:ind w:firstLine="560" w:firstLineChars="200"/>
        <w:rPr>
          <w:rFonts w:hint="eastAsia"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2021年本部门开支会议费</w:t>
      </w:r>
      <w:r>
        <w:rPr>
          <w:rFonts w:hint="eastAsia" w:asciiTheme="minorEastAsia" w:hAnsiTheme="minorEastAsia" w:eastAsiaTheme="minorEastAsia"/>
          <w:sz w:val="28"/>
          <w:szCs w:val="28"/>
          <w:highlight w:val="none"/>
          <w:lang w:val="en-US" w:eastAsia="zh-CN"/>
        </w:rPr>
        <w:t>0</w:t>
      </w:r>
      <w:r>
        <w:rPr>
          <w:rFonts w:hint="eastAsia" w:asciiTheme="minorEastAsia" w:hAnsiTheme="minorEastAsia" w:eastAsiaTheme="minorEastAsia"/>
          <w:sz w:val="28"/>
          <w:szCs w:val="28"/>
          <w:highlight w:val="none"/>
        </w:rPr>
        <w:t>万元；开支培训费</w:t>
      </w:r>
      <w:r>
        <w:rPr>
          <w:rFonts w:hint="eastAsia" w:asciiTheme="minorEastAsia" w:hAnsiTheme="minorEastAsia" w:eastAsiaTheme="minorEastAsia"/>
          <w:sz w:val="28"/>
          <w:szCs w:val="28"/>
          <w:highlight w:val="none"/>
          <w:lang w:val="en-US" w:eastAsia="zh-CN"/>
        </w:rPr>
        <w:t>0</w:t>
      </w:r>
      <w:r>
        <w:rPr>
          <w:rFonts w:hint="eastAsia" w:asciiTheme="minorEastAsia" w:hAnsiTheme="minorEastAsia" w:eastAsiaTheme="minorEastAsia"/>
          <w:sz w:val="28"/>
          <w:szCs w:val="28"/>
          <w:highlight w:val="none"/>
        </w:rPr>
        <w:t>万元；</w:t>
      </w:r>
      <w:r>
        <w:rPr>
          <w:rFonts w:hint="eastAsia" w:cs="黑体" w:asciiTheme="minorEastAsia" w:hAnsiTheme="minorEastAsia" w:eastAsiaTheme="minorEastAsia"/>
          <w:color w:val="000000"/>
          <w:kern w:val="0"/>
          <w:sz w:val="28"/>
          <w:szCs w:val="28"/>
          <w:highlight w:val="none"/>
          <w:lang w:val="en-US" w:eastAsia="zh-CN" w:bidi="ar-SA"/>
        </w:rPr>
        <w:t>2021年度我单位未举办节庆、</w:t>
      </w:r>
      <w:r>
        <w:rPr>
          <w:rFonts w:hint="eastAsia" w:asciiTheme="minorEastAsia" w:hAnsiTheme="minorEastAsia" w:eastAsiaTheme="minorEastAsia"/>
          <w:sz w:val="28"/>
          <w:szCs w:val="28"/>
          <w:highlight w:val="none"/>
        </w:rPr>
        <w:t>晚会、论坛、赛事</w:t>
      </w:r>
      <w:r>
        <w:rPr>
          <w:rFonts w:hint="eastAsia" w:asciiTheme="minorEastAsia" w:hAnsiTheme="minorEastAsia" w:eastAsiaTheme="minorEastAsia"/>
          <w:sz w:val="28"/>
          <w:szCs w:val="28"/>
          <w:highlight w:val="none"/>
          <w:lang w:eastAsia="zh-CN"/>
        </w:rPr>
        <w:t>等</w:t>
      </w:r>
      <w:r>
        <w:rPr>
          <w:rFonts w:hint="eastAsia" w:asciiTheme="minorEastAsia" w:hAnsiTheme="minorEastAsia" w:eastAsiaTheme="minorEastAsia"/>
          <w:sz w:val="28"/>
          <w:szCs w:val="28"/>
          <w:highlight w:val="none"/>
        </w:rPr>
        <w:t>活动</w:t>
      </w:r>
      <w:r>
        <w:rPr>
          <w:rFonts w:hint="eastAsia" w:asciiTheme="minorEastAsia" w:hAnsiTheme="minorEastAsia"/>
          <w:sz w:val="28"/>
          <w:szCs w:val="28"/>
          <w:highlight w:val="none"/>
          <w:lang w:eastAsia="zh-CN"/>
        </w:rPr>
        <w:t>。</w:t>
      </w:r>
    </w:p>
    <w:p>
      <w:pPr>
        <w:pStyle w:val="13"/>
        <w:rPr>
          <w:rFonts w:hAnsi="黑体"/>
          <w:b/>
          <w:sz w:val="28"/>
          <w:szCs w:val="28"/>
        </w:rPr>
      </w:pPr>
      <w:r>
        <w:rPr>
          <w:rFonts w:hint="eastAsia" w:hAnsi="黑体"/>
          <w:b/>
          <w:sz w:val="28"/>
          <w:szCs w:val="28"/>
        </w:rPr>
        <w:t>十一、政府采购支出说明</w:t>
      </w:r>
    </w:p>
    <w:p>
      <w:pPr>
        <w:pStyle w:val="13"/>
        <w:ind w:firstLine="560" w:firstLineChars="2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本</w:t>
      </w:r>
      <w:r>
        <w:rPr>
          <w:rFonts w:hint="eastAsia" w:asciiTheme="minorEastAsia" w:hAnsiTheme="minorEastAsia" w:eastAsiaTheme="minorEastAsia"/>
          <w:sz w:val="28"/>
          <w:szCs w:val="28"/>
          <w:highlight w:val="none"/>
          <w:lang w:val="en-US" w:eastAsia="zh-CN"/>
        </w:rPr>
        <w:t>部门</w:t>
      </w:r>
      <w:r>
        <w:rPr>
          <w:rFonts w:hint="eastAsia" w:asciiTheme="minorEastAsia" w:hAnsiTheme="minorEastAsia" w:eastAsiaTheme="minorEastAsia"/>
          <w:sz w:val="28"/>
          <w:szCs w:val="28"/>
          <w:highlight w:val="none"/>
        </w:rPr>
        <w:t>2021年度政府采购支出总额</w:t>
      </w:r>
      <w:r>
        <w:rPr>
          <w:rFonts w:hint="eastAsia" w:asciiTheme="minorEastAsia" w:hAnsiTheme="minorEastAsia" w:eastAsiaTheme="minorEastAsia"/>
          <w:sz w:val="28"/>
          <w:szCs w:val="28"/>
          <w:highlight w:val="none"/>
          <w:lang w:val="en-US" w:eastAsia="zh-CN"/>
        </w:rPr>
        <w:t>813.22</w:t>
      </w:r>
      <w:r>
        <w:rPr>
          <w:rFonts w:hint="eastAsia" w:asciiTheme="minorEastAsia" w:hAnsiTheme="minorEastAsia" w:eastAsiaTheme="minorEastAsia"/>
          <w:sz w:val="28"/>
          <w:szCs w:val="28"/>
          <w:highlight w:val="none"/>
        </w:rPr>
        <w:t>万元，其中：政府采购货物支出</w:t>
      </w:r>
      <w:r>
        <w:rPr>
          <w:rFonts w:hint="eastAsia" w:asciiTheme="minorEastAsia" w:hAnsiTheme="minorEastAsia" w:eastAsiaTheme="minorEastAsia"/>
          <w:sz w:val="28"/>
          <w:szCs w:val="28"/>
          <w:highlight w:val="none"/>
          <w:lang w:val="en-US" w:eastAsia="zh-CN"/>
        </w:rPr>
        <w:t>813.22</w:t>
      </w:r>
      <w:r>
        <w:rPr>
          <w:rFonts w:hint="eastAsia" w:asciiTheme="minorEastAsia" w:hAnsiTheme="minorEastAsia" w:eastAsiaTheme="minorEastAsia"/>
          <w:sz w:val="28"/>
          <w:szCs w:val="28"/>
          <w:highlight w:val="none"/>
        </w:rPr>
        <w:t xml:space="preserve"> 万元、政府采购工程支出</w:t>
      </w:r>
      <w:r>
        <w:rPr>
          <w:rFonts w:hint="eastAsia" w:asciiTheme="minorEastAsia" w:hAnsiTheme="minorEastAsia" w:eastAsiaTheme="minorEastAsia"/>
          <w:sz w:val="28"/>
          <w:szCs w:val="28"/>
          <w:highlight w:val="none"/>
          <w:lang w:val="en-US" w:eastAsia="zh-CN"/>
        </w:rPr>
        <w:t>0</w:t>
      </w:r>
      <w:r>
        <w:rPr>
          <w:rFonts w:hint="eastAsia" w:asciiTheme="minorEastAsia" w:hAnsiTheme="minorEastAsia" w:eastAsiaTheme="minorEastAsia"/>
          <w:sz w:val="28"/>
          <w:szCs w:val="28"/>
          <w:highlight w:val="none"/>
        </w:rPr>
        <w:t>万元、政府采购服务支出</w:t>
      </w:r>
      <w:r>
        <w:rPr>
          <w:rFonts w:hint="eastAsia" w:asciiTheme="minorEastAsia" w:hAnsiTheme="minorEastAsia" w:eastAsiaTheme="minorEastAsia"/>
          <w:sz w:val="28"/>
          <w:szCs w:val="28"/>
          <w:highlight w:val="none"/>
          <w:lang w:val="en-US" w:eastAsia="zh-CN"/>
        </w:rPr>
        <w:t>0</w:t>
      </w:r>
      <w:r>
        <w:rPr>
          <w:rFonts w:hint="eastAsia" w:asciiTheme="minorEastAsia" w:hAnsiTheme="minorEastAsia" w:eastAsiaTheme="minorEastAsia"/>
          <w:sz w:val="28"/>
          <w:szCs w:val="28"/>
          <w:highlight w:val="none"/>
        </w:rPr>
        <w:t>万元。授予中小企业合同金额</w:t>
      </w:r>
      <w:r>
        <w:rPr>
          <w:rFonts w:hint="eastAsia" w:asciiTheme="minorEastAsia" w:hAnsiTheme="minorEastAsia" w:eastAsiaTheme="minorEastAsia"/>
          <w:sz w:val="28"/>
          <w:szCs w:val="28"/>
          <w:highlight w:val="none"/>
          <w:lang w:val="en-US" w:eastAsia="zh-CN"/>
        </w:rPr>
        <w:t>813.22</w:t>
      </w:r>
      <w:r>
        <w:rPr>
          <w:rFonts w:hint="eastAsia" w:asciiTheme="minorEastAsia" w:hAnsiTheme="minorEastAsia" w:eastAsiaTheme="minorEastAsia"/>
          <w:sz w:val="28"/>
          <w:szCs w:val="28"/>
          <w:highlight w:val="none"/>
        </w:rPr>
        <w:t>万元，占政府采购支出总额的</w:t>
      </w:r>
      <w:r>
        <w:rPr>
          <w:rFonts w:hint="eastAsia" w:asciiTheme="minorEastAsia" w:hAnsiTheme="minorEastAsia" w:eastAsiaTheme="minorEastAsia"/>
          <w:sz w:val="28"/>
          <w:szCs w:val="28"/>
          <w:highlight w:val="none"/>
          <w:lang w:val="en-US" w:eastAsia="zh-CN"/>
        </w:rPr>
        <w:t>100</w:t>
      </w:r>
      <w:r>
        <w:rPr>
          <w:rFonts w:hint="eastAsia" w:asciiTheme="minorEastAsia" w:hAnsiTheme="minorEastAsia" w:eastAsiaTheme="minorEastAsia"/>
          <w:sz w:val="28"/>
          <w:szCs w:val="28"/>
          <w:highlight w:val="none"/>
        </w:rPr>
        <w:t>%，其中：授予小微企业合同金额</w:t>
      </w:r>
      <w:r>
        <w:rPr>
          <w:rFonts w:hint="eastAsia" w:asciiTheme="minorEastAsia" w:hAnsiTheme="minorEastAsia" w:eastAsiaTheme="minorEastAsia"/>
          <w:sz w:val="28"/>
          <w:szCs w:val="28"/>
          <w:highlight w:val="none"/>
          <w:lang w:val="en-US" w:eastAsia="zh-CN"/>
        </w:rPr>
        <w:t>232.75</w:t>
      </w:r>
      <w:r>
        <w:rPr>
          <w:rFonts w:hint="eastAsia" w:asciiTheme="minorEastAsia" w:hAnsiTheme="minorEastAsia" w:eastAsiaTheme="minorEastAsia"/>
          <w:sz w:val="28"/>
          <w:szCs w:val="28"/>
          <w:highlight w:val="none"/>
        </w:rPr>
        <w:t>万元，占政府采购支出总额的</w:t>
      </w:r>
      <w:r>
        <w:rPr>
          <w:rFonts w:hint="eastAsia" w:asciiTheme="minorEastAsia" w:hAnsiTheme="minorEastAsia" w:eastAsiaTheme="minorEastAsia"/>
          <w:sz w:val="28"/>
          <w:szCs w:val="28"/>
          <w:highlight w:val="none"/>
          <w:lang w:val="en-US" w:eastAsia="zh-CN"/>
        </w:rPr>
        <w:t>28.62</w:t>
      </w:r>
      <w:r>
        <w:rPr>
          <w:rFonts w:hint="eastAsia" w:asciiTheme="minorEastAsia" w:hAnsiTheme="minorEastAsia" w:eastAsiaTheme="minorEastAsia"/>
          <w:sz w:val="28"/>
          <w:szCs w:val="28"/>
          <w:highlight w:val="none"/>
        </w:rPr>
        <w:t>%。</w:t>
      </w:r>
    </w:p>
    <w:p>
      <w:pPr>
        <w:pStyle w:val="13"/>
        <w:rPr>
          <w:rFonts w:hAnsi="黑体"/>
          <w:b/>
          <w:sz w:val="28"/>
          <w:szCs w:val="28"/>
        </w:rPr>
      </w:pPr>
      <w:r>
        <w:rPr>
          <w:rFonts w:hint="eastAsia" w:hAnsi="黑体"/>
          <w:b/>
          <w:sz w:val="28"/>
          <w:szCs w:val="28"/>
        </w:rPr>
        <w:t>十二、国有资产占用情况说明</w:t>
      </w:r>
    </w:p>
    <w:p>
      <w:pPr>
        <w:pStyle w:val="13"/>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截至2021年12月31日，部门（单位）共有车辆</w:t>
      </w:r>
      <w:r>
        <w:rPr>
          <w:rFonts w:hint="eastAsia" w:asciiTheme="minorEastAsia" w:hAnsiTheme="minorEastAsia" w:eastAsiaTheme="minorEastAsia"/>
          <w:sz w:val="28"/>
          <w:szCs w:val="28"/>
          <w:lang w:val="en-US" w:eastAsia="zh-CN"/>
        </w:rPr>
        <w:t>7</w:t>
      </w:r>
      <w:r>
        <w:rPr>
          <w:rFonts w:hint="eastAsia" w:asciiTheme="minorEastAsia" w:hAnsiTheme="minorEastAsia" w:eastAsiaTheme="minorEastAsia"/>
          <w:sz w:val="28"/>
          <w:szCs w:val="28"/>
        </w:rPr>
        <w:t>辆，</w:t>
      </w:r>
      <w:r>
        <w:rPr>
          <w:rFonts w:hint="eastAsia" w:asciiTheme="minorEastAsia" w:hAnsiTheme="minorEastAsia" w:eastAsiaTheme="minorEastAsia"/>
          <w:sz w:val="28"/>
          <w:szCs w:val="28"/>
          <w:lang w:val="en-US" w:eastAsia="zh-CN"/>
        </w:rPr>
        <w:t>其中：</w:t>
      </w:r>
      <w:r>
        <w:rPr>
          <w:rFonts w:hint="eastAsia" w:ascii="宋体" w:hAnsi="宋体" w:eastAsia="宋体" w:cs="宋体"/>
          <w:kern w:val="0"/>
          <w:sz w:val="28"/>
          <w:szCs w:val="28"/>
        </w:rPr>
        <w:t>领导干部用车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辆、一般公务用车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辆、一般执法执勤用车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辆、</w:t>
      </w:r>
      <w:r>
        <w:rPr>
          <w:rFonts w:hint="eastAsia" w:asciiTheme="minorEastAsia" w:hAnsiTheme="minorEastAsia" w:eastAsiaTheme="minorEastAsia"/>
          <w:sz w:val="28"/>
          <w:szCs w:val="28"/>
        </w:rPr>
        <w:t>应急保障用车</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辆、</w:t>
      </w:r>
      <w:r>
        <w:rPr>
          <w:rFonts w:hint="eastAsia" w:ascii="宋体" w:hAnsi="宋体" w:eastAsia="宋体" w:cs="宋体"/>
          <w:kern w:val="0"/>
          <w:sz w:val="28"/>
          <w:szCs w:val="28"/>
        </w:rPr>
        <w:t>特种专业技术用车</w:t>
      </w:r>
      <w:r>
        <w:rPr>
          <w:rFonts w:hint="eastAsia" w:ascii="宋体" w:hAnsi="宋体" w:cs="宋体"/>
          <w:kern w:val="0"/>
          <w:sz w:val="28"/>
          <w:szCs w:val="28"/>
          <w:lang w:val="en-US" w:eastAsia="zh-CN"/>
        </w:rPr>
        <w:t>6</w:t>
      </w:r>
      <w:r>
        <w:rPr>
          <w:rFonts w:hint="eastAsia" w:ascii="宋体" w:hAnsi="宋体" w:eastAsia="宋体" w:cs="宋体"/>
          <w:kern w:val="0"/>
          <w:sz w:val="28"/>
          <w:szCs w:val="28"/>
        </w:rPr>
        <w:t xml:space="preserve"> 辆、其他用车</w:t>
      </w:r>
      <w:r>
        <w:rPr>
          <w:rFonts w:hint="eastAsia" w:ascii="宋体" w:hAnsi="宋体" w:cs="宋体"/>
          <w:kern w:val="0"/>
          <w:sz w:val="28"/>
          <w:szCs w:val="28"/>
          <w:lang w:val="en-US" w:eastAsia="zh-CN"/>
        </w:rPr>
        <w:t>0</w:t>
      </w:r>
      <w:r>
        <w:rPr>
          <w:rFonts w:hint="eastAsia" w:ascii="宋体" w:hAnsi="宋体" w:eastAsia="宋体" w:cs="宋体"/>
          <w:kern w:val="0"/>
          <w:sz w:val="28"/>
          <w:szCs w:val="28"/>
        </w:rPr>
        <w:t xml:space="preserve"> 辆</w:t>
      </w:r>
      <w:r>
        <w:rPr>
          <w:rFonts w:hint="eastAsia" w:ascii="宋体" w:hAnsi="宋体" w:eastAsia="宋体" w:cs="宋体"/>
          <w:color w:val="333333"/>
          <w:sz w:val="28"/>
          <w:szCs w:val="28"/>
          <w:shd w:val="clear" w:fill="FFFFFF"/>
        </w:rPr>
        <w:t>。</w:t>
      </w:r>
      <w:r>
        <w:rPr>
          <w:rFonts w:hint="eastAsia" w:asciiTheme="minorEastAsia" w:hAnsiTheme="minorEastAsia" w:eastAsiaTheme="minorEastAsia"/>
          <w:sz w:val="28"/>
          <w:szCs w:val="28"/>
        </w:rPr>
        <w:t>单位价值50万元以上通用设备</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台（套）；单位价值100万元以上专用设备</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台（套）。</w:t>
      </w:r>
    </w:p>
    <w:p>
      <w:pPr>
        <w:pStyle w:val="13"/>
        <w:rPr>
          <w:rFonts w:hAnsi="黑体"/>
          <w:b/>
          <w:sz w:val="28"/>
          <w:szCs w:val="28"/>
        </w:rPr>
      </w:pPr>
      <w:r>
        <w:rPr>
          <w:rFonts w:hint="eastAsia" w:hAnsi="黑体"/>
          <w:b/>
          <w:sz w:val="28"/>
          <w:szCs w:val="28"/>
        </w:rPr>
        <w:t>十三、2021年度预算绩效情况说明</w:t>
      </w:r>
    </w:p>
    <w:p>
      <w:pPr>
        <w:pStyle w:val="13"/>
        <w:ind w:firstLine="560" w:firstLineChars="200"/>
        <w:rPr>
          <w:rFonts w:hint="eastAsia" w:asciiTheme="minorEastAsia" w:hAnsiTheme="minorEastAsia" w:eastAsiaTheme="minorEastAsia"/>
          <w:sz w:val="28"/>
          <w:szCs w:val="28"/>
        </w:rPr>
      </w:pPr>
      <w:r>
        <w:rPr>
          <w:rFonts w:hint="eastAsia" w:ascii="宋体" w:hAnsi="宋体" w:eastAsia="宋体"/>
          <w:sz w:val="28"/>
          <w:szCs w:val="28"/>
        </w:rPr>
        <w:t>为进一步规范财政资金管理，强化绩效和责任意识，切实提高财政资金使用效益，</w:t>
      </w:r>
      <w:r>
        <w:rPr>
          <w:rFonts w:hint="eastAsia" w:ascii="宋体" w:hAnsi="宋体" w:eastAsia="宋体" w:cs="宋体"/>
          <w:i w:val="0"/>
          <w:iCs w:val="0"/>
          <w:caps w:val="0"/>
          <w:color w:val="000000"/>
          <w:spacing w:val="0"/>
          <w:sz w:val="28"/>
          <w:szCs w:val="28"/>
          <w:shd w:val="clear" w:fill="FFFFFF"/>
          <w:lang w:val="en-US" w:eastAsia="zh-CN"/>
        </w:rPr>
        <w:t>我部门组织对2021年部门整体支出进行绩效自评，涉及财政资金</w:t>
      </w:r>
      <w:r>
        <w:rPr>
          <w:rFonts w:hint="eastAsia" w:ascii="宋体" w:hAnsi="宋体" w:eastAsia="宋体" w:cs="宋体"/>
          <w:b w:val="0"/>
          <w:bCs w:val="0"/>
          <w:i w:val="0"/>
          <w:iCs w:val="0"/>
          <w:color w:val="000000"/>
          <w:kern w:val="0"/>
          <w:sz w:val="28"/>
          <w:szCs w:val="28"/>
          <w:u w:val="none"/>
          <w:lang w:val="en-US" w:eastAsia="zh-CN" w:bidi="ar"/>
        </w:rPr>
        <w:t>2,801.03</w:t>
      </w:r>
      <w:r>
        <w:rPr>
          <w:rFonts w:hint="eastAsia" w:ascii="宋体" w:hAnsi="宋体" w:eastAsia="宋体" w:cs="宋体"/>
          <w:i w:val="0"/>
          <w:iCs w:val="0"/>
          <w:caps w:val="0"/>
          <w:color w:val="000000"/>
          <w:spacing w:val="0"/>
          <w:sz w:val="28"/>
          <w:szCs w:val="28"/>
          <w:shd w:val="clear" w:fill="FFFFFF"/>
          <w:lang w:val="en-US" w:eastAsia="zh-CN"/>
        </w:rPr>
        <w:t>万元，其中：基本支出</w:t>
      </w:r>
      <w:r>
        <w:rPr>
          <w:rFonts w:hint="eastAsia" w:ascii="宋体" w:hAnsi="宋体" w:eastAsia="宋体" w:cs="宋体"/>
          <w:b w:val="0"/>
          <w:bCs w:val="0"/>
          <w:i w:val="0"/>
          <w:iCs w:val="0"/>
          <w:color w:val="000000"/>
          <w:kern w:val="0"/>
          <w:sz w:val="28"/>
          <w:szCs w:val="28"/>
          <w:u w:val="none"/>
          <w:lang w:val="en-US" w:eastAsia="zh-CN" w:bidi="ar"/>
        </w:rPr>
        <w:t>1,142.72</w:t>
      </w:r>
      <w:r>
        <w:rPr>
          <w:rFonts w:hint="eastAsia" w:ascii="宋体" w:hAnsi="宋体" w:eastAsia="宋体" w:cs="宋体"/>
          <w:i w:val="0"/>
          <w:iCs w:val="0"/>
          <w:caps w:val="0"/>
          <w:color w:val="000000"/>
          <w:spacing w:val="0"/>
          <w:sz w:val="28"/>
          <w:szCs w:val="28"/>
          <w:shd w:val="clear" w:fill="FFFFFF"/>
          <w:lang w:val="en-US" w:eastAsia="zh-CN"/>
        </w:rPr>
        <w:t>万元，项目支出</w:t>
      </w:r>
      <w:r>
        <w:rPr>
          <w:rFonts w:hint="eastAsia" w:ascii="宋体" w:hAnsi="宋体" w:eastAsia="宋体" w:cs="宋体"/>
          <w:b w:val="0"/>
          <w:bCs w:val="0"/>
          <w:i w:val="0"/>
          <w:iCs w:val="0"/>
          <w:color w:val="000000"/>
          <w:kern w:val="0"/>
          <w:sz w:val="28"/>
          <w:szCs w:val="28"/>
          <w:u w:val="none"/>
          <w:lang w:val="en-US" w:eastAsia="zh-CN" w:bidi="ar"/>
        </w:rPr>
        <w:t>1,658.30</w:t>
      </w:r>
      <w:r>
        <w:rPr>
          <w:rFonts w:hint="eastAsia" w:ascii="宋体" w:hAnsi="宋体" w:eastAsia="宋体" w:cs="宋体"/>
          <w:i w:val="0"/>
          <w:iCs w:val="0"/>
          <w:caps w:val="0"/>
          <w:color w:val="000000"/>
          <w:spacing w:val="0"/>
          <w:sz w:val="28"/>
          <w:szCs w:val="28"/>
          <w:shd w:val="clear" w:fill="FFFFFF"/>
          <w:lang w:val="en-US" w:eastAsia="zh-CN"/>
        </w:rPr>
        <w:t>万元。从评价结果看，资金使用效益较好，</w:t>
      </w:r>
      <w:r>
        <w:rPr>
          <w:rFonts w:hint="eastAsia" w:ascii="宋体" w:hAnsi="宋体" w:eastAsia="宋体" w:cs="宋体"/>
          <w:i w:val="0"/>
          <w:iCs w:val="0"/>
          <w:caps w:val="0"/>
          <w:color w:val="000000"/>
          <w:spacing w:val="0"/>
          <w:sz w:val="28"/>
          <w:szCs w:val="28"/>
          <w:shd w:val="clear" w:fill="FFFFFF"/>
        </w:rPr>
        <w:t>达到了预期绩效目标。</w:t>
      </w:r>
    </w:p>
    <w:p>
      <w:pPr>
        <w:pStyle w:val="13"/>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本部门预算绩效管理开展情况、绩效目标和绩效评价报告</w:t>
      </w:r>
      <w:r>
        <w:rPr>
          <w:rFonts w:hint="eastAsia" w:asciiTheme="minorEastAsia" w:hAnsiTheme="minorEastAsia" w:eastAsiaTheme="minorEastAsia"/>
          <w:sz w:val="28"/>
          <w:szCs w:val="28"/>
          <w:lang w:eastAsia="zh-CN"/>
        </w:rPr>
        <w:t>等详见附件。</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w:t>
      </w:r>
      <w:r>
        <w:rPr>
          <w:rFonts w:hint="eastAsia" w:ascii="仿宋_GB2312" w:hAnsi="仿宋_GB2312" w:eastAsia="仿宋_GB2312"/>
          <w:b/>
          <w:sz w:val="32"/>
          <w:lang w:eastAsia="zh-CN"/>
        </w:rPr>
        <w:t>、</w:t>
      </w:r>
      <w:r>
        <w:rPr>
          <w:rFonts w:ascii="仿宋_GB2312" w:hAnsi="仿宋_GB2312" w:eastAsia="仿宋_GB2312"/>
          <w:b/>
          <w:sz w:val="32"/>
        </w:rPr>
        <w:t>财政拨款收入</w:t>
      </w:r>
      <w:r>
        <w:rPr>
          <w:rFonts w:ascii="仿宋_GB2312" w:hAnsi="仿宋_GB2312" w:eastAsia="仿宋_GB2312"/>
          <w:sz w:val="32"/>
        </w:rPr>
        <w:t>：指财政当年拨付的资金。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2</w:t>
      </w:r>
      <w:r>
        <w:rPr>
          <w:rFonts w:hint="eastAsia" w:ascii="仿宋_GB2312" w:hAnsi="仿宋_GB2312" w:eastAsia="仿宋_GB2312"/>
          <w:b/>
          <w:sz w:val="32"/>
          <w:lang w:eastAsia="zh-CN"/>
        </w:rPr>
        <w:t>、</w:t>
      </w:r>
      <w:r>
        <w:rPr>
          <w:rFonts w:ascii="仿宋_GB2312" w:hAnsi="仿宋_GB2312" w:eastAsia="仿宋_GB2312"/>
          <w:b/>
          <w:sz w:val="32"/>
        </w:rPr>
        <w:t>事业收入</w:t>
      </w:r>
      <w:r>
        <w:rPr>
          <w:rFonts w:ascii="仿宋_GB2312" w:hAnsi="仿宋_GB2312" w:eastAsia="仿宋_GB2312"/>
          <w:sz w:val="32"/>
        </w:rPr>
        <w:t>：指事业单位开展专业业务活动及辅助活动所取得的收入。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3、</w:t>
      </w:r>
      <w:r>
        <w:rPr>
          <w:rFonts w:ascii="仿宋_GB2312" w:hAnsi="仿宋_GB2312" w:eastAsia="仿宋_GB2312"/>
          <w:b/>
          <w:sz w:val="32"/>
        </w:rPr>
        <w:t>经营收入</w:t>
      </w:r>
      <w:r>
        <w:rPr>
          <w:rFonts w:ascii="仿宋_GB2312" w:hAnsi="仿宋_GB2312" w:eastAsia="仿宋_GB2312"/>
          <w:sz w:val="32"/>
        </w:rPr>
        <w:t>：指事业单位在专业业务活动及其辅助活动之外开展非独立核算经营活动取得的收入。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4、</w:t>
      </w:r>
      <w:r>
        <w:rPr>
          <w:rFonts w:ascii="仿宋_GB2312" w:hAnsi="仿宋_GB2312" w:eastAsia="仿宋_GB2312"/>
          <w:b/>
          <w:sz w:val="32"/>
        </w:rPr>
        <w:t>其他收入</w:t>
      </w:r>
      <w:r>
        <w:rPr>
          <w:rFonts w:ascii="仿宋_GB2312" w:hAnsi="仿宋_GB2312" w:eastAsia="仿宋_GB2312"/>
          <w:sz w:val="32"/>
        </w:rPr>
        <w:t>：指除上述</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等以外的收入。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5</w:t>
      </w:r>
      <w:r>
        <w:rPr>
          <w:rFonts w:ascii="仿宋_GB2312" w:hAnsi="仿宋_GB2312" w:eastAsia="仿宋_GB2312"/>
          <w:b/>
          <w:sz w:val="32"/>
        </w:rPr>
        <w:t>、用事业基金弥补收支差额</w:t>
      </w:r>
      <w:r>
        <w:rPr>
          <w:rFonts w:ascii="仿宋_GB2312" w:hAnsi="仿宋_GB2312" w:eastAsia="仿宋_GB2312"/>
          <w:sz w:val="32"/>
        </w:rPr>
        <w:t>：指事业单位在当年的</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其他收入</w:t>
      </w:r>
      <w:r>
        <w:rPr>
          <w:rFonts w:ascii="Arial" w:hAnsi="Arial" w:eastAsia="Arial"/>
          <w:sz w:val="32"/>
        </w:rPr>
        <w:t>”</w:t>
      </w:r>
      <w:r>
        <w:rPr>
          <w:rFonts w:ascii="仿宋_GB2312" w:hAnsi="仿宋_GB2312" w:eastAsia="仿宋_GB2312"/>
          <w:sz w:val="32"/>
        </w:rPr>
        <w:t>不足以安排当年支出的情况下，使用以前年度积累的事业基金（事业单位当年收支相抵后按国家规定提取、用于弥补以后年度收支差额的基金）弥补本年度收支缺口的资金。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6</w:t>
      </w:r>
      <w:r>
        <w:rPr>
          <w:rFonts w:ascii="仿宋_GB2312" w:hAnsi="仿宋_GB2312" w:eastAsia="仿宋_GB2312"/>
          <w:b/>
          <w:sz w:val="32"/>
        </w:rPr>
        <w:t>、年初结转和结余</w:t>
      </w:r>
      <w:r>
        <w:rPr>
          <w:rFonts w:ascii="仿宋_GB2312" w:hAnsi="仿宋_GB2312" w:eastAsia="仿宋_GB2312"/>
          <w:sz w:val="32"/>
        </w:rPr>
        <w:t>：指以前年度尚未完成、结转到本年按有关规定继续使用的资金。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7</w:t>
      </w:r>
      <w:r>
        <w:rPr>
          <w:rFonts w:ascii="仿宋_GB2312" w:hAnsi="仿宋_GB2312" w:eastAsia="仿宋_GB2312"/>
          <w:b/>
          <w:sz w:val="32"/>
        </w:rPr>
        <w:t>、结余分配</w:t>
      </w:r>
      <w:r>
        <w:rPr>
          <w:rFonts w:ascii="仿宋_GB2312" w:hAnsi="仿宋_GB2312" w:eastAsia="仿宋_GB2312"/>
          <w:sz w:val="32"/>
        </w:rPr>
        <w:t>：指事业单位按规定提取的职工福利基金、事业基金和缴纳的所得税，以及建设单位按规定应交回的基本建设竣工项目结余资金。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0" w:firstLineChars="200"/>
        <w:jc w:val="both"/>
        <w:textAlignment w:val="auto"/>
        <w:outlineLvl w:val="9"/>
        <w:rPr>
          <w:rFonts w:ascii="仿宋_GB2312" w:hAnsi="仿宋_GB2312" w:eastAsia="仿宋_GB2312"/>
          <w:sz w:val="32"/>
        </w:rPr>
      </w:pPr>
      <w:r>
        <w:rPr>
          <w:rFonts w:hint="eastAsia" w:ascii="仿宋_GB2312" w:hAnsi="仿宋_GB2312" w:eastAsia="仿宋_GB2312"/>
          <w:b/>
          <w:bCs w:val="0"/>
          <w:sz w:val="30"/>
          <w:lang w:val="en-US" w:eastAsia="zh-CN"/>
        </w:rPr>
        <w:t>8</w:t>
      </w:r>
      <w:r>
        <w:rPr>
          <w:rFonts w:ascii="仿宋_GB2312" w:hAnsi="仿宋_GB2312" w:eastAsia="仿宋_GB2312"/>
          <w:b/>
          <w:bCs w:val="0"/>
          <w:sz w:val="30"/>
        </w:rPr>
        <w:t>、年末结转和结余</w:t>
      </w:r>
      <w:r>
        <w:rPr>
          <w:rFonts w:hint="eastAsia" w:ascii="仿宋_GB2312" w:hAnsi="仿宋_GB2312" w:eastAsia="仿宋_GB2312"/>
          <w:b/>
          <w:bCs w:val="0"/>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ascii="仿宋_GB2312" w:hAnsi="仿宋_GB2312" w:eastAsia="仿宋_GB2312"/>
          <w:sz w:val="32"/>
        </w:rPr>
      </w:pPr>
      <w:r>
        <w:rPr>
          <w:rFonts w:ascii="仿宋_GB2312" w:hAnsi="仿宋_GB2312" w:eastAsia="仿宋_GB2312"/>
          <w:sz w:val="32"/>
        </w:rPr>
        <w:t>有关规定继续使用的资金。</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9</w:t>
      </w:r>
      <w:r>
        <w:rPr>
          <w:rFonts w:ascii="仿宋_GB2312" w:hAnsi="仿宋_GB2312" w:eastAsia="仿宋_GB2312"/>
          <w:b/>
          <w:sz w:val="32"/>
        </w:rPr>
        <w:t>、基本支出</w:t>
      </w:r>
      <w:r>
        <w:rPr>
          <w:rFonts w:ascii="仿宋_GB2312" w:hAnsi="仿宋_GB2312" w:eastAsia="仿宋_GB2312"/>
          <w:sz w:val="32"/>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11</w:t>
      </w:r>
      <w:r>
        <w:rPr>
          <w:rFonts w:hint="eastAsia" w:ascii="仿宋_GB2312" w:hAnsi="仿宋_GB2312" w:eastAsia="仿宋_GB2312" w:cs="仿宋_GB2312"/>
          <w:b/>
          <w:bCs/>
          <w:sz w:val="32"/>
          <w:szCs w:val="32"/>
        </w:rPr>
        <w:t>、经营支出</w:t>
      </w:r>
      <w:r>
        <w:rPr>
          <w:rFonts w:ascii="仿宋_GB2312" w:hAnsi="仿宋_GB2312" w:eastAsia="仿宋_GB2312"/>
          <w:sz w:val="32"/>
        </w:rPr>
        <w:t>：指事业单位在专业业务活动及其辅助活动之外开展非独立核算经营活动发生的支出。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12、</w:t>
      </w:r>
      <w:r>
        <w:rPr>
          <w:rFonts w:ascii="Arial" w:hAnsi="Arial" w:eastAsia="Arial"/>
          <w:b/>
          <w:sz w:val="32"/>
        </w:rPr>
        <w:t>“</w:t>
      </w:r>
      <w:r>
        <w:rPr>
          <w:rFonts w:ascii="仿宋_GB2312" w:hAnsi="仿宋_GB2312" w:eastAsia="仿宋_GB2312"/>
          <w:b/>
          <w:sz w:val="32"/>
        </w:rPr>
        <w:t>三公</w:t>
      </w:r>
      <w:r>
        <w:rPr>
          <w:rFonts w:ascii="Arial" w:hAnsi="Arial" w:eastAsia="Arial"/>
          <w:b/>
          <w:sz w:val="32"/>
        </w:rPr>
        <w:t>”</w:t>
      </w:r>
      <w:r>
        <w:rPr>
          <w:rFonts w:ascii="仿宋_GB2312" w:hAnsi="仿宋_GB2312" w:eastAsia="仿宋_GB2312"/>
          <w:b/>
          <w:sz w:val="32"/>
        </w:rPr>
        <w:t>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2" w:name="page51"/>
      <w:bookmarkEnd w:id="2"/>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0" w:firstLineChars="200"/>
        <w:jc w:val="both"/>
        <w:textAlignment w:val="auto"/>
        <w:outlineLvl w:val="9"/>
        <w:rPr>
          <w:rFonts w:hint="eastAsia" w:ascii="仿宋_GB2312" w:hAnsi="仿宋_GB2312" w:eastAsia="仿宋_GB2312"/>
          <w:sz w:val="32"/>
          <w:lang w:val="en-US" w:eastAsia="zh-CN"/>
        </w:rPr>
      </w:pPr>
      <w:r>
        <w:rPr>
          <w:rFonts w:hint="eastAsia" w:ascii="仿宋_GB2312" w:hAnsi="仿宋_GB2312" w:eastAsia="仿宋_GB2312"/>
          <w:b/>
          <w:sz w:val="31"/>
          <w:lang w:val="en-US" w:eastAsia="zh-CN"/>
        </w:rPr>
        <w:t>13</w:t>
      </w:r>
      <w:r>
        <w:rPr>
          <w:rFonts w:ascii="仿宋_GB2312" w:hAnsi="仿宋_GB2312" w:eastAsia="仿宋_GB2312"/>
          <w:b/>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2021年度部门整体支出绩效评价报告</w:t>
      </w:r>
    </w:p>
    <w:p>
      <w:pPr>
        <w:pStyle w:val="14"/>
        <w:widowControl/>
        <w:numPr>
          <w:ilvl w:val="0"/>
          <w:numId w:val="5"/>
        </w:numPr>
        <w:spacing w:line="600" w:lineRule="exact"/>
        <w:ind w:firstLine="640"/>
        <w:rPr>
          <w:rFonts w:hint="eastAsia" w:ascii="黑体" w:hAnsi="黑体" w:eastAsia="黑体"/>
          <w:sz w:val="32"/>
          <w:szCs w:val="32"/>
        </w:rPr>
      </w:pPr>
      <w:r>
        <w:rPr>
          <w:rFonts w:hint="eastAsia" w:ascii="黑体" w:hAnsi="黑体" w:eastAsia="黑体"/>
          <w:sz w:val="32"/>
          <w:szCs w:val="32"/>
        </w:rPr>
        <w:t>单位基本情况</w:t>
      </w:r>
    </w:p>
    <w:p>
      <w:pPr>
        <w:widowControl/>
        <w:spacing w:line="600" w:lineRule="exact"/>
        <w:ind w:firstLine="627" w:firstLineChars="196"/>
        <w:jc w:val="left"/>
        <w:rPr>
          <w:rFonts w:eastAsia="楷体_GB2312"/>
          <w:b/>
          <w:sz w:val="32"/>
          <w:szCs w:val="32"/>
        </w:rPr>
      </w:pPr>
      <w:r>
        <w:rPr>
          <w:rFonts w:eastAsia="楷体_GB2312"/>
          <w:b/>
          <w:sz w:val="32"/>
          <w:szCs w:val="32"/>
        </w:rPr>
        <w:t>（一）职能职责。</w:t>
      </w:r>
      <w:r>
        <w:rPr>
          <w:rFonts w:hint="eastAsia" w:eastAsia="仿宋_GB2312"/>
          <w:sz w:val="32"/>
          <w:szCs w:val="32"/>
        </w:rPr>
        <w:t>湖南省郴州生态环境监测中心为省生态环境厅驻市州生态环境监测机构，为副处级公益一类事业单位，由省生态环境厅主管。单位的主要职责是负责派驻行政区域内生态环境质量监测、分析评价工作；负责派驻行政区域内环境质量监测网络和信息系统的维护管理；指导和协助市州生态环境局开展生态环境应急监测、执法监测、污染源监测等工作；负责对县级环境监测机构开展技术和业务指导；负责承办上级部门交办的其他环境监测工作。</w:t>
      </w:r>
    </w:p>
    <w:p>
      <w:pPr>
        <w:widowControl/>
        <w:spacing w:line="600" w:lineRule="exact"/>
        <w:ind w:firstLine="627" w:firstLineChars="196"/>
        <w:jc w:val="left"/>
        <w:rPr>
          <w:rFonts w:hint="eastAsia" w:ascii="黑体" w:hAnsi="黑体" w:eastAsia="黑体"/>
          <w:sz w:val="32"/>
          <w:szCs w:val="32"/>
        </w:rPr>
      </w:pPr>
      <w:r>
        <w:rPr>
          <w:rFonts w:eastAsia="楷体_GB2312"/>
          <w:b/>
          <w:sz w:val="32"/>
          <w:szCs w:val="32"/>
        </w:rPr>
        <w:t>（二）机构设置。</w:t>
      </w:r>
      <w:r>
        <w:rPr>
          <w:rFonts w:hint="eastAsia" w:eastAsia="仿宋_GB2312"/>
          <w:sz w:val="32"/>
          <w:szCs w:val="32"/>
        </w:rPr>
        <w:t>核定编制60人，在职人员49人，聘用人员2</w:t>
      </w:r>
      <w:r>
        <w:rPr>
          <w:rFonts w:hint="eastAsia" w:eastAsia="仿宋_GB2312"/>
          <w:sz w:val="32"/>
          <w:szCs w:val="32"/>
          <w:lang w:val="en-US" w:eastAsia="zh-CN"/>
        </w:rPr>
        <w:t>3</w:t>
      </w:r>
      <w:r>
        <w:rPr>
          <w:rFonts w:hint="eastAsia" w:eastAsia="仿宋_GB2312"/>
          <w:sz w:val="32"/>
          <w:szCs w:val="32"/>
        </w:rPr>
        <w:t>人,离退休人员26人。内设科室9个，分别是办公室、党建人事科（监察室）、财务科、综合研究科、分析技术科、质量管理科、现场监测科、土壤生态监测科和自动监测科。</w:t>
      </w:r>
    </w:p>
    <w:p>
      <w:pPr>
        <w:pStyle w:val="14"/>
        <w:widowControl/>
        <w:spacing w:line="600" w:lineRule="exact"/>
        <w:ind w:firstLine="640"/>
        <w:rPr>
          <w:rFonts w:hint="eastAsia" w:ascii="黑体" w:hAnsi="黑体" w:eastAsia="黑体"/>
          <w:sz w:val="32"/>
          <w:szCs w:val="32"/>
        </w:rPr>
      </w:pPr>
      <w:r>
        <w:rPr>
          <w:rFonts w:hint="eastAsia" w:ascii="黑体" w:hAnsi="黑体" w:eastAsia="黑体"/>
          <w:sz w:val="32"/>
          <w:szCs w:val="32"/>
        </w:rPr>
        <w:t>二、基本支出情况</w:t>
      </w:r>
    </w:p>
    <w:p>
      <w:pPr>
        <w:pStyle w:val="14"/>
        <w:widowControl/>
        <w:spacing w:line="600" w:lineRule="exact"/>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2021</w:t>
      </w:r>
      <w:r>
        <w:rPr>
          <w:rFonts w:hint="eastAsia" w:ascii="仿宋" w:hAnsi="仿宋" w:eastAsia="仿宋" w:cs="仿宋"/>
          <w:sz w:val="32"/>
          <w:szCs w:val="32"/>
        </w:rPr>
        <w:t>年</w:t>
      </w:r>
      <w:r>
        <w:rPr>
          <w:rFonts w:hint="eastAsia" w:ascii="仿宋" w:hAnsi="仿宋" w:eastAsia="仿宋" w:cs="仿宋"/>
          <w:sz w:val="32"/>
          <w:szCs w:val="32"/>
          <w:lang w:val="en-US" w:eastAsia="zh-CN"/>
        </w:rPr>
        <w:t>省市共下拨基支出资金1144.29万元（省级预算686.7万元，市级2020年监测中心经费缺口200万元，市级2020年度绩效考核奖及退休人员经费235.57万元，市级职业年金虚账记实资金22.02万元），支出了1142.73万元。</w:t>
      </w:r>
    </w:p>
    <w:p>
      <w:pPr>
        <w:pStyle w:val="14"/>
        <w:widowControl/>
        <w:spacing w:line="600" w:lineRule="exact"/>
        <w:ind w:firstLine="64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三、项目支出情况。</w:t>
      </w:r>
    </w:p>
    <w:p>
      <w:pPr>
        <w:pStyle w:val="3"/>
        <w:numPr>
          <w:ilvl w:val="0"/>
          <w:numId w:val="0"/>
        </w:numPr>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2021年省市共下拨项目资金1024.56万元（其中省级497.52万元，市级527.04万元），支出了1658.3万元。</w:t>
      </w:r>
    </w:p>
    <w:p>
      <w:pPr>
        <w:widowControl/>
        <w:numPr>
          <w:ilvl w:val="0"/>
          <w:numId w:val="6"/>
        </w:numPr>
        <w:spacing w:line="600" w:lineRule="exact"/>
        <w:ind w:firstLine="640" w:firstLineChars="200"/>
        <w:jc w:val="left"/>
        <w:rPr>
          <w:rFonts w:hint="eastAsia" w:ascii="黑体" w:hAnsi="黑体" w:eastAsia="黑体"/>
          <w:sz w:val="32"/>
          <w:szCs w:val="32"/>
        </w:rPr>
      </w:pPr>
      <w:r>
        <w:rPr>
          <w:rFonts w:ascii="黑体" w:hAnsi="黑体" w:eastAsia="黑体"/>
          <w:sz w:val="32"/>
          <w:szCs w:val="32"/>
        </w:rPr>
        <w:t>部门</w:t>
      </w:r>
      <w:r>
        <w:rPr>
          <w:rFonts w:hint="eastAsia" w:ascii="黑体" w:hAnsi="黑体" w:eastAsia="黑体"/>
          <w:sz w:val="32"/>
          <w:szCs w:val="32"/>
        </w:rPr>
        <w:t>整体支出绩效情况</w:t>
      </w:r>
    </w:p>
    <w:p>
      <w:pPr>
        <w:pStyle w:val="3"/>
        <w:numPr>
          <w:ilvl w:val="0"/>
          <w:numId w:val="0"/>
        </w:num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2021年省级资金预算执行率达到92.44%（根据工作安排年底关账之前省中心把监测大楼建设项目结余资金进行了调出处理），完成了年度考核目标，发挥了资金使用效率，主要体现在以下几方面的工作业绩上：</w:t>
      </w:r>
    </w:p>
    <w:p>
      <w:pPr>
        <w:pStyle w:val="3"/>
        <w:numPr>
          <w:ilvl w:val="0"/>
          <w:numId w:val="0"/>
        </w:numPr>
        <w:spacing w:line="560" w:lineRule="exact"/>
        <w:ind w:firstLine="640" w:firstLineChars="200"/>
        <w:rPr>
          <w:rStyle w:val="16"/>
          <w:rFonts w:hint="default" w:ascii="Times New Roman" w:hAnsi="Times New Roman" w:eastAsia="仿宋_GB2312" w:cs="Times New Roman"/>
          <w:color w:val="000000"/>
          <w:sz w:val="32"/>
          <w:szCs w:val="32"/>
          <w:lang w:val="en-US" w:eastAsia="zh-CN"/>
        </w:rPr>
      </w:pPr>
      <w:r>
        <w:rPr>
          <w:rFonts w:hint="eastAsia" w:ascii="Times New Roman" w:hAnsi="Times New Roman" w:eastAsia="楷体" w:cs="Times New Roman"/>
          <w:b/>
          <w:bCs/>
          <w:sz w:val="32"/>
          <w:szCs w:val="32"/>
          <w:lang w:val="en-US" w:eastAsia="zh-CN"/>
        </w:rPr>
        <w:t>（一）</w:t>
      </w:r>
      <w:r>
        <w:rPr>
          <w:rFonts w:hint="default" w:ascii="Times New Roman" w:hAnsi="Times New Roman" w:eastAsia="楷体" w:cs="Times New Roman"/>
          <w:b/>
          <w:bCs/>
          <w:sz w:val="32"/>
          <w:szCs w:val="32"/>
          <w:lang w:val="en-US" w:eastAsia="zh-CN"/>
        </w:rPr>
        <w:t>以垂改方案为依托，形成中心“新骨架”。</w:t>
      </w:r>
      <w:r>
        <w:rPr>
          <w:rStyle w:val="16"/>
          <w:rFonts w:hint="eastAsia" w:ascii="Times New Roman" w:hAnsi="Times New Roman" w:eastAsia="仿宋_GB2312" w:cs="Times New Roman"/>
          <w:color w:val="000000"/>
          <w:sz w:val="32"/>
          <w:szCs w:val="32"/>
          <w:lang w:val="en-US" w:eastAsia="zh-CN"/>
        </w:rPr>
        <w:t>2021年9月，我中心坚持“优秀者优先、有为者有位”的原则，开展中层选拔工作，科学谋划、合理布局、优化结构，形成了内设科室的“新骨架”，为对接省中心相关部门及日后监测工作打下了坚实根基。</w:t>
      </w:r>
    </w:p>
    <w:p>
      <w:pPr>
        <w:keepNext w:val="0"/>
        <w:keepLines w:val="0"/>
        <w:pageBreakBefore w:val="0"/>
        <w:widowControl w:val="0"/>
        <w:kinsoku/>
        <w:wordWrap/>
        <w:overflowPunct/>
        <w:topLinePunct w:val="0"/>
        <w:autoSpaceDE/>
        <w:autoSpaceDN/>
        <w:bidi w:val="0"/>
        <w:adjustRightInd/>
        <w:snapToGrid w:val="0"/>
        <w:spacing w:before="0" w:after="0" w:line="480" w:lineRule="exact"/>
        <w:ind w:firstLineChars="150"/>
        <w:jc w:val="both"/>
        <w:textAlignment w:val="auto"/>
        <w:rPr>
          <w:rStyle w:val="16"/>
          <w:rFonts w:hint="eastAsia" w:ascii="Times New Roman" w:hAnsi="Times New Roman" w:eastAsia="仿宋_GB2312" w:cs="Times New Roman"/>
          <w:color w:val="000000"/>
          <w:sz w:val="32"/>
          <w:szCs w:val="32"/>
          <w:lang w:val="en-US" w:eastAsia="zh-CN"/>
        </w:rPr>
      </w:pPr>
      <w:r>
        <w:rPr>
          <w:rFonts w:hint="eastAsia" w:ascii="Times New Roman" w:hAnsi="Times New Roman" w:eastAsia="楷体" w:cs="Times New Roman"/>
          <w:b/>
          <w:bCs/>
          <w:sz w:val="32"/>
          <w:szCs w:val="32"/>
          <w:lang w:val="en-US" w:eastAsia="zh-CN"/>
        </w:rPr>
        <w:t>（二）</w:t>
      </w:r>
      <w:r>
        <w:rPr>
          <w:rFonts w:hint="default" w:ascii="Times New Roman" w:hAnsi="Times New Roman" w:eastAsia="楷体" w:cs="Times New Roman"/>
          <w:b/>
          <w:bCs/>
          <w:sz w:val="32"/>
          <w:szCs w:val="32"/>
          <w:lang w:val="en-US" w:eastAsia="zh-CN"/>
        </w:rPr>
        <w:t>以监测方案为</w:t>
      </w:r>
      <w:r>
        <w:rPr>
          <w:rFonts w:hint="eastAsia" w:ascii="Times New Roman" w:hAnsi="Times New Roman" w:eastAsia="楷体" w:cs="Times New Roman"/>
          <w:b/>
          <w:bCs/>
          <w:sz w:val="32"/>
          <w:szCs w:val="32"/>
          <w:lang w:val="en-US" w:eastAsia="zh-CN"/>
        </w:rPr>
        <w:t>抓手</w:t>
      </w:r>
      <w:r>
        <w:rPr>
          <w:rFonts w:hint="default" w:ascii="Times New Roman" w:hAnsi="Times New Roman" w:eastAsia="楷体" w:cs="Times New Roman"/>
          <w:b/>
          <w:bCs/>
          <w:sz w:val="32"/>
          <w:szCs w:val="32"/>
          <w:lang w:val="en-US" w:eastAsia="zh-CN"/>
        </w:rPr>
        <w:t>，取得中心“新成果”。</w:t>
      </w:r>
      <w:r>
        <w:rPr>
          <w:rStyle w:val="16"/>
          <w:rFonts w:hint="eastAsia" w:ascii="Times New Roman" w:hAnsi="Times New Roman" w:eastAsia="仿宋_GB2312" w:cs="Times New Roman"/>
          <w:color w:val="000000"/>
          <w:sz w:val="32"/>
          <w:szCs w:val="32"/>
          <w:lang w:val="en-US" w:eastAsia="zh-CN"/>
        </w:rPr>
        <w:t>充分发挥“支撑、引领、服务”作用，以《2021年湖南省生态环境监测方案》、《2021年郴州市生态环境监测方案》等文件为引领，切实在“蓝天、碧水、净土”三大保卫战中取得了“新成果”。</w:t>
      </w:r>
    </w:p>
    <w:p>
      <w:pPr>
        <w:keepNext w:val="0"/>
        <w:keepLines w:val="0"/>
        <w:pageBreakBefore w:val="0"/>
        <w:widowControl w:val="0"/>
        <w:kinsoku/>
        <w:wordWrap/>
        <w:overflowPunct/>
        <w:topLinePunct w:val="0"/>
        <w:autoSpaceDE/>
        <w:autoSpaceDN/>
        <w:bidi w:val="0"/>
        <w:adjustRightInd/>
        <w:snapToGrid w:val="0"/>
        <w:spacing w:before="0" w:after="0" w:line="480" w:lineRule="exact"/>
        <w:ind w:firstLine="800" w:firstLineChars="250"/>
        <w:jc w:val="both"/>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1、当好“预报员”，充分发挥“引领作用”。</w:t>
      </w:r>
      <w:r>
        <w:rPr>
          <w:rFonts w:hint="eastAsia" w:ascii="仿宋" w:hAnsi="仿宋" w:eastAsia="仿宋" w:cs="仿宋"/>
          <w:sz w:val="32"/>
          <w:szCs w:val="32"/>
          <w:lang w:val="en-US" w:eastAsia="zh-CN"/>
        </w:rPr>
        <w:t>为让市民及时知悉环境空气质量，根据省生态环境监测中心、市生态环境局部署安排，我中心安排专职人员在每天11点前将预报结果上报省中心预报平台，同时协助市生态环境局在郴州市人民政府官网、郴州市生态环境局官网、“郴州环保”微信公众号等媒体平台、及时更新发布当前空气质量。同时，我中心与市气象局共同推进预报预警体系完善，空气质量预报预警能力逐步提高。</w:t>
      </w:r>
    </w:p>
    <w:p>
      <w:pPr>
        <w:keepNext w:val="0"/>
        <w:keepLines w:val="0"/>
        <w:pageBreakBefore w:val="0"/>
        <w:widowControl w:val="0"/>
        <w:kinsoku/>
        <w:wordWrap/>
        <w:overflowPunct/>
        <w:topLinePunct w:val="0"/>
        <w:autoSpaceDE/>
        <w:autoSpaceDN/>
        <w:bidi w:val="0"/>
        <w:adjustRightInd/>
        <w:snapToGrid w:val="0"/>
        <w:spacing w:before="0" w:after="0" w:line="480" w:lineRule="exact"/>
        <w:ind w:firstLine="800" w:firstLineChars="250"/>
        <w:jc w:val="both"/>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2、当好“技术员”，充分发挥“支撑作用”。</w:t>
      </w:r>
      <w:r>
        <w:rPr>
          <w:rFonts w:hint="eastAsia" w:ascii="仿宋" w:hAnsi="仿宋" w:eastAsia="仿宋" w:cs="仿宋"/>
          <w:sz w:val="32"/>
          <w:szCs w:val="32"/>
          <w:lang w:val="en-US" w:eastAsia="zh-CN"/>
        </w:rPr>
        <w:t>我中心认真做好地表水水质例行监测工作，每月按时保质完成了地表水41个省控断面监测、9个水质专报断面监测、7个重点防控区域重金属断面监测、5个陶家河修复工程断面监测、13个饮用水源地加密监测断面以及31个断面铊专项监测工作，认真组织开展2021年国家网土壤环境监测工作，高质量完成188个国家网土壤风险监控点监测任务，（其中114个一般风险监控点位和74个重点风险监控点位），占全省土壤风险监控点的35.9%（全省共526个），顺利完成26个国家网基础点土壤监测和6个省级网土壤监测任务。同时配合做好并推进农村环境质量、千吨万人饮用水水源地、10万亩以上农田灌溉水水源、20吨农村生活污水处理设施出水水质及10万亩以上农田灌溉水水源监测工作。此外，我中心保质保量完成</w:t>
      </w:r>
      <w:r>
        <w:rPr>
          <w:rFonts w:ascii="宋体" w:hAnsi="宋体" w:eastAsia="宋体"/>
          <w:color w:val="000000"/>
          <w:sz w:val="32"/>
          <w:szCs w:val="32"/>
        </w:rPr>
        <w:t>水</w:t>
      </w:r>
      <w:r>
        <w:rPr>
          <w:rFonts w:hint="eastAsia" w:ascii="仿宋" w:hAnsi="仿宋" w:eastAsia="仿宋" w:cs="仿宋"/>
          <w:sz w:val="32"/>
          <w:szCs w:val="32"/>
          <w:lang w:val="en-US" w:eastAsia="zh-CN"/>
        </w:rPr>
        <w:t>质断面底泥例行监测、11个村庄农村环境质量监测、农田灌溉水质监测、重点生态功能区县域环境质量监测，并配合省中心完成湘江流域生物监测一年两次的样品采集和送检工作；按照“逢雨必采”的制度，我中心全年完成40余次此外还全力做好省环保督察监测技术保障工作，在接到省环保督察送样后，第一时间开展实验室检测分析，及时进行数据审核，积极配合省环保督察监测工作，为督察管理决策提供准确的数据支持。</w:t>
      </w:r>
    </w:p>
    <w:p>
      <w:pPr>
        <w:keepNext w:val="0"/>
        <w:keepLines w:val="0"/>
        <w:pageBreakBefore w:val="0"/>
        <w:widowControl w:val="0"/>
        <w:kinsoku/>
        <w:wordWrap/>
        <w:overflowPunct/>
        <w:topLinePunct w:val="0"/>
        <w:autoSpaceDE/>
        <w:autoSpaceDN/>
        <w:bidi w:val="0"/>
        <w:adjustRightInd/>
        <w:snapToGrid w:val="0"/>
        <w:spacing w:before="0" w:after="0" w:line="480" w:lineRule="exact"/>
        <w:ind w:firstLine="800" w:firstLineChars="250"/>
        <w:jc w:val="both"/>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3、当好“服务员”，充分发挥“服务作用”。</w:t>
      </w:r>
      <w:r>
        <w:rPr>
          <w:rFonts w:hint="eastAsia" w:ascii="仿宋" w:hAnsi="仿宋" w:eastAsia="仿宋" w:cs="仿宋"/>
          <w:b w:val="0"/>
          <w:bCs w:val="0"/>
          <w:sz w:val="32"/>
          <w:szCs w:val="32"/>
          <w:lang w:val="en-US" w:eastAsia="zh-CN"/>
        </w:rPr>
        <w:t>每天安排专职人员对国控水质自动站、长江经济带水质自动站、市控水质自动站以及省控环境空气自动站数据进行审核、技术指导、质控检查及协助保障，同时对对国控环境空气自动站提供协助保障。</w:t>
      </w:r>
      <w:r>
        <w:rPr>
          <w:rFonts w:hint="eastAsia" w:ascii="仿宋" w:hAnsi="仿宋" w:eastAsia="仿宋" w:cs="仿宋"/>
          <w:sz w:val="32"/>
          <w:szCs w:val="32"/>
          <w:lang w:val="en-US" w:eastAsia="zh-CN"/>
        </w:rPr>
        <w:t>按时开展陶家河修复工程专项监测、部分断面水质专报监测、铊浓度异常问题常规排查断面监测等各项市级水环境质量专项监测工作；承担13家企业执法监测任务，其中完成大气、水、土壤及其它环境重点排污单位监测共8家，4家停产，1家不排放污染物；根据省厅工作安排对涉铊工业企业开展了二次“夏季攻势”的专项监测（其中第一次对60家涉铊工业企业开展了专项监测，第二次完成44家企业的监测工作）。</w:t>
      </w:r>
    </w:p>
    <w:p>
      <w:pPr>
        <w:keepNext w:val="0"/>
        <w:keepLines w:val="0"/>
        <w:pageBreakBefore w:val="0"/>
        <w:widowControl w:val="0"/>
        <w:kinsoku/>
        <w:wordWrap/>
        <w:overflowPunct/>
        <w:topLinePunct w:val="0"/>
        <w:autoSpaceDE/>
        <w:autoSpaceDN/>
        <w:bidi w:val="0"/>
        <w:adjustRightInd/>
        <w:snapToGrid w:val="0"/>
        <w:spacing w:before="0" w:after="0" w:line="480" w:lineRule="exact"/>
        <w:ind w:firstLine="800" w:firstLineChars="250"/>
        <w:jc w:val="both"/>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4、当好“消防员”，充分发挥“应急作用”。</w:t>
      </w:r>
      <w:r>
        <w:rPr>
          <w:rFonts w:hint="eastAsia" w:ascii="仿宋" w:hAnsi="仿宋" w:eastAsia="仿宋" w:cs="仿宋"/>
          <w:sz w:val="32"/>
          <w:szCs w:val="32"/>
          <w:lang w:val="en-US" w:eastAsia="zh-CN"/>
        </w:rPr>
        <w:t>按照省厅要求，我中心极力配合市生态环境局参与到“6.24铊浓度异常问题”及“11.9铊浓度异常问题”应急监测工作中，自开展应急监测以来，我中心出动监测人员200余人次，采样分析1700余个水样，报出77期应急监测简报，出具执法监测报告18份；此外还参加了郴州市管道燃气火灾事故综合应急演练。</w:t>
      </w:r>
    </w:p>
    <w:p>
      <w:pPr>
        <w:keepNext w:val="0"/>
        <w:keepLines w:val="0"/>
        <w:pageBreakBefore w:val="0"/>
        <w:widowControl w:val="0"/>
        <w:kinsoku/>
        <w:wordWrap/>
        <w:overflowPunct/>
        <w:topLinePunct w:val="0"/>
        <w:autoSpaceDE/>
        <w:autoSpaceDN/>
        <w:bidi w:val="0"/>
        <w:adjustRightInd/>
        <w:snapToGrid w:val="0"/>
        <w:spacing w:before="0" w:after="0" w:line="480" w:lineRule="exact"/>
        <w:ind w:firstLine="800" w:firstLineChars="25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5、当好“研判员”，充分发挥“专家作用”。</w:t>
      </w:r>
      <w:r>
        <w:rPr>
          <w:rFonts w:hint="eastAsia" w:ascii="仿宋" w:hAnsi="仿宋" w:eastAsia="仿宋" w:cs="仿宋"/>
          <w:b w:val="0"/>
          <w:bCs w:val="0"/>
          <w:sz w:val="32"/>
          <w:szCs w:val="32"/>
          <w:lang w:val="en-US" w:eastAsia="zh-CN"/>
        </w:rPr>
        <w:t>为进一步改善郴州环境质量，我中心坚持每月参加省厅组织的环境质量会商，认真听取省厅“专家团队”关于大气、水环境等方面的问题剖析、解决办法。同时，为给市生态环境局及市辖区县市区相关管理部门提供科学指引，我中心每月组织综合研究科、自动监测科等部门与市局相关部门联合召开会商会议，根据历史数据分析研判数据变化、提供数据限值，为管理部门采取措施提供科学依据。</w:t>
      </w:r>
    </w:p>
    <w:p>
      <w:pPr>
        <w:keepNext w:val="0"/>
        <w:keepLines w:val="0"/>
        <w:pageBreakBefore w:val="0"/>
        <w:widowControl w:val="0"/>
        <w:kinsoku/>
        <w:wordWrap/>
        <w:overflowPunct/>
        <w:topLinePunct w:val="0"/>
        <w:autoSpaceDE/>
        <w:autoSpaceDN/>
        <w:bidi w:val="0"/>
        <w:adjustRightInd/>
        <w:snapToGrid w:val="0"/>
        <w:spacing w:before="0" w:after="0" w:line="480" w:lineRule="exact"/>
        <w:ind w:firstLine="800" w:firstLineChars="250"/>
        <w:jc w:val="both"/>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6、当好“快递员”，充分发挥“流转作用”。</w:t>
      </w:r>
      <w:r>
        <w:rPr>
          <w:rFonts w:hint="eastAsia" w:ascii="仿宋" w:hAnsi="仿宋" w:eastAsia="仿宋" w:cs="仿宋"/>
          <w:sz w:val="32"/>
          <w:szCs w:val="32"/>
          <w:lang w:val="en-US" w:eastAsia="zh-CN"/>
        </w:rPr>
        <w:t>2021年，共完成样品交接地表水9616个、废水1080个、降水120个、固废56个、废气30个、降尘47个、地下水34个、土壤样品366个。此外，每个月完成采测分离样品交接，共接到样品3200瓶。采用密码样、平行双样、空白值试验、质控样、加标回收率等质控手段对所分析监测的项目进行质量管理，下发质控考核盲样271个，较好地保证了监测结果的精密性、准确性、可比性。</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640" w:firstLineChars="200"/>
        <w:jc w:val="both"/>
        <w:textAlignment w:val="baseline"/>
        <w:rPr>
          <w:rFonts w:hint="default" w:ascii="Times New Roman" w:hAnsi="Times New Roman" w:eastAsia="楷体" w:cs="Times New Roman"/>
          <w:b/>
          <w:bCs/>
          <w:sz w:val="32"/>
          <w:szCs w:val="32"/>
          <w:lang w:val="en-US" w:eastAsia="zh-CN"/>
        </w:rPr>
      </w:pPr>
      <w:r>
        <w:rPr>
          <w:rFonts w:hint="eastAsia" w:ascii="Times New Roman" w:hAnsi="Times New Roman" w:eastAsia="楷体" w:cs="Times New Roman"/>
          <w:b/>
          <w:bCs/>
          <w:sz w:val="32"/>
          <w:szCs w:val="32"/>
          <w:lang w:val="en-US" w:eastAsia="zh-CN"/>
        </w:rPr>
        <w:t>（三）以不断提升能力建设为牵引</w:t>
      </w:r>
      <w:r>
        <w:rPr>
          <w:rFonts w:hint="default" w:ascii="Times New Roman" w:hAnsi="Times New Roman" w:eastAsia="楷体" w:cs="Times New Roman"/>
          <w:b/>
          <w:bCs/>
          <w:sz w:val="32"/>
          <w:szCs w:val="32"/>
          <w:lang w:val="en-US" w:eastAsia="zh-CN"/>
        </w:rPr>
        <w:t>，实现中心“新改善”。</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640" w:firstLineChars="200"/>
        <w:jc w:val="both"/>
        <w:textAlignment w:val="baseline"/>
        <w:rPr>
          <w:rFonts w:hint="eastAsia" w:ascii="仿宋_GB2312" w:hAnsi="宋体" w:eastAsia="仿宋_GB2312" w:cs="Times New Roman"/>
          <w:color w:val="000000"/>
          <w:sz w:val="32"/>
          <w:szCs w:val="32"/>
          <w:lang w:val="en-US" w:eastAsia="zh-CN"/>
        </w:rPr>
      </w:pPr>
      <w:r>
        <w:rPr>
          <w:rFonts w:hint="eastAsia" w:ascii="Times New Roman" w:hAnsi="Times New Roman" w:eastAsia="楷体" w:cs="Times New Roman"/>
          <w:b/>
          <w:bCs/>
          <w:sz w:val="32"/>
          <w:szCs w:val="32"/>
          <w:lang w:val="en-US" w:eastAsia="zh-CN"/>
        </w:rPr>
        <w:t>1、</w:t>
      </w:r>
      <w:r>
        <w:rPr>
          <w:rFonts w:hint="eastAsia" w:ascii="仿宋" w:hAnsi="仿宋" w:eastAsia="仿宋" w:cs="仿宋"/>
          <w:b/>
          <w:bCs/>
          <w:sz w:val="32"/>
          <w:szCs w:val="32"/>
          <w:lang w:val="en-US" w:eastAsia="zh-CN"/>
        </w:rPr>
        <w:t>基础能力建设上新台阶。</w:t>
      </w:r>
      <w:r>
        <w:rPr>
          <w:rStyle w:val="16"/>
          <w:rFonts w:hint="eastAsia" w:ascii="Times New Roman" w:hAnsi="Times New Roman" w:eastAsia="仿宋_GB2312" w:cs="Times New Roman"/>
          <w:color w:val="000000"/>
          <w:sz w:val="32"/>
          <w:szCs w:val="32"/>
          <w:lang w:val="en-US" w:eastAsia="zh-CN"/>
        </w:rPr>
        <w:t>我</w:t>
      </w:r>
      <w:r>
        <w:rPr>
          <w:rFonts w:hint="eastAsia" w:ascii="仿宋_GB2312" w:hAnsi="宋体" w:eastAsia="仿宋_GB2312" w:cs="Times New Roman"/>
          <w:color w:val="000000"/>
          <w:sz w:val="32"/>
          <w:szCs w:val="32"/>
          <w:lang w:val="en-US" w:eastAsia="zh-CN"/>
        </w:rPr>
        <w:t>中心围绕“补短板、强弱项、提效能”，推动监测仪器设备补充更新，推进我中心环境监测能力提升。强力推动监测实验大楼项目建设，在省市各级部门的大力支持下，郴州市政府将市中心5.3亩的商业用地调整规划为科研技术地用于我中心监测实验楼建设，目前获批省自然资源厅颁发的《建设项目用地预审与选址意见书》，标志着实验大楼选址工作取得阶段性成果，为后期项目建设奠定坚实基础。</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640" w:firstLineChars="200"/>
        <w:jc w:val="both"/>
        <w:textAlignment w:val="baseline"/>
        <w:rPr>
          <w:rFonts w:hint="eastAsia" w:ascii="仿宋_GB2312" w:hAnsi="宋体" w:eastAsia="仿宋_GB2312" w:cs="Times New Roman"/>
          <w:color w:val="000000"/>
          <w:sz w:val="32"/>
          <w:szCs w:val="32"/>
          <w:lang w:val="en-US" w:eastAsia="zh-CN"/>
        </w:rPr>
      </w:pPr>
      <w:r>
        <w:rPr>
          <w:rFonts w:hint="eastAsia" w:ascii="仿宋_GB2312" w:hAnsi="宋体" w:eastAsia="仿宋_GB2312" w:cs="Times New Roman"/>
          <w:color w:val="000000"/>
          <w:sz w:val="32"/>
          <w:szCs w:val="32"/>
          <w:lang w:val="en-US" w:eastAsia="zh-CN"/>
        </w:rPr>
        <w:t>2、</w:t>
      </w:r>
      <w:r>
        <w:rPr>
          <w:rStyle w:val="16"/>
          <w:rFonts w:hint="eastAsia" w:ascii="Times New Roman" w:hAnsi="Times New Roman" w:eastAsia="仿宋_GB2312" w:cs="Times New Roman"/>
          <w:b/>
          <w:bCs/>
          <w:color w:val="000000"/>
          <w:sz w:val="32"/>
          <w:szCs w:val="32"/>
          <w:lang w:val="en-US" w:eastAsia="zh-CN"/>
        </w:rPr>
        <w:t>综合技术分析能力稳步提升。</w:t>
      </w:r>
      <w:r>
        <w:rPr>
          <w:rFonts w:hint="eastAsia" w:ascii="仿宋_GB2312" w:hAnsi="宋体" w:eastAsia="仿宋_GB2312" w:cs="Times New Roman"/>
          <w:color w:val="000000"/>
          <w:sz w:val="32"/>
          <w:szCs w:val="32"/>
          <w:lang w:val="en-US" w:eastAsia="zh-CN"/>
        </w:rPr>
        <w:t>我中心高度重视全中心分析技术水平提升，具体承办了2021年度全市生态环境监测技术大比武活动，精心准备2021年全省技术大比武活动。高度重视《报告书》编写工作，经过精心组织、认真谋划、学习经验、优化结构、突出特色、精益求精，历时6个月完成《报告书》编纂工作，《2016年-2020年郴州市环境质量报告书》全省排名前列，一改曾经排名落后局面，并被省厅推荐到国家站，在全国范围内进行评比。</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3、能力考核及验证有成效。</w:t>
      </w:r>
      <w:r>
        <w:rPr>
          <w:rFonts w:hint="eastAsia" w:ascii="仿宋" w:hAnsi="仿宋" w:eastAsia="仿宋" w:cs="仿宋"/>
          <w:sz w:val="32"/>
          <w:szCs w:val="32"/>
          <w:lang w:val="en-US" w:eastAsia="zh-CN"/>
        </w:rPr>
        <w:t>今年以来，我中心参加总站组织的前三轮能力考核化学需氧量、生化需氧量、非甲烷总烃、总磷（磷酸盐）、粪大肠菌群、镉、pH值等项目共7项，结果全部满意；参加湖南省市场监督管理局组织的，广电计量检测（湖南）有限责任公司实施的土壤中的镉和水中砷的能力验证，结果全部满意。9月，编写并发布了新版质量体系文件，对改版后的《管理手册》和《程序文件》进行了宣贯；12月，我中心顺利通过湖南省市场监督管理局组织的资质认定复评审。</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640" w:firstLineChars="200"/>
        <w:jc w:val="both"/>
        <w:textAlignment w:val="baseline"/>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4、组织持证上岗理论考试和现场考核。</w:t>
      </w:r>
      <w:r>
        <w:rPr>
          <w:rFonts w:hint="eastAsia" w:ascii="仿宋" w:hAnsi="仿宋" w:eastAsia="仿宋" w:cs="仿宋"/>
          <w:sz w:val="32"/>
          <w:szCs w:val="32"/>
          <w:lang w:val="en-US" w:eastAsia="zh-CN"/>
        </w:rPr>
        <w:t>根据《湖南省环境监测人员持证上岗考核实施细则》（湘环发〔2011〕31号）的要求，受市生态环境局委托协助市局对辖区内监测站等单位进行了持证上岗理论考试；对辖区内11家单位进行了持证上岗现场考核。</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firstLine="640" w:firstLineChars="200"/>
        <w:jc w:val="both"/>
        <w:textAlignment w:val="baseline"/>
        <w:rPr>
          <w:rFonts w:hint="eastAsia" w:ascii="仿宋_GB2312" w:hAnsi="宋体" w:eastAsia="仿宋_GB2312" w:cs="Times New Roman"/>
          <w:color w:val="000000"/>
          <w:sz w:val="32"/>
          <w:szCs w:val="32"/>
          <w:lang w:val="en-US" w:eastAsia="zh-CN"/>
        </w:rPr>
      </w:pPr>
      <w:r>
        <w:rPr>
          <w:rFonts w:hint="eastAsia" w:ascii="仿宋" w:hAnsi="仿宋" w:eastAsia="仿宋" w:cs="仿宋"/>
          <w:b/>
          <w:bCs/>
          <w:sz w:val="32"/>
          <w:szCs w:val="32"/>
          <w:lang w:val="en-US" w:eastAsia="zh-CN"/>
        </w:rPr>
        <w:t>5、加强业务能力培训。</w:t>
      </w:r>
      <w:r>
        <w:rPr>
          <w:rFonts w:hint="eastAsia" w:ascii="仿宋" w:hAnsi="仿宋" w:eastAsia="仿宋" w:cs="仿宋"/>
          <w:sz w:val="32"/>
          <w:szCs w:val="32"/>
          <w:lang w:val="en-US" w:eastAsia="zh-CN"/>
        </w:rPr>
        <w:t>强化</w:t>
      </w:r>
      <w:r>
        <w:rPr>
          <w:rStyle w:val="16"/>
          <w:rFonts w:hint="eastAsia" w:ascii="Times New Roman" w:hAnsi="Times New Roman" w:eastAsia="仿宋_GB2312" w:cs="Times New Roman"/>
          <w:color w:val="000000"/>
          <w:sz w:val="32"/>
          <w:szCs w:val="32"/>
          <w:lang w:val="en-US" w:eastAsia="zh-CN"/>
        </w:rPr>
        <w:t>技能培训，加强人才队伍建设。充分发挥“培训中心”作用，制</w:t>
      </w:r>
      <w:r>
        <w:rPr>
          <w:rStyle w:val="16"/>
          <w:rFonts w:hint="eastAsia" w:ascii="Times New Roman" w:hAnsi="Times New Roman" w:eastAsia="仿宋_GB2312"/>
          <w:color w:val="000000"/>
          <w:sz w:val="32"/>
          <w:szCs w:val="32"/>
        </w:rPr>
        <w:t>定完善环境监测培训计划，</w:t>
      </w:r>
      <w:r>
        <w:rPr>
          <w:rStyle w:val="16"/>
          <w:rFonts w:hint="eastAsia" w:ascii="Times New Roman" w:hAnsi="Times New Roman" w:eastAsia="仿宋_GB2312"/>
          <w:color w:val="000000"/>
          <w:sz w:val="32"/>
          <w:szCs w:val="32"/>
          <w:lang w:eastAsia="zh-CN"/>
        </w:rPr>
        <w:t>组织了</w:t>
      </w:r>
      <w:r>
        <w:rPr>
          <w:rFonts w:hint="eastAsia" w:ascii="仿宋_GB2312" w:hAnsi="宋体" w:eastAsia="仿宋_GB2312"/>
          <w:color w:val="000000"/>
          <w:sz w:val="32"/>
          <w:szCs w:val="32"/>
          <w:lang w:val="en-US" w:eastAsia="zh-CN"/>
        </w:rPr>
        <w:t>2021年度郴州市生态环境监测系统综合技能培训班2期，</w:t>
      </w:r>
      <w:r>
        <w:rPr>
          <w:rStyle w:val="16"/>
          <w:rFonts w:hint="eastAsia" w:ascii="Times New Roman" w:hAnsi="Times New Roman" w:eastAsia="仿宋_GB2312"/>
          <w:color w:val="000000"/>
          <w:sz w:val="32"/>
          <w:szCs w:val="32"/>
          <w:lang w:val="en-US" w:eastAsia="zh-CN"/>
        </w:rPr>
        <w:t>加强对县级监测站的帮扶指导，根据《郴州市“十四五”生态环境监测能力建设规划》的要求，开展全市生态环境监测专业技术跟班实训。</w:t>
      </w:r>
    </w:p>
    <w:p>
      <w:pPr>
        <w:widowControl/>
        <w:spacing w:line="600" w:lineRule="exact"/>
        <w:ind w:firstLine="320" w:firstLineChars="100"/>
        <w:jc w:val="left"/>
        <w:rPr>
          <w:rFonts w:hint="eastAsia" w:ascii="仿宋_GB2312" w:hAnsi="宋体" w:eastAsia="仿宋_GB2312" w:cs="Times New Roman"/>
          <w:color w:val="000000"/>
          <w:sz w:val="32"/>
          <w:szCs w:val="32"/>
          <w:lang w:val="en-US" w:eastAsia="zh-CN"/>
        </w:rPr>
      </w:pPr>
      <w:r>
        <w:rPr>
          <w:rFonts w:hint="eastAsia" w:ascii="楷体" w:hAnsi="楷体" w:eastAsia="楷体" w:cs="楷体"/>
          <w:b/>
          <w:bCs/>
          <w:kern w:val="2"/>
          <w:sz w:val="32"/>
          <w:szCs w:val="32"/>
          <w:lang w:val="en-US" w:eastAsia="zh-CN" w:bidi="ar-SA"/>
        </w:rPr>
        <w:t>（四）以不断提高科研能力为引领，打造中心技术“新高地”。</w:t>
      </w:r>
      <w:r>
        <w:rPr>
          <w:rFonts w:hint="eastAsia" w:ascii="仿宋_GB2312" w:hAnsi="宋体" w:eastAsia="仿宋_GB2312" w:cs="Times New Roman"/>
          <w:color w:val="000000"/>
          <w:sz w:val="32"/>
          <w:szCs w:val="32"/>
          <w:lang w:val="en-US" w:eastAsia="zh-CN"/>
        </w:rPr>
        <w:t>2021年，我中心结合污染防治攻坚以及郴州市生态环境管理服务需求，不断提升科研水平。今年，我中心依托现有实验室条件，由我中心牵头，联合湖南大学、中国环科院、省环科院、郴州水文局等单位向郴州市科技局申报并获批“郴州市重点流域水生态安全监测与预警体系构建及可视化”项目。该项目将为郴州市“十四五”开展重点流域水生态监测工作奠定基础，为郴州市重点流域水生态安全保障提供技术支撑，切实保障郴州市居民饮水安全。</w:t>
      </w:r>
    </w:p>
    <w:p>
      <w:pPr>
        <w:widowControl/>
        <w:spacing w:line="600" w:lineRule="exact"/>
        <w:ind w:firstLine="320" w:firstLineChars="100"/>
        <w:jc w:val="left"/>
        <w:rPr>
          <w:rFonts w:hint="eastAsia" w:ascii="黑体" w:hAnsi="黑体" w:eastAsia="黑体"/>
          <w:sz w:val="32"/>
          <w:szCs w:val="32"/>
        </w:rPr>
      </w:pPr>
      <w:r>
        <w:rPr>
          <w:rFonts w:hint="eastAsia" w:ascii="黑体" w:hAnsi="黑体" w:eastAsia="黑体"/>
          <w:color w:val="000000"/>
          <w:sz w:val="32"/>
          <w:szCs w:val="32"/>
        </w:rPr>
        <w:t>五、</w:t>
      </w:r>
      <w:r>
        <w:rPr>
          <w:rFonts w:hint="eastAsia" w:ascii="黑体" w:hAnsi="黑体" w:eastAsia="黑体"/>
          <w:sz w:val="32"/>
          <w:szCs w:val="32"/>
        </w:rPr>
        <w:t>存在的主要问题及下一步改进措施</w:t>
      </w:r>
    </w:p>
    <w:p>
      <w:pPr>
        <w:widowControl/>
        <w:spacing w:line="60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val="en-US" w:eastAsia="zh-CN"/>
        </w:rPr>
        <w:t>在</w:t>
      </w:r>
      <w:r>
        <w:rPr>
          <w:rFonts w:hint="eastAsia" w:ascii="仿宋_GB2312" w:hAnsi="黑体" w:eastAsia="仿宋_GB2312"/>
          <w:sz w:val="32"/>
          <w:szCs w:val="32"/>
          <w:lang w:eastAsia="zh-CN"/>
        </w:rPr>
        <w:t>业务工作</w:t>
      </w:r>
      <w:r>
        <w:rPr>
          <w:rFonts w:hint="eastAsia" w:ascii="仿宋_GB2312" w:hAnsi="黑体" w:eastAsia="仿宋_GB2312"/>
          <w:sz w:val="32"/>
          <w:szCs w:val="32"/>
        </w:rPr>
        <w:t>专项资金、部门其他项目支出和基本支出</w:t>
      </w:r>
      <w:r>
        <w:rPr>
          <w:rFonts w:hint="eastAsia" w:ascii="仿宋_GB2312" w:hAnsi="黑体" w:eastAsia="仿宋_GB2312"/>
          <w:sz w:val="32"/>
          <w:szCs w:val="32"/>
          <w:lang w:val="en-US" w:eastAsia="zh-CN"/>
        </w:rPr>
        <w:t>资金使用时按照绩效目标</w:t>
      </w:r>
      <w:r>
        <w:rPr>
          <w:rFonts w:hint="eastAsia" w:eastAsia="仿宋_GB2312"/>
          <w:color w:val="000000"/>
          <w:sz w:val="32"/>
          <w:szCs w:val="32"/>
          <w:lang w:val="en-US" w:eastAsia="zh-CN"/>
        </w:rPr>
        <w:t>执行</w:t>
      </w:r>
      <w:r>
        <w:rPr>
          <w:rFonts w:hint="eastAsia" w:eastAsia="仿宋_GB2312"/>
          <w:color w:val="000000"/>
          <w:sz w:val="32"/>
          <w:szCs w:val="32"/>
        </w:rPr>
        <w:t>。</w:t>
      </w:r>
    </w:p>
    <w:p>
      <w:pPr>
        <w:widowControl/>
        <w:numPr>
          <w:ilvl w:val="0"/>
          <w:numId w:val="0"/>
        </w:numPr>
        <w:spacing w:line="600" w:lineRule="exact"/>
        <w:ind w:firstLine="320" w:firstLineChars="100"/>
        <w:jc w:val="left"/>
        <w:rPr>
          <w:rFonts w:hint="eastAsia" w:ascii="黑体" w:hAnsi="黑体" w:eastAsia="黑体"/>
          <w:sz w:val="32"/>
          <w:szCs w:val="32"/>
        </w:rPr>
      </w:pPr>
      <w:r>
        <w:rPr>
          <w:rFonts w:hint="eastAsia" w:ascii="黑体" w:hAnsi="黑体" w:eastAsia="黑体"/>
          <w:sz w:val="32"/>
          <w:szCs w:val="32"/>
          <w:lang w:val="en-US" w:eastAsia="zh-CN"/>
        </w:rPr>
        <w:t>六、</w:t>
      </w:r>
      <w:r>
        <w:rPr>
          <w:rFonts w:hint="eastAsia" w:ascii="黑体" w:hAnsi="黑体" w:eastAsia="黑体"/>
          <w:sz w:val="32"/>
          <w:szCs w:val="32"/>
        </w:rPr>
        <w:t>绩效自评结果拟应用和公开情况</w:t>
      </w:r>
    </w:p>
    <w:p>
      <w:pPr>
        <w:pStyle w:val="2"/>
        <w:numPr>
          <w:ilvl w:val="0"/>
          <w:numId w:val="0"/>
        </w:numPr>
        <w:ind w:firstLine="640" w:firstLineChars="200"/>
        <w:rPr>
          <w:rFonts w:hint="eastAsia" w:ascii="仿宋_GB2312" w:hAnsi="黑体" w:eastAsia="仿宋_GB2312" w:cs="Times New Roman"/>
          <w:kern w:val="2"/>
          <w:sz w:val="32"/>
          <w:szCs w:val="32"/>
          <w:lang w:val="en-US" w:eastAsia="zh-CN" w:bidi="ar-SA"/>
        </w:rPr>
      </w:pPr>
      <w:r>
        <w:rPr>
          <w:rFonts w:hint="eastAsia" w:ascii="仿宋_GB2312" w:hAnsi="黑体" w:eastAsia="仿宋_GB2312" w:cs="Times New Roman"/>
          <w:kern w:val="2"/>
          <w:sz w:val="32"/>
          <w:szCs w:val="32"/>
          <w:lang w:val="en-US" w:eastAsia="zh-CN" w:bidi="ar-SA"/>
        </w:rPr>
        <w:t>按要求到本部门的门户网站进行公开，接受社会的监督。</w:t>
      </w:r>
    </w:p>
    <w:p>
      <w:pPr>
        <w:pStyle w:val="2"/>
        <w:numPr>
          <w:ilvl w:val="0"/>
          <w:numId w:val="7"/>
        </w:numPr>
        <w:ind w:firstLine="320" w:firstLineChars="100"/>
        <w:rPr>
          <w:rFonts w:hint="eastAsia" w:ascii="黑体" w:hAnsi="黑体" w:eastAsia="黑体"/>
          <w:sz w:val="32"/>
          <w:szCs w:val="32"/>
        </w:rPr>
      </w:pPr>
      <w:r>
        <w:rPr>
          <w:rFonts w:hint="eastAsia" w:ascii="黑体" w:hAnsi="黑体" w:eastAsia="黑体"/>
          <w:sz w:val="32"/>
          <w:szCs w:val="32"/>
        </w:rPr>
        <w:t>其他需要说明的情况</w:t>
      </w:r>
    </w:p>
    <w:p>
      <w:pPr>
        <w:pStyle w:val="2"/>
        <w:numPr>
          <w:ilvl w:val="0"/>
          <w:numId w:val="0"/>
        </w:numPr>
        <w:ind w:firstLine="640" w:firstLineChars="200"/>
        <w:rPr>
          <w:rFonts w:hint="default" w:ascii="黑体" w:hAnsi="黑体" w:eastAsia="黑体"/>
          <w:sz w:val="32"/>
          <w:szCs w:val="32"/>
          <w:lang w:val="en-US" w:eastAsia="zh-CN"/>
        </w:rPr>
      </w:pPr>
      <w:r>
        <w:rPr>
          <w:rFonts w:hint="eastAsia" w:ascii="黑体" w:hAnsi="黑体" w:eastAsia="黑体"/>
          <w:sz w:val="32"/>
          <w:szCs w:val="32"/>
          <w:lang w:val="en-US" w:eastAsia="zh-CN"/>
        </w:rPr>
        <w:t>无。</w:t>
      </w:r>
    </w:p>
    <w:p/>
    <w:p>
      <w:pPr>
        <w:ind w:firstLine="640" w:firstLineChars="200"/>
        <w:jc w:val="left"/>
        <w:rPr>
          <w:rFonts w:cs="黑体" w:asciiTheme="minorEastAsia" w:hAnsiTheme="minorEastAsia"/>
          <w:color w:val="000000"/>
          <w:kern w:val="0"/>
          <w:sz w:val="32"/>
          <w:szCs w:val="32"/>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70DFCC"/>
    <w:multiLevelType w:val="singleLevel"/>
    <w:tmpl w:val="B970DFCC"/>
    <w:lvl w:ilvl="0" w:tentative="0">
      <w:start w:val="7"/>
      <w:numFmt w:val="chineseCounting"/>
      <w:suff w:val="nothing"/>
      <w:lvlText w:val="%1、"/>
      <w:lvlJc w:val="left"/>
      <w:rPr>
        <w:rFonts w:hint="eastAsia"/>
      </w:rPr>
    </w:lvl>
  </w:abstractNum>
  <w:abstractNum w:abstractNumId="1">
    <w:nsid w:val="EC34204E"/>
    <w:multiLevelType w:val="singleLevel"/>
    <w:tmpl w:val="EC34204E"/>
    <w:lvl w:ilvl="0" w:tentative="0">
      <w:start w:val="2"/>
      <w:numFmt w:val="chineseCounting"/>
      <w:suff w:val="nothing"/>
      <w:lvlText w:val="（%1）"/>
      <w:lvlJc w:val="left"/>
      <w:rPr>
        <w:rFonts w:hint="eastAsia"/>
      </w:rPr>
    </w:lvl>
  </w:abstractNum>
  <w:abstractNum w:abstractNumId="2">
    <w:nsid w:val="F0464A84"/>
    <w:multiLevelType w:val="singleLevel"/>
    <w:tmpl w:val="F0464A84"/>
    <w:lvl w:ilvl="0" w:tentative="0">
      <w:start w:val="1"/>
      <w:numFmt w:val="chineseCounting"/>
      <w:suff w:val="nothing"/>
      <w:lvlText w:val="%1、"/>
      <w:lvlJc w:val="left"/>
      <w:rPr>
        <w:rFonts w:hint="eastAsia"/>
      </w:r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8E802CF"/>
    <w:multiLevelType w:val="singleLevel"/>
    <w:tmpl w:val="48E802CF"/>
    <w:lvl w:ilvl="0" w:tentative="0">
      <w:start w:val="4"/>
      <w:numFmt w:val="chineseCounting"/>
      <w:suff w:val="nothing"/>
      <w:lvlText w:val="%1、"/>
      <w:lvlJc w:val="left"/>
      <w:rPr>
        <w:rFonts w:hint="eastAsia"/>
      </w:rPr>
    </w:lvl>
  </w:abstractNum>
  <w:abstractNum w:abstractNumId="5">
    <w:nsid w:val="4943C54E"/>
    <w:multiLevelType w:val="singleLevel"/>
    <w:tmpl w:val="4943C54E"/>
    <w:lvl w:ilvl="0" w:tentative="0">
      <w:start w:val="3"/>
      <w:numFmt w:val="decimal"/>
      <w:suff w:val="space"/>
      <w:lvlText w:val="%1、"/>
      <w:lvlJc w:val="left"/>
      <w:pPr>
        <w:ind w:left="40"/>
      </w:pPr>
    </w:lvl>
  </w:abstractNum>
  <w:abstractNum w:abstractNumId="6">
    <w:nsid w:val="6D72BDB1"/>
    <w:multiLevelType w:val="singleLevel"/>
    <w:tmpl w:val="6D72BDB1"/>
    <w:lvl w:ilvl="0" w:tentative="0">
      <w:start w:val="1"/>
      <w:numFmt w:val="decimal"/>
      <w:suff w:val="space"/>
      <w:lvlText w:val="%1、"/>
      <w:lvlJc w:val="left"/>
    </w:lvl>
  </w:abstractNum>
  <w:num w:numId="1">
    <w:abstractNumId w:val="3"/>
  </w:num>
  <w:num w:numId="2">
    <w:abstractNumId w:val="1"/>
  </w:num>
  <w:num w:numId="3">
    <w:abstractNumId w:val="6"/>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D269B"/>
    <w:rsid w:val="002E0A30"/>
    <w:rsid w:val="003130C4"/>
    <w:rsid w:val="00316C4B"/>
    <w:rsid w:val="0032192B"/>
    <w:rsid w:val="003479BD"/>
    <w:rsid w:val="00351550"/>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41E35"/>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3B59"/>
    <w:rsid w:val="0086638C"/>
    <w:rsid w:val="008A3E8D"/>
    <w:rsid w:val="009237C4"/>
    <w:rsid w:val="00944C48"/>
    <w:rsid w:val="00950252"/>
    <w:rsid w:val="00957E2D"/>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C19CB"/>
    <w:rsid w:val="00DD06FF"/>
    <w:rsid w:val="00DD5FE9"/>
    <w:rsid w:val="00E00C7A"/>
    <w:rsid w:val="00E209CF"/>
    <w:rsid w:val="00E37D6C"/>
    <w:rsid w:val="00E55B68"/>
    <w:rsid w:val="00E67BE6"/>
    <w:rsid w:val="00E84814"/>
    <w:rsid w:val="00E8683C"/>
    <w:rsid w:val="00EA2B72"/>
    <w:rsid w:val="00F74360"/>
    <w:rsid w:val="00FB462F"/>
    <w:rsid w:val="00FE16FA"/>
    <w:rsid w:val="00FE328A"/>
    <w:rsid w:val="00FE6269"/>
    <w:rsid w:val="00FF4C19"/>
    <w:rsid w:val="00FF5CD6"/>
    <w:rsid w:val="011C626C"/>
    <w:rsid w:val="01227D26"/>
    <w:rsid w:val="01505F15"/>
    <w:rsid w:val="018D0F17"/>
    <w:rsid w:val="01E21076"/>
    <w:rsid w:val="0277327E"/>
    <w:rsid w:val="02AD7AC3"/>
    <w:rsid w:val="02E903CF"/>
    <w:rsid w:val="02FA438B"/>
    <w:rsid w:val="031F3DF1"/>
    <w:rsid w:val="03283280"/>
    <w:rsid w:val="03710AF1"/>
    <w:rsid w:val="04536448"/>
    <w:rsid w:val="04620439"/>
    <w:rsid w:val="04FA68C4"/>
    <w:rsid w:val="05015EA4"/>
    <w:rsid w:val="05184F9C"/>
    <w:rsid w:val="053653D9"/>
    <w:rsid w:val="05644C43"/>
    <w:rsid w:val="056D353A"/>
    <w:rsid w:val="05C460E0"/>
    <w:rsid w:val="05E92CD0"/>
    <w:rsid w:val="066F5090"/>
    <w:rsid w:val="06764670"/>
    <w:rsid w:val="06DA20A4"/>
    <w:rsid w:val="073C5189"/>
    <w:rsid w:val="07EB0EF5"/>
    <w:rsid w:val="08850B9A"/>
    <w:rsid w:val="08F85810"/>
    <w:rsid w:val="091B2332"/>
    <w:rsid w:val="09412D13"/>
    <w:rsid w:val="094E3740"/>
    <w:rsid w:val="09A432A2"/>
    <w:rsid w:val="09ED2E9B"/>
    <w:rsid w:val="0A9E5F43"/>
    <w:rsid w:val="0B2F491A"/>
    <w:rsid w:val="0B392A21"/>
    <w:rsid w:val="0B4B60CB"/>
    <w:rsid w:val="0B675815"/>
    <w:rsid w:val="0BF4406D"/>
    <w:rsid w:val="0C346B5F"/>
    <w:rsid w:val="0C4F2797"/>
    <w:rsid w:val="0C8456DC"/>
    <w:rsid w:val="0CA84E57"/>
    <w:rsid w:val="0CB27B09"/>
    <w:rsid w:val="0CCE1FDF"/>
    <w:rsid w:val="0CE2480D"/>
    <w:rsid w:val="0CED5B73"/>
    <w:rsid w:val="0E034A3B"/>
    <w:rsid w:val="0E417312"/>
    <w:rsid w:val="0E834F74"/>
    <w:rsid w:val="0E855450"/>
    <w:rsid w:val="0E9D6C3E"/>
    <w:rsid w:val="0F87344A"/>
    <w:rsid w:val="0FC93A62"/>
    <w:rsid w:val="104D6442"/>
    <w:rsid w:val="10AE33DE"/>
    <w:rsid w:val="10C40918"/>
    <w:rsid w:val="10CE3B25"/>
    <w:rsid w:val="11673533"/>
    <w:rsid w:val="118440E5"/>
    <w:rsid w:val="122D2087"/>
    <w:rsid w:val="125F18C3"/>
    <w:rsid w:val="12D746E8"/>
    <w:rsid w:val="12DD1CFF"/>
    <w:rsid w:val="12E60488"/>
    <w:rsid w:val="132A2A6A"/>
    <w:rsid w:val="13323E94"/>
    <w:rsid w:val="137F4B64"/>
    <w:rsid w:val="13DD188A"/>
    <w:rsid w:val="13FB7912"/>
    <w:rsid w:val="142C636E"/>
    <w:rsid w:val="147F0B94"/>
    <w:rsid w:val="14861F22"/>
    <w:rsid w:val="14FD6976"/>
    <w:rsid w:val="15145780"/>
    <w:rsid w:val="153C6A85"/>
    <w:rsid w:val="157955E3"/>
    <w:rsid w:val="161A6DC6"/>
    <w:rsid w:val="161B686B"/>
    <w:rsid w:val="168227FD"/>
    <w:rsid w:val="16960FCC"/>
    <w:rsid w:val="169B0C6B"/>
    <w:rsid w:val="16B234A2"/>
    <w:rsid w:val="16D90A2F"/>
    <w:rsid w:val="16E82A20"/>
    <w:rsid w:val="17233A58"/>
    <w:rsid w:val="174D31CB"/>
    <w:rsid w:val="17A70B2D"/>
    <w:rsid w:val="17B80ADD"/>
    <w:rsid w:val="18AD3F21"/>
    <w:rsid w:val="1901426D"/>
    <w:rsid w:val="1956040B"/>
    <w:rsid w:val="1A676352"/>
    <w:rsid w:val="1BA07D6D"/>
    <w:rsid w:val="1C1442B7"/>
    <w:rsid w:val="1C83762F"/>
    <w:rsid w:val="1CBB2985"/>
    <w:rsid w:val="1D5113F8"/>
    <w:rsid w:val="1D887DB3"/>
    <w:rsid w:val="1DB908BF"/>
    <w:rsid w:val="1E5A04DC"/>
    <w:rsid w:val="1EFC175F"/>
    <w:rsid w:val="207E00E2"/>
    <w:rsid w:val="20F3093F"/>
    <w:rsid w:val="212E5E1B"/>
    <w:rsid w:val="215F4227"/>
    <w:rsid w:val="2179197E"/>
    <w:rsid w:val="21DD4C9D"/>
    <w:rsid w:val="21E5472C"/>
    <w:rsid w:val="21E64000"/>
    <w:rsid w:val="220F17A9"/>
    <w:rsid w:val="22394A78"/>
    <w:rsid w:val="225B679C"/>
    <w:rsid w:val="22631AF5"/>
    <w:rsid w:val="22712265"/>
    <w:rsid w:val="22991A04"/>
    <w:rsid w:val="229E2B2D"/>
    <w:rsid w:val="22BD2FB3"/>
    <w:rsid w:val="22FE5379"/>
    <w:rsid w:val="234436D4"/>
    <w:rsid w:val="237C10C0"/>
    <w:rsid w:val="239A40D7"/>
    <w:rsid w:val="24D740D4"/>
    <w:rsid w:val="25205A7B"/>
    <w:rsid w:val="25B517AB"/>
    <w:rsid w:val="25DC0BEB"/>
    <w:rsid w:val="25F969F8"/>
    <w:rsid w:val="262670C1"/>
    <w:rsid w:val="26760048"/>
    <w:rsid w:val="26F71B89"/>
    <w:rsid w:val="272A498F"/>
    <w:rsid w:val="273720CF"/>
    <w:rsid w:val="275814FC"/>
    <w:rsid w:val="27870033"/>
    <w:rsid w:val="281E2746"/>
    <w:rsid w:val="284B72B3"/>
    <w:rsid w:val="287D7D0C"/>
    <w:rsid w:val="288240FF"/>
    <w:rsid w:val="28E0054C"/>
    <w:rsid w:val="28F33BD2"/>
    <w:rsid w:val="29A26D0E"/>
    <w:rsid w:val="2A524929"/>
    <w:rsid w:val="2AB23619"/>
    <w:rsid w:val="2AEA1089"/>
    <w:rsid w:val="2B345DDC"/>
    <w:rsid w:val="2B45623B"/>
    <w:rsid w:val="2B591CE7"/>
    <w:rsid w:val="2B836D64"/>
    <w:rsid w:val="2B8E1990"/>
    <w:rsid w:val="2BCD045B"/>
    <w:rsid w:val="2DC1743F"/>
    <w:rsid w:val="2DC86CB0"/>
    <w:rsid w:val="2DD218DC"/>
    <w:rsid w:val="2DDD45F4"/>
    <w:rsid w:val="2DDE357F"/>
    <w:rsid w:val="2EEC4D69"/>
    <w:rsid w:val="2EFC30B5"/>
    <w:rsid w:val="2F0B32F8"/>
    <w:rsid w:val="2F462582"/>
    <w:rsid w:val="2F4B5DEA"/>
    <w:rsid w:val="2FEF2C1A"/>
    <w:rsid w:val="30110DE2"/>
    <w:rsid w:val="30474804"/>
    <w:rsid w:val="30E7123C"/>
    <w:rsid w:val="30E91417"/>
    <w:rsid w:val="31344D88"/>
    <w:rsid w:val="31656F01"/>
    <w:rsid w:val="31910D35"/>
    <w:rsid w:val="31C12394"/>
    <w:rsid w:val="32146967"/>
    <w:rsid w:val="32303F37"/>
    <w:rsid w:val="323A2BC7"/>
    <w:rsid w:val="32AE46C6"/>
    <w:rsid w:val="32FE389F"/>
    <w:rsid w:val="33064502"/>
    <w:rsid w:val="332130EA"/>
    <w:rsid w:val="3355548A"/>
    <w:rsid w:val="33C60B94"/>
    <w:rsid w:val="34B955A4"/>
    <w:rsid w:val="34BF0E0C"/>
    <w:rsid w:val="34F16F0F"/>
    <w:rsid w:val="35E93C67"/>
    <w:rsid w:val="35FB40C6"/>
    <w:rsid w:val="36EE59D9"/>
    <w:rsid w:val="370C5E5F"/>
    <w:rsid w:val="373D5B21"/>
    <w:rsid w:val="37441B27"/>
    <w:rsid w:val="376B527C"/>
    <w:rsid w:val="37737C8C"/>
    <w:rsid w:val="382611A3"/>
    <w:rsid w:val="38341B11"/>
    <w:rsid w:val="387D5266"/>
    <w:rsid w:val="38E858F9"/>
    <w:rsid w:val="38F90665"/>
    <w:rsid w:val="397A79F8"/>
    <w:rsid w:val="3A0C2048"/>
    <w:rsid w:val="3A103EB8"/>
    <w:rsid w:val="3A3E2465"/>
    <w:rsid w:val="3AAF36D1"/>
    <w:rsid w:val="3AC058DE"/>
    <w:rsid w:val="3AF17846"/>
    <w:rsid w:val="3B1F0127"/>
    <w:rsid w:val="3B677B08"/>
    <w:rsid w:val="3B787F67"/>
    <w:rsid w:val="3BD31641"/>
    <w:rsid w:val="3BE253E0"/>
    <w:rsid w:val="3C333E8E"/>
    <w:rsid w:val="3CD87779"/>
    <w:rsid w:val="3D4A3425"/>
    <w:rsid w:val="3D606818"/>
    <w:rsid w:val="3D6A38DF"/>
    <w:rsid w:val="3EF26282"/>
    <w:rsid w:val="3F9D1D4A"/>
    <w:rsid w:val="3FEF133C"/>
    <w:rsid w:val="42E537AA"/>
    <w:rsid w:val="43664B49"/>
    <w:rsid w:val="43A55671"/>
    <w:rsid w:val="43B104BA"/>
    <w:rsid w:val="43B34232"/>
    <w:rsid w:val="43B62698"/>
    <w:rsid w:val="43DC458F"/>
    <w:rsid w:val="440E1469"/>
    <w:rsid w:val="445D1FDE"/>
    <w:rsid w:val="448B4867"/>
    <w:rsid w:val="448C67FA"/>
    <w:rsid w:val="44D3620E"/>
    <w:rsid w:val="44EE0804"/>
    <w:rsid w:val="44F9386D"/>
    <w:rsid w:val="45054A10"/>
    <w:rsid w:val="450B562D"/>
    <w:rsid w:val="4561381A"/>
    <w:rsid w:val="45C85647"/>
    <w:rsid w:val="45C93FDB"/>
    <w:rsid w:val="4602275C"/>
    <w:rsid w:val="4642004E"/>
    <w:rsid w:val="46582E6F"/>
    <w:rsid w:val="46827EEC"/>
    <w:rsid w:val="46EC35B7"/>
    <w:rsid w:val="471843AC"/>
    <w:rsid w:val="47D3711A"/>
    <w:rsid w:val="47E80223"/>
    <w:rsid w:val="484216E1"/>
    <w:rsid w:val="48C540C0"/>
    <w:rsid w:val="49971F00"/>
    <w:rsid w:val="49CC43AD"/>
    <w:rsid w:val="49FF4D8A"/>
    <w:rsid w:val="4A0B1FA6"/>
    <w:rsid w:val="4A25750C"/>
    <w:rsid w:val="4A711A42"/>
    <w:rsid w:val="4AAC3789"/>
    <w:rsid w:val="4AB56AE2"/>
    <w:rsid w:val="4B3B6158"/>
    <w:rsid w:val="4B512E6C"/>
    <w:rsid w:val="4B6C6B62"/>
    <w:rsid w:val="4B8E10E1"/>
    <w:rsid w:val="4BF21670"/>
    <w:rsid w:val="4C39104D"/>
    <w:rsid w:val="4C5C4D3B"/>
    <w:rsid w:val="4CEE1E37"/>
    <w:rsid w:val="4D1D271C"/>
    <w:rsid w:val="4D522188"/>
    <w:rsid w:val="4DAF6D6F"/>
    <w:rsid w:val="4DD21759"/>
    <w:rsid w:val="4DDE00FE"/>
    <w:rsid w:val="4DED6593"/>
    <w:rsid w:val="4EA16333"/>
    <w:rsid w:val="4EBB043F"/>
    <w:rsid w:val="4ECE0172"/>
    <w:rsid w:val="4EEE5152"/>
    <w:rsid w:val="4F013990"/>
    <w:rsid w:val="4F8540B8"/>
    <w:rsid w:val="4FD35314"/>
    <w:rsid w:val="500656EA"/>
    <w:rsid w:val="5086589C"/>
    <w:rsid w:val="50C06C4B"/>
    <w:rsid w:val="50D37CC2"/>
    <w:rsid w:val="51750D79"/>
    <w:rsid w:val="518014CC"/>
    <w:rsid w:val="51861C76"/>
    <w:rsid w:val="51B80C66"/>
    <w:rsid w:val="51EB4B97"/>
    <w:rsid w:val="525210BA"/>
    <w:rsid w:val="52662470"/>
    <w:rsid w:val="527A00F2"/>
    <w:rsid w:val="53050EA7"/>
    <w:rsid w:val="533B7DA0"/>
    <w:rsid w:val="539A4AC7"/>
    <w:rsid w:val="54662BFB"/>
    <w:rsid w:val="54B23680"/>
    <w:rsid w:val="54D23DEC"/>
    <w:rsid w:val="55346855"/>
    <w:rsid w:val="55821CB6"/>
    <w:rsid w:val="55C9230D"/>
    <w:rsid w:val="55E95892"/>
    <w:rsid w:val="560E354A"/>
    <w:rsid w:val="56614179"/>
    <w:rsid w:val="56CC25FA"/>
    <w:rsid w:val="57367E83"/>
    <w:rsid w:val="57931F59"/>
    <w:rsid w:val="57D1482F"/>
    <w:rsid w:val="58117322"/>
    <w:rsid w:val="58214A53"/>
    <w:rsid w:val="586978CD"/>
    <w:rsid w:val="586D09FC"/>
    <w:rsid w:val="58CA72A0"/>
    <w:rsid w:val="5AC8583D"/>
    <w:rsid w:val="5B152C85"/>
    <w:rsid w:val="5B7F45A2"/>
    <w:rsid w:val="5BB84F1C"/>
    <w:rsid w:val="5BD55073"/>
    <w:rsid w:val="5BF136F2"/>
    <w:rsid w:val="5C4F21C6"/>
    <w:rsid w:val="5C6C7790"/>
    <w:rsid w:val="5CC95946"/>
    <w:rsid w:val="5D187561"/>
    <w:rsid w:val="5DD15589"/>
    <w:rsid w:val="5E174F66"/>
    <w:rsid w:val="5E435D5B"/>
    <w:rsid w:val="5EA94622"/>
    <w:rsid w:val="5EAD2E69"/>
    <w:rsid w:val="5EBE7DF1"/>
    <w:rsid w:val="5F8B1D51"/>
    <w:rsid w:val="5F8F6006"/>
    <w:rsid w:val="5FD43444"/>
    <w:rsid w:val="602D6CC3"/>
    <w:rsid w:val="608763D3"/>
    <w:rsid w:val="60A7133B"/>
    <w:rsid w:val="60C70EC5"/>
    <w:rsid w:val="616E7BF1"/>
    <w:rsid w:val="61834DEC"/>
    <w:rsid w:val="61A22D98"/>
    <w:rsid w:val="626F5BC7"/>
    <w:rsid w:val="62BA6218"/>
    <w:rsid w:val="630F26B0"/>
    <w:rsid w:val="632C5010"/>
    <w:rsid w:val="632F386D"/>
    <w:rsid w:val="636F2F47"/>
    <w:rsid w:val="639C3F43"/>
    <w:rsid w:val="63A177AC"/>
    <w:rsid w:val="648F7E67"/>
    <w:rsid w:val="64B654D9"/>
    <w:rsid w:val="64CA0F84"/>
    <w:rsid w:val="65000502"/>
    <w:rsid w:val="65206DF6"/>
    <w:rsid w:val="657038D9"/>
    <w:rsid w:val="65757142"/>
    <w:rsid w:val="657B5DDA"/>
    <w:rsid w:val="65907AD8"/>
    <w:rsid w:val="65B00D44"/>
    <w:rsid w:val="660256D0"/>
    <w:rsid w:val="663336D9"/>
    <w:rsid w:val="664368C2"/>
    <w:rsid w:val="66BD5531"/>
    <w:rsid w:val="66E019B0"/>
    <w:rsid w:val="677C70C1"/>
    <w:rsid w:val="67A930D3"/>
    <w:rsid w:val="67C577E1"/>
    <w:rsid w:val="67D0240D"/>
    <w:rsid w:val="67DF6AF4"/>
    <w:rsid w:val="67EE31DB"/>
    <w:rsid w:val="68680898"/>
    <w:rsid w:val="687C65A2"/>
    <w:rsid w:val="68BF2BA8"/>
    <w:rsid w:val="68FC5484"/>
    <w:rsid w:val="696574CD"/>
    <w:rsid w:val="69754641"/>
    <w:rsid w:val="69BA3375"/>
    <w:rsid w:val="6A774588"/>
    <w:rsid w:val="6A8120E5"/>
    <w:rsid w:val="6AA27434"/>
    <w:rsid w:val="6B3E1D84"/>
    <w:rsid w:val="6B7632CC"/>
    <w:rsid w:val="6B79100E"/>
    <w:rsid w:val="6B843383"/>
    <w:rsid w:val="6BB12556"/>
    <w:rsid w:val="6BB169FA"/>
    <w:rsid w:val="6C8B0FF9"/>
    <w:rsid w:val="6CD85077"/>
    <w:rsid w:val="6D3C6797"/>
    <w:rsid w:val="6D8819DC"/>
    <w:rsid w:val="6DF36E56"/>
    <w:rsid w:val="6E441BB7"/>
    <w:rsid w:val="6E5042A8"/>
    <w:rsid w:val="6E587EFF"/>
    <w:rsid w:val="6E623FDB"/>
    <w:rsid w:val="6E6733A0"/>
    <w:rsid w:val="6E851A78"/>
    <w:rsid w:val="6EFC4430"/>
    <w:rsid w:val="6F143527"/>
    <w:rsid w:val="6F5B73A8"/>
    <w:rsid w:val="6F742218"/>
    <w:rsid w:val="6F773AB6"/>
    <w:rsid w:val="701E2184"/>
    <w:rsid w:val="702A0B29"/>
    <w:rsid w:val="710B44B6"/>
    <w:rsid w:val="711D41EA"/>
    <w:rsid w:val="715916C6"/>
    <w:rsid w:val="71A60683"/>
    <w:rsid w:val="723B526F"/>
    <w:rsid w:val="72737E87"/>
    <w:rsid w:val="72D27981"/>
    <w:rsid w:val="72FF6A65"/>
    <w:rsid w:val="731A0B62"/>
    <w:rsid w:val="73742D1B"/>
    <w:rsid w:val="73777729"/>
    <w:rsid w:val="74161AF0"/>
    <w:rsid w:val="744877CF"/>
    <w:rsid w:val="74C72DEA"/>
    <w:rsid w:val="759E3B4B"/>
    <w:rsid w:val="75AA4844"/>
    <w:rsid w:val="75B57450"/>
    <w:rsid w:val="75F61D2B"/>
    <w:rsid w:val="769C108D"/>
    <w:rsid w:val="76C012ED"/>
    <w:rsid w:val="77366005"/>
    <w:rsid w:val="784D1858"/>
    <w:rsid w:val="78BF7EE1"/>
    <w:rsid w:val="78DB4153"/>
    <w:rsid w:val="79030169"/>
    <w:rsid w:val="7A560E98"/>
    <w:rsid w:val="7A87763B"/>
    <w:rsid w:val="7B1C67AA"/>
    <w:rsid w:val="7B851309"/>
    <w:rsid w:val="7B890DF9"/>
    <w:rsid w:val="7BE44282"/>
    <w:rsid w:val="7BEE5100"/>
    <w:rsid w:val="7C0469D6"/>
    <w:rsid w:val="7C535A01"/>
    <w:rsid w:val="7D2863F0"/>
    <w:rsid w:val="7D2A660C"/>
    <w:rsid w:val="7D4476CE"/>
    <w:rsid w:val="7DA106A4"/>
    <w:rsid w:val="7DA560CF"/>
    <w:rsid w:val="7DA77201"/>
    <w:rsid w:val="7DBF4391"/>
    <w:rsid w:val="7E0F0A9B"/>
    <w:rsid w:val="7E112FF1"/>
    <w:rsid w:val="7E2D4CDD"/>
    <w:rsid w:val="7E9755DB"/>
    <w:rsid w:val="7EF50554"/>
    <w:rsid w:val="7F524CFF"/>
    <w:rsid w:val="7F567244"/>
    <w:rsid w:val="7F8C2C66"/>
    <w:rsid w:val="7FD05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Heading1"/>
    <w:basedOn w:val="1"/>
    <w:next w:val="1"/>
    <w:qFormat/>
    <w:uiPriority w:val="0"/>
    <w:pPr>
      <w:spacing w:before="120" w:after="120"/>
    </w:pPr>
    <w:rPr>
      <w:rFonts w:ascii="Arial" w:hAnsi="Arial" w:eastAsia="黑体"/>
      <w:kern w:val="20"/>
      <w:sz w:val="30"/>
    </w:rPr>
  </w:style>
  <w:style w:type="paragraph" w:styleId="3">
    <w:name w:val="Body Text Indent"/>
    <w:basedOn w:val="1"/>
    <w:unhideWhenUsed/>
    <w:qFormat/>
    <w:uiPriority w:val="99"/>
    <w:pPr>
      <w:ind w:left="420" w:leftChars="2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3"/>
    <w:unhideWhenUsed/>
    <w:qFormat/>
    <w:uiPriority w:val="99"/>
    <w:pPr>
      <w:autoSpaceDE w:val="0"/>
      <w:autoSpaceDN w:val="0"/>
      <w:adjustRightInd w:val="0"/>
      <w:ind w:firstLine="420"/>
      <w:jc w:val="left"/>
    </w:pPr>
    <w:rPr>
      <w:rFonts w:ascii="Calibri" w:hAnsi="Calibri" w:eastAsia="仿宋_GB2312"/>
      <w:kern w:val="0"/>
    </w:r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4"/>
    <w:semiHidden/>
    <w:qFormat/>
    <w:uiPriority w:val="99"/>
    <w:rPr>
      <w:sz w:val="18"/>
      <w:szCs w:val="18"/>
    </w:rPr>
  </w:style>
  <w:style w:type="character" w:customStyle="1" w:styleId="16">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13021</Words>
  <Characters>16967</Characters>
  <Lines>69</Lines>
  <Paragraphs>19</Paragraphs>
  <TotalTime>7</TotalTime>
  <ScaleCrop>false</ScaleCrop>
  <LinksUpToDate>false</LinksUpToDate>
  <CharactersWithSpaces>17548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rani</cp:lastModifiedBy>
  <cp:lastPrinted>2022-09-13T08:05:00Z</cp:lastPrinted>
  <dcterms:modified xsi:type="dcterms:W3CDTF">2023-09-24T10:52:26Z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4AF62DDC27E445AB8148F5EA6C0C038F_13</vt:lpwstr>
  </property>
</Properties>
</file>