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jc w:val="center"/>
        <w:rPr>
          <w:sz w:val="56"/>
          <w:szCs w:val="56"/>
        </w:rPr>
      </w:pPr>
    </w:p>
    <w:p>
      <w:pPr>
        <w:pStyle w:val="18"/>
        <w:jc w:val="center"/>
        <w:rPr>
          <w:sz w:val="56"/>
          <w:szCs w:val="56"/>
        </w:rPr>
      </w:pPr>
    </w:p>
    <w:p>
      <w:pPr>
        <w:pStyle w:val="18"/>
        <w:jc w:val="center"/>
        <w:rPr>
          <w:sz w:val="84"/>
          <w:szCs w:val="84"/>
        </w:rPr>
      </w:pPr>
    </w:p>
    <w:p>
      <w:pPr>
        <w:pStyle w:val="18"/>
        <w:jc w:val="center"/>
        <w:rPr>
          <w:sz w:val="84"/>
          <w:szCs w:val="84"/>
        </w:rPr>
      </w:pPr>
    </w:p>
    <w:p>
      <w:pPr>
        <w:pStyle w:val="18"/>
        <w:jc w:val="center"/>
        <w:rPr>
          <w:sz w:val="84"/>
          <w:szCs w:val="84"/>
        </w:rPr>
      </w:pPr>
      <w:r>
        <w:rPr>
          <w:rFonts w:hint="eastAsia"/>
          <w:sz w:val="84"/>
          <w:szCs w:val="84"/>
          <w:lang w:eastAsia="zh-CN"/>
        </w:rPr>
        <w:t>2021年</w:t>
      </w:r>
      <w:r>
        <w:rPr>
          <w:rFonts w:hint="eastAsia"/>
          <w:sz w:val="84"/>
          <w:szCs w:val="84"/>
        </w:rPr>
        <w:t>度</w:t>
      </w:r>
    </w:p>
    <w:p>
      <w:pPr>
        <w:pStyle w:val="18"/>
        <w:jc w:val="center"/>
        <w:rPr>
          <w:sz w:val="84"/>
          <w:szCs w:val="84"/>
        </w:rPr>
      </w:pPr>
      <w:r>
        <w:rPr>
          <w:rFonts w:hint="eastAsia"/>
          <w:sz w:val="84"/>
          <w:szCs w:val="84"/>
          <w:lang w:eastAsia="zh-CN"/>
        </w:rPr>
        <w:t>湖南省生态环境农村工作站</w:t>
      </w:r>
      <w:r>
        <w:rPr>
          <w:rFonts w:hint="eastAsia"/>
          <w:sz w:val="84"/>
          <w:szCs w:val="84"/>
        </w:rPr>
        <w:t>部门决算</w:t>
      </w: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rFonts w:hint="eastAsia"/>
          <w:sz w:val="32"/>
          <w:szCs w:val="32"/>
        </w:rPr>
      </w:pPr>
    </w:p>
    <w:p>
      <w:pPr>
        <w:pStyle w:val="18"/>
        <w:jc w:val="center"/>
        <w:rPr>
          <w:rFonts w:hint="eastAsia"/>
          <w:sz w:val="32"/>
          <w:szCs w:val="32"/>
        </w:rPr>
      </w:pPr>
    </w:p>
    <w:p>
      <w:pPr>
        <w:pStyle w:val="18"/>
        <w:jc w:val="center"/>
        <w:rPr>
          <w:sz w:val="32"/>
          <w:szCs w:val="32"/>
        </w:rPr>
      </w:pPr>
    </w:p>
    <w:p>
      <w:pPr>
        <w:pStyle w:val="18"/>
        <w:jc w:val="center"/>
        <w:rPr>
          <w:sz w:val="32"/>
          <w:szCs w:val="32"/>
        </w:rPr>
      </w:pPr>
    </w:p>
    <w:p>
      <w:pPr>
        <w:pStyle w:val="18"/>
        <w:jc w:val="center"/>
        <w:rPr>
          <w:sz w:val="32"/>
          <w:szCs w:val="32"/>
        </w:rPr>
      </w:pPr>
    </w:p>
    <w:p>
      <w:pPr>
        <w:pStyle w:val="18"/>
        <w:spacing w:line="500" w:lineRule="exact"/>
        <w:jc w:val="center"/>
        <w:rPr>
          <w:b/>
          <w:sz w:val="36"/>
          <w:szCs w:val="28"/>
        </w:rPr>
      </w:pPr>
      <w:r>
        <w:rPr>
          <w:rFonts w:hint="eastAsia"/>
          <w:b/>
          <w:sz w:val="36"/>
          <w:szCs w:val="28"/>
        </w:rPr>
        <w:t>目录</w:t>
      </w:r>
    </w:p>
    <w:p>
      <w:pPr>
        <w:pStyle w:val="18"/>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湖南省生态环境农村工作站</w:t>
      </w:r>
      <w:r>
        <w:rPr>
          <w:rFonts w:hint="eastAsia"/>
          <w:b/>
          <w:sz w:val="28"/>
          <w:szCs w:val="28"/>
        </w:rPr>
        <w:t>概况</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8"/>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8"/>
        <w:spacing w:line="500" w:lineRule="exact"/>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eastAsia="zh-CN"/>
        </w:rPr>
        <w:t>2021年</w:t>
      </w:r>
      <w:r>
        <w:rPr>
          <w:rFonts w:hint="eastAsia" w:hAnsi="仿宋_GB2312"/>
          <w:b/>
          <w:sz w:val="28"/>
          <w:szCs w:val="28"/>
        </w:rPr>
        <w:t>度部门决算表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8"/>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8"/>
        <w:spacing w:line="500" w:lineRule="exact"/>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eastAsia="zh-CN"/>
        </w:rPr>
        <w:t>2021年</w:t>
      </w:r>
      <w:r>
        <w:rPr>
          <w:rFonts w:hint="eastAsia" w:hAnsi="仿宋_GB2312"/>
          <w:b/>
          <w:sz w:val="28"/>
          <w:szCs w:val="28"/>
        </w:rPr>
        <w:t>度部门决算情况说明</w:t>
      </w:r>
    </w:p>
    <w:p>
      <w:pPr>
        <w:pStyle w:val="18"/>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8"/>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8"/>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ascii="仿宋_GB2312" w:hAnsi="仿宋_GB2312" w:cs="仿宋_GB2312" w:eastAsiaTheme="minorEastAsia"/>
          <w:color w:val="000000"/>
          <w:sz w:val="28"/>
          <w:szCs w:val="28"/>
        </w:rPr>
        <w:t>关于部门整体支出、单位项目支出、重点（专项）项目支出绩效自评情况说明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rPr>
          <w:sz w:val="72"/>
          <w:szCs w:val="72"/>
        </w:rPr>
      </w:pPr>
    </w:p>
    <w:p>
      <w:pPr>
        <w:pStyle w:val="18"/>
        <w:jc w:val="center"/>
        <w:rPr>
          <w:sz w:val="84"/>
          <w:szCs w:val="84"/>
        </w:rPr>
      </w:pPr>
      <w:r>
        <w:rPr>
          <w:rFonts w:hint="eastAsia"/>
          <w:sz w:val="84"/>
          <w:szCs w:val="84"/>
        </w:rPr>
        <w:t>第一部分</w:t>
      </w:r>
      <w:r>
        <w:rPr>
          <w:sz w:val="84"/>
          <w:szCs w:val="84"/>
        </w:rPr>
        <w:t xml:space="preserve"> </w:t>
      </w:r>
    </w:p>
    <w:p>
      <w:pPr>
        <w:pStyle w:val="18"/>
        <w:jc w:val="center"/>
        <w:rPr>
          <w:sz w:val="84"/>
          <w:szCs w:val="84"/>
        </w:rPr>
      </w:pPr>
    </w:p>
    <w:p>
      <w:pPr>
        <w:pStyle w:val="18"/>
        <w:jc w:val="center"/>
        <w:rPr>
          <w:rFonts w:hint="eastAsia"/>
          <w:sz w:val="84"/>
          <w:szCs w:val="84"/>
          <w:lang w:eastAsia="zh-CN"/>
        </w:rPr>
      </w:pPr>
      <w:r>
        <w:rPr>
          <w:rFonts w:hint="eastAsia"/>
          <w:sz w:val="84"/>
          <w:szCs w:val="84"/>
          <w:lang w:eastAsia="zh-CN"/>
        </w:rPr>
        <w:t>湖南省生态环境农村工作站</w:t>
      </w:r>
    </w:p>
    <w:p>
      <w:pPr>
        <w:pStyle w:val="18"/>
        <w:jc w:val="center"/>
        <w:rPr>
          <w:sz w:val="84"/>
          <w:szCs w:val="84"/>
        </w:rPr>
      </w:pP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9"/>
        <w:ind w:left="720" w:firstLine="0" w:firstLineChars="0"/>
        <w:jc w:val="left"/>
        <w:rPr>
          <w:rFonts w:ascii="黑体" w:hAnsi="黑体" w:eastAsia="黑体"/>
          <w:sz w:val="32"/>
          <w:szCs w:val="32"/>
        </w:rPr>
      </w:pPr>
    </w:p>
    <w:p>
      <w:pPr>
        <w:pStyle w:val="19"/>
        <w:ind w:left="720" w:firstLine="0" w:firstLineChars="0"/>
        <w:jc w:val="left"/>
        <w:rPr>
          <w:rFonts w:ascii="黑体" w:hAnsi="黑体" w:eastAsia="黑体"/>
          <w:sz w:val="32"/>
          <w:szCs w:val="32"/>
        </w:rPr>
      </w:pPr>
    </w:p>
    <w:p>
      <w:pPr>
        <w:pStyle w:val="19"/>
        <w:ind w:left="720" w:firstLine="0" w:firstLineChars="0"/>
        <w:jc w:val="left"/>
        <w:rPr>
          <w:rFonts w:ascii="黑体" w:hAnsi="黑体" w:eastAsia="黑体"/>
          <w:sz w:val="32"/>
          <w:szCs w:val="32"/>
        </w:rPr>
      </w:pPr>
    </w:p>
    <w:p>
      <w:pPr>
        <w:pStyle w:val="19"/>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pStyle w:val="19"/>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承担全省农村生态环境保护相关事务性工作。提供全省农村环境污染防治相关技术服务，制定全省农村环境污染防治相关规划、方案和项目的技术审查和评估；参与相关项目的技术指导和检查验收；承担土壤、地下水等污染防治和生态保护的技术支持等工作；</w:t>
      </w:r>
    </w:p>
    <w:p>
      <w:pPr>
        <w:pStyle w:val="19"/>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（二）指导全省农村面源污染防治工作，组织开展农村面源污染治理试点示范、技术推广和效果评估，指导并参与全省农村环境综合整治、农村生活污水治理验收和评估等工作；</w:t>
      </w:r>
    </w:p>
    <w:p>
      <w:pPr>
        <w:pStyle w:val="19"/>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负责全省农用地土壤及农产品污染状况调查和风险评估，指导全省农用地土壤污染防治和农村环境污染事故纠纷仲裁调查、跨区域农村环境污染事故调查，参与农用地环境风险管控和修复效果评估，开展农用地土壤污染修复治理试点示范与推广；</w:t>
      </w:r>
    </w:p>
    <w:p>
      <w:pPr>
        <w:pStyle w:val="19"/>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（四）负责全省农业面源污染、农用地土壤、地下水等监测预警网络建设，开展农村污染现状调查评价；</w:t>
      </w:r>
    </w:p>
    <w:p>
      <w:pPr>
        <w:pStyle w:val="19"/>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（五）协助开展全省农村生物多样性基础调查、濒危评估、修复保护等工作，配合农村物种资源管理，参与农村生物安全工作；</w:t>
      </w:r>
    </w:p>
    <w:p>
      <w:pPr>
        <w:pStyle w:val="19"/>
        <w:tabs>
          <w:tab w:val="left" w:pos="7655"/>
        </w:tabs>
        <w:adjustRightInd w:val="0"/>
        <w:snapToGrid w:val="0"/>
        <w:spacing w:line="600" w:lineRule="exact"/>
        <w:ind w:firstLine="636"/>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（六）承办厅党组及领导交办的其他事项。</w:t>
      </w:r>
    </w:p>
    <w:p>
      <w:pPr>
        <w:pStyle w:val="19"/>
        <w:tabs>
          <w:tab w:val="left" w:pos="7655"/>
        </w:tabs>
        <w:adjustRightInd w:val="0"/>
        <w:snapToGrid w:val="0"/>
        <w:spacing w:line="600" w:lineRule="exact"/>
        <w:ind w:firstLine="636"/>
        <w:rPr>
          <w:rFonts w:hint="eastAsia" w:ascii="仿宋_GB2312" w:hAnsi="仿宋_GB2312" w:eastAsia="仿宋_GB2312" w:cs="仿宋_GB2312"/>
          <w:color w:val="000000"/>
          <w:sz w:val="32"/>
          <w:szCs w:val="32"/>
        </w:rPr>
      </w:pPr>
    </w:p>
    <w:p>
      <w:pPr>
        <w:pStyle w:val="19"/>
        <w:tabs>
          <w:tab w:val="left" w:pos="7655"/>
        </w:tabs>
        <w:adjustRightInd w:val="0"/>
        <w:snapToGrid w:val="0"/>
        <w:spacing w:line="600" w:lineRule="exact"/>
        <w:ind w:firstLine="636"/>
        <w:rPr>
          <w:rFonts w:hint="eastAsia" w:ascii="仿宋_GB2312" w:hAnsi="仿宋_GB2312" w:eastAsia="仿宋_GB2312" w:cs="仿宋_GB2312"/>
          <w:color w:val="000000"/>
          <w:sz w:val="32"/>
          <w:szCs w:val="32"/>
        </w:rPr>
      </w:pPr>
    </w:p>
    <w:p>
      <w:pPr>
        <w:pStyle w:val="19"/>
        <w:tabs>
          <w:tab w:val="left" w:pos="7655"/>
        </w:tabs>
        <w:adjustRightInd w:val="0"/>
        <w:snapToGrid w:val="0"/>
        <w:spacing w:line="600" w:lineRule="exact"/>
        <w:ind w:firstLine="636"/>
        <w:rPr>
          <w:rFonts w:hint="eastAsia" w:ascii="仿宋_GB2312" w:hAnsi="仿宋_GB2312" w:eastAsia="仿宋_GB2312" w:cs="仿宋_GB2312"/>
          <w:color w:val="000000"/>
          <w:sz w:val="32"/>
          <w:szCs w:val="32"/>
        </w:rPr>
      </w:pPr>
    </w:p>
    <w:p>
      <w:pPr>
        <w:pStyle w:val="19"/>
        <w:tabs>
          <w:tab w:val="left" w:pos="7655"/>
        </w:tabs>
        <w:adjustRightInd w:val="0"/>
        <w:snapToGrid w:val="0"/>
        <w:spacing w:line="600" w:lineRule="exact"/>
        <w:ind w:firstLine="636"/>
        <w:rPr>
          <w:rFonts w:hint="eastAsia" w:ascii="仿宋_GB2312" w:hAnsi="仿宋_GB2312" w:eastAsia="仿宋_GB2312" w:cs="仿宋_GB2312"/>
          <w:color w:val="000000"/>
          <w:sz w:val="32"/>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hint="eastAsia" w:asciiTheme="minorEastAsia" w:hAnsiTheme="minorEastAsia"/>
          <w:bCs/>
          <w:kern w:val="0"/>
          <w:sz w:val="28"/>
          <w:szCs w:val="28"/>
        </w:rPr>
      </w:pPr>
      <w:r>
        <w:rPr>
          <w:rFonts w:hint="eastAsia" w:asciiTheme="minorEastAsia" w:hAnsiTheme="minorEastAsia"/>
          <w:bCs/>
          <w:kern w:val="0"/>
          <w:sz w:val="28"/>
          <w:szCs w:val="28"/>
        </w:rPr>
        <w:t>（一）内设机构设置。</w:t>
      </w:r>
    </w:p>
    <w:p>
      <w:pPr>
        <w:widowControl/>
        <w:spacing w:line="600" w:lineRule="exact"/>
        <w:ind w:firstLine="560" w:firstLineChars="200"/>
        <w:rPr>
          <w:rFonts w:asciiTheme="minorEastAsia" w:hAnsiTheme="minorEastAsia"/>
          <w:bCs/>
          <w:kern w:val="0"/>
          <w:sz w:val="28"/>
          <w:szCs w:val="28"/>
        </w:rPr>
      </w:pPr>
      <w:r>
        <w:rPr>
          <w:rFonts w:hint="eastAsia" w:asciiTheme="minorEastAsia" w:hAnsiTheme="minorEastAsia"/>
          <w:bCs/>
          <w:kern w:val="0"/>
          <w:sz w:val="28"/>
          <w:szCs w:val="28"/>
          <w:lang w:eastAsia="zh-CN"/>
        </w:rPr>
        <w:t>湖南省生态环境农村工作站</w:t>
      </w:r>
      <w:r>
        <w:rPr>
          <w:rFonts w:hint="eastAsia" w:asciiTheme="minorEastAsia" w:hAnsiTheme="minorEastAsia"/>
          <w:bCs/>
          <w:kern w:val="0"/>
          <w:sz w:val="28"/>
          <w:szCs w:val="28"/>
        </w:rPr>
        <w:t>内设机构包括：综合财务科、面源污染防治科、</w:t>
      </w:r>
      <w:r>
        <w:rPr>
          <w:rFonts w:hint="eastAsia" w:asciiTheme="minorEastAsia" w:hAnsiTheme="minorEastAsia"/>
          <w:bCs/>
          <w:kern w:val="0"/>
          <w:sz w:val="28"/>
          <w:szCs w:val="28"/>
          <w:lang w:val="en-US" w:eastAsia="zh-CN"/>
        </w:rPr>
        <w:t>农用地土壤污染防治科</w:t>
      </w:r>
      <w:r>
        <w:rPr>
          <w:rFonts w:hint="eastAsia" w:asciiTheme="minorEastAsia" w:hAnsiTheme="minorEastAsia"/>
          <w:bCs/>
          <w:kern w:val="0"/>
          <w:sz w:val="28"/>
          <w:szCs w:val="28"/>
        </w:rPr>
        <w:t>、</w:t>
      </w:r>
      <w:r>
        <w:rPr>
          <w:rFonts w:hint="eastAsia" w:asciiTheme="minorEastAsia" w:hAnsiTheme="minorEastAsia"/>
          <w:bCs/>
          <w:kern w:val="0"/>
          <w:sz w:val="28"/>
          <w:szCs w:val="28"/>
          <w:lang w:val="en-US" w:eastAsia="zh-CN"/>
        </w:rPr>
        <w:t>农村生物安全管理科</w:t>
      </w:r>
      <w:r>
        <w:rPr>
          <w:rFonts w:hint="eastAsia" w:asciiTheme="minorEastAsia" w:hAnsiTheme="minorEastAsia"/>
          <w:bCs/>
          <w:kern w:val="0"/>
          <w:sz w:val="28"/>
          <w:szCs w:val="28"/>
        </w:rPr>
        <w:t>、</w:t>
      </w:r>
      <w:r>
        <w:rPr>
          <w:rFonts w:hint="eastAsia" w:asciiTheme="minorEastAsia" w:hAnsiTheme="minorEastAsia"/>
          <w:bCs/>
          <w:kern w:val="0"/>
          <w:sz w:val="28"/>
          <w:szCs w:val="28"/>
          <w:lang w:val="en-US" w:eastAsia="zh-CN"/>
        </w:rPr>
        <w:t>农村生态环境监测预警科</w:t>
      </w:r>
      <w:r>
        <w:rPr>
          <w:rFonts w:hint="eastAsia" w:asciiTheme="minorEastAsia" w:hAnsiTheme="minorEastAsia"/>
          <w:bCs/>
          <w:kern w:val="0"/>
          <w:sz w:val="28"/>
          <w:szCs w:val="28"/>
        </w:rPr>
        <w:t>。</w:t>
      </w:r>
    </w:p>
    <w:p>
      <w:pPr>
        <w:widowControl/>
        <w:numPr>
          <w:ilvl w:val="0"/>
          <w:numId w:val="2"/>
        </w:numPr>
        <w:spacing w:line="600" w:lineRule="exact"/>
        <w:rPr>
          <w:rFonts w:hint="eastAsia" w:asciiTheme="minorEastAsia" w:hAnsiTheme="minorEastAsia"/>
          <w:bCs/>
          <w:kern w:val="0"/>
          <w:sz w:val="28"/>
          <w:szCs w:val="28"/>
        </w:rPr>
      </w:pPr>
      <w:r>
        <w:rPr>
          <w:rFonts w:hint="eastAsia" w:asciiTheme="minorEastAsia" w:hAnsiTheme="minorEastAsia"/>
          <w:bCs/>
          <w:kern w:val="0"/>
          <w:sz w:val="28"/>
          <w:szCs w:val="28"/>
        </w:rPr>
        <w:t>决算单位构成。</w:t>
      </w:r>
    </w:p>
    <w:p>
      <w:pPr>
        <w:widowControl/>
        <w:numPr>
          <w:ilvl w:val="-1"/>
          <w:numId w:val="0"/>
        </w:numPr>
        <w:spacing w:line="600" w:lineRule="exact"/>
        <w:ind w:firstLine="560" w:firstLineChars="200"/>
        <w:rPr>
          <w:rFonts w:hint="eastAsia" w:asciiTheme="minorEastAsia" w:hAnsiTheme="minorEastAsia" w:eastAsiaTheme="minorEastAsia"/>
          <w:bCs/>
          <w:kern w:val="0"/>
          <w:sz w:val="28"/>
          <w:szCs w:val="28"/>
          <w:lang w:eastAsia="zh-CN"/>
        </w:rPr>
      </w:pPr>
      <w:r>
        <w:rPr>
          <w:rFonts w:hint="eastAsia" w:asciiTheme="minorEastAsia" w:hAnsiTheme="minorEastAsia"/>
          <w:bCs/>
          <w:kern w:val="0"/>
          <w:sz w:val="28"/>
          <w:szCs w:val="28"/>
          <w:lang w:eastAsia="zh-CN"/>
        </w:rPr>
        <w:t>湖南省生态环境农村工作站2021年</w:t>
      </w:r>
      <w:r>
        <w:rPr>
          <w:rFonts w:hint="eastAsia" w:asciiTheme="minorEastAsia" w:hAnsiTheme="minorEastAsia"/>
          <w:bCs/>
          <w:kern w:val="0"/>
          <w:sz w:val="28"/>
          <w:szCs w:val="28"/>
        </w:rPr>
        <w:t>部门决算汇总公开单位构成包括：</w:t>
      </w:r>
      <w:r>
        <w:rPr>
          <w:rFonts w:hint="eastAsia" w:asciiTheme="minorEastAsia" w:hAnsiTheme="minorEastAsia"/>
          <w:bCs/>
          <w:kern w:val="0"/>
          <w:sz w:val="28"/>
          <w:szCs w:val="28"/>
          <w:lang w:eastAsia="zh-CN"/>
        </w:rPr>
        <w:t>湖南省生态环境农村工作站</w:t>
      </w:r>
      <w:r>
        <w:rPr>
          <w:rFonts w:hint="eastAsia" w:asciiTheme="minorEastAsia" w:hAnsiTheme="minorEastAsia"/>
          <w:bCs/>
          <w:kern w:val="0"/>
          <w:sz w:val="28"/>
          <w:szCs w:val="28"/>
        </w:rPr>
        <w:t>单位本级</w:t>
      </w:r>
      <w:r>
        <w:rPr>
          <w:rFonts w:hint="eastAsia" w:asciiTheme="minorEastAsia" w:hAnsiTheme="minorEastAsia"/>
          <w:bCs/>
          <w:kern w:val="0"/>
          <w:sz w:val="28"/>
          <w:szCs w:val="28"/>
          <w:lang w:eastAsia="zh-CN"/>
        </w:rPr>
        <w:t>，</w:t>
      </w:r>
      <w:r>
        <w:rPr>
          <w:rFonts w:hint="eastAsia" w:asciiTheme="minorEastAsia" w:hAnsiTheme="minorEastAsia"/>
          <w:bCs/>
          <w:kern w:val="0"/>
          <w:sz w:val="28"/>
          <w:szCs w:val="28"/>
          <w:lang w:val="en-US" w:eastAsia="zh-CN"/>
        </w:rPr>
        <w:t>没有其他二级预算单位</w:t>
      </w:r>
      <w:r>
        <w:rPr>
          <w:rFonts w:hint="eastAsia" w:asciiTheme="minorEastAsia" w:hAnsiTheme="minorEastAsia"/>
          <w:bCs/>
          <w:kern w:val="0"/>
          <w:sz w:val="28"/>
          <w:szCs w:val="28"/>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color w:val="auto"/>
          <w:sz w:val="72"/>
          <w:szCs w:val="72"/>
        </w:rPr>
      </w:pPr>
      <w:r>
        <w:rPr>
          <w:rFonts w:hint="eastAsia"/>
          <w:color w:val="auto"/>
          <w:sz w:val="72"/>
          <w:szCs w:val="72"/>
        </w:rPr>
        <w:t>第二部分</w:t>
      </w:r>
    </w:p>
    <w:p>
      <w:pPr>
        <w:jc w:val="center"/>
        <w:rPr>
          <w:color w:val="auto"/>
          <w:sz w:val="72"/>
          <w:szCs w:val="72"/>
        </w:rPr>
      </w:pPr>
    </w:p>
    <w:p>
      <w:pPr>
        <w:jc w:val="center"/>
        <w:rPr>
          <w:rFonts w:hint="eastAsia"/>
          <w:color w:val="auto"/>
          <w:sz w:val="72"/>
          <w:szCs w:val="72"/>
        </w:rPr>
      </w:pPr>
      <w:r>
        <w:rPr>
          <w:rFonts w:hint="eastAsia"/>
          <w:color w:val="auto"/>
          <w:sz w:val="72"/>
          <w:szCs w:val="72"/>
          <w:lang w:val="en-US" w:eastAsia="zh-CN"/>
        </w:rPr>
        <w:t>2021年</w:t>
      </w:r>
      <w:r>
        <w:rPr>
          <w:rFonts w:hint="eastAsia"/>
          <w:color w:val="auto"/>
          <w:sz w:val="72"/>
          <w:szCs w:val="72"/>
        </w:rPr>
        <w:t>部门决算表</w:t>
      </w:r>
    </w:p>
    <w:p>
      <w:pPr>
        <w:pStyle w:val="12"/>
        <w:rPr>
          <w:rFonts w:hint="eastAsia" w:asciiTheme="minorHAnsi" w:hAnsiTheme="minorHAnsi" w:eastAsiaTheme="minorEastAsia" w:cstheme="minorBidi"/>
          <w:color w:val="auto"/>
          <w:kern w:val="2"/>
          <w:sz w:val="72"/>
          <w:szCs w:val="72"/>
          <w:lang w:val="en-US" w:eastAsia="zh-CN" w:bidi="ar-SA"/>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r>
        <w:drawing>
          <wp:inline distT="0" distB="0" distL="114300" distR="114300">
            <wp:extent cx="8284210" cy="6219190"/>
            <wp:effectExtent l="0" t="0" r="635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8284210" cy="6219190"/>
                    </a:xfrm>
                    <a:prstGeom prst="rect">
                      <a:avLst/>
                    </a:prstGeom>
                    <a:noFill/>
                    <a:ln>
                      <a:noFill/>
                    </a:ln>
                  </pic:spPr>
                </pic:pic>
              </a:graphicData>
            </a:graphic>
          </wp:inline>
        </w:drawing>
      </w: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r>
        <w:drawing>
          <wp:inline distT="0" distB="0" distL="114300" distR="114300">
            <wp:extent cx="9777730" cy="3796030"/>
            <wp:effectExtent l="0" t="0" r="6350"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9777730" cy="3796030"/>
                    </a:xfrm>
                    <a:prstGeom prst="rect">
                      <a:avLst/>
                    </a:prstGeom>
                    <a:noFill/>
                    <a:ln>
                      <a:noFill/>
                    </a:ln>
                  </pic:spPr>
                </pic:pic>
              </a:graphicData>
            </a:graphic>
          </wp:inline>
        </w:drawing>
      </w:r>
    </w:p>
    <w:bookmarkEnd w:id="1"/>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r>
        <w:drawing>
          <wp:inline distT="0" distB="0" distL="114300" distR="114300">
            <wp:extent cx="9777730" cy="4958080"/>
            <wp:effectExtent l="0" t="0" r="6350" b="1016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9777730" cy="4958080"/>
                    </a:xfrm>
                    <a:prstGeom prst="rect">
                      <a:avLst/>
                    </a:prstGeom>
                    <a:noFill/>
                    <a:ln>
                      <a:noFill/>
                    </a:ln>
                  </pic:spPr>
                </pic:pic>
              </a:graphicData>
            </a:graphic>
          </wp:inline>
        </w:drawing>
      </w: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r>
        <w:drawing>
          <wp:inline distT="0" distB="0" distL="114300" distR="114300">
            <wp:extent cx="8829040" cy="6395085"/>
            <wp:effectExtent l="0" t="0" r="1016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8829040" cy="6395085"/>
                    </a:xfrm>
                    <a:prstGeom prst="rect">
                      <a:avLst/>
                    </a:prstGeom>
                    <a:noFill/>
                    <a:ln>
                      <a:noFill/>
                    </a:ln>
                  </pic:spPr>
                </pic:pic>
              </a:graphicData>
            </a:graphic>
          </wp:inline>
        </w:drawing>
      </w: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r>
        <w:drawing>
          <wp:inline distT="0" distB="0" distL="114300" distR="114300">
            <wp:extent cx="7627620" cy="5173980"/>
            <wp:effectExtent l="0" t="0" r="7620" b="762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7627620" cy="5173980"/>
                    </a:xfrm>
                    <a:prstGeom prst="rect">
                      <a:avLst/>
                    </a:prstGeom>
                    <a:noFill/>
                    <a:ln>
                      <a:noFill/>
                    </a:ln>
                  </pic:spPr>
                </pic:pic>
              </a:graphicData>
            </a:graphic>
          </wp:inline>
        </w:drawing>
      </w:r>
    </w:p>
    <w:p>
      <w:pPr>
        <w:widowControl/>
        <w:jc w:val="center"/>
        <w:rPr>
          <w:rFonts w:hint="eastAsia" w:ascii="Times New Roman" w:hAnsi="Times New Roman" w:eastAsia="方正小标宋_GBK" w:cs="Times New Roman"/>
          <w:color w:val="000000"/>
          <w:kern w:val="0"/>
          <w:sz w:val="36"/>
          <w:szCs w:val="36"/>
        </w:rPr>
      </w:pPr>
    </w:p>
    <w:p>
      <w:pPr>
        <w:widowControl/>
        <w:jc w:val="center"/>
      </w:pPr>
      <w:r>
        <w:drawing>
          <wp:inline distT="0" distB="0" distL="114300" distR="114300">
            <wp:extent cx="9769475" cy="5619115"/>
            <wp:effectExtent l="0" t="0" r="14605" b="44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9769475" cy="5619115"/>
                    </a:xfrm>
                    <a:prstGeom prst="rect">
                      <a:avLst/>
                    </a:prstGeom>
                    <a:noFill/>
                    <a:ln>
                      <a:noFill/>
                    </a:ln>
                  </pic:spPr>
                </pic:pic>
              </a:graphicData>
            </a:graphic>
          </wp:inline>
        </w:drawing>
      </w: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r>
        <w:drawing>
          <wp:inline distT="0" distB="0" distL="114300" distR="114300">
            <wp:extent cx="9776460" cy="1897380"/>
            <wp:effectExtent l="0" t="0" r="7620" b="762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9776460" cy="1897380"/>
                    </a:xfrm>
                    <a:prstGeom prst="rect">
                      <a:avLst/>
                    </a:prstGeom>
                    <a:noFill/>
                    <a:ln>
                      <a:noFill/>
                    </a:ln>
                  </pic:spPr>
                </pic:pic>
              </a:graphicData>
            </a:graphic>
          </wp:inline>
        </w:drawing>
      </w:r>
    </w:p>
    <w:p>
      <w:pPr>
        <w:widowControl/>
        <w:jc w:val="center"/>
      </w:pPr>
    </w:p>
    <w:p>
      <w:pPr>
        <w:autoSpaceDE w:val="0"/>
        <w:autoSpaceDN w:val="0"/>
        <w:adjustRightInd w:val="0"/>
        <w:ind w:left="315" w:leftChars="150"/>
        <w:jc w:val="left"/>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pStyle w:val="12"/>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湖南省生态环境农村工作站</w:t>
      </w:r>
      <w:r>
        <w:rPr>
          <w:rFonts w:ascii="Times New Roman" w:hAnsi="Times New Roman" w:eastAsia="仿宋_GB2312" w:cs="Times New Roman"/>
          <w:color w:val="000000"/>
          <w:kern w:val="0"/>
          <w:szCs w:val="21"/>
        </w:rPr>
        <w:t xml:space="preserve">                                                                                                               公开08表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13"/>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lang w:eastAsia="zh-CN"/>
        </w:rPr>
        <w:t>本</w:t>
      </w:r>
      <w:r>
        <w:rPr>
          <w:rFonts w:hint="eastAsia" w:ascii="Times New Roman" w:hAnsi="Times New Roman" w:eastAsia="仿宋_GB2312" w:cs="Times New Roman"/>
          <w:kern w:val="0"/>
          <w:szCs w:val="21"/>
        </w:rPr>
        <w:t>单位没有政府性基金收入，也没有使用政府性基金安排的支出，故本表无数据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p>
      <w:pPr>
        <w:pStyle w:val="12"/>
        <w:rPr>
          <w:rFonts w:ascii="黑体" w:hAnsi="黑体" w:eastAsia="黑体"/>
          <w:szCs w:val="21"/>
        </w:rPr>
      </w:pPr>
    </w:p>
    <w:p>
      <w:pPr>
        <w:pStyle w:val="12"/>
        <w:rPr>
          <w:rFonts w:ascii="黑体" w:hAnsi="黑体" w:eastAsia="黑体"/>
          <w:szCs w:val="21"/>
        </w:rPr>
      </w:pPr>
    </w:p>
    <w:p>
      <w:pPr>
        <w:pStyle w:val="12"/>
        <w:rPr>
          <w:rFonts w:ascii="黑体" w:hAnsi="黑体" w:eastAsia="黑体"/>
          <w:szCs w:val="21"/>
        </w:rPr>
      </w:pPr>
    </w:p>
    <w:tbl>
      <w:tblPr>
        <w:tblStyle w:val="13"/>
        <w:tblW w:w="14190" w:type="dxa"/>
        <w:tblInd w:w="93" w:type="dxa"/>
        <w:tblLayout w:type="fixed"/>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4835" w:type="dxa"/>
            <w:gridSpan w:val="4"/>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湖南省生态环境农村工作站</w:t>
            </w:r>
            <w:r>
              <w:rPr>
                <w:rFonts w:ascii="Times New Roman" w:hAnsi="Times New Roman" w:eastAsia="仿宋_GB2312" w:cs="Times New Roman"/>
                <w:color w:val="000000"/>
                <w:kern w:val="0"/>
                <w:szCs w:val="21"/>
              </w:rPr>
              <w:t xml:space="preserve">  </w:t>
            </w:r>
          </w:p>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r>
              <w:rPr>
                <w:rFonts w:hint="eastAsia" w:ascii="宋体" w:hAnsi="宋体" w:eastAsia="宋体" w:cs="宋体"/>
                <w:kern w:val="0"/>
                <w:sz w:val="24"/>
                <w:szCs w:val="24"/>
                <w:lang w:eastAsia="zh-CN"/>
              </w:rPr>
              <w:t>本</w:t>
            </w:r>
            <w:r>
              <w:rPr>
                <w:rFonts w:hint="eastAsia" w:ascii="宋体" w:hAnsi="宋体" w:eastAsia="宋体" w:cs="宋体"/>
                <w:kern w:val="0"/>
                <w:sz w:val="24"/>
                <w:szCs w:val="24"/>
              </w:rPr>
              <w:t>单位没有国有资本经营预算财政拨款支出，故本表无数据</w:t>
            </w:r>
          </w:p>
        </w:tc>
      </w:tr>
    </w:tbl>
    <w:p>
      <w:pPr>
        <w:pStyle w:val="18"/>
        <w:rPr>
          <w:sz w:val="72"/>
          <w:szCs w:val="72"/>
        </w:rPr>
        <w:sectPr>
          <w:pgSz w:w="16838" w:h="11906" w:orient="landscape"/>
          <w:pgMar w:top="720" w:right="720" w:bottom="720" w:left="720" w:header="851" w:footer="992" w:gutter="0"/>
          <w:cols w:space="425" w:num="1"/>
          <w:docGrid w:type="lines" w:linePitch="312" w:charSpace="0"/>
        </w:sectPr>
      </w:pPr>
    </w:p>
    <w:p>
      <w:pPr>
        <w:pStyle w:val="18"/>
        <w:rPr>
          <w:sz w:val="72"/>
          <w:szCs w:val="72"/>
        </w:rPr>
      </w:pPr>
    </w:p>
    <w:p>
      <w:pPr>
        <w:pStyle w:val="18"/>
        <w:rPr>
          <w:sz w:val="72"/>
          <w:szCs w:val="72"/>
        </w:rPr>
      </w:pPr>
    </w:p>
    <w:p>
      <w:pPr>
        <w:pStyle w:val="18"/>
        <w:rPr>
          <w:sz w:val="72"/>
          <w:szCs w:val="72"/>
        </w:rPr>
      </w:pPr>
    </w:p>
    <w:p>
      <w:pPr>
        <w:pStyle w:val="18"/>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第三部分</w:t>
      </w:r>
    </w:p>
    <w:p>
      <w:pPr>
        <w:pStyle w:val="18"/>
        <w:jc w:val="center"/>
        <w:rPr>
          <w:sz w:val="70"/>
          <w:szCs w:val="70"/>
        </w:rPr>
      </w:pPr>
    </w:p>
    <w:p>
      <w:pPr>
        <w:pStyle w:val="18"/>
        <w:jc w:val="center"/>
        <w:rPr>
          <w:sz w:val="70"/>
          <w:szCs w:val="70"/>
        </w:rPr>
      </w:pPr>
      <w:r>
        <w:rPr>
          <w:rFonts w:hint="eastAsia"/>
          <w:sz w:val="70"/>
          <w:szCs w:val="70"/>
          <w:lang w:eastAsia="zh-CN"/>
        </w:rPr>
        <w:t>2021年</w:t>
      </w:r>
      <w:r>
        <w:rPr>
          <w:rFonts w:hint="eastAsia"/>
          <w:sz w:val="70"/>
          <w:szCs w:val="70"/>
        </w:rPr>
        <w:t>度部门决算情况说明</w:t>
      </w:r>
    </w:p>
    <w:p>
      <w:pPr>
        <w:widowControl/>
        <w:jc w:val="left"/>
        <w:rPr>
          <w:rFonts w:ascii="黑体" w:eastAsia="黑体" w:cs="黑体"/>
          <w:color w:val="000000"/>
          <w:kern w:val="0"/>
          <w:sz w:val="70"/>
          <w:szCs w:val="70"/>
        </w:rPr>
      </w:pPr>
      <w:r>
        <w:rPr>
          <w:sz w:val="70"/>
          <w:szCs w:val="70"/>
        </w:rPr>
        <w:br w:type="page"/>
      </w:r>
    </w:p>
    <w:p>
      <w:pPr>
        <w:pStyle w:val="18"/>
        <w:rPr>
          <w:rFonts w:asciiTheme="minorEastAsia" w:hAnsiTheme="minorEastAsia" w:eastAsiaTheme="minorEastAsia"/>
          <w:sz w:val="32"/>
          <w:szCs w:val="32"/>
        </w:rPr>
      </w:pPr>
    </w:p>
    <w:p>
      <w:pPr>
        <w:pStyle w:val="18"/>
        <w:rPr>
          <w:rFonts w:hAnsi="黑体"/>
          <w:b/>
          <w:sz w:val="32"/>
          <w:szCs w:val="32"/>
        </w:rPr>
      </w:pPr>
      <w:r>
        <w:rPr>
          <w:rFonts w:hint="eastAsia" w:hAnsi="黑体"/>
          <w:b/>
          <w:sz w:val="32"/>
          <w:szCs w:val="32"/>
        </w:rPr>
        <w:t>一、收入支出决算总体情况说明</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度收</w:t>
      </w:r>
      <w:r>
        <w:rPr>
          <w:rFonts w:hint="eastAsia" w:asciiTheme="minorEastAsia" w:hAnsiTheme="minorEastAsia" w:eastAsiaTheme="minorEastAsia"/>
          <w:sz w:val="28"/>
          <w:szCs w:val="28"/>
          <w:lang w:val="en-US" w:eastAsia="zh-CN"/>
        </w:rPr>
        <w:t>入</w:t>
      </w:r>
      <w:r>
        <w:rPr>
          <w:rFonts w:hint="eastAsia" w:asciiTheme="minorEastAsia" w:hAnsiTheme="minorEastAsia" w:eastAsiaTheme="minorEastAsia"/>
          <w:sz w:val="28"/>
          <w:szCs w:val="28"/>
        </w:rPr>
        <w:t>总计</w:t>
      </w:r>
      <w:r>
        <w:rPr>
          <w:rFonts w:hint="eastAsia" w:asciiTheme="minorEastAsia" w:hAnsiTheme="minorEastAsia" w:eastAsiaTheme="minorEastAsia"/>
          <w:sz w:val="28"/>
          <w:szCs w:val="28"/>
          <w:lang w:val="en-US" w:eastAsia="zh-CN"/>
        </w:rPr>
        <w:t>7217.02</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（含年初结转和结余资金</w:t>
      </w:r>
      <w:r>
        <w:rPr>
          <w:rFonts w:hint="eastAsia" w:ascii="宋体" w:hAnsi="宋体" w:eastAsia="宋体"/>
          <w:sz w:val="28"/>
          <w:szCs w:val="28"/>
          <w:highlight w:val="none"/>
          <w:lang w:val="en-US" w:eastAsia="zh-CN"/>
        </w:rPr>
        <w:t>1953.90</w:t>
      </w:r>
      <w:r>
        <w:rPr>
          <w:rFonts w:hint="eastAsia" w:ascii="宋体" w:hAnsi="宋体" w:eastAsia="宋体"/>
          <w:sz w:val="28"/>
          <w:szCs w:val="28"/>
          <w:highlight w:val="none"/>
        </w:rPr>
        <w:t>万元）</w:t>
      </w:r>
      <w:r>
        <w:rPr>
          <w:rFonts w:hint="eastAsia" w:asciiTheme="minorEastAsia" w:hAnsiTheme="minorEastAsia" w:eastAsiaTheme="minorEastAsia"/>
          <w:sz w:val="28"/>
          <w:szCs w:val="28"/>
        </w:rPr>
        <w:t>。与上年相比，</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8011.78</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52.61</w:t>
      </w:r>
      <w:r>
        <w:rPr>
          <w:rFonts w:hint="eastAsia" w:asciiTheme="minorEastAsia" w:hAnsiTheme="minorEastAsia" w:eastAsiaTheme="minorEastAsia"/>
          <w:sz w:val="28"/>
          <w:szCs w:val="28"/>
        </w:rPr>
        <w:t>%，主要是因为</w:t>
      </w:r>
      <w:r>
        <w:rPr>
          <w:rFonts w:hint="eastAsia" w:asciiTheme="minorEastAsia" w:hAnsiTheme="minorEastAsia" w:eastAsiaTheme="minorEastAsia"/>
          <w:sz w:val="28"/>
          <w:szCs w:val="28"/>
          <w:lang w:val="en-US" w:eastAsia="zh-CN"/>
        </w:rPr>
        <w:t>本</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度</w:t>
      </w:r>
      <w:r>
        <w:rPr>
          <w:rFonts w:hint="eastAsia" w:asciiTheme="minorEastAsia" w:hAnsiTheme="minorEastAsia" w:eastAsiaTheme="minorEastAsia"/>
          <w:sz w:val="28"/>
          <w:szCs w:val="28"/>
        </w:rPr>
        <w:t>专项收入减少</w:t>
      </w:r>
      <w:r>
        <w:rPr>
          <w:rFonts w:hint="eastAsia" w:asciiTheme="minorEastAsia" w:hAnsiTheme="minorEastAsia" w:eastAsiaTheme="minorEastAsia"/>
          <w:sz w:val="28"/>
          <w:szCs w:val="28"/>
          <w:lang w:eastAsia="zh-CN"/>
        </w:rPr>
        <w:t>。</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度收</w:t>
      </w:r>
      <w:r>
        <w:rPr>
          <w:rFonts w:hint="eastAsia" w:asciiTheme="minorEastAsia" w:hAnsiTheme="minorEastAsia" w:eastAsiaTheme="minorEastAsia"/>
          <w:sz w:val="28"/>
          <w:szCs w:val="28"/>
          <w:lang w:val="en-US" w:eastAsia="zh-CN"/>
        </w:rPr>
        <w:t>入</w:t>
      </w:r>
      <w:r>
        <w:rPr>
          <w:rFonts w:hint="eastAsia" w:asciiTheme="minorEastAsia" w:hAnsiTheme="minorEastAsia" w:eastAsiaTheme="minorEastAsia"/>
          <w:sz w:val="28"/>
          <w:szCs w:val="28"/>
        </w:rPr>
        <w:t>总计</w:t>
      </w:r>
      <w:r>
        <w:rPr>
          <w:rFonts w:hint="eastAsia" w:asciiTheme="minorEastAsia" w:hAnsiTheme="minorEastAsia" w:eastAsiaTheme="minorEastAsia"/>
          <w:sz w:val="28"/>
          <w:szCs w:val="28"/>
          <w:lang w:val="en-US" w:eastAsia="zh-CN"/>
        </w:rPr>
        <w:t>7217.02</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宋体" w:hAnsi="宋体" w:eastAsia="宋体"/>
          <w:sz w:val="28"/>
          <w:szCs w:val="28"/>
          <w:highlight w:val="none"/>
          <w:lang w:val="en-US" w:eastAsia="zh-CN"/>
        </w:rPr>
        <w:t>1164.26</w:t>
      </w:r>
      <w:r>
        <w:rPr>
          <w:rFonts w:hint="eastAsia" w:ascii="宋体" w:hAnsi="宋体" w:eastAsia="宋体"/>
          <w:sz w:val="28"/>
          <w:szCs w:val="28"/>
          <w:highlight w:val="none"/>
        </w:rPr>
        <w:t>万元）</w:t>
      </w:r>
      <w:r>
        <w:rPr>
          <w:rFonts w:hint="eastAsia" w:asciiTheme="minorEastAsia" w:hAnsiTheme="minorEastAsia" w:eastAsiaTheme="minorEastAsia"/>
          <w:sz w:val="28"/>
          <w:szCs w:val="28"/>
        </w:rPr>
        <w:t>。与上年相比，</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8011.78</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52.61</w:t>
      </w:r>
      <w:r>
        <w:rPr>
          <w:rFonts w:hint="eastAsia" w:asciiTheme="minorEastAsia" w:hAnsiTheme="minorEastAsia" w:eastAsiaTheme="minorEastAsia"/>
          <w:sz w:val="28"/>
          <w:szCs w:val="28"/>
        </w:rPr>
        <w:t>%，主要是因为</w:t>
      </w:r>
      <w:r>
        <w:rPr>
          <w:rFonts w:hint="eastAsia" w:asciiTheme="minorEastAsia" w:hAnsiTheme="minorEastAsia" w:eastAsiaTheme="minorEastAsia"/>
          <w:sz w:val="28"/>
          <w:szCs w:val="28"/>
          <w:lang w:val="en-US" w:eastAsia="zh-CN"/>
        </w:rPr>
        <w:t>本</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度</w:t>
      </w:r>
      <w:r>
        <w:rPr>
          <w:rFonts w:hint="eastAsia" w:asciiTheme="minorEastAsia" w:hAnsiTheme="minorEastAsia" w:eastAsiaTheme="minorEastAsia"/>
          <w:sz w:val="28"/>
          <w:szCs w:val="28"/>
        </w:rPr>
        <w:t>专项支出减少</w:t>
      </w:r>
      <w:r>
        <w:rPr>
          <w:rFonts w:hint="eastAsia" w:asciiTheme="minorEastAsia" w:hAnsiTheme="minorEastAsia" w:eastAsiaTheme="minorEastAsia"/>
          <w:sz w:val="28"/>
          <w:szCs w:val="28"/>
          <w:lang w:eastAsia="zh-CN"/>
        </w:rPr>
        <w:t>。</w:t>
      </w:r>
    </w:p>
    <w:p>
      <w:pPr>
        <w:pStyle w:val="18"/>
        <w:rPr>
          <w:rFonts w:hAnsi="黑体"/>
          <w:b/>
          <w:sz w:val="32"/>
          <w:szCs w:val="32"/>
        </w:rPr>
      </w:pPr>
      <w:r>
        <w:rPr>
          <w:rFonts w:hint="eastAsia" w:hAnsi="黑体"/>
          <w:b/>
          <w:sz w:val="32"/>
          <w:szCs w:val="32"/>
        </w:rPr>
        <w:t>二、收入决算情况说明</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本年收入合计</w:t>
      </w:r>
      <w:r>
        <w:rPr>
          <w:rFonts w:hint="eastAsia" w:asciiTheme="minorEastAsia" w:hAnsiTheme="minorEastAsia" w:eastAsiaTheme="minorEastAsia"/>
          <w:sz w:val="28"/>
          <w:szCs w:val="28"/>
          <w:lang w:val="en-US" w:eastAsia="zh-CN"/>
        </w:rPr>
        <w:t>5263.12</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（不含年初结转和结余资金）</w:t>
      </w:r>
      <w:r>
        <w:rPr>
          <w:rFonts w:hint="eastAsia" w:asciiTheme="minorEastAsia" w:hAnsiTheme="minorEastAsia" w:eastAsiaTheme="minorEastAsia"/>
          <w:sz w:val="28"/>
          <w:szCs w:val="28"/>
        </w:rPr>
        <w:t>，其中：财政拨款收入</w:t>
      </w:r>
      <w:r>
        <w:rPr>
          <w:rFonts w:hint="eastAsia" w:asciiTheme="minorEastAsia" w:hAnsiTheme="minorEastAsia" w:eastAsiaTheme="minorEastAsia"/>
          <w:sz w:val="28"/>
          <w:szCs w:val="28"/>
          <w:lang w:val="en-US" w:eastAsia="zh-CN"/>
        </w:rPr>
        <w:t>5263.10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100.00</w:t>
      </w:r>
      <w:r>
        <w:rPr>
          <w:rFonts w:hint="eastAsia" w:asciiTheme="minorEastAsia" w:hAnsiTheme="minorEastAsia" w:eastAsiaTheme="minorEastAsia"/>
          <w:sz w:val="28"/>
          <w:szCs w:val="28"/>
        </w:rPr>
        <w:t>%；上级补助收入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%；事业收入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%；经营收入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%；附属单位上缴收入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%；其他收入</w:t>
      </w:r>
      <w:r>
        <w:rPr>
          <w:rFonts w:hint="eastAsia" w:asciiTheme="minorEastAsia" w:hAnsiTheme="minorEastAsia" w:eastAsiaTheme="minorEastAsia"/>
          <w:sz w:val="28"/>
          <w:szCs w:val="28"/>
          <w:lang w:val="en-US" w:eastAsia="zh-CN"/>
        </w:rPr>
        <w:t>0.02</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p>
    <w:p>
      <w:pPr>
        <w:pStyle w:val="18"/>
        <w:rPr>
          <w:rFonts w:hAnsi="黑体"/>
          <w:b/>
          <w:sz w:val="32"/>
          <w:szCs w:val="32"/>
        </w:rPr>
      </w:pPr>
      <w:r>
        <w:rPr>
          <w:rFonts w:hint="eastAsia" w:hAnsi="黑体"/>
          <w:b/>
          <w:sz w:val="32"/>
          <w:szCs w:val="32"/>
        </w:rPr>
        <w:t>三、支出决算情况说明</w:t>
      </w:r>
    </w:p>
    <w:p>
      <w:pPr>
        <w:pStyle w:val="18"/>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rPr>
        <w:t>本年支出合计</w:t>
      </w:r>
      <w:r>
        <w:rPr>
          <w:rFonts w:hint="eastAsia" w:asciiTheme="minorEastAsia" w:hAnsiTheme="minorEastAsia" w:eastAsiaTheme="minorEastAsia"/>
          <w:sz w:val="28"/>
          <w:szCs w:val="28"/>
          <w:lang w:val="en-US" w:eastAsia="zh-CN"/>
        </w:rPr>
        <w:t>6043.33</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（不含年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Theme="minorEastAsia" w:hAnsiTheme="minorEastAsia" w:eastAsiaTheme="minorEastAsia"/>
          <w:sz w:val="28"/>
          <w:szCs w:val="28"/>
        </w:rPr>
        <w:t>，其中：基本支出</w:t>
      </w:r>
      <w:r>
        <w:rPr>
          <w:rFonts w:hint="eastAsia" w:asciiTheme="minorEastAsia" w:hAnsiTheme="minorEastAsia" w:eastAsiaTheme="minorEastAsia"/>
          <w:sz w:val="28"/>
          <w:szCs w:val="28"/>
          <w:lang w:val="en-US" w:eastAsia="zh-CN"/>
        </w:rPr>
        <w:t>347.58</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5.75</w:t>
      </w:r>
      <w:r>
        <w:rPr>
          <w:rFonts w:hint="eastAsia" w:asciiTheme="minorEastAsia" w:hAnsiTheme="minorEastAsia" w:eastAsiaTheme="minorEastAsia"/>
          <w:sz w:val="28"/>
          <w:szCs w:val="28"/>
        </w:rPr>
        <w:t>%；项目支出</w:t>
      </w:r>
      <w:r>
        <w:rPr>
          <w:rFonts w:hint="eastAsia" w:asciiTheme="minorEastAsia" w:hAnsiTheme="minorEastAsia" w:eastAsiaTheme="minorEastAsia"/>
          <w:sz w:val="28"/>
          <w:szCs w:val="28"/>
          <w:lang w:val="en-US" w:eastAsia="zh-CN"/>
        </w:rPr>
        <w:t>5695.76</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94.25</w:t>
      </w:r>
      <w:r>
        <w:rPr>
          <w:rFonts w:hint="eastAsia" w:asciiTheme="minorEastAsia" w:hAnsiTheme="minorEastAsia" w:eastAsiaTheme="minorEastAsia"/>
          <w:sz w:val="28"/>
          <w:szCs w:val="28"/>
        </w:rPr>
        <w:t>%；上缴上级支出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%；经营支出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%；对附属单位补助支出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p>
    <w:p>
      <w:pPr>
        <w:pStyle w:val="18"/>
        <w:rPr>
          <w:rFonts w:hAnsi="黑体"/>
          <w:b/>
          <w:sz w:val="32"/>
          <w:szCs w:val="32"/>
        </w:rPr>
      </w:pPr>
      <w:r>
        <w:rPr>
          <w:rFonts w:hint="eastAsia" w:hAnsi="黑体"/>
          <w:b/>
          <w:sz w:val="32"/>
          <w:szCs w:val="32"/>
        </w:rPr>
        <w:t>四、财政拨款收入支出决算总体情况说明</w:t>
      </w:r>
    </w:p>
    <w:p>
      <w:pPr>
        <w:pStyle w:val="18"/>
        <w:ind w:firstLine="64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度财政拨款</w:t>
      </w:r>
      <w:r>
        <w:rPr>
          <w:rFonts w:hint="eastAsia" w:asciiTheme="minorEastAsia" w:hAnsiTheme="minorEastAsia" w:eastAsiaTheme="minorEastAsia"/>
          <w:sz w:val="28"/>
          <w:szCs w:val="28"/>
          <w:lang w:val="en-US" w:eastAsia="zh-CN"/>
        </w:rPr>
        <w:t>收入5263.1</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（不含年初结转和结余资金）</w:t>
      </w:r>
      <w:r>
        <w:rPr>
          <w:rFonts w:hint="eastAsia" w:asciiTheme="minorEastAsia" w:hAnsiTheme="minorEastAsia" w:eastAsiaTheme="minorEastAsia"/>
          <w:sz w:val="28"/>
          <w:szCs w:val="28"/>
        </w:rPr>
        <w:t>，与上年</w:t>
      </w:r>
      <w:r>
        <w:rPr>
          <w:rFonts w:hint="eastAsia" w:asciiTheme="minorEastAsia" w:hAnsiTheme="minorEastAsia" w:eastAsiaTheme="minorEastAsia"/>
          <w:sz w:val="28"/>
          <w:szCs w:val="28"/>
          <w:lang w:val="en-US" w:eastAsia="zh-CN"/>
        </w:rPr>
        <w:t>12315.63万</w:t>
      </w:r>
      <w:r>
        <w:rPr>
          <w:rFonts w:hint="eastAsia" w:asciiTheme="minorEastAsia" w:hAnsiTheme="minorEastAsia" w:eastAsiaTheme="minorEastAsia"/>
          <w:sz w:val="28"/>
          <w:szCs w:val="28"/>
        </w:rPr>
        <w:t>相比，</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7052.53</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57.26%</w:t>
      </w:r>
      <w:r>
        <w:rPr>
          <w:rFonts w:hint="eastAsia" w:asciiTheme="minorEastAsia" w:hAnsiTheme="minorEastAsia" w:eastAsiaTheme="minorEastAsia"/>
          <w:sz w:val="28"/>
          <w:szCs w:val="28"/>
        </w:rPr>
        <w:t>，主要是因为</w:t>
      </w:r>
      <w:r>
        <w:rPr>
          <w:rFonts w:hint="eastAsia" w:asciiTheme="minorEastAsia" w:hAnsiTheme="minorEastAsia" w:eastAsiaTheme="minorEastAsia"/>
          <w:sz w:val="28"/>
          <w:szCs w:val="28"/>
          <w:lang w:val="en-US" w:eastAsia="zh-CN"/>
        </w:rPr>
        <w:t>本</w:t>
      </w:r>
      <w:r>
        <w:rPr>
          <w:rFonts w:hint="eastAsia" w:asciiTheme="minorEastAsia" w:hAnsiTheme="minorEastAsia" w:eastAsiaTheme="minorEastAsia"/>
          <w:sz w:val="28"/>
          <w:szCs w:val="28"/>
        </w:rPr>
        <w:t>年专项收入减少</w:t>
      </w:r>
      <w:r>
        <w:rPr>
          <w:rFonts w:hint="eastAsia" w:asciiTheme="minorEastAsia" w:hAnsiTheme="minorEastAsia" w:eastAsiaTheme="minorEastAsia"/>
          <w:sz w:val="28"/>
          <w:szCs w:val="28"/>
          <w:lang w:eastAsia="zh-CN"/>
        </w:rPr>
        <w:t>。</w:t>
      </w:r>
    </w:p>
    <w:p>
      <w:pPr>
        <w:pStyle w:val="18"/>
        <w:ind w:firstLine="640"/>
        <w:rPr>
          <w:rFonts w:hint="eastAsia" w:asciiTheme="minorEastAsia" w:hAnsiTheme="minorEastAsia" w:eastAsiaTheme="minorEastAsia"/>
          <w:sz w:val="28"/>
          <w:szCs w:val="28"/>
          <w:lang w:eastAsia="zh-CN"/>
        </w:rPr>
      </w:pPr>
      <w:r>
        <w:rPr>
          <w:rFonts w:hint="eastAsia" w:ascii="宋体" w:hAnsi="宋体" w:eastAsia="宋体"/>
          <w:sz w:val="28"/>
          <w:szCs w:val="28"/>
        </w:rPr>
        <w:t>202</w:t>
      </w:r>
      <w:r>
        <w:rPr>
          <w:rFonts w:hint="eastAsia" w:ascii="宋体" w:hAnsi="宋体" w:eastAsia="宋体"/>
          <w:sz w:val="28"/>
          <w:szCs w:val="28"/>
          <w:lang w:val="en-US" w:eastAsia="zh-CN"/>
        </w:rPr>
        <w:t>1</w:t>
      </w:r>
      <w:r>
        <w:rPr>
          <w:rFonts w:hint="eastAsia" w:ascii="宋体" w:hAnsi="宋体" w:eastAsia="宋体"/>
          <w:sz w:val="28"/>
          <w:szCs w:val="28"/>
        </w:rPr>
        <w:t>年度财政拨款支出合计</w:t>
      </w:r>
      <w:r>
        <w:rPr>
          <w:rFonts w:hint="eastAsia" w:ascii="宋体" w:hAnsi="宋体" w:eastAsia="宋体"/>
          <w:sz w:val="28"/>
          <w:szCs w:val="28"/>
          <w:lang w:val="en-US" w:eastAsia="zh-CN"/>
        </w:rPr>
        <w:t>6021.59</w:t>
      </w:r>
      <w:r>
        <w:rPr>
          <w:rFonts w:hint="eastAsia" w:ascii="宋体" w:hAnsi="宋体" w:eastAsia="宋体"/>
          <w:sz w:val="28"/>
          <w:szCs w:val="28"/>
        </w:rPr>
        <w:t>万元</w:t>
      </w:r>
      <w:r>
        <w:rPr>
          <w:rFonts w:hint="eastAsia" w:ascii="宋体" w:hAnsi="宋体" w:eastAsia="宋体"/>
          <w:sz w:val="28"/>
          <w:szCs w:val="28"/>
          <w:highlight w:val="none"/>
        </w:rPr>
        <w:t>（不含年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宋体" w:hAnsi="宋体" w:eastAsia="宋体"/>
          <w:sz w:val="28"/>
          <w:szCs w:val="28"/>
        </w:rPr>
        <w:t>，与上年</w:t>
      </w:r>
      <w:r>
        <w:rPr>
          <w:rFonts w:hint="eastAsia" w:ascii="宋体" w:hAnsi="宋体" w:eastAsia="宋体"/>
          <w:sz w:val="28"/>
          <w:szCs w:val="28"/>
          <w:lang w:val="en-US" w:eastAsia="zh-CN"/>
        </w:rPr>
        <w:t>13686.48</w:t>
      </w:r>
      <w:r>
        <w:rPr>
          <w:rFonts w:hint="eastAsia" w:ascii="宋体" w:hAnsi="宋体" w:eastAsia="宋体"/>
          <w:sz w:val="28"/>
          <w:szCs w:val="28"/>
        </w:rPr>
        <w:t>相比，减少</w:t>
      </w:r>
      <w:r>
        <w:rPr>
          <w:rFonts w:hint="eastAsia" w:ascii="宋体" w:hAnsi="宋体" w:eastAsia="宋体"/>
          <w:sz w:val="28"/>
          <w:szCs w:val="28"/>
          <w:lang w:val="en-US" w:eastAsia="zh-CN"/>
        </w:rPr>
        <w:t>7664.89</w:t>
      </w:r>
      <w:r>
        <w:rPr>
          <w:rFonts w:hint="eastAsia" w:ascii="宋体" w:hAnsi="宋体" w:eastAsia="宋体"/>
          <w:sz w:val="28"/>
          <w:szCs w:val="28"/>
        </w:rPr>
        <w:t>万元,减少</w:t>
      </w:r>
      <w:r>
        <w:rPr>
          <w:rFonts w:hint="eastAsia" w:ascii="宋体" w:hAnsi="宋体" w:eastAsia="宋体"/>
          <w:sz w:val="28"/>
          <w:szCs w:val="28"/>
          <w:lang w:val="en-US" w:eastAsia="zh-CN"/>
        </w:rPr>
        <w:t>56</w:t>
      </w:r>
      <w:r>
        <w:rPr>
          <w:rFonts w:hint="eastAsia" w:ascii="宋体" w:hAnsi="宋体" w:eastAsia="宋体"/>
          <w:sz w:val="28"/>
          <w:szCs w:val="28"/>
        </w:rPr>
        <w:t>%，主要是因为</w:t>
      </w:r>
      <w:r>
        <w:rPr>
          <w:rFonts w:hint="eastAsia" w:asciiTheme="minorEastAsia" w:hAnsiTheme="minorEastAsia" w:eastAsiaTheme="minorEastAsia"/>
          <w:sz w:val="28"/>
          <w:szCs w:val="28"/>
          <w:lang w:val="en-US" w:eastAsia="zh-CN"/>
        </w:rPr>
        <w:t>本</w:t>
      </w:r>
      <w:r>
        <w:rPr>
          <w:rFonts w:hint="eastAsia" w:asciiTheme="minorEastAsia" w:hAnsiTheme="minorEastAsia" w:eastAsiaTheme="minorEastAsia"/>
          <w:sz w:val="28"/>
          <w:szCs w:val="28"/>
        </w:rPr>
        <w:t>年专项支出减少</w:t>
      </w:r>
      <w:r>
        <w:rPr>
          <w:rFonts w:hint="eastAsia" w:asciiTheme="minorEastAsia" w:hAnsiTheme="minorEastAsia" w:eastAsiaTheme="minorEastAsia"/>
          <w:sz w:val="28"/>
          <w:szCs w:val="28"/>
          <w:lang w:eastAsia="zh-CN"/>
        </w:rPr>
        <w:t>。</w:t>
      </w:r>
    </w:p>
    <w:p>
      <w:pPr>
        <w:pStyle w:val="18"/>
        <w:ind w:firstLine="640"/>
        <w:rPr>
          <w:rFonts w:hAnsi="黑体"/>
          <w:b/>
          <w:sz w:val="32"/>
          <w:szCs w:val="32"/>
        </w:rPr>
      </w:pPr>
      <w:r>
        <w:rPr>
          <w:rFonts w:hint="eastAsia" w:hAnsi="黑体"/>
          <w:b/>
          <w:sz w:val="32"/>
          <w:szCs w:val="32"/>
        </w:rPr>
        <w:t>五、一般公共预算财政拨款支出决算情况说明</w:t>
      </w:r>
    </w:p>
    <w:p>
      <w:pPr>
        <w:pStyle w:val="18"/>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（一）财政拨款支出决算总体情况</w:t>
      </w:r>
    </w:p>
    <w:p>
      <w:pPr>
        <w:pStyle w:val="18"/>
        <w:ind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度财政拨款支出</w:t>
      </w:r>
      <w:r>
        <w:rPr>
          <w:rFonts w:hint="eastAsia" w:asciiTheme="minorEastAsia" w:hAnsiTheme="minorEastAsia" w:eastAsiaTheme="minorEastAsia"/>
          <w:sz w:val="28"/>
          <w:szCs w:val="28"/>
          <w:lang w:val="en-US" w:eastAsia="zh-CN"/>
        </w:rPr>
        <w:t>6021.59</w:t>
      </w:r>
      <w:r>
        <w:rPr>
          <w:rFonts w:hint="eastAsia" w:asciiTheme="minorEastAsia" w:hAnsiTheme="minorEastAsia" w:eastAsiaTheme="minorEastAsia"/>
          <w:sz w:val="28"/>
          <w:szCs w:val="28"/>
        </w:rPr>
        <w:t>万元，占本年支出合计的</w:t>
      </w:r>
      <w:r>
        <w:rPr>
          <w:rFonts w:hint="eastAsia" w:asciiTheme="minorEastAsia" w:hAnsiTheme="minorEastAsia" w:eastAsiaTheme="minorEastAsia"/>
          <w:sz w:val="28"/>
          <w:szCs w:val="28"/>
          <w:lang w:val="en-US" w:eastAsia="zh-CN"/>
        </w:rPr>
        <w:t>99.64</w:t>
      </w:r>
      <w:r>
        <w:rPr>
          <w:rFonts w:hint="eastAsia" w:asciiTheme="minorEastAsia" w:hAnsiTheme="minorEastAsia" w:eastAsiaTheme="minorEastAsia"/>
          <w:sz w:val="28"/>
          <w:szCs w:val="28"/>
        </w:rPr>
        <w:t>%，与上年相比，财政拨款支出</w:t>
      </w:r>
      <w:r>
        <w:rPr>
          <w:rFonts w:hint="eastAsia" w:asciiTheme="minorEastAsia" w:hAnsiTheme="minorEastAsia" w:eastAsiaTheme="minorEastAsia"/>
          <w:sz w:val="28"/>
          <w:szCs w:val="28"/>
          <w:u w:val="none"/>
          <w:lang w:eastAsia="zh-CN"/>
        </w:rPr>
        <w:t>减少</w:t>
      </w:r>
      <w:r>
        <w:rPr>
          <w:rFonts w:hint="eastAsia" w:asciiTheme="minorEastAsia" w:hAnsiTheme="minorEastAsia" w:eastAsiaTheme="minorEastAsia"/>
          <w:sz w:val="28"/>
          <w:szCs w:val="28"/>
          <w:u w:val="none"/>
          <w:lang w:val="en-US" w:eastAsia="zh-CN"/>
        </w:rPr>
        <w:t>7664.89</w:t>
      </w:r>
      <w:r>
        <w:rPr>
          <w:rFonts w:hint="eastAsia" w:asciiTheme="minorEastAsia" w:hAnsiTheme="minorEastAsia" w:eastAsiaTheme="minorEastAsia"/>
          <w:sz w:val="28"/>
          <w:szCs w:val="28"/>
          <w:u w:val="none"/>
        </w:rPr>
        <w:t>万元</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56.00</w:t>
      </w:r>
      <w:r>
        <w:rPr>
          <w:rFonts w:hint="eastAsia" w:asciiTheme="minorEastAsia" w:hAnsiTheme="minorEastAsia" w:eastAsiaTheme="minorEastAsia"/>
          <w:sz w:val="28"/>
          <w:szCs w:val="28"/>
        </w:rPr>
        <w:t>%，主要是因为当年专项收入减少，导致当年</w:t>
      </w:r>
      <w:r>
        <w:rPr>
          <w:rFonts w:hint="eastAsia" w:asciiTheme="minorEastAsia" w:hAnsiTheme="minorEastAsia" w:eastAsiaTheme="minorEastAsia"/>
          <w:sz w:val="28"/>
          <w:szCs w:val="28"/>
          <w:lang w:val="en-US" w:eastAsia="zh-CN"/>
        </w:rPr>
        <w:t>专项</w:t>
      </w:r>
      <w:r>
        <w:rPr>
          <w:rFonts w:hint="eastAsia" w:asciiTheme="minorEastAsia" w:hAnsiTheme="minorEastAsia" w:eastAsiaTheme="minorEastAsia"/>
          <w:sz w:val="28"/>
          <w:szCs w:val="28"/>
        </w:rPr>
        <w:t>支出减少</w:t>
      </w:r>
      <w:r>
        <w:rPr>
          <w:rFonts w:hint="eastAsia" w:asciiTheme="minorEastAsia" w:hAnsiTheme="minorEastAsia" w:eastAsiaTheme="minorEastAsia"/>
          <w:sz w:val="28"/>
          <w:szCs w:val="28"/>
          <w:lang w:eastAsia="zh-CN"/>
        </w:rPr>
        <w:t>。</w:t>
      </w:r>
    </w:p>
    <w:p>
      <w:pPr>
        <w:pStyle w:val="18"/>
        <w:ind w:firstLine="420" w:firstLineChars="150"/>
        <w:rPr>
          <w:rFonts w:asciiTheme="minorEastAsia" w:hAnsiTheme="minorEastAsia" w:eastAsiaTheme="minorEastAsia"/>
          <w:b/>
          <w:sz w:val="28"/>
          <w:szCs w:val="28"/>
        </w:rPr>
      </w:pPr>
      <w:r>
        <w:rPr>
          <w:rFonts w:hint="eastAsia" w:asciiTheme="minorEastAsia" w:hAnsiTheme="minorEastAsia" w:eastAsiaTheme="minorEastAsia"/>
          <w:b/>
          <w:sz w:val="28"/>
          <w:szCs w:val="28"/>
        </w:rPr>
        <w:t>（二）财政拨款支出决算结构情况</w:t>
      </w:r>
    </w:p>
    <w:p>
      <w:pPr>
        <w:pStyle w:val="18"/>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度财政拨款支出</w:t>
      </w:r>
      <w:r>
        <w:rPr>
          <w:rFonts w:hint="eastAsia" w:asciiTheme="minorEastAsia" w:hAnsiTheme="minorEastAsia" w:eastAsiaTheme="minorEastAsia"/>
          <w:sz w:val="28"/>
          <w:szCs w:val="28"/>
          <w:lang w:val="en-US" w:eastAsia="zh-CN"/>
        </w:rPr>
        <w:t>6021.59</w:t>
      </w:r>
      <w:r>
        <w:rPr>
          <w:rFonts w:hint="eastAsia" w:asciiTheme="minorEastAsia" w:hAnsiTheme="minorEastAsia" w:eastAsiaTheme="minorEastAsia"/>
          <w:sz w:val="28"/>
          <w:szCs w:val="28"/>
        </w:rPr>
        <w:t>万元，主要用于以下方面：</w:t>
      </w:r>
      <w:r>
        <w:rPr>
          <w:rFonts w:hint="eastAsia" w:asciiTheme="minorEastAsia" w:hAnsiTheme="minorEastAsia" w:eastAsiaTheme="minorEastAsia"/>
          <w:sz w:val="28"/>
          <w:szCs w:val="28"/>
          <w:lang w:eastAsia="zh-CN"/>
        </w:rPr>
        <w:t>社会保障和就业</w:t>
      </w:r>
      <w:r>
        <w:rPr>
          <w:rFonts w:hint="eastAsia" w:asciiTheme="minorEastAsia" w:hAnsiTheme="minorEastAsia" w:eastAsiaTheme="minorEastAsia"/>
          <w:sz w:val="28"/>
          <w:szCs w:val="28"/>
        </w:rPr>
        <w:t>（类）</w:t>
      </w:r>
      <w:r>
        <w:rPr>
          <w:rFonts w:hint="eastAsia" w:asciiTheme="minorEastAsia" w:hAnsiTheme="minorEastAsia" w:eastAsiaTheme="minorEastAsia"/>
          <w:sz w:val="28"/>
          <w:szCs w:val="28"/>
          <w:lang w:eastAsia="zh-CN"/>
        </w:rPr>
        <w:t>支出</w:t>
      </w:r>
      <w:r>
        <w:rPr>
          <w:rFonts w:hint="eastAsia" w:asciiTheme="minorEastAsia" w:hAnsiTheme="minorEastAsia" w:eastAsiaTheme="minorEastAsia"/>
          <w:sz w:val="28"/>
          <w:szCs w:val="28"/>
          <w:lang w:val="en-US" w:eastAsia="zh-CN"/>
        </w:rPr>
        <w:t>25.00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0.42</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节能环保</w:t>
      </w:r>
      <w:r>
        <w:rPr>
          <w:rFonts w:hint="eastAsia" w:asciiTheme="minorEastAsia" w:hAnsiTheme="minorEastAsia" w:eastAsiaTheme="minorEastAsia"/>
          <w:sz w:val="28"/>
          <w:szCs w:val="28"/>
        </w:rPr>
        <w:t>（类）</w:t>
      </w:r>
      <w:r>
        <w:rPr>
          <w:rFonts w:hint="eastAsia" w:asciiTheme="minorEastAsia" w:hAnsiTheme="minorEastAsia" w:eastAsiaTheme="minorEastAsia"/>
          <w:sz w:val="28"/>
          <w:szCs w:val="28"/>
          <w:lang w:eastAsia="zh-CN"/>
        </w:rPr>
        <w:t>支出</w:t>
      </w:r>
      <w:r>
        <w:rPr>
          <w:rFonts w:hint="eastAsia" w:asciiTheme="minorEastAsia" w:hAnsiTheme="minorEastAsia" w:eastAsiaTheme="minorEastAsia"/>
          <w:sz w:val="28"/>
          <w:szCs w:val="28"/>
          <w:lang w:val="en-US" w:eastAsia="zh-CN"/>
        </w:rPr>
        <w:t>4155.07万元，占69.00%；农林水</w:t>
      </w:r>
      <w:r>
        <w:rPr>
          <w:rFonts w:hint="eastAsia" w:asciiTheme="minorEastAsia" w:hAnsiTheme="minorEastAsia" w:eastAsiaTheme="minorEastAsia"/>
          <w:sz w:val="28"/>
          <w:szCs w:val="28"/>
        </w:rPr>
        <w:t>（类）</w:t>
      </w:r>
      <w:r>
        <w:rPr>
          <w:rFonts w:hint="eastAsia" w:asciiTheme="minorEastAsia" w:hAnsiTheme="minorEastAsia" w:eastAsiaTheme="minorEastAsia"/>
          <w:sz w:val="28"/>
          <w:szCs w:val="28"/>
          <w:lang w:val="en-US" w:eastAsia="zh-CN"/>
        </w:rPr>
        <w:t>支出1841.51万元，占30.58%。</w:t>
      </w:r>
    </w:p>
    <w:p>
      <w:pPr>
        <w:pStyle w:val="18"/>
        <w:ind w:firstLine="700" w:firstLineChars="250"/>
        <w:rPr>
          <w:rFonts w:asciiTheme="minorEastAsia" w:hAnsiTheme="minorEastAsia" w:eastAsiaTheme="minorEastAsia"/>
          <w:b/>
          <w:sz w:val="28"/>
          <w:szCs w:val="28"/>
        </w:rPr>
      </w:pPr>
      <w:r>
        <w:rPr>
          <w:rFonts w:hint="eastAsia" w:asciiTheme="minorEastAsia" w:hAnsiTheme="minorEastAsia" w:eastAsiaTheme="minorEastAsia"/>
          <w:b/>
          <w:sz w:val="28"/>
          <w:szCs w:val="28"/>
        </w:rPr>
        <w:t>（三）财政拨款支出决算具体情况</w:t>
      </w:r>
    </w:p>
    <w:p>
      <w:pPr>
        <w:pStyle w:val="18"/>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度财政拨款支出年初预算数为</w:t>
      </w:r>
      <w:r>
        <w:rPr>
          <w:rFonts w:hint="eastAsia" w:asciiTheme="minorEastAsia" w:hAnsiTheme="minorEastAsia" w:eastAsiaTheme="minorEastAsia"/>
          <w:sz w:val="28"/>
          <w:szCs w:val="28"/>
          <w:lang w:val="en-US" w:eastAsia="zh-CN"/>
        </w:rPr>
        <w:t>1862.20</w:t>
      </w:r>
      <w:r>
        <w:rPr>
          <w:rFonts w:hint="eastAsia" w:asciiTheme="minorEastAsia" w:hAnsiTheme="minorEastAsia" w:eastAsiaTheme="minorEastAsia"/>
          <w:sz w:val="28"/>
          <w:szCs w:val="28"/>
        </w:rPr>
        <w:t>万元，支出决算数为</w:t>
      </w:r>
      <w:r>
        <w:rPr>
          <w:rFonts w:hint="eastAsia" w:asciiTheme="minorEastAsia" w:hAnsiTheme="minorEastAsia" w:eastAsiaTheme="minorEastAsia"/>
          <w:sz w:val="28"/>
          <w:szCs w:val="28"/>
          <w:lang w:val="en-US" w:eastAsia="zh-CN"/>
        </w:rPr>
        <w:t>6021.59</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323.36</w:t>
      </w:r>
      <w:r>
        <w:rPr>
          <w:rFonts w:hint="eastAsia" w:asciiTheme="minorEastAsia" w:hAnsiTheme="minorEastAsia" w:eastAsiaTheme="minorEastAsia"/>
          <w:sz w:val="28"/>
          <w:szCs w:val="28"/>
        </w:rPr>
        <w:t>%，其中：</w:t>
      </w:r>
    </w:p>
    <w:p>
      <w:pPr>
        <w:pStyle w:val="18"/>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社会保障和就业支出</w:t>
      </w:r>
      <w:r>
        <w:rPr>
          <w:rFonts w:hint="eastAsia" w:asciiTheme="minorEastAsia" w:hAnsiTheme="minorEastAsia" w:eastAsiaTheme="minorEastAsia"/>
          <w:sz w:val="28"/>
          <w:szCs w:val="28"/>
        </w:rPr>
        <w:t>（类）</w:t>
      </w:r>
      <w:r>
        <w:rPr>
          <w:rFonts w:hint="eastAsia" w:asciiTheme="minorEastAsia" w:hAnsiTheme="minorEastAsia" w:eastAsiaTheme="minorEastAsia"/>
          <w:sz w:val="28"/>
          <w:szCs w:val="28"/>
          <w:lang w:eastAsia="zh-CN"/>
        </w:rPr>
        <w:t>行政事业单位养老支出</w:t>
      </w:r>
      <w:r>
        <w:rPr>
          <w:rFonts w:hint="eastAsia" w:asciiTheme="minorEastAsia" w:hAnsiTheme="minorEastAsia" w:eastAsiaTheme="minorEastAsia"/>
          <w:sz w:val="28"/>
          <w:szCs w:val="28"/>
        </w:rPr>
        <w:t>（款）</w:t>
      </w:r>
      <w:r>
        <w:rPr>
          <w:rFonts w:hint="eastAsia" w:asciiTheme="minorEastAsia" w:hAnsiTheme="minorEastAsia" w:eastAsiaTheme="minorEastAsia"/>
          <w:sz w:val="28"/>
          <w:szCs w:val="28"/>
          <w:lang w:eastAsia="zh-CN"/>
        </w:rPr>
        <w:t>机关事业单位基本养老保险缴费支出</w:t>
      </w:r>
      <w:r>
        <w:rPr>
          <w:rFonts w:hint="eastAsia" w:asciiTheme="minorEastAsia" w:hAnsiTheme="minorEastAsia" w:eastAsiaTheme="minorEastAsia"/>
          <w:sz w:val="28"/>
          <w:szCs w:val="28"/>
        </w:rPr>
        <w:t>（项）。</w:t>
      </w:r>
    </w:p>
    <w:p>
      <w:pPr>
        <w:pStyle w:val="18"/>
        <w:numPr>
          <w:ilvl w:val="0"/>
          <w:numId w:val="0"/>
        </w:numPr>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25.00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25.00</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预算数等于决算数，主要是我单位严格执行预算。</w:t>
      </w:r>
    </w:p>
    <w:p>
      <w:pPr>
        <w:pStyle w:val="18"/>
        <w:numPr>
          <w:ilvl w:val="0"/>
          <w:numId w:val="0"/>
        </w:numPr>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2、节能环保支出（类）环境保护管理事务（款）行政运行（项）</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325.10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323.97</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99.65</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小</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严格控制预算</w:t>
      </w:r>
      <w:r>
        <w:rPr>
          <w:rFonts w:hint="eastAsia" w:asciiTheme="minorEastAsia" w:hAnsiTheme="minorEastAsia" w:eastAsiaTheme="minorEastAsia"/>
          <w:sz w:val="28"/>
          <w:szCs w:val="28"/>
          <w:lang w:eastAsia="zh-CN"/>
        </w:rPr>
        <w:t>。</w:t>
      </w:r>
    </w:p>
    <w:p>
      <w:pPr>
        <w:pStyle w:val="18"/>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3、节能环保支出（类）污染防治（款）水体（项）</w:t>
      </w:r>
    </w:p>
    <w:p>
      <w:pPr>
        <w:pStyle w:val="18"/>
        <w:ind w:firstLine="700" w:firstLineChars="2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77.00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76.97</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99.96</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eastAsia="zh-CN"/>
        </w:rPr>
        <w:t>小</w:t>
      </w:r>
      <w:r>
        <w:rPr>
          <w:rFonts w:hint="eastAsia" w:asciiTheme="minorEastAsia" w:hAnsiTheme="minorEastAsia" w:eastAsiaTheme="minorEastAsia"/>
          <w:sz w:val="28"/>
          <w:szCs w:val="28"/>
        </w:rPr>
        <w:t>于年初预算数的主要原因是：</w:t>
      </w:r>
      <w:r>
        <w:rPr>
          <w:rFonts w:hint="eastAsia" w:asciiTheme="minorEastAsia" w:hAnsiTheme="minorEastAsia" w:eastAsiaTheme="minorEastAsia"/>
          <w:sz w:val="28"/>
          <w:szCs w:val="28"/>
          <w:lang w:val="en-US" w:eastAsia="zh-CN"/>
        </w:rPr>
        <w:t>严格控制预算</w:t>
      </w:r>
      <w:r>
        <w:rPr>
          <w:rFonts w:hint="eastAsia" w:asciiTheme="minorEastAsia" w:hAnsiTheme="minorEastAsia" w:eastAsiaTheme="minorEastAsia"/>
          <w:sz w:val="28"/>
          <w:szCs w:val="28"/>
          <w:lang w:eastAsia="zh-CN"/>
        </w:rPr>
        <w:t>。</w:t>
      </w:r>
    </w:p>
    <w:p>
      <w:pPr>
        <w:pStyle w:val="18"/>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4、节能环保支出（类）污染防治（款）土壤（项）</w:t>
      </w:r>
    </w:p>
    <w:p>
      <w:pPr>
        <w:pStyle w:val="18"/>
        <w:ind w:firstLine="700" w:firstLineChars="2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2067.72</w:t>
      </w:r>
      <w:r>
        <w:rPr>
          <w:rFonts w:hint="eastAsia" w:asciiTheme="minorEastAsia" w:hAnsiTheme="minorEastAsia" w:eastAsiaTheme="minorEastAsia"/>
          <w:sz w:val="28"/>
          <w:szCs w:val="28"/>
        </w:rPr>
        <w:t>万元，决算数大于年初预算数的主要原因是：</w:t>
      </w:r>
      <w:r>
        <w:rPr>
          <w:rFonts w:hint="eastAsia" w:asciiTheme="minorEastAsia" w:hAnsiTheme="minorEastAsia" w:eastAsiaTheme="minorEastAsia"/>
          <w:sz w:val="28"/>
          <w:szCs w:val="28"/>
          <w:lang w:val="en-US" w:eastAsia="zh-CN"/>
        </w:rPr>
        <w:t>年中追加项目预算</w:t>
      </w:r>
      <w:r>
        <w:rPr>
          <w:rFonts w:hint="eastAsia" w:asciiTheme="minorEastAsia" w:hAnsiTheme="minorEastAsia" w:eastAsiaTheme="minorEastAsia"/>
          <w:sz w:val="28"/>
          <w:szCs w:val="28"/>
          <w:lang w:eastAsia="zh-CN"/>
        </w:rPr>
        <w:t>。</w:t>
      </w:r>
    </w:p>
    <w:p>
      <w:pPr>
        <w:pStyle w:val="18"/>
        <w:numPr>
          <w:ilvl w:val="0"/>
          <w:numId w:val="0"/>
        </w:numPr>
        <w:ind w:left="640" w:left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5、节能环保支出（类）污染防治（款）其他污染防治（项）</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123.20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123.20</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预算数等于决算数，主要是我单位严格执行预算。</w:t>
      </w:r>
    </w:p>
    <w:p>
      <w:pPr>
        <w:pStyle w:val="18"/>
        <w:numPr>
          <w:ilvl w:val="0"/>
          <w:numId w:val="0"/>
        </w:numPr>
        <w:ind w:left="640" w:left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6、节能环保支出（类）自然生态保护（款）农村环境保护（项）</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280.50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876.15</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312.35</w:t>
      </w:r>
      <w:r>
        <w:rPr>
          <w:rFonts w:hint="eastAsia" w:asciiTheme="minorEastAsia" w:hAnsiTheme="minorEastAsia" w:eastAsiaTheme="minorEastAsia"/>
          <w:sz w:val="28"/>
          <w:szCs w:val="28"/>
        </w:rPr>
        <w:t>%，决算数大于年初预算数的主要原因是：</w:t>
      </w:r>
      <w:r>
        <w:rPr>
          <w:rFonts w:hint="eastAsia" w:asciiTheme="minorEastAsia" w:hAnsiTheme="minorEastAsia" w:eastAsiaTheme="minorEastAsia"/>
          <w:sz w:val="28"/>
          <w:szCs w:val="28"/>
          <w:lang w:eastAsia="zh-CN"/>
        </w:rPr>
        <w:t>此项资金有年初结转和结余和年中追加。</w:t>
      </w:r>
    </w:p>
    <w:p>
      <w:pPr>
        <w:pStyle w:val="18"/>
        <w:numPr>
          <w:ilvl w:val="0"/>
          <w:numId w:val="0"/>
        </w:numPr>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7、节能环保支出（类）污染减排（款）生态环境监测与信息（项）</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87.90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687.06</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781.64</w:t>
      </w:r>
      <w:r>
        <w:rPr>
          <w:rFonts w:hint="eastAsia" w:asciiTheme="minorEastAsia" w:hAnsiTheme="minorEastAsia" w:eastAsiaTheme="minorEastAsia"/>
          <w:sz w:val="28"/>
          <w:szCs w:val="28"/>
        </w:rPr>
        <w:t>%，决算数大于年初预算数的主要原因是：</w:t>
      </w:r>
      <w:r>
        <w:rPr>
          <w:rFonts w:hint="eastAsia" w:asciiTheme="minorEastAsia" w:hAnsiTheme="minorEastAsia" w:eastAsiaTheme="minorEastAsia"/>
          <w:sz w:val="28"/>
          <w:szCs w:val="28"/>
          <w:lang w:eastAsia="zh-CN"/>
        </w:rPr>
        <w:t>此项资金有年初结转和结余和年中追加。</w:t>
      </w:r>
    </w:p>
    <w:p>
      <w:pPr>
        <w:pStyle w:val="18"/>
        <w:numPr>
          <w:ilvl w:val="0"/>
          <w:numId w:val="0"/>
        </w:numPr>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8、农林水支出（类）农业农村（款）其他农业农村支出（项）</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943.50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1841.51</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195.18</w:t>
      </w:r>
      <w:r>
        <w:rPr>
          <w:rFonts w:hint="eastAsia" w:asciiTheme="minorEastAsia" w:hAnsiTheme="minorEastAsia" w:eastAsiaTheme="minorEastAsia"/>
          <w:sz w:val="28"/>
          <w:szCs w:val="28"/>
        </w:rPr>
        <w:t>%，决算数大于年初预算数的主要原因是：</w:t>
      </w:r>
      <w:r>
        <w:rPr>
          <w:rFonts w:hint="eastAsia" w:asciiTheme="minorEastAsia" w:hAnsiTheme="minorEastAsia" w:eastAsiaTheme="minorEastAsia"/>
          <w:sz w:val="28"/>
          <w:szCs w:val="28"/>
          <w:lang w:eastAsia="zh-CN"/>
        </w:rPr>
        <w:t>资金来源于年中追加。</w:t>
      </w:r>
    </w:p>
    <w:p>
      <w:pPr>
        <w:pStyle w:val="18"/>
        <w:ind w:firstLine="640" w:firstLineChars="200"/>
        <w:rPr>
          <w:rFonts w:hAnsi="黑体"/>
          <w:b/>
          <w:sz w:val="32"/>
          <w:szCs w:val="32"/>
        </w:rPr>
      </w:pPr>
      <w:r>
        <w:rPr>
          <w:rFonts w:hint="eastAsia" w:hAnsi="黑体"/>
          <w:b/>
          <w:sz w:val="32"/>
          <w:szCs w:val="32"/>
        </w:rPr>
        <w:t>六、一般公共预算财政拨款基本支出决算情况说明</w:t>
      </w:r>
    </w:p>
    <w:p>
      <w:pPr>
        <w:pStyle w:val="18"/>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度财政拨款基本支出</w:t>
      </w:r>
      <w:r>
        <w:rPr>
          <w:rFonts w:hint="eastAsia" w:asciiTheme="minorEastAsia" w:hAnsiTheme="minorEastAsia" w:eastAsiaTheme="minorEastAsia"/>
          <w:sz w:val="28"/>
          <w:szCs w:val="28"/>
          <w:lang w:val="en-US" w:eastAsia="zh-CN"/>
        </w:rPr>
        <w:t>347.52</w:t>
      </w:r>
      <w:r>
        <w:rPr>
          <w:rFonts w:hint="eastAsia" w:asciiTheme="minorEastAsia" w:hAnsiTheme="minorEastAsia" w:eastAsiaTheme="minorEastAsia"/>
          <w:sz w:val="28"/>
          <w:szCs w:val="28"/>
        </w:rPr>
        <w:t>万元，其中：人员经费</w:t>
      </w:r>
      <w:r>
        <w:rPr>
          <w:rFonts w:hint="eastAsia" w:asciiTheme="minorEastAsia" w:hAnsiTheme="minorEastAsia" w:eastAsiaTheme="minorEastAsia"/>
          <w:sz w:val="28"/>
          <w:szCs w:val="28"/>
          <w:lang w:val="en-US" w:eastAsia="zh-CN"/>
        </w:rPr>
        <w:t>294.00</w:t>
      </w:r>
      <w:r>
        <w:rPr>
          <w:rFonts w:hint="eastAsia" w:asciiTheme="minorEastAsia" w:hAnsiTheme="minorEastAsia" w:eastAsiaTheme="minorEastAsia"/>
          <w:sz w:val="28"/>
          <w:szCs w:val="28"/>
        </w:rPr>
        <w:t>万元，占基本支出的</w:t>
      </w:r>
      <w:r>
        <w:rPr>
          <w:rFonts w:hint="eastAsia" w:asciiTheme="minorEastAsia" w:hAnsiTheme="minorEastAsia" w:eastAsiaTheme="minorEastAsia"/>
          <w:sz w:val="28"/>
          <w:szCs w:val="28"/>
          <w:lang w:val="en-US" w:eastAsia="zh-CN"/>
        </w:rPr>
        <w:t>84.60</w:t>
      </w:r>
      <w:r>
        <w:rPr>
          <w:rFonts w:hint="eastAsia" w:asciiTheme="minorEastAsia" w:hAnsiTheme="minorEastAsia" w:eastAsiaTheme="minorEastAsia"/>
          <w:sz w:val="28"/>
          <w:szCs w:val="28"/>
        </w:rPr>
        <w:t>%,主要包括基本工资、津贴补贴、奖金、伙食补助费</w:t>
      </w:r>
      <w:r>
        <w:rPr>
          <w:rFonts w:hint="eastAsia" w:asciiTheme="minorEastAsia" w:hAnsiTheme="minorEastAsia" w:eastAsiaTheme="minorEastAsia"/>
          <w:sz w:val="28"/>
          <w:szCs w:val="28"/>
          <w:lang w:eastAsia="zh-CN"/>
        </w:rPr>
        <w:t>、住房公积金、机关事业单位基本养老保险缴费等</w:t>
      </w:r>
      <w:r>
        <w:rPr>
          <w:rFonts w:hint="eastAsia" w:asciiTheme="minorEastAsia" w:hAnsiTheme="minorEastAsia" w:eastAsiaTheme="minorEastAsia"/>
          <w:sz w:val="28"/>
          <w:szCs w:val="28"/>
        </w:rPr>
        <w:t>；公用经费</w:t>
      </w:r>
      <w:r>
        <w:rPr>
          <w:rFonts w:hint="eastAsia" w:asciiTheme="minorEastAsia" w:hAnsiTheme="minorEastAsia" w:eastAsiaTheme="minorEastAsia"/>
          <w:sz w:val="28"/>
          <w:szCs w:val="28"/>
          <w:lang w:val="en-US" w:eastAsia="zh-CN"/>
        </w:rPr>
        <w:t>53.52</w:t>
      </w:r>
      <w:r>
        <w:rPr>
          <w:rFonts w:hint="eastAsia" w:asciiTheme="minorEastAsia" w:hAnsiTheme="minorEastAsia" w:eastAsiaTheme="minorEastAsia"/>
          <w:sz w:val="28"/>
          <w:szCs w:val="28"/>
        </w:rPr>
        <w:t>万元，占基本支出的</w:t>
      </w:r>
      <w:r>
        <w:rPr>
          <w:rFonts w:hint="eastAsia" w:asciiTheme="minorEastAsia" w:hAnsiTheme="minorEastAsia" w:eastAsiaTheme="minorEastAsia"/>
          <w:sz w:val="28"/>
          <w:szCs w:val="28"/>
          <w:lang w:val="en-US" w:eastAsia="zh-CN"/>
        </w:rPr>
        <w:t>15.40</w:t>
      </w:r>
      <w:r>
        <w:rPr>
          <w:rFonts w:hint="eastAsia" w:asciiTheme="minorEastAsia" w:hAnsiTheme="minorEastAsia" w:eastAsiaTheme="minorEastAsia"/>
          <w:sz w:val="28"/>
          <w:szCs w:val="28"/>
        </w:rPr>
        <w:t>%，主要包括办公费、印刷费、咨询费、手续费</w:t>
      </w:r>
      <w:r>
        <w:rPr>
          <w:rFonts w:hint="eastAsia" w:asciiTheme="minorEastAsia" w:hAnsiTheme="minorEastAsia" w:eastAsiaTheme="minorEastAsia"/>
          <w:sz w:val="28"/>
          <w:szCs w:val="28"/>
          <w:lang w:eastAsia="zh-CN"/>
        </w:rPr>
        <w:t>差旅费、租赁费、会议费、培训费等</w:t>
      </w:r>
      <w:r>
        <w:rPr>
          <w:rFonts w:hint="eastAsia" w:asciiTheme="minorEastAsia" w:hAnsiTheme="minorEastAsia" w:eastAsiaTheme="minorEastAsia"/>
          <w:sz w:val="28"/>
          <w:szCs w:val="28"/>
        </w:rPr>
        <w:t>。</w:t>
      </w:r>
    </w:p>
    <w:p>
      <w:pPr>
        <w:pStyle w:val="18"/>
        <w:rPr>
          <w:rFonts w:hAnsi="黑体"/>
          <w:b/>
          <w:sz w:val="32"/>
          <w:szCs w:val="32"/>
        </w:rPr>
      </w:pPr>
      <w:r>
        <w:rPr>
          <w:rFonts w:hint="eastAsia" w:hAnsi="黑体"/>
          <w:b/>
          <w:sz w:val="32"/>
          <w:szCs w:val="32"/>
        </w:rPr>
        <w:t>七、一般公共预算财政拨款三公经费支出决算情况说明</w:t>
      </w:r>
    </w:p>
    <w:p>
      <w:pPr>
        <w:pStyle w:val="18"/>
        <w:rPr>
          <w:rFonts w:asciiTheme="minorEastAsia" w:hAnsiTheme="minorEastAsia" w:eastAsiaTheme="minorEastAsia"/>
          <w:b/>
          <w:sz w:val="28"/>
          <w:szCs w:val="28"/>
        </w:rPr>
      </w:pPr>
      <w:r>
        <w:rPr>
          <w:rFonts w:hint="eastAsia" w:asciiTheme="minorEastAsia" w:hAnsiTheme="minorEastAsia" w:eastAsiaTheme="minorEastAsia"/>
          <w:b/>
          <w:sz w:val="28"/>
          <w:szCs w:val="28"/>
        </w:rPr>
        <w:t>（一）“三公”经费财政拨款支出决算总体情况说明</w:t>
      </w:r>
    </w:p>
    <w:p>
      <w:pPr>
        <w:pStyle w:val="18"/>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“三公”经费财政拨款支出预算为</w:t>
      </w:r>
      <w:r>
        <w:rPr>
          <w:rFonts w:hint="eastAsia" w:asciiTheme="minorEastAsia" w:hAnsiTheme="minorEastAsia" w:eastAsiaTheme="minorEastAsia"/>
          <w:sz w:val="28"/>
          <w:szCs w:val="28"/>
          <w:lang w:val="en-US" w:eastAsia="zh-CN"/>
        </w:rPr>
        <w:t>6.50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5.42</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83.38</w:t>
      </w:r>
      <w:r>
        <w:rPr>
          <w:rFonts w:hint="eastAsia" w:asciiTheme="minorEastAsia" w:hAnsiTheme="minorEastAsia" w:eastAsiaTheme="minorEastAsia"/>
          <w:sz w:val="28"/>
          <w:szCs w:val="28"/>
        </w:rPr>
        <w:t>%，其中：</w:t>
      </w:r>
    </w:p>
    <w:p>
      <w:pPr>
        <w:pStyle w:val="18"/>
        <w:ind w:firstLine="700" w:firstLineChars="250"/>
        <w:rPr>
          <w:rFonts w:hint="eastAsia" w:asciiTheme="minorEastAsia" w:hAnsiTheme="minorEastAsia" w:eastAsiaTheme="minorEastAsia"/>
          <w:sz w:val="28"/>
          <w:szCs w:val="28"/>
        </w:rPr>
      </w:pPr>
      <w:r>
        <w:rPr>
          <w:rFonts w:hint="eastAsia" w:asciiTheme="minorEastAsia" w:hAnsiTheme="minorEastAsia" w:eastAsiaTheme="minorEastAsia"/>
          <w:color w:val="auto"/>
          <w:sz w:val="28"/>
          <w:szCs w:val="28"/>
          <w:highlight w:val="none"/>
        </w:rPr>
        <w:t>因公出国（境）费支出预算为0万元，支出决算为0万元，决算数等于预算数的</w:t>
      </w:r>
      <w:r>
        <w:rPr>
          <w:rFonts w:hint="eastAsia" w:asciiTheme="minorEastAsia" w:hAnsiTheme="minorEastAsia" w:eastAsiaTheme="minorEastAsia"/>
          <w:color w:val="auto"/>
          <w:sz w:val="28"/>
          <w:szCs w:val="28"/>
          <w:highlight w:val="none"/>
          <w:lang w:val="en-US" w:eastAsia="zh-CN"/>
        </w:rPr>
        <w:t>原因</w:t>
      </w:r>
      <w:r>
        <w:rPr>
          <w:rFonts w:hint="eastAsia" w:asciiTheme="minorEastAsia" w:hAnsiTheme="minorEastAsia" w:eastAsiaTheme="minorEastAsia"/>
          <w:color w:val="auto"/>
          <w:sz w:val="28"/>
          <w:szCs w:val="28"/>
          <w:highlight w:val="none"/>
        </w:rPr>
        <w:t>主要是疫情影响，今年未安排出国出境</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highlight w:val="none"/>
        </w:rPr>
        <w:t>与上年相比无变化，主要原因是疫情影响，今年及去年均未安排出国出境</w:t>
      </w:r>
      <w:r>
        <w:rPr>
          <w:rFonts w:hint="eastAsia" w:asciiTheme="minorEastAsia" w:hAnsiTheme="minorEastAsia" w:eastAsiaTheme="minorEastAsia"/>
          <w:color w:val="auto"/>
          <w:sz w:val="28"/>
          <w:szCs w:val="28"/>
        </w:rPr>
        <w:t>。</w:t>
      </w:r>
    </w:p>
    <w:p>
      <w:pPr>
        <w:pStyle w:val="18"/>
        <w:ind w:firstLine="700" w:firstLineChars="2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公务接待费支出预算为</w:t>
      </w:r>
      <w:r>
        <w:rPr>
          <w:rFonts w:hint="eastAsia" w:asciiTheme="minorEastAsia" w:hAnsiTheme="minorEastAsia" w:eastAsiaTheme="minorEastAsia"/>
          <w:sz w:val="28"/>
          <w:szCs w:val="28"/>
          <w:lang w:val="en-US" w:eastAsia="zh-CN"/>
        </w:rPr>
        <w:t>2.00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0.92</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46.00</w:t>
      </w:r>
      <w:r>
        <w:rPr>
          <w:rFonts w:hint="eastAsia" w:asciiTheme="minorEastAsia" w:hAnsiTheme="minorEastAsia" w:eastAsiaTheme="minorEastAsia"/>
          <w:sz w:val="28"/>
          <w:szCs w:val="28"/>
        </w:rPr>
        <w:t>%，决算数小于预算数的主要原因是</w:t>
      </w:r>
      <w:r>
        <w:rPr>
          <w:rFonts w:hint="eastAsia" w:asciiTheme="minorEastAsia" w:hAnsiTheme="minorEastAsia" w:eastAsiaTheme="minorEastAsia"/>
          <w:sz w:val="28"/>
          <w:szCs w:val="28"/>
          <w:lang w:eastAsia="zh-CN"/>
        </w:rPr>
        <w:t>受疫情影响，接待支出减少</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压缩了接待支出，</w:t>
      </w:r>
      <w:r>
        <w:rPr>
          <w:rFonts w:hint="eastAsia" w:asciiTheme="minorEastAsia" w:hAnsiTheme="minorEastAsia" w:eastAsiaTheme="minorEastAsia"/>
          <w:sz w:val="28"/>
          <w:szCs w:val="28"/>
        </w:rPr>
        <w:t>与上年</w:t>
      </w:r>
      <w:r>
        <w:rPr>
          <w:rFonts w:hint="eastAsia" w:asciiTheme="minorEastAsia" w:hAnsiTheme="minorEastAsia" w:eastAsiaTheme="minorEastAsia"/>
          <w:sz w:val="28"/>
          <w:szCs w:val="28"/>
          <w:lang w:val="en-US" w:eastAsia="zh-CN"/>
        </w:rPr>
        <w:t>决算数</w:t>
      </w:r>
      <w:r>
        <w:rPr>
          <w:rFonts w:hint="eastAsia" w:asciiTheme="minorEastAsia" w:hAnsiTheme="minorEastAsia" w:eastAsiaTheme="minorEastAsia"/>
          <w:sz w:val="28"/>
          <w:szCs w:val="28"/>
        </w:rPr>
        <w:t>相比</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1.14</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55.34</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w:t>
      </w:r>
      <w:r>
        <w:rPr>
          <w:rFonts w:hint="eastAsia" w:asciiTheme="minorEastAsia" w:hAnsiTheme="minorEastAsia" w:eastAsiaTheme="minorEastAsia"/>
          <w:sz w:val="28"/>
          <w:szCs w:val="28"/>
        </w:rPr>
        <w:t>主要原因是</w:t>
      </w:r>
      <w:r>
        <w:rPr>
          <w:rFonts w:hint="eastAsia" w:asciiTheme="minorEastAsia" w:hAnsiTheme="minorEastAsia" w:eastAsiaTheme="minorEastAsia"/>
          <w:sz w:val="28"/>
          <w:szCs w:val="28"/>
          <w:lang w:eastAsia="zh-CN"/>
        </w:rPr>
        <w:t>受疫情影响，接待支出减少</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压缩了接待支出。</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公务用车购置费及运行维护费支出预算为</w:t>
      </w:r>
      <w:r>
        <w:rPr>
          <w:rFonts w:hint="eastAsia" w:asciiTheme="minorEastAsia" w:hAnsiTheme="minorEastAsia" w:eastAsiaTheme="minorEastAsia"/>
          <w:sz w:val="28"/>
          <w:szCs w:val="28"/>
          <w:lang w:val="en-US" w:eastAsia="zh-CN"/>
        </w:rPr>
        <w:t>4.50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4.50</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预算数等于决算数，主要是我单位严格执行预算。</w:t>
      </w:r>
      <w:r>
        <w:rPr>
          <w:rFonts w:hint="eastAsia" w:asciiTheme="minorEastAsia" w:hAnsiTheme="minorEastAsia" w:eastAsiaTheme="minorEastAsia"/>
          <w:sz w:val="28"/>
          <w:szCs w:val="28"/>
        </w:rPr>
        <w:t>与上年</w:t>
      </w:r>
      <w:r>
        <w:rPr>
          <w:rFonts w:hint="eastAsia" w:asciiTheme="minorEastAsia" w:hAnsiTheme="minorEastAsia" w:eastAsiaTheme="minorEastAsia"/>
          <w:sz w:val="28"/>
          <w:szCs w:val="28"/>
          <w:lang w:val="en-US" w:eastAsia="zh-CN"/>
        </w:rPr>
        <w:t>决算数</w:t>
      </w:r>
      <w:r>
        <w:rPr>
          <w:rFonts w:hint="eastAsia" w:asciiTheme="minorEastAsia" w:hAnsiTheme="minorEastAsia" w:eastAsiaTheme="minorEastAsia"/>
          <w:sz w:val="28"/>
          <w:szCs w:val="28"/>
        </w:rPr>
        <w:t>相比增加</w:t>
      </w:r>
      <w:r>
        <w:rPr>
          <w:rFonts w:hint="eastAsia" w:asciiTheme="minorEastAsia" w:hAnsiTheme="minorEastAsia" w:eastAsiaTheme="minorEastAsia"/>
          <w:sz w:val="28"/>
          <w:szCs w:val="28"/>
          <w:lang w:val="en-US" w:eastAsia="zh-CN"/>
        </w:rPr>
        <w:t>1.26</w:t>
      </w:r>
      <w:r>
        <w:rPr>
          <w:rFonts w:hint="eastAsia" w:asciiTheme="minorEastAsia" w:hAnsiTheme="minorEastAsia" w:eastAsiaTheme="minorEastAsia"/>
          <w:sz w:val="28"/>
          <w:szCs w:val="28"/>
        </w:rPr>
        <w:t>万元，增长</w:t>
      </w:r>
      <w:r>
        <w:rPr>
          <w:rFonts w:hint="eastAsia" w:asciiTheme="minorEastAsia" w:hAnsiTheme="minorEastAsia" w:eastAsiaTheme="minorEastAsia"/>
          <w:sz w:val="28"/>
          <w:szCs w:val="28"/>
          <w:lang w:val="en-US" w:eastAsia="zh-CN"/>
        </w:rPr>
        <w:t>38.89%</w:t>
      </w:r>
      <w:r>
        <w:rPr>
          <w:rFonts w:hint="eastAsia" w:asciiTheme="minorEastAsia" w:hAnsiTheme="minorEastAsia" w:eastAsiaTheme="minorEastAsia"/>
          <w:sz w:val="28"/>
          <w:szCs w:val="28"/>
        </w:rPr>
        <w:t>,增长的主要原因是</w:t>
      </w:r>
      <w:r>
        <w:rPr>
          <w:rFonts w:hint="eastAsia" w:asciiTheme="minorEastAsia" w:hAnsiTheme="minorEastAsia" w:eastAsiaTheme="minorEastAsia"/>
          <w:sz w:val="28"/>
          <w:szCs w:val="28"/>
          <w:lang w:eastAsia="zh-CN"/>
        </w:rPr>
        <w:t>本年承担的项目出差增加，因出差导致的公车运行维护费用增加</w:t>
      </w:r>
      <w:r>
        <w:rPr>
          <w:rFonts w:hint="eastAsia" w:asciiTheme="minorEastAsia" w:hAnsiTheme="minorEastAsia" w:eastAsiaTheme="minorEastAsia"/>
          <w:sz w:val="28"/>
          <w:szCs w:val="28"/>
        </w:rPr>
        <w:t>。</w:t>
      </w:r>
    </w:p>
    <w:p>
      <w:pPr>
        <w:pStyle w:val="18"/>
        <w:rPr>
          <w:rFonts w:asciiTheme="minorEastAsia" w:hAnsiTheme="minorEastAsia" w:eastAsiaTheme="minorEastAsia"/>
          <w:b/>
          <w:sz w:val="28"/>
          <w:szCs w:val="28"/>
        </w:rPr>
      </w:pPr>
      <w:r>
        <w:rPr>
          <w:rFonts w:hint="eastAsia" w:asciiTheme="minorEastAsia" w:hAnsiTheme="minorEastAsia" w:eastAsiaTheme="minorEastAsia"/>
          <w:b/>
          <w:sz w:val="28"/>
          <w:szCs w:val="28"/>
        </w:rPr>
        <w:t>（二）“三公”经费财政拨款支出决算具体情况说明</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度“三公”经费财政拨款支出决算中，公务接待费支出决算</w:t>
      </w:r>
      <w:r>
        <w:rPr>
          <w:rFonts w:hint="eastAsia" w:asciiTheme="minorEastAsia" w:hAnsiTheme="minorEastAsia" w:eastAsiaTheme="minorEastAsia"/>
          <w:sz w:val="28"/>
          <w:szCs w:val="28"/>
          <w:lang w:val="en-US" w:eastAsia="zh-CN"/>
        </w:rPr>
        <w:t>0.92</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16.97</w:t>
      </w:r>
      <w:r>
        <w:rPr>
          <w:rFonts w:hint="eastAsia" w:asciiTheme="minorEastAsia" w:hAnsiTheme="minorEastAsia" w:eastAsiaTheme="minorEastAsia"/>
          <w:sz w:val="28"/>
          <w:szCs w:val="28"/>
        </w:rPr>
        <w:t>%,因公出国（境）费支出决算</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%,公务用车购置费及运行维护费支出决算</w:t>
      </w:r>
      <w:r>
        <w:rPr>
          <w:rFonts w:hint="eastAsia" w:asciiTheme="minorEastAsia" w:hAnsiTheme="minorEastAsia" w:eastAsiaTheme="minorEastAsia"/>
          <w:sz w:val="28"/>
          <w:szCs w:val="28"/>
          <w:lang w:val="en-US" w:eastAsia="zh-CN"/>
        </w:rPr>
        <w:t>4.50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83.03</w:t>
      </w:r>
      <w:r>
        <w:rPr>
          <w:rFonts w:hint="eastAsia" w:asciiTheme="minorEastAsia" w:hAnsiTheme="minorEastAsia" w:eastAsiaTheme="minorEastAsia"/>
          <w:sz w:val="28"/>
          <w:szCs w:val="28"/>
        </w:rPr>
        <w:t>%。其中：</w:t>
      </w:r>
    </w:p>
    <w:p>
      <w:pPr>
        <w:pStyle w:val="18"/>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1、因公出国（境）费支出决算为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万元，全年安排因公出国（境）团组</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个，累计</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人次。</w:t>
      </w:r>
    </w:p>
    <w:p>
      <w:pPr>
        <w:pStyle w:val="18"/>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2、公务接待费支出决算为</w:t>
      </w:r>
      <w:r>
        <w:rPr>
          <w:rFonts w:hint="eastAsia" w:asciiTheme="minorEastAsia" w:hAnsiTheme="minorEastAsia" w:eastAsiaTheme="minorEastAsia"/>
          <w:sz w:val="28"/>
          <w:szCs w:val="28"/>
          <w:lang w:val="en-US" w:eastAsia="zh-CN"/>
        </w:rPr>
        <w:t>0.92</w:t>
      </w:r>
      <w:r>
        <w:rPr>
          <w:rFonts w:hint="eastAsia" w:asciiTheme="minorEastAsia" w:hAnsiTheme="minorEastAsia" w:eastAsiaTheme="minorEastAsia"/>
          <w:sz w:val="28"/>
          <w:szCs w:val="28"/>
        </w:rPr>
        <w:t>万元，全年共接待来访团组</w:t>
      </w:r>
      <w:r>
        <w:rPr>
          <w:rFonts w:hint="eastAsia" w:asciiTheme="minorEastAsia" w:hAnsiTheme="minorEastAsia" w:eastAsiaTheme="minorEastAsia"/>
          <w:sz w:val="28"/>
          <w:szCs w:val="28"/>
          <w:lang w:val="en-US" w:eastAsia="zh-CN"/>
        </w:rPr>
        <w:t>30</w:t>
      </w:r>
      <w:r>
        <w:rPr>
          <w:rFonts w:hint="eastAsia" w:asciiTheme="minorEastAsia" w:hAnsiTheme="minorEastAsia" w:eastAsiaTheme="minorEastAsia"/>
          <w:sz w:val="28"/>
          <w:szCs w:val="28"/>
        </w:rPr>
        <w:t>个、来宾</w:t>
      </w:r>
      <w:r>
        <w:rPr>
          <w:rFonts w:hint="eastAsia" w:asciiTheme="minorEastAsia" w:hAnsiTheme="minorEastAsia" w:eastAsiaTheme="minorEastAsia"/>
          <w:sz w:val="28"/>
          <w:szCs w:val="28"/>
          <w:lang w:val="en-US" w:eastAsia="zh-CN"/>
        </w:rPr>
        <w:t>168</w:t>
      </w:r>
      <w:r>
        <w:rPr>
          <w:rFonts w:hint="eastAsia" w:asciiTheme="minorEastAsia" w:hAnsiTheme="minorEastAsia" w:eastAsiaTheme="minorEastAsia"/>
          <w:sz w:val="28"/>
          <w:szCs w:val="28"/>
        </w:rPr>
        <w:t>人次，主要是地方标准审查专家接待、土壤污染状况实施方案评审接待、耕地调查实施方案专家评审接待、方案论证接待等。</w:t>
      </w:r>
    </w:p>
    <w:p>
      <w:pPr>
        <w:ind w:firstLine="700" w:firstLineChars="250"/>
        <w:rPr>
          <w:rFonts w:cs="黑体" w:asciiTheme="minorEastAsia" w:hAnsiTheme="minorEastAsia"/>
          <w:color w:val="000000"/>
          <w:kern w:val="0"/>
          <w:sz w:val="28"/>
          <w:szCs w:val="28"/>
        </w:rPr>
      </w:pPr>
      <w:r>
        <w:rPr>
          <w:rFonts w:hint="eastAsia" w:asciiTheme="minorEastAsia" w:hAnsiTheme="minorEastAsia"/>
          <w:sz w:val="28"/>
          <w:szCs w:val="28"/>
        </w:rPr>
        <w:t>3、公务用车购置费及运行维护费支出决算为</w:t>
      </w:r>
      <w:r>
        <w:rPr>
          <w:rFonts w:hint="eastAsia" w:asciiTheme="minorEastAsia" w:hAnsiTheme="minorEastAsia"/>
          <w:sz w:val="28"/>
          <w:szCs w:val="28"/>
          <w:lang w:val="en-US" w:eastAsia="zh-CN"/>
        </w:rPr>
        <w:t>4.50</w:t>
      </w:r>
      <w:r>
        <w:rPr>
          <w:rFonts w:hint="eastAsia" w:asciiTheme="minorEastAsia" w:hAnsiTheme="minorEastAsia"/>
          <w:sz w:val="28"/>
          <w:szCs w:val="28"/>
        </w:rPr>
        <w:t>万元，其中：公务用车购置费</w:t>
      </w:r>
      <w:r>
        <w:rPr>
          <w:rFonts w:hint="eastAsia" w:asciiTheme="minorEastAsia" w:hAnsiTheme="minorEastAsia"/>
          <w:sz w:val="28"/>
          <w:szCs w:val="28"/>
          <w:lang w:val="en-US" w:eastAsia="zh-CN"/>
        </w:rPr>
        <w:t>0</w:t>
      </w:r>
      <w:r>
        <w:rPr>
          <w:rFonts w:hint="eastAsia" w:asciiTheme="minorEastAsia" w:hAnsiTheme="minorEastAsia"/>
          <w:sz w:val="28"/>
          <w:szCs w:val="28"/>
        </w:rPr>
        <w:t>万元</w:t>
      </w:r>
      <w:r>
        <w:rPr>
          <w:rFonts w:hint="eastAsia" w:asciiTheme="minorEastAsia" w:hAnsiTheme="minorEastAsia"/>
          <w:color w:val="000000" w:themeColor="text1"/>
          <w:sz w:val="28"/>
          <w:szCs w:val="28"/>
          <w:lang w:eastAsia="zh-CN"/>
          <w14:textFill>
            <w14:solidFill>
              <w14:schemeClr w14:val="tx1"/>
            </w14:solidFill>
          </w14:textFill>
        </w:rPr>
        <w:t>，</w:t>
      </w:r>
      <w:r>
        <w:rPr>
          <w:rFonts w:hint="eastAsia" w:asciiTheme="minorEastAsia" w:hAnsiTheme="minorEastAsia"/>
          <w:color w:val="000000" w:themeColor="text1"/>
          <w:sz w:val="28"/>
          <w:szCs w:val="28"/>
          <w:lang w:val="en-US" w:eastAsia="zh-CN"/>
          <w14:textFill>
            <w14:solidFill>
              <w14:schemeClr w14:val="tx1"/>
            </w14:solidFill>
          </w14:textFill>
        </w:rPr>
        <w:t>本单位未更新公务用车；</w:t>
      </w:r>
      <w:r>
        <w:rPr>
          <w:rFonts w:hint="eastAsia" w:asciiTheme="minorEastAsia" w:hAnsiTheme="minorEastAsia"/>
          <w:sz w:val="28"/>
          <w:szCs w:val="28"/>
        </w:rPr>
        <w:t>公务用车运行维护费</w:t>
      </w:r>
      <w:r>
        <w:rPr>
          <w:rFonts w:hint="eastAsia" w:asciiTheme="minorEastAsia" w:hAnsiTheme="minorEastAsia"/>
          <w:sz w:val="28"/>
          <w:szCs w:val="28"/>
          <w:lang w:val="en-US" w:eastAsia="zh-CN"/>
        </w:rPr>
        <w:t>4.50</w:t>
      </w:r>
      <w:r>
        <w:rPr>
          <w:rFonts w:hint="eastAsia" w:asciiTheme="minorEastAsia" w:hAnsiTheme="minorEastAsia"/>
          <w:sz w:val="28"/>
          <w:szCs w:val="28"/>
        </w:rPr>
        <w:t>万元，主要是</w:t>
      </w:r>
      <w:r>
        <w:rPr>
          <w:rFonts w:hint="eastAsia" w:asciiTheme="minorEastAsia" w:hAnsiTheme="minorEastAsia"/>
          <w:sz w:val="28"/>
          <w:szCs w:val="28"/>
          <w:lang w:eastAsia="zh-CN"/>
        </w:rPr>
        <w:t>车辆燃料、保险、维修等</w:t>
      </w:r>
      <w:r>
        <w:rPr>
          <w:rFonts w:hint="eastAsia" w:asciiTheme="minorEastAsia" w:hAnsiTheme="minorEastAsia"/>
          <w:sz w:val="28"/>
          <w:szCs w:val="28"/>
        </w:rPr>
        <w:t>支出</w:t>
      </w:r>
      <w:r>
        <w:rPr>
          <w:rFonts w:hint="eastAsia" w:asciiTheme="minorEastAsia" w:hAnsiTheme="minorEastAsia"/>
          <w:sz w:val="28"/>
          <w:szCs w:val="28"/>
          <w:lang w:eastAsia="zh-CN"/>
        </w:rPr>
        <w:t>。</w:t>
      </w:r>
      <w:r>
        <w:rPr>
          <w:rFonts w:hint="eastAsia" w:asciiTheme="minorEastAsia" w:hAnsiTheme="minorEastAsia"/>
          <w:sz w:val="28"/>
          <w:szCs w:val="28"/>
        </w:rPr>
        <w:t>截止</w:t>
      </w:r>
      <w:r>
        <w:rPr>
          <w:rFonts w:hint="eastAsia" w:asciiTheme="minorEastAsia" w:hAnsiTheme="minorEastAsia"/>
          <w:sz w:val="28"/>
          <w:szCs w:val="28"/>
          <w:lang w:eastAsia="zh-CN"/>
        </w:rPr>
        <w:t>2021年</w:t>
      </w:r>
      <w:r>
        <w:rPr>
          <w:rFonts w:hint="eastAsia" w:asciiTheme="minorEastAsia" w:hAnsiTheme="minorEastAsia"/>
          <w:sz w:val="28"/>
          <w:szCs w:val="28"/>
        </w:rPr>
        <w:t>12月31日，我单位开支财政拨款的公务用车保有量为</w:t>
      </w:r>
      <w:r>
        <w:rPr>
          <w:rFonts w:hint="eastAsia" w:asciiTheme="minorEastAsia" w:hAnsiTheme="minorEastAsia"/>
          <w:sz w:val="28"/>
          <w:szCs w:val="28"/>
          <w:lang w:val="en-US" w:eastAsia="zh-CN"/>
        </w:rPr>
        <w:t>1</w:t>
      </w:r>
      <w:r>
        <w:rPr>
          <w:rFonts w:hint="eastAsia" w:asciiTheme="minorEastAsia" w:hAnsiTheme="minorEastAsia"/>
          <w:sz w:val="28"/>
          <w:szCs w:val="28"/>
        </w:rPr>
        <w:t>辆。</w:t>
      </w:r>
    </w:p>
    <w:p>
      <w:pPr>
        <w:pStyle w:val="18"/>
        <w:rPr>
          <w:rFonts w:hAnsi="黑体"/>
          <w:b/>
          <w:sz w:val="32"/>
          <w:szCs w:val="32"/>
        </w:rPr>
      </w:pPr>
      <w:r>
        <w:rPr>
          <w:rFonts w:hint="eastAsia" w:hAnsi="黑体"/>
          <w:b/>
          <w:sz w:val="32"/>
          <w:szCs w:val="32"/>
        </w:rPr>
        <w:t>八、政府性基金预算收入支出决算情况</w:t>
      </w:r>
    </w:p>
    <w:p>
      <w:pPr>
        <w:pStyle w:val="18"/>
        <w:rPr>
          <w:rFonts w:hint="eastAsia" w:asciiTheme="minorEastAsia" w:hAnsiTheme="minorEastAsia" w:eastAsiaTheme="minorEastAsia" w:cstheme="minorBidi"/>
          <w:color w:val="auto"/>
          <w:kern w:val="2"/>
          <w:sz w:val="32"/>
          <w:szCs w:val="32"/>
          <w:lang w:val="en-US" w:eastAsia="zh-CN" w:bidi="ar-SA"/>
        </w:rPr>
      </w:pPr>
      <w:r>
        <w:rPr>
          <w:rFonts w:hint="eastAsia" w:asciiTheme="minorEastAsia" w:hAnsiTheme="minorEastAsia" w:eastAsiaTheme="minorEastAsia"/>
          <w:sz w:val="32"/>
          <w:szCs w:val="32"/>
        </w:rPr>
        <w:t xml:space="preserve">    </w:t>
      </w:r>
      <w:r>
        <w:rPr>
          <w:rFonts w:hint="eastAsia" w:asciiTheme="minorEastAsia" w:hAnsiTheme="minorEastAsia" w:eastAsiaTheme="minorEastAsia" w:cstheme="minorBidi"/>
          <w:color w:val="auto"/>
          <w:kern w:val="2"/>
          <w:sz w:val="28"/>
          <w:szCs w:val="28"/>
          <w:lang w:val="en-US" w:eastAsia="zh-CN" w:bidi="ar-SA"/>
        </w:rPr>
        <w:t xml:space="preserve"> 本单位无政府性基金收支。</w:t>
      </w:r>
    </w:p>
    <w:p>
      <w:pPr>
        <w:pStyle w:val="18"/>
        <w:rPr>
          <w:rFonts w:hAnsi="黑体"/>
          <w:b/>
          <w:sz w:val="32"/>
          <w:szCs w:val="32"/>
        </w:rPr>
      </w:pPr>
      <w:r>
        <w:rPr>
          <w:rFonts w:hint="eastAsia" w:hAnsi="黑体"/>
          <w:b/>
          <w:sz w:val="32"/>
          <w:szCs w:val="32"/>
        </w:rPr>
        <w:t>九、关于机关运行经费支出说明</w:t>
      </w:r>
    </w:p>
    <w:p>
      <w:pPr>
        <w:pStyle w:val="18"/>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rPr>
        <w:t>本部门</w:t>
      </w: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度机关运行经费支出</w:t>
      </w:r>
      <w:r>
        <w:rPr>
          <w:rFonts w:hint="eastAsia" w:asciiTheme="minorEastAsia" w:hAnsiTheme="minorEastAsia" w:eastAsiaTheme="minorEastAsia"/>
          <w:sz w:val="28"/>
          <w:szCs w:val="28"/>
          <w:lang w:val="en-US" w:eastAsia="zh-CN"/>
        </w:rPr>
        <w:t>53.52</w:t>
      </w:r>
      <w:r>
        <w:rPr>
          <w:rFonts w:hint="eastAsia" w:asciiTheme="minorEastAsia" w:hAnsiTheme="minorEastAsia" w:eastAsiaTheme="minorEastAsia"/>
          <w:sz w:val="28"/>
          <w:szCs w:val="28"/>
        </w:rPr>
        <w:t>万元，比</w:t>
      </w:r>
      <w:r>
        <w:rPr>
          <w:rFonts w:hint="eastAsia" w:asciiTheme="minorEastAsia" w:hAnsiTheme="minorEastAsia" w:eastAsiaTheme="minorEastAsia"/>
          <w:sz w:val="28"/>
          <w:szCs w:val="28"/>
          <w:lang w:eastAsia="zh-CN"/>
        </w:rPr>
        <w:t>本年预算数</w:t>
      </w:r>
      <w:r>
        <w:rPr>
          <w:rFonts w:hint="eastAsia" w:asciiTheme="minorEastAsia" w:hAnsiTheme="minorEastAsia" w:eastAsiaTheme="minorEastAsia"/>
          <w:sz w:val="28"/>
          <w:szCs w:val="28"/>
        </w:rPr>
        <w:t>减少</w:t>
      </w:r>
      <w:r>
        <w:rPr>
          <w:rFonts w:hint="eastAsia" w:asciiTheme="minorEastAsia" w:hAnsiTheme="minorEastAsia" w:eastAsiaTheme="minorEastAsia"/>
          <w:sz w:val="28"/>
          <w:szCs w:val="28"/>
          <w:lang w:val="en-US" w:eastAsia="zh-CN"/>
        </w:rPr>
        <w:t>1.08</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eastAsia="zh-CN"/>
        </w:rPr>
        <w:t>减少</w:t>
      </w:r>
      <w:r>
        <w:rPr>
          <w:rFonts w:hint="eastAsia" w:asciiTheme="minorEastAsia" w:hAnsiTheme="minorEastAsia" w:eastAsiaTheme="minorEastAsia"/>
          <w:sz w:val="28"/>
          <w:szCs w:val="28"/>
          <w:lang w:val="en-US" w:eastAsia="zh-CN"/>
        </w:rPr>
        <w:t>1.98</w:t>
      </w:r>
      <w:r>
        <w:rPr>
          <w:rFonts w:hint="eastAsia" w:asciiTheme="minorEastAsia" w:hAnsiTheme="minorEastAsia" w:eastAsiaTheme="minorEastAsia"/>
          <w:sz w:val="28"/>
          <w:szCs w:val="28"/>
        </w:rPr>
        <w:t>%。主要原因是：认真贯彻落实中央及省委省政府的树立过“紧日子”的思想要求，压减政府一般性支出。</w:t>
      </w:r>
    </w:p>
    <w:p>
      <w:pPr>
        <w:pStyle w:val="18"/>
        <w:numPr>
          <w:ilvl w:val="0"/>
          <w:numId w:val="3"/>
        </w:numPr>
        <w:ind w:left="640" w:hanging="640" w:hangingChars="200"/>
        <w:rPr>
          <w:rFonts w:hint="eastAsia" w:asciiTheme="minorEastAsia" w:hAnsiTheme="minorEastAsia" w:eastAsiaTheme="minorEastAsia"/>
          <w:sz w:val="32"/>
          <w:szCs w:val="32"/>
        </w:rPr>
      </w:pPr>
      <w:r>
        <w:rPr>
          <w:rFonts w:hint="eastAsia" w:hAnsi="黑体"/>
          <w:b/>
          <w:sz w:val="32"/>
          <w:szCs w:val="32"/>
        </w:rPr>
        <w:t>一般性支出情况</w:t>
      </w:r>
    </w:p>
    <w:p>
      <w:pPr>
        <w:pStyle w:val="18"/>
        <w:numPr>
          <w:ilvl w:val="0"/>
          <w:numId w:val="0"/>
        </w:numPr>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本单位2021年开支会议费</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万元，用于召开农村面源污染监测试点片区建设现场会、农村环境整治项目入库评审会、面源污染现状评估会、样品制备流转论证会、土壤污染防治项目实施方案评审会，人数为111人，会议内容为农村面源污染监测试点片区建设经验交流、对农村环境整治项目储备库入库进行评审、对湘江流域和洞庭湖区面源污染现状进行评估、对样品制备流转中心建设项目进行论证以及对土壤污染防治相关项目的实施方案进行评审等。</w:t>
      </w:r>
      <w:r>
        <w:rPr>
          <w:rFonts w:hint="eastAsia" w:asciiTheme="minorEastAsia" w:hAnsiTheme="minorEastAsia" w:eastAsiaTheme="minorEastAsia"/>
          <w:sz w:val="28"/>
          <w:szCs w:val="28"/>
        </w:rPr>
        <w:br w:type="textWrapping"/>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本单位2021年开支培训费</w:t>
      </w:r>
      <w:r>
        <w:rPr>
          <w:rFonts w:hint="eastAsia" w:asciiTheme="minorEastAsia" w:hAnsiTheme="minorEastAsia" w:eastAsiaTheme="minorEastAsia"/>
          <w:sz w:val="28"/>
          <w:szCs w:val="28"/>
          <w:lang w:val="en-US" w:eastAsia="zh-CN"/>
        </w:rPr>
        <w:t>0.6</w:t>
      </w:r>
      <w:r>
        <w:rPr>
          <w:rFonts w:hint="eastAsia" w:asciiTheme="minorEastAsia" w:hAnsiTheme="minorEastAsia" w:eastAsiaTheme="minorEastAsia"/>
          <w:sz w:val="28"/>
          <w:szCs w:val="28"/>
        </w:rPr>
        <w:t>万元，用于中南镉砷污染农田综合防治示范课题技术推广培训、湖南省耕地土壤与农产品重金属污染加密调查检测技术培训，人数61人。</w:t>
      </w:r>
    </w:p>
    <w:p>
      <w:pPr>
        <w:keepNext w:val="0"/>
        <w:keepLines w:val="0"/>
        <w:pageBreakBefore w:val="0"/>
        <w:kinsoku/>
        <w:wordWrap/>
        <w:overflowPunct/>
        <w:topLinePunct w:val="0"/>
        <w:bidi w:val="0"/>
        <w:snapToGrid/>
        <w:spacing w:line="360" w:lineRule="auto"/>
        <w:ind w:firstLine="560" w:firstLineChars="200"/>
        <w:textAlignment w:val="auto"/>
        <w:rPr>
          <w:rFonts w:hint="eastAsia" w:ascii="宋体" w:hAnsi="宋体" w:eastAsia="宋体" w:cs="宋体"/>
          <w:i w:val="0"/>
          <w:iCs w:val="0"/>
          <w:caps w:val="0"/>
          <w:color w:val="000000"/>
          <w:spacing w:val="0"/>
          <w:kern w:val="0"/>
          <w:sz w:val="28"/>
          <w:szCs w:val="28"/>
          <w:shd w:val="clear" w:fill="FFFFFF"/>
          <w:lang w:val="en-US" w:eastAsia="zh-CN" w:bidi="ar"/>
        </w:rPr>
      </w:pPr>
      <w:r>
        <w:rPr>
          <w:rFonts w:hint="eastAsia" w:ascii="宋体" w:hAnsi="宋体" w:eastAsia="宋体" w:cs="宋体"/>
          <w:i w:val="0"/>
          <w:iCs w:val="0"/>
          <w:caps w:val="0"/>
          <w:color w:val="000000"/>
          <w:spacing w:val="0"/>
          <w:kern w:val="0"/>
          <w:sz w:val="28"/>
          <w:szCs w:val="28"/>
          <w:shd w:val="clear" w:fill="FFFFFF"/>
          <w:lang w:val="en-US" w:eastAsia="zh-CN" w:bidi="ar"/>
        </w:rPr>
        <w:t>2021年度本部门未举办节庆、晚会、论坛、赛事等活动。</w:t>
      </w:r>
    </w:p>
    <w:p>
      <w:pPr>
        <w:pStyle w:val="18"/>
        <w:numPr>
          <w:ilvl w:val="0"/>
          <w:numId w:val="0"/>
        </w:numPr>
        <w:ind w:firstLine="640" w:firstLineChars="200"/>
        <w:rPr>
          <w:rFonts w:hint="eastAsia" w:asciiTheme="minorEastAsia" w:hAnsiTheme="minorEastAsia" w:eastAsiaTheme="minorEastAsia"/>
          <w:sz w:val="32"/>
          <w:szCs w:val="32"/>
        </w:rPr>
      </w:pPr>
    </w:p>
    <w:p>
      <w:pPr>
        <w:pStyle w:val="18"/>
        <w:numPr>
          <w:ilvl w:val="0"/>
          <w:numId w:val="0"/>
        </w:numPr>
        <w:ind w:leftChars="-200"/>
        <w:rPr>
          <w:rFonts w:hAnsi="黑体"/>
          <w:b/>
          <w:sz w:val="32"/>
          <w:szCs w:val="32"/>
        </w:rPr>
      </w:pPr>
      <w:r>
        <w:rPr>
          <w:rFonts w:hint="eastAsia" w:hAnsi="黑体"/>
          <w:b/>
          <w:sz w:val="32"/>
          <w:szCs w:val="32"/>
        </w:rPr>
        <w:t>十一、关于政府采购支出说明</w:t>
      </w:r>
    </w:p>
    <w:p>
      <w:pPr>
        <w:pStyle w:val="18"/>
        <w:ind w:firstLine="560" w:firstLineChars="200"/>
        <w:rPr>
          <w:rFonts w:asciiTheme="minorEastAsia" w:hAnsiTheme="minorEastAsia" w:eastAsiaTheme="minorEastAsia"/>
          <w:sz w:val="32"/>
          <w:szCs w:val="32"/>
        </w:rPr>
      </w:pPr>
      <w:r>
        <w:rPr>
          <w:rFonts w:hint="eastAsia" w:asciiTheme="minorEastAsia" w:hAnsiTheme="minorEastAsia" w:eastAsiaTheme="minorEastAsia"/>
          <w:sz w:val="28"/>
          <w:szCs w:val="28"/>
        </w:rPr>
        <w:t>本部门</w:t>
      </w: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度政府采购支出总额</w:t>
      </w:r>
      <w:r>
        <w:rPr>
          <w:rFonts w:hint="eastAsia" w:asciiTheme="minorEastAsia" w:hAnsiTheme="minorEastAsia" w:eastAsiaTheme="minorEastAsia"/>
          <w:sz w:val="28"/>
          <w:szCs w:val="28"/>
          <w:lang w:val="en-US" w:eastAsia="zh-CN"/>
        </w:rPr>
        <w:t>3686.62</w:t>
      </w:r>
      <w:r>
        <w:rPr>
          <w:rFonts w:hint="eastAsia" w:asciiTheme="minorEastAsia" w:hAnsiTheme="minorEastAsia" w:eastAsiaTheme="minorEastAsia"/>
          <w:sz w:val="28"/>
          <w:szCs w:val="28"/>
        </w:rPr>
        <w:t>万元，其中：政府采购货物支出</w:t>
      </w:r>
      <w:r>
        <w:rPr>
          <w:rFonts w:hint="eastAsia" w:asciiTheme="minorEastAsia" w:hAnsiTheme="minorEastAsia" w:eastAsiaTheme="minorEastAsia"/>
          <w:sz w:val="28"/>
          <w:szCs w:val="28"/>
          <w:lang w:val="en-US" w:eastAsia="zh-CN"/>
        </w:rPr>
        <w:t>1210.54</w:t>
      </w:r>
      <w:r>
        <w:rPr>
          <w:rFonts w:hint="eastAsia" w:asciiTheme="minorEastAsia" w:hAnsiTheme="minorEastAsia" w:eastAsiaTheme="minorEastAsia"/>
          <w:sz w:val="28"/>
          <w:szCs w:val="28"/>
        </w:rPr>
        <w:t>万元、政府采购工程支出</w:t>
      </w:r>
      <w:r>
        <w:rPr>
          <w:rFonts w:hint="eastAsia" w:asciiTheme="minorEastAsia" w:hAnsiTheme="minorEastAsia" w:eastAsiaTheme="minorEastAsia"/>
          <w:sz w:val="28"/>
          <w:szCs w:val="28"/>
          <w:lang w:val="en-US" w:eastAsia="zh-CN"/>
        </w:rPr>
        <w:t>36.32</w:t>
      </w:r>
      <w:r>
        <w:rPr>
          <w:rFonts w:hint="eastAsia" w:asciiTheme="minorEastAsia" w:hAnsiTheme="minorEastAsia" w:eastAsiaTheme="minorEastAsia"/>
          <w:sz w:val="28"/>
          <w:szCs w:val="28"/>
        </w:rPr>
        <w:t>万元、政府采购服务支出</w:t>
      </w:r>
      <w:r>
        <w:rPr>
          <w:rFonts w:hint="eastAsia" w:asciiTheme="minorEastAsia" w:hAnsiTheme="minorEastAsia" w:eastAsiaTheme="minorEastAsia"/>
          <w:sz w:val="28"/>
          <w:szCs w:val="28"/>
          <w:lang w:val="en-US" w:eastAsia="zh-CN"/>
        </w:rPr>
        <w:t>2439.76</w:t>
      </w:r>
      <w:r>
        <w:rPr>
          <w:rFonts w:hint="eastAsia" w:asciiTheme="minorEastAsia" w:hAnsiTheme="minorEastAsia" w:eastAsiaTheme="minorEastAsia"/>
          <w:sz w:val="28"/>
          <w:szCs w:val="28"/>
        </w:rPr>
        <w:t>万元。授予中小企业合同金额</w:t>
      </w:r>
      <w:r>
        <w:rPr>
          <w:rFonts w:hint="eastAsia" w:asciiTheme="minorEastAsia" w:hAnsiTheme="minorEastAsia" w:eastAsiaTheme="minorEastAsia"/>
          <w:sz w:val="28"/>
          <w:szCs w:val="28"/>
          <w:lang w:val="en-US" w:eastAsia="zh-CN"/>
        </w:rPr>
        <w:t>3686.62</w:t>
      </w:r>
      <w:r>
        <w:rPr>
          <w:rFonts w:hint="eastAsia" w:asciiTheme="minorEastAsia" w:hAnsiTheme="minorEastAsia" w:eastAsiaTheme="minorEastAsia"/>
          <w:sz w:val="28"/>
          <w:szCs w:val="28"/>
        </w:rPr>
        <w:t>万元，占政府采购支出总额的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%，其中：授予小微企业合同金额</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万元，占政府采购支出总额的</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p>
    <w:p>
      <w:pPr>
        <w:pStyle w:val="18"/>
        <w:rPr>
          <w:rFonts w:hAnsi="黑体"/>
          <w:b/>
          <w:sz w:val="32"/>
          <w:szCs w:val="32"/>
        </w:rPr>
      </w:pPr>
      <w:r>
        <w:rPr>
          <w:rFonts w:hint="eastAsia" w:hAnsi="黑体"/>
          <w:b/>
          <w:sz w:val="32"/>
          <w:szCs w:val="32"/>
        </w:rPr>
        <w:t>十二、关于国有资产占用情况说明</w:t>
      </w:r>
    </w:p>
    <w:p>
      <w:pPr>
        <w:pStyle w:val="18"/>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截至</w:t>
      </w:r>
      <w:r>
        <w:rPr>
          <w:rFonts w:hint="eastAsia" w:asciiTheme="minorEastAsia" w:hAnsiTheme="minorEastAsia" w:eastAsiaTheme="minorEastAsia"/>
          <w:sz w:val="28"/>
          <w:szCs w:val="28"/>
          <w:lang w:eastAsia="zh-CN"/>
        </w:rPr>
        <w:t>2021年</w:t>
      </w:r>
      <w:r>
        <w:rPr>
          <w:rFonts w:hint="eastAsia" w:asciiTheme="minorEastAsia" w:hAnsiTheme="minorEastAsia" w:eastAsiaTheme="minorEastAsia"/>
          <w:sz w:val="28"/>
          <w:szCs w:val="28"/>
        </w:rPr>
        <w:t>12月31日，本单位共有车辆</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辆，</w:t>
      </w:r>
      <w:r>
        <w:rPr>
          <w:rFonts w:hint="eastAsia" w:ascii="宋体" w:hAnsi="宋体" w:eastAsia="宋体" w:cs="宋体"/>
          <w:kern w:val="0"/>
          <w:sz w:val="28"/>
          <w:szCs w:val="28"/>
          <w:lang w:val="en-US" w:eastAsia="zh-CN"/>
        </w:rPr>
        <w:t>其中：</w:t>
      </w:r>
      <w:r>
        <w:rPr>
          <w:rFonts w:hint="eastAsia" w:ascii="宋体" w:hAnsi="宋体" w:eastAsia="宋体" w:cs="宋体"/>
          <w:kern w:val="0"/>
          <w:sz w:val="28"/>
          <w:szCs w:val="28"/>
        </w:rPr>
        <w:t>领导干部用车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辆、一般公务用车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辆、一般执法执勤用车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辆、特种专业技术用车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 xml:space="preserve"> 辆、</w:t>
      </w:r>
      <w:r>
        <w:rPr>
          <w:rFonts w:hint="eastAsia" w:asciiTheme="minorEastAsia" w:hAnsiTheme="minorEastAsia" w:eastAsiaTheme="minorEastAsia"/>
          <w:sz w:val="28"/>
          <w:szCs w:val="28"/>
        </w:rPr>
        <w:t>其他用车</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辆，其他用车主要是</w:t>
      </w:r>
      <w:r>
        <w:rPr>
          <w:rFonts w:hint="eastAsia" w:asciiTheme="minorEastAsia" w:hAnsiTheme="minorEastAsia" w:eastAsiaTheme="minorEastAsia"/>
          <w:sz w:val="28"/>
          <w:szCs w:val="28"/>
          <w:lang w:eastAsia="zh-CN"/>
        </w:rPr>
        <w:t>到省内相关市县开展专业业务活动</w:t>
      </w:r>
      <w:r>
        <w:rPr>
          <w:rFonts w:hint="eastAsia" w:asciiTheme="minorEastAsia" w:hAnsiTheme="minorEastAsia" w:eastAsiaTheme="minorEastAsia"/>
          <w:sz w:val="28"/>
          <w:szCs w:val="28"/>
        </w:rPr>
        <w:t>；单位价值50万元以上通用设备</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台（套）；单位价值100万元以上专用设备</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台（套）。</w:t>
      </w:r>
    </w:p>
    <w:p>
      <w:pPr>
        <w:pStyle w:val="18"/>
        <w:rPr>
          <w:rFonts w:hAnsi="黑体"/>
          <w:b/>
          <w:sz w:val="32"/>
          <w:szCs w:val="32"/>
        </w:rPr>
      </w:pPr>
      <w:r>
        <w:rPr>
          <w:rFonts w:hint="eastAsia" w:hAnsi="黑体"/>
          <w:b/>
          <w:sz w:val="32"/>
          <w:szCs w:val="32"/>
        </w:rPr>
        <w:t>十三、关于</w:t>
      </w:r>
      <w:r>
        <w:rPr>
          <w:rFonts w:hint="eastAsia" w:hAnsi="黑体"/>
          <w:b/>
          <w:sz w:val="32"/>
          <w:szCs w:val="32"/>
          <w:lang w:eastAsia="zh-CN"/>
        </w:rPr>
        <w:t>2021年</w:t>
      </w:r>
      <w:r>
        <w:rPr>
          <w:rFonts w:hint="eastAsia" w:hAnsi="黑体"/>
          <w:b/>
          <w:sz w:val="32"/>
          <w:szCs w:val="32"/>
        </w:rPr>
        <w:t>度预算绩效情况的说明</w:t>
      </w:r>
    </w:p>
    <w:p>
      <w:pPr>
        <w:pStyle w:val="18"/>
        <w:ind w:firstLine="560" w:firstLineChars="200"/>
        <w:jc w:val="left"/>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为进一步规范财政资金管理，强化绩效和责任意识，切实提高财政资金使用效益，</w:t>
      </w:r>
      <w:r>
        <w:rPr>
          <w:rFonts w:hint="eastAsia" w:cs="黑体" w:asciiTheme="minorEastAsia" w:hAnsiTheme="minorEastAsia" w:eastAsiaTheme="minorEastAsia"/>
          <w:i w:val="0"/>
          <w:iCs w:val="0"/>
          <w:caps w:val="0"/>
          <w:color w:val="000000"/>
          <w:spacing w:val="0"/>
          <w:sz w:val="28"/>
          <w:szCs w:val="28"/>
          <w:shd w:val="clear" w:fill="auto"/>
          <w:lang w:val="en-US" w:eastAsia="zh-CN"/>
        </w:rPr>
        <w:t>我部门组织对2021年部门整体支出进行绩效自评，涉及财政资金</w:t>
      </w:r>
      <w:r>
        <w:rPr>
          <w:rFonts w:hint="eastAsia" w:asciiTheme="minorEastAsia" w:hAnsiTheme="minorEastAsia" w:eastAsiaTheme="minorEastAsia"/>
          <w:sz w:val="28"/>
          <w:szCs w:val="28"/>
          <w:lang w:val="en-US" w:eastAsia="zh-CN"/>
        </w:rPr>
        <w:t>6043.33</w:t>
      </w:r>
      <w:r>
        <w:rPr>
          <w:rFonts w:hint="eastAsia" w:cs="黑体" w:asciiTheme="minorEastAsia" w:hAnsiTheme="minorEastAsia" w:eastAsiaTheme="minorEastAsia"/>
          <w:i w:val="0"/>
          <w:iCs w:val="0"/>
          <w:caps w:val="0"/>
          <w:color w:val="000000"/>
          <w:spacing w:val="0"/>
          <w:sz w:val="28"/>
          <w:szCs w:val="28"/>
          <w:shd w:val="clear" w:fill="auto"/>
          <w:lang w:val="en-US" w:eastAsia="zh-CN"/>
        </w:rPr>
        <w:t>万元，其中：基本支出</w:t>
      </w:r>
      <w:r>
        <w:rPr>
          <w:rFonts w:hint="eastAsia" w:cs="黑体" w:asciiTheme="minorEastAsia" w:hAnsiTheme="minorEastAsia" w:eastAsiaTheme="minorEastAsia"/>
          <w:color w:val="000000"/>
          <w:kern w:val="0"/>
          <w:sz w:val="28"/>
          <w:szCs w:val="28"/>
          <w:lang w:val="en-US" w:eastAsia="zh-CN"/>
        </w:rPr>
        <w:t xml:space="preserve"> 347.58</w:t>
      </w:r>
      <w:r>
        <w:rPr>
          <w:rFonts w:hint="eastAsia" w:cs="黑体" w:asciiTheme="minorEastAsia" w:hAnsiTheme="minorEastAsia" w:eastAsiaTheme="minorEastAsia"/>
          <w:i w:val="0"/>
          <w:iCs w:val="0"/>
          <w:caps w:val="0"/>
          <w:color w:val="000000"/>
          <w:spacing w:val="0"/>
          <w:sz w:val="28"/>
          <w:szCs w:val="28"/>
          <w:shd w:val="clear" w:fill="auto"/>
          <w:lang w:val="en-US" w:eastAsia="zh-CN"/>
        </w:rPr>
        <w:t>万元，项目支出5695.76万元。从评价结果看，资金使用效益较好，</w:t>
      </w:r>
      <w:r>
        <w:rPr>
          <w:rFonts w:hint="eastAsia" w:cs="黑体" w:asciiTheme="minorEastAsia" w:hAnsiTheme="minorEastAsia" w:eastAsiaTheme="minorEastAsia"/>
          <w:i w:val="0"/>
          <w:iCs w:val="0"/>
          <w:caps w:val="0"/>
          <w:color w:val="000000"/>
          <w:spacing w:val="0"/>
          <w:sz w:val="28"/>
          <w:szCs w:val="28"/>
          <w:shd w:val="clear" w:fill="auto"/>
        </w:rPr>
        <w:t>达到了预期绩效目标。</w:t>
      </w:r>
      <w:bookmarkStart w:id="5" w:name="_GoBack"/>
      <w:bookmarkEnd w:id="5"/>
    </w:p>
    <w:p>
      <w:pPr>
        <w:pStyle w:val="18"/>
        <w:keepNext w:val="0"/>
        <w:keepLines w:val="0"/>
        <w:pageBreakBefore w:val="0"/>
        <w:widowControl/>
        <w:kinsoku/>
        <w:wordWrap/>
        <w:overflowPunct/>
        <w:topLinePunct w:val="0"/>
        <w:bidi w:val="0"/>
        <w:spacing w:line="240" w:lineRule="auto"/>
        <w:ind w:firstLine="560" w:firstLineChars="200"/>
        <w:textAlignment w:val="auto"/>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本部门预算绩效管理开展情况、绩效目标和绩效评价报告</w:t>
      </w:r>
      <w:r>
        <w:rPr>
          <w:rFonts w:hint="eastAsia" w:cs="黑体" w:asciiTheme="minorEastAsia" w:hAnsiTheme="minorEastAsia" w:eastAsiaTheme="minorEastAsia"/>
          <w:sz w:val="28"/>
          <w:szCs w:val="28"/>
          <w:lang w:eastAsia="zh-CN"/>
        </w:rPr>
        <w:t>等详见附件。</w:t>
      </w:r>
    </w:p>
    <w:p>
      <w:pPr>
        <w:pStyle w:val="18"/>
        <w:jc w:val="both"/>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pStyle w:val="18"/>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8"/>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left"/>
        <w:rPr>
          <w:rFonts w:hint="default"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附件1</w:t>
      </w:r>
    </w:p>
    <w:p>
      <w:pPr>
        <w:jc w:val="center"/>
        <w:rPr>
          <w:rFonts w:hint="eastAsia" w:ascii="方正小标宋_GBK" w:eastAsia="方正小标宋_GBK"/>
          <w:sz w:val="48"/>
          <w:szCs w:val="48"/>
        </w:rPr>
      </w:pPr>
      <w:r>
        <w:rPr>
          <w:rFonts w:hint="eastAsia" w:ascii="方正小标宋_GBK" w:eastAsia="方正小标宋_GBK"/>
          <w:sz w:val="48"/>
          <w:szCs w:val="48"/>
          <w:lang w:val="en-US" w:eastAsia="zh-CN"/>
        </w:rPr>
        <w:t>2021</w:t>
      </w:r>
      <w:r>
        <w:rPr>
          <w:rFonts w:hint="eastAsia" w:ascii="方正小标宋_GBK" w:eastAsia="方正小标宋_GBK"/>
          <w:sz w:val="48"/>
          <w:szCs w:val="48"/>
        </w:rPr>
        <w:t>年度部门整体支出绩效自评报告</w:t>
      </w:r>
    </w:p>
    <w:p>
      <w:pPr>
        <w:jc w:val="center"/>
        <w:rPr>
          <w:rFonts w:hint="eastAsia" w:ascii="黑体" w:eastAsia="黑体"/>
          <w:sz w:val="32"/>
          <w:szCs w:val="32"/>
        </w:rPr>
      </w:pPr>
    </w:p>
    <w:p>
      <w:pPr>
        <w:pStyle w:val="4"/>
        <w:keepNext w:val="0"/>
        <w:keepLines w:val="0"/>
        <w:pageBreakBefore w:val="0"/>
        <w:numPr>
          <w:ilvl w:val="0"/>
          <w:numId w:val="0"/>
        </w:numPr>
        <w:tabs>
          <w:tab w:val="left" w:pos="4154"/>
        </w:tabs>
        <w:kinsoku/>
        <w:wordWrap/>
        <w:overflowPunct/>
        <w:topLinePunct w:val="0"/>
        <w:autoSpaceDE/>
        <w:autoSpaceDN/>
        <w:bidi w:val="0"/>
        <w:spacing w:line="600" w:lineRule="exact"/>
        <w:ind w:firstLine="560" w:firstLineChars="200"/>
        <w:textAlignment w:val="auto"/>
        <w:rPr>
          <w:rFonts w:hint="eastAsia"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一、</w:t>
      </w:r>
      <w:r>
        <w:rPr>
          <w:rFonts w:hint="eastAsia" w:ascii="Times New Roman" w:hAnsi="Times New Roman" w:cs="Times New Roman"/>
          <w:color w:val="auto"/>
          <w:sz w:val="28"/>
          <w:szCs w:val="28"/>
        </w:rPr>
        <w:t>单位基本情况</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default"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（一）部门职责</w:t>
      </w:r>
    </w:p>
    <w:p>
      <w:pPr>
        <w:pStyle w:val="11"/>
        <w:keepNext w:val="0"/>
        <w:keepLines w:val="0"/>
        <w:pageBreakBefore w:val="0"/>
        <w:numPr>
          <w:ilvl w:val="0"/>
          <w:numId w:val="0"/>
        </w:numPr>
        <w:kinsoku/>
        <w:wordWrap/>
        <w:overflowPunct/>
        <w:topLinePunct w:val="0"/>
        <w:autoSpaceDE/>
        <w:autoSpaceDN/>
        <w:bidi w:val="0"/>
        <w:spacing w:line="600" w:lineRule="exact"/>
        <w:ind w:firstLine="420"/>
        <w:textAlignment w:val="auto"/>
        <w:rPr>
          <w:rFonts w:hint="eastAsia" w:ascii="Times New Roman" w:hAnsi="Times New Roman" w:eastAsia="仿宋_GB2312" w:cs="Times New Roman"/>
          <w:color w:val="auto"/>
          <w:kern w:val="2"/>
          <w:sz w:val="28"/>
          <w:szCs w:val="28"/>
          <w:lang w:val="en-US" w:eastAsia="zh-CN" w:bidi="ar-SA"/>
        </w:rPr>
      </w:pPr>
      <w:r>
        <w:rPr>
          <w:rFonts w:hint="eastAsia" w:ascii="Times New Roman" w:hAnsi="Times New Roman" w:eastAsia="仿宋_GB2312" w:cs="Times New Roman"/>
          <w:color w:val="auto"/>
          <w:kern w:val="2"/>
          <w:sz w:val="28"/>
          <w:szCs w:val="28"/>
          <w:lang w:val="en-US" w:eastAsia="zh-CN" w:bidi="ar-SA"/>
        </w:rPr>
        <w:t>湖南省生态环境农村工作站（以下简称“我站”）是参照公务员管理的正处级事业单位，2018年，湖南省农环站由湖南省农业委员会整体转隶至湖南省生态环境厅，2020年9月，经湘编办函〔2020〕93号</w:t>
      </w:r>
      <w:r>
        <w:rPr>
          <w:rFonts w:hint="eastAsia" w:eastAsia="仿宋_GB2312" w:cs="Times New Roman"/>
          <w:color w:val="auto"/>
          <w:kern w:val="2"/>
          <w:sz w:val="28"/>
          <w:szCs w:val="28"/>
          <w:lang w:val="en-US" w:eastAsia="zh-CN" w:bidi="ar-SA"/>
        </w:rPr>
        <w:t>文</w:t>
      </w:r>
      <w:r>
        <w:rPr>
          <w:rFonts w:hint="eastAsia" w:ascii="Times New Roman" w:hAnsi="Times New Roman" w:eastAsia="仿宋_GB2312" w:cs="Times New Roman"/>
          <w:color w:val="auto"/>
          <w:kern w:val="2"/>
          <w:sz w:val="28"/>
          <w:szCs w:val="28"/>
          <w:lang w:val="en-US" w:eastAsia="zh-CN" w:bidi="ar-SA"/>
        </w:rPr>
        <w:t>同意，将湖南省农业资源与环境保护管理站更名为湖南省生态环境农村工作站。统一社会信用代码为124300004448787627。单位主要职责：承担全省农村生态环境保护相关事务性工作；指导全省农村面源污染防治、农村环境综合整治、农村生活污水治理验收和评估等工作；负责全省农用地土壤及农产品污染状况调查和风险评估，开展农用地土壤污染修复治理试点示范与推广；负责全省农业面源污染、农用地土壤、地下水等监测预警网络建设，开展农村污染现状调查评价；协助开展全省农村生物多样性基础调查、濒危评估、修复保护等工作，配合农村物种资源管理，参与农村生物安全工作；承办厅党组及领导交办的其他事项。</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default"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（二）机构设置</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560" w:firstLineChars="200"/>
        <w:textAlignment w:val="auto"/>
        <w:rPr>
          <w:rFonts w:hint="eastAsia" w:ascii="仿宋_GB2312" w:hAnsi="黑体" w:eastAsia="仿宋_GB2312" w:cs="Times New Roman"/>
          <w:color w:val="auto"/>
          <w:kern w:val="2"/>
          <w:sz w:val="28"/>
          <w:szCs w:val="28"/>
          <w:highlight w:val="none"/>
          <w:lang w:val="en-US" w:eastAsia="zh-CN" w:bidi="ar-SA"/>
        </w:rPr>
      </w:pPr>
      <w:r>
        <w:rPr>
          <w:rFonts w:hint="eastAsia" w:ascii="仿宋_GB2312" w:hAnsi="黑体" w:eastAsia="仿宋_GB2312" w:cs="Times New Roman"/>
          <w:color w:val="auto"/>
          <w:kern w:val="2"/>
          <w:sz w:val="28"/>
          <w:szCs w:val="28"/>
          <w:highlight w:val="none"/>
          <w:lang w:val="en-US" w:eastAsia="zh-CN" w:bidi="ar-SA"/>
        </w:rPr>
        <w:t>截至2021年12月31日，我站党政领导班子成员3人（站长1名，副站长2名），内设综合财务室、农村面源污染防控室、农用地土壤污染防治室、农村生态环境监测预警室、农村生物安全管理共5个科室。</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（三）人员情况</w:t>
      </w:r>
    </w:p>
    <w:p>
      <w:pPr>
        <w:keepNext w:val="0"/>
        <w:keepLines w:val="0"/>
        <w:pageBreakBefore w:val="0"/>
        <w:widowControl w:val="0"/>
        <w:tabs>
          <w:tab w:val="left" w:pos="4154"/>
        </w:tabs>
        <w:kinsoku/>
        <w:wordWrap/>
        <w:overflowPunct/>
        <w:topLinePunct w:val="0"/>
        <w:autoSpaceDE/>
        <w:autoSpaceDN/>
        <w:bidi w:val="0"/>
        <w:adjustRightInd w:val="0"/>
        <w:snapToGrid w:val="0"/>
        <w:spacing w:line="600" w:lineRule="exact"/>
        <w:ind w:firstLine="560" w:firstLineChars="200"/>
        <w:textAlignment w:val="auto"/>
        <w:rPr>
          <w:rFonts w:hint="eastAsia" w:eastAsia="仿宋_GB2312"/>
          <w:color w:val="auto"/>
          <w:sz w:val="28"/>
          <w:szCs w:val="28"/>
        </w:rPr>
      </w:pPr>
      <w:r>
        <w:rPr>
          <w:rFonts w:hint="eastAsia" w:eastAsia="仿宋_GB2312"/>
          <w:color w:val="auto"/>
          <w:sz w:val="28"/>
          <w:szCs w:val="28"/>
        </w:rPr>
        <w:t>202</w:t>
      </w:r>
      <w:r>
        <w:rPr>
          <w:rFonts w:hint="eastAsia" w:eastAsia="仿宋_GB2312"/>
          <w:color w:val="auto"/>
          <w:sz w:val="28"/>
          <w:szCs w:val="28"/>
          <w:lang w:val="en-US" w:eastAsia="zh-CN"/>
        </w:rPr>
        <w:t>1</w:t>
      </w:r>
      <w:r>
        <w:rPr>
          <w:rFonts w:hint="eastAsia" w:eastAsia="仿宋_GB2312"/>
          <w:color w:val="auto"/>
          <w:sz w:val="28"/>
          <w:szCs w:val="28"/>
        </w:rPr>
        <w:t>年年末，</w:t>
      </w:r>
      <w:r>
        <w:rPr>
          <w:rFonts w:hint="eastAsia" w:ascii="仿宋_GB2312" w:hAnsi="黑体" w:eastAsia="仿宋_GB2312" w:cs="Times New Roman"/>
          <w:color w:val="auto"/>
          <w:kern w:val="2"/>
          <w:sz w:val="28"/>
          <w:szCs w:val="28"/>
          <w:highlight w:val="none"/>
          <w:lang w:val="en-US" w:eastAsia="zh-CN" w:bidi="ar-SA"/>
        </w:rPr>
        <w:t>我站编制人数19人，</w:t>
      </w:r>
      <w:r>
        <w:rPr>
          <w:rFonts w:hint="eastAsia" w:eastAsia="仿宋_GB2312"/>
          <w:color w:val="auto"/>
          <w:sz w:val="28"/>
          <w:szCs w:val="28"/>
        </w:rPr>
        <w:t>实有在职人数</w:t>
      </w:r>
      <w:r>
        <w:rPr>
          <w:rFonts w:hint="eastAsia" w:eastAsia="仿宋_GB2312"/>
          <w:color w:val="auto"/>
          <w:sz w:val="28"/>
          <w:szCs w:val="28"/>
          <w:lang w:val="en-US" w:eastAsia="zh-CN"/>
        </w:rPr>
        <w:t>16</w:t>
      </w:r>
      <w:r>
        <w:rPr>
          <w:rFonts w:hint="eastAsia" w:eastAsia="仿宋_GB2312"/>
          <w:color w:val="auto"/>
          <w:sz w:val="28"/>
          <w:szCs w:val="28"/>
        </w:rPr>
        <w:t>人</w:t>
      </w:r>
      <w:r>
        <w:rPr>
          <w:rFonts w:hint="eastAsia" w:eastAsia="仿宋_GB2312"/>
          <w:color w:val="auto"/>
          <w:sz w:val="28"/>
          <w:szCs w:val="28"/>
          <w:lang w:eastAsia="zh-CN"/>
        </w:rPr>
        <w:t>，</w:t>
      </w:r>
      <w:r>
        <w:rPr>
          <w:rFonts w:hint="eastAsia" w:eastAsia="仿宋_GB2312"/>
          <w:color w:val="auto"/>
          <w:sz w:val="28"/>
          <w:szCs w:val="28"/>
          <w:lang w:val="en-US" w:eastAsia="zh-CN"/>
        </w:rPr>
        <w:t>均为</w:t>
      </w:r>
      <w:r>
        <w:rPr>
          <w:rFonts w:hint="eastAsia" w:eastAsia="仿宋_GB2312"/>
          <w:color w:val="auto"/>
          <w:sz w:val="28"/>
          <w:szCs w:val="28"/>
        </w:rPr>
        <w:t>参照公务员法管理事业人员，较上年度</w:t>
      </w:r>
      <w:r>
        <w:rPr>
          <w:rFonts w:hint="eastAsia" w:eastAsia="仿宋_GB2312"/>
          <w:color w:val="auto"/>
          <w:sz w:val="28"/>
          <w:szCs w:val="28"/>
          <w:lang w:val="en-US" w:eastAsia="zh-CN"/>
        </w:rPr>
        <w:t>相比新增退休人员1名</w:t>
      </w:r>
      <w:r>
        <w:rPr>
          <w:rFonts w:hint="eastAsia" w:eastAsia="仿宋_GB2312"/>
          <w:color w:val="auto"/>
          <w:sz w:val="28"/>
          <w:szCs w:val="28"/>
        </w:rPr>
        <w:t>。</w:t>
      </w:r>
    </w:p>
    <w:p>
      <w:pPr>
        <w:keepNext w:val="0"/>
        <w:keepLines w:val="0"/>
        <w:pageBreakBefore w:val="0"/>
        <w:numPr>
          <w:ilvl w:val="0"/>
          <w:numId w:val="0"/>
        </w:numPr>
        <w:tabs>
          <w:tab w:val="left" w:pos="4154"/>
        </w:tabs>
        <w:kinsoku/>
        <w:wordWrap/>
        <w:overflowPunct/>
        <w:topLinePunct w:val="0"/>
        <w:autoSpaceDE/>
        <w:autoSpaceDN/>
        <w:bidi w:val="0"/>
        <w:adjustRightInd w:val="0"/>
        <w:snapToGrid w:val="0"/>
        <w:spacing w:line="620" w:lineRule="exact"/>
        <w:ind w:firstLine="560" w:firstLineChars="20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（四）评价金额</w:t>
      </w:r>
    </w:p>
    <w:p>
      <w:pPr>
        <w:pStyle w:val="6"/>
        <w:keepNext w:val="0"/>
        <w:keepLines w:val="0"/>
        <w:pageBreakBefore w:val="0"/>
        <w:widowControl w:val="0"/>
        <w:kinsoku/>
        <w:wordWrap/>
        <w:overflowPunct/>
        <w:topLinePunct w:val="0"/>
        <w:autoSpaceDE/>
        <w:autoSpaceDN/>
        <w:bidi w:val="0"/>
        <w:spacing w:line="620" w:lineRule="exact"/>
        <w:ind w:firstLine="560" w:firstLineChars="200"/>
        <w:textAlignment w:val="auto"/>
        <w:rPr>
          <w:rFonts w:hint="default"/>
          <w:color w:val="auto"/>
          <w:highlight w:val="none"/>
          <w:lang w:val="en-US" w:eastAsia="zh-CN"/>
        </w:rPr>
      </w:pPr>
      <w:r>
        <w:rPr>
          <w:rFonts w:hint="eastAsia" w:ascii="仿宋_GB2312" w:hAnsi="黑体" w:eastAsia="仿宋_GB2312" w:cs="Times New Roman"/>
          <w:color w:val="auto"/>
          <w:kern w:val="2"/>
          <w:sz w:val="28"/>
          <w:szCs w:val="28"/>
          <w:highlight w:val="none"/>
          <w:lang w:val="en-US" w:eastAsia="zh-CN" w:bidi="ar-SA"/>
        </w:rPr>
        <w:t>我站</w:t>
      </w:r>
      <w:r>
        <w:rPr>
          <w:rFonts w:hint="eastAsia" w:eastAsia="仿宋_GB2312"/>
          <w:color w:val="auto"/>
          <w:sz w:val="28"/>
          <w:szCs w:val="28"/>
        </w:rPr>
        <w:t>202</w:t>
      </w:r>
      <w:r>
        <w:rPr>
          <w:rFonts w:hint="eastAsia" w:eastAsia="仿宋_GB2312"/>
          <w:color w:val="auto"/>
          <w:sz w:val="28"/>
          <w:szCs w:val="28"/>
          <w:lang w:val="en-US" w:eastAsia="zh-CN"/>
        </w:rPr>
        <w:t>1</w:t>
      </w:r>
      <w:r>
        <w:rPr>
          <w:rFonts w:hint="eastAsia" w:eastAsia="仿宋_GB2312"/>
          <w:color w:val="auto"/>
          <w:sz w:val="28"/>
          <w:szCs w:val="28"/>
        </w:rPr>
        <w:t>年度部门整体支出绩效评价资金共计</w:t>
      </w:r>
      <w:r>
        <w:rPr>
          <w:rFonts w:hint="eastAsia" w:eastAsia="仿宋_GB2312"/>
          <w:color w:val="auto"/>
          <w:sz w:val="28"/>
          <w:szCs w:val="28"/>
          <w:lang w:val="en-US" w:eastAsia="zh-CN"/>
        </w:rPr>
        <w:t>6,043.33</w:t>
      </w:r>
      <w:r>
        <w:rPr>
          <w:rFonts w:hint="eastAsia" w:eastAsia="仿宋_GB2312"/>
          <w:color w:val="auto"/>
          <w:sz w:val="28"/>
          <w:szCs w:val="28"/>
        </w:rPr>
        <w:t>万元，</w:t>
      </w:r>
      <w:r>
        <w:rPr>
          <w:rFonts w:hint="eastAsia" w:eastAsia="仿宋_GB2312"/>
          <w:color w:val="auto"/>
          <w:sz w:val="28"/>
          <w:szCs w:val="28"/>
          <w:highlight w:val="none"/>
        </w:rPr>
        <w:t>其中：基本支出</w:t>
      </w:r>
      <w:r>
        <w:rPr>
          <w:rFonts w:hint="eastAsia" w:eastAsia="仿宋_GB2312"/>
          <w:color w:val="auto"/>
          <w:sz w:val="28"/>
          <w:szCs w:val="28"/>
          <w:highlight w:val="none"/>
          <w:lang w:val="en-US" w:eastAsia="zh-CN"/>
        </w:rPr>
        <w:t>347.58</w:t>
      </w:r>
      <w:r>
        <w:rPr>
          <w:rFonts w:hint="eastAsia" w:eastAsia="仿宋_GB2312"/>
          <w:color w:val="auto"/>
          <w:sz w:val="28"/>
          <w:szCs w:val="28"/>
          <w:highlight w:val="none"/>
        </w:rPr>
        <w:t>万元、项目支出</w:t>
      </w:r>
      <w:r>
        <w:rPr>
          <w:rFonts w:hint="eastAsia" w:eastAsia="仿宋_GB2312"/>
          <w:color w:val="auto"/>
          <w:sz w:val="28"/>
          <w:szCs w:val="28"/>
          <w:highlight w:val="none"/>
          <w:lang w:val="en-US" w:eastAsia="zh-CN"/>
        </w:rPr>
        <w:t>5,695.75</w:t>
      </w:r>
      <w:r>
        <w:rPr>
          <w:rFonts w:hint="eastAsia" w:eastAsia="仿宋_GB2312"/>
          <w:color w:val="auto"/>
          <w:sz w:val="28"/>
          <w:szCs w:val="28"/>
          <w:highlight w:val="none"/>
        </w:rPr>
        <w:t>万元</w:t>
      </w:r>
      <w:r>
        <w:rPr>
          <w:rFonts w:hint="eastAsia" w:eastAsia="仿宋_GB2312"/>
          <w:color w:val="auto"/>
          <w:sz w:val="28"/>
          <w:szCs w:val="28"/>
          <w:highlight w:val="none"/>
          <w:lang w:eastAsia="zh-CN"/>
        </w:rPr>
        <w:t>。</w:t>
      </w:r>
    </w:p>
    <w:p>
      <w:pPr>
        <w:pStyle w:val="19"/>
        <w:keepNext w:val="0"/>
        <w:keepLines w:val="0"/>
        <w:pageBreakBefore w:val="0"/>
        <w:widowControl/>
        <w:numPr>
          <w:ilvl w:val="0"/>
          <w:numId w:val="0"/>
        </w:numPr>
        <w:kinsoku/>
        <w:wordWrap/>
        <w:overflowPunct/>
        <w:topLinePunct w:val="0"/>
        <w:autoSpaceDE/>
        <w:autoSpaceDN/>
        <w:bidi w:val="0"/>
        <w:spacing w:line="620" w:lineRule="exact"/>
        <w:ind w:firstLine="640" w:firstLineChars="200"/>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二、一般公共预算支出情况</w:t>
      </w:r>
    </w:p>
    <w:p>
      <w:pPr>
        <w:pStyle w:val="19"/>
        <w:keepNext w:val="0"/>
        <w:keepLines w:val="0"/>
        <w:pageBreakBefore w:val="0"/>
        <w:widowControl/>
        <w:numPr>
          <w:ilvl w:val="0"/>
          <w:numId w:val="0"/>
        </w:numPr>
        <w:kinsoku/>
        <w:wordWrap/>
        <w:overflowPunct/>
        <w:topLinePunct w:val="0"/>
        <w:autoSpaceDE/>
        <w:autoSpaceDN/>
        <w:bidi w:val="0"/>
        <w:spacing w:line="620" w:lineRule="exact"/>
        <w:ind w:firstLine="560" w:firstLineChars="200"/>
        <w:textAlignment w:val="auto"/>
        <w:rPr>
          <w:rFonts w:hint="eastAsia" w:ascii="宋体" w:hAnsi="宋体" w:cs="宋体"/>
          <w:color w:val="auto"/>
          <w:sz w:val="24"/>
          <w:szCs w:val="24"/>
          <w:highlight w:val="none"/>
          <w:lang w:val="en-US" w:eastAsia="zh-CN"/>
        </w:rPr>
      </w:pPr>
      <w:r>
        <w:rPr>
          <w:rFonts w:hint="eastAsia" w:ascii="Times New Roman" w:hAnsi="Times New Roman" w:eastAsia="仿宋_GB2312" w:cs="Times New Roman"/>
          <w:color w:val="auto"/>
          <w:kern w:val="2"/>
          <w:sz w:val="28"/>
          <w:szCs w:val="28"/>
          <w:highlight w:val="none"/>
          <w:lang w:val="en-US" w:eastAsia="zh-CN" w:bidi="ar-SA"/>
        </w:rPr>
        <w:t>2021年度，我站一般公共预算支出预算数为7217.15万元，其中基本支出348.60万元，项目支出6868.55万元，2021年一般公共预算支出决算数为6043.33万元，其中基本支出347.58万元（占决算数的5.75%），预算执行率99.71%；项目支出5695.76万元（占决算数的94.25%），预算执行率86.68%。</w:t>
      </w:r>
    </w:p>
    <w:p>
      <w:pPr>
        <w:keepNext w:val="0"/>
        <w:keepLines w:val="0"/>
        <w:pageBreakBefore w:val="0"/>
        <w:tabs>
          <w:tab w:val="left" w:pos="4154"/>
        </w:tabs>
        <w:kinsoku/>
        <w:wordWrap/>
        <w:overflowPunct/>
        <w:topLinePunct w:val="0"/>
        <w:autoSpaceDE/>
        <w:autoSpaceDN/>
        <w:bidi w:val="0"/>
        <w:adjustRightInd w:val="0"/>
        <w:snapToGrid w:val="0"/>
        <w:spacing w:line="620" w:lineRule="exact"/>
        <w:ind w:firstLine="420" w:firstLineChars="15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（一）基本支出情况</w:t>
      </w:r>
    </w:p>
    <w:p>
      <w:pPr>
        <w:keepNext w:val="0"/>
        <w:keepLines w:val="0"/>
        <w:pageBreakBefore w:val="0"/>
        <w:widowControl/>
        <w:tabs>
          <w:tab w:val="left" w:pos="4154"/>
        </w:tabs>
        <w:kinsoku/>
        <w:wordWrap/>
        <w:overflowPunct/>
        <w:topLinePunct w:val="0"/>
        <w:autoSpaceDE/>
        <w:autoSpaceDN/>
        <w:bidi w:val="0"/>
        <w:adjustRightInd w:val="0"/>
        <w:snapToGrid w:val="0"/>
        <w:spacing w:line="620" w:lineRule="exact"/>
        <w:ind w:firstLine="560" w:firstLineChars="200"/>
        <w:jc w:val="left"/>
        <w:textAlignment w:val="auto"/>
        <w:rPr>
          <w:rFonts w:hAnsi="仿宋"/>
          <w:color w:val="auto"/>
          <w:sz w:val="28"/>
          <w:szCs w:val="28"/>
        </w:rPr>
      </w:pPr>
      <w:r>
        <w:rPr>
          <w:rFonts w:hint="eastAsia" w:eastAsia="仿宋_GB2312"/>
          <w:color w:val="auto"/>
          <w:sz w:val="28"/>
          <w:szCs w:val="28"/>
        </w:rPr>
        <w:t>20</w:t>
      </w:r>
      <w:r>
        <w:rPr>
          <w:rFonts w:hint="eastAsia" w:eastAsia="仿宋_GB2312"/>
          <w:color w:val="auto"/>
          <w:sz w:val="28"/>
          <w:szCs w:val="28"/>
          <w:lang w:val="en-US" w:eastAsia="zh-CN"/>
        </w:rPr>
        <w:t>21</w:t>
      </w:r>
      <w:r>
        <w:rPr>
          <w:rFonts w:hint="eastAsia" w:eastAsia="仿宋_GB2312"/>
          <w:color w:val="auto"/>
          <w:sz w:val="28"/>
          <w:szCs w:val="28"/>
        </w:rPr>
        <w:t>年度，</w:t>
      </w:r>
      <w:r>
        <w:rPr>
          <w:rFonts w:hint="eastAsia" w:ascii="仿宋_GB2312" w:hAnsi="黑体" w:eastAsia="仿宋_GB2312" w:cs="Times New Roman"/>
          <w:color w:val="auto"/>
          <w:kern w:val="2"/>
          <w:sz w:val="28"/>
          <w:szCs w:val="28"/>
          <w:highlight w:val="none"/>
          <w:lang w:val="en-US" w:eastAsia="zh-CN" w:bidi="ar-SA"/>
        </w:rPr>
        <w:t>我站</w:t>
      </w:r>
      <w:r>
        <w:rPr>
          <w:rFonts w:hint="eastAsia" w:eastAsia="仿宋_GB2312"/>
          <w:color w:val="auto"/>
          <w:sz w:val="28"/>
          <w:szCs w:val="28"/>
        </w:rPr>
        <w:t>基本支出预算数为</w:t>
      </w:r>
      <w:r>
        <w:rPr>
          <w:rFonts w:hint="eastAsia" w:eastAsia="仿宋_GB2312"/>
          <w:color w:val="auto"/>
          <w:sz w:val="28"/>
          <w:szCs w:val="28"/>
          <w:lang w:val="en-US" w:eastAsia="zh-CN"/>
        </w:rPr>
        <w:t>348.60</w:t>
      </w:r>
      <w:r>
        <w:rPr>
          <w:rFonts w:hint="eastAsia" w:eastAsia="仿宋_GB2312"/>
          <w:color w:val="auto"/>
          <w:sz w:val="28"/>
          <w:szCs w:val="28"/>
        </w:rPr>
        <w:t>万元，决算数</w:t>
      </w:r>
      <w:r>
        <w:rPr>
          <w:rFonts w:hint="eastAsia" w:eastAsia="仿宋_GB2312"/>
          <w:color w:val="auto"/>
          <w:sz w:val="28"/>
          <w:szCs w:val="28"/>
          <w:lang w:val="en-US" w:eastAsia="zh-CN"/>
        </w:rPr>
        <w:t>347.58</w:t>
      </w:r>
      <w:r>
        <w:rPr>
          <w:rFonts w:hint="eastAsia" w:eastAsia="仿宋_GB2312"/>
          <w:color w:val="auto"/>
          <w:sz w:val="28"/>
          <w:szCs w:val="28"/>
        </w:rPr>
        <w:t>万元，基本支出</w:t>
      </w:r>
      <w:bookmarkStart w:id="2" w:name="_Hlk508873941"/>
      <w:r>
        <w:rPr>
          <w:rFonts w:hint="eastAsia" w:eastAsia="仿宋_GB2312"/>
          <w:color w:val="auto"/>
          <w:sz w:val="28"/>
          <w:szCs w:val="28"/>
        </w:rPr>
        <w:t>预决算对比情况详见下表：</w:t>
      </w:r>
      <w:bookmarkEnd w:id="2"/>
    </w:p>
    <w:tbl>
      <w:tblPr>
        <w:tblStyle w:val="13"/>
        <w:tblW w:w="8944" w:type="dxa"/>
        <w:jc w:val="center"/>
        <w:tblLayout w:type="fixed"/>
        <w:tblCellMar>
          <w:top w:w="0" w:type="dxa"/>
          <w:left w:w="108" w:type="dxa"/>
          <w:bottom w:w="0" w:type="dxa"/>
          <w:right w:w="108" w:type="dxa"/>
        </w:tblCellMar>
      </w:tblPr>
      <w:tblGrid>
        <w:gridCol w:w="2669"/>
        <w:gridCol w:w="1570"/>
        <w:gridCol w:w="1476"/>
        <w:gridCol w:w="1713"/>
        <w:gridCol w:w="1516"/>
      </w:tblGrid>
      <w:tr>
        <w:tblPrEx>
          <w:tblCellMar>
            <w:top w:w="0" w:type="dxa"/>
            <w:left w:w="108" w:type="dxa"/>
            <w:bottom w:w="0" w:type="dxa"/>
            <w:right w:w="108" w:type="dxa"/>
          </w:tblCellMar>
        </w:tblPrEx>
        <w:trPr>
          <w:trHeight w:val="743" w:hRule="atLeast"/>
          <w:tblHeader/>
          <w:jc w:val="center"/>
        </w:trPr>
        <w:tc>
          <w:tcPr>
            <w:tcW w:w="2669"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240" w:lineRule="exact"/>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kern w:val="0"/>
                <w:sz w:val="20"/>
                <w:szCs w:val="20"/>
                <w:lang w:bidi="ar"/>
              </w:rPr>
              <w:t>项目内容</w:t>
            </w:r>
          </w:p>
        </w:tc>
        <w:tc>
          <w:tcPr>
            <w:tcW w:w="1570"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240" w:lineRule="exact"/>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kern w:val="0"/>
                <w:sz w:val="20"/>
                <w:szCs w:val="20"/>
                <w:lang w:bidi="ar"/>
              </w:rPr>
              <w:t>预算金额B</w:t>
            </w:r>
          </w:p>
        </w:tc>
        <w:tc>
          <w:tcPr>
            <w:tcW w:w="1476"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240" w:lineRule="exact"/>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kern w:val="0"/>
                <w:sz w:val="20"/>
                <w:szCs w:val="20"/>
                <w:lang w:bidi="ar"/>
              </w:rPr>
              <w:t>决算金额C</w:t>
            </w:r>
          </w:p>
        </w:tc>
        <w:tc>
          <w:tcPr>
            <w:tcW w:w="1713"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240" w:lineRule="exact"/>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kern w:val="0"/>
                <w:sz w:val="20"/>
                <w:szCs w:val="20"/>
                <w:lang w:bidi="ar"/>
              </w:rPr>
              <w:t>预、决算差额D=A+B-C</w:t>
            </w:r>
          </w:p>
        </w:tc>
        <w:tc>
          <w:tcPr>
            <w:tcW w:w="1516"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240" w:lineRule="exact"/>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kern w:val="0"/>
                <w:sz w:val="20"/>
                <w:szCs w:val="20"/>
                <w:lang w:bidi="ar"/>
              </w:rPr>
              <w:t>预算执行率</w:t>
            </w:r>
          </w:p>
        </w:tc>
      </w:tr>
      <w:tr>
        <w:tblPrEx>
          <w:tblCellMar>
            <w:top w:w="0" w:type="dxa"/>
            <w:left w:w="108" w:type="dxa"/>
            <w:bottom w:w="0" w:type="dxa"/>
            <w:right w:w="108" w:type="dxa"/>
          </w:tblCellMar>
        </w:tblPrEx>
        <w:trPr>
          <w:trHeight w:val="513" w:hRule="atLeast"/>
          <w:jc w:val="center"/>
        </w:trPr>
        <w:tc>
          <w:tcPr>
            <w:tcW w:w="2669"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400" w:lineRule="exact"/>
              <w:jc w:val="left"/>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kern w:val="0"/>
                <w:sz w:val="20"/>
                <w:szCs w:val="20"/>
                <w:lang w:bidi="ar"/>
              </w:rPr>
              <w:t>1.人员支出</w:t>
            </w:r>
          </w:p>
        </w:tc>
        <w:tc>
          <w:tcPr>
            <w:tcW w:w="1570"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294.00</w:t>
            </w:r>
          </w:p>
        </w:tc>
        <w:tc>
          <w:tcPr>
            <w:tcW w:w="147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294.00</w:t>
            </w:r>
          </w:p>
        </w:tc>
        <w:tc>
          <w:tcPr>
            <w:tcW w:w="1713"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w:t>
            </w:r>
          </w:p>
        </w:tc>
        <w:tc>
          <w:tcPr>
            <w:tcW w:w="151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r>
              <w:rPr>
                <w:rFonts w:hint="default" w:ascii="Times New Roman" w:hAnsi="Times New Roman" w:eastAsia="宋体" w:cs="Times New Roman"/>
                <w:color w:val="auto"/>
                <w:sz w:val="20"/>
                <w:szCs w:val="20"/>
                <w:lang w:val="en-US" w:eastAsia="zh-CN"/>
              </w:rPr>
              <w:t>%</w:t>
            </w:r>
          </w:p>
        </w:tc>
      </w:tr>
      <w:tr>
        <w:tblPrEx>
          <w:tblCellMar>
            <w:top w:w="0" w:type="dxa"/>
            <w:left w:w="108" w:type="dxa"/>
            <w:bottom w:w="0" w:type="dxa"/>
            <w:right w:w="108" w:type="dxa"/>
          </w:tblCellMar>
        </w:tblPrEx>
        <w:trPr>
          <w:trHeight w:val="548" w:hRule="atLeast"/>
          <w:jc w:val="center"/>
        </w:trPr>
        <w:tc>
          <w:tcPr>
            <w:tcW w:w="2669"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400" w:lineRule="exact"/>
              <w:jc w:val="left"/>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kern w:val="0"/>
                <w:sz w:val="20"/>
                <w:szCs w:val="20"/>
                <w:lang w:bidi="ar"/>
              </w:rPr>
              <w:t>2.日常公用经费</w:t>
            </w:r>
          </w:p>
        </w:tc>
        <w:tc>
          <w:tcPr>
            <w:tcW w:w="1570"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54.60</w:t>
            </w:r>
          </w:p>
        </w:tc>
        <w:tc>
          <w:tcPr>
            <w:tcW w:w="147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53.58</w:t>
            </w:r>
          </w:p>
        </w:tc>
        <w:tc>
          <w:tcPr>
            <w:tcW w:w="1713"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1.02</w:t>
            </w:r>
          </w:p>
        </w:tc>
        <w:tc>
          <w:tcPr>
            <w:tcW w:w="151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98.</w:t>
            </w:r>
            <w:r>
              <w:rPr>
                <w:rFonts w:hint="eastAsia" w:ascii="Times New Roman" w:hAnsi="Times New Roman" w:eastAsia="宋体" w:cs="Times New Roman"/>
                <w:color w:val="auto"/>
                <w:sz w:val="20"/>
                <w:szCs w:val="20"/>
                <w:lang w:val="en-US" w:eastAsia="zh-CN"/>
              </w:rPr>
              <w:t>1</w:t>
            </w:r>
            <w:r>
              <w:rPr>
                <w:rFonts w:hint="default" w:ascii="Times New Roman" w:hAnsi="Times New Roman" w:eastAsia="宋体" w:cs="Times New Roman"/>
                <w:color w:val="auto"/>
                <w:sz w:val="20"/>
                <w:szCs w:val="20"/>
                <w:lang w:val="en-US" w:eastAsia="zh-CN"/>
              </w:rPr>
              <w:t>3%</w:t>
            </w:r>
          </w:p>
        </w:tc>
      </w:tr>
      <w:tr>
        <w:tblPrEx>
          <w:tblCellMar>
            <w:top w:w="0" w:type="dxa"/>
            <w:left w:w="108" w:type="dxa"/>
            <w:bottom w:w="0" w:type="dxa"/>
            <w:right w:w="108" w:type="dxa"/>
          </w:tblCellMar>
        </w:tblPrEx>
        <w:trPr>
          <w:trHeight w:val="539" w:hRule="atLeast"/>
          <w:jc w:val="center"/>
        </w:trPr>
        <w:tc>
          <w:tcPr>
            <w:tcW w:w="2669"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400" w:lineRule="exact"/>
              <w:jc w:val="center"/>
              <w:textAlignment w:val="center"/>
              <w:rPr>
                <w:rFonts w:hint="default" w:ascii="Times New Roman" w:hAnsi="Times New Roman" w:eastAsia="宋体" w:cs="Times New Roman"/>
                <w:b/>
                <w:bCs/>
                <w:color w:val="auto"/>
                <w:sz w:val="20"/>
                <w:szCs w:val="20"/>
              </w:rPr>
            </w:pPr>
            <w:r>
              <w:rPr>
                <w:rFonts w:hint="default" w:ascii="Times New Roman" w:hAnsi="Times New Roman" w:eastAsia="宋体" w:cs="Times New Roman"/>
                <w:b/>
                <w:bCs/>
                <w:color w:val="auto"/>
                <w:kern w:val="0"/>
                <w:sz w:val="20"/>
                <w:szCs w:val="20"/>
                <w:lang w:bidi="ar"/>
              </w:rPr>
              <w:t>合计</w:t>
            </w:r>
          </w:p>
        </w:tc>
        <w:tc>
          <w:tcPr>
            <w:tcW w:w="1570"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348.60</w:t>
            </w:r>
          </w:p>
        </w:tc>
        <w:tc>
          <w:tcPr>
            <w:tcW w:w="147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347.58</w:t>
            </w:r>
          </w:p>
        </w:tc>
        <w:tc>
          <w:tcPr>
            <w:tcW w:w="1713"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1.02</w:t>
            </w:r>
          </w:p>
        </w:tc>
        <w:tc>
          <w:tcPr>
            <w:tcW w:w="151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b/>
                <w:bCs/>
                <w:color w:val="auto"/>
                <w:sz w:val="20"/>
                <w:szCs w:val="20"/>
                <w:lang w:val="en-US" w:eastAsia="zh-CN"/>
              </w:rPr>
            </w:pPr>
            <w:r>
              <w:rPr>
                <w:rFonts w:hint="default" w:ascii="Times New Roman" w:hAnsi="Times New Roman" w:eastAsia="宋体" w:cs="Times New Roman"/>
                <w:b/>
                <w:bCs/>
                <w:color w:val="auto"/>
                <w:sz w:val="20"/>
                <w:szCs w:val="20"/>
                <w:lang w:val="en-US" w:eastAsia="zh-CN"/>
              </w:rPr>
              <w:t>99.</w:t>
            </w:r>
            <w:r>
              <w:rPr>
                <w:rFonts w:hint="eastAsia" w:ascii="Times New Roman" w:hAnsi="Times New Roman" w:eastAsia="宋体" w:cs="Times New Roman"/>
                <w:b/>
                <w:bCs/>
                <w:color w:val="auto"/>
                <w:sz w:val="20"/>
                <w:szCs w:val="20"/>
                <w:lang w:val="en-US" w:eastAsia="zh-CN"/>
              </w:rPr>
              <w:t>71</w:t>
            </w:r>
            <w:r>
              <w:rPr>
                <w:rFonts w:hint="default" w:ascii="Times New Roman" w:hAnsi="Times New Roman" w:eastAsia="宋体" w:cs="Times New Roman"/>
                <w:b/>
                <w:bCs/>
                <w:color w:val="auto"/>
                <w:sz w:val="20"/>
                <w:szCs w:val="20"/>
                <w:lang w:val="en-US" w:eastAsia="zh-CN"/>
              </w:rPr>
              <w:t>%</w:t>
            </w:r>
          </w:p>
        </w:tc>
      </w:tr>
    </w:tbl>
    <w:p>
      <w:pPr>
        <w:keepNext w:val="0"/>
        <w:keepLines w:val="0"/>
        <w:pageBreakBefore w:val="0"/>
        <w:tabs>
          <w:tab w:val="left" w:pos="4154"/>
        </w:tabs>
        <w:kinsoku/>
        <w:wordWrap/>
        <w:overflowPunct/>
        <w:topLinePunct w:val="0"/>
        <w:autoSpaceDE/>
        <w:autoSpaceDN/>
        <w:bidi w:val="0"/>
        <w:adjustRightInd w:val="0"/>
        <w:snapToGrid w:val="0"/>
        <w:spacing w:line="620" w:lineRule="exact"/>
        <w:ind w:firstLine="420" w:firstLineChars="15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（二）“三公”经费支出情况</w:t>
      </w:r>
    </w:p>
    <w:p>
      <w:pPr>
        <w:keepNext w:val="0"/>
        <w:keepLines w:val="0"/>
        <w:pageBreakBefore w:val="0"/>
        <w:widowControl/>
        <w:tabs>
          <w:tab w:val="left" w:pos="4154"/>
        </w:tabs>
        <w:kinsoku/>
        <w:wordWrap/>
        <w:overflowPunct/>
        <w:topLinePunct w:val="0"/>
        <w:autoSpaceDE/>
        <w:autoSpaceDN/>
        <w:bidi w:val="0"/>
        <w:adjustRightInd w:val="0"/>
        <w:snapToGrid w:val="0"/>
        <w:spacing w:line="620" w:lineRule="exact"/>
        <w:ind w:firstLine="560" w:firstLineChars="200"/>
        <w:jc w:val="left"/>
        <w:textAlignment w:val="auto"/>
      </w:pPr>
      <w:r>
        <w:rPr>
          <w:rFonts w:hint="eastAsia" w:ascii="Times New Roman" w:hAnsi="Times New Roman" w:eastAsia="仿宋_GB2312" w:cs="Times New Roman"/>
          <w:color w:val="auto"/>
          <w:kern w:val="2"/>
          <w:sz w:val="28"/>
          <w:szCs w:val="28"/>
          <w:lang w:val="en-US" w:eastAsia="zh-CN" w:bidi="ar-SA"/>
        </w:rPr>
        <w:t>“三公”经费包括公务用车运行维护费、因公出国（境）费用、公务接待费。2021年度，我站“三公”经费预算数为6.50万元，“三公”经费决算数为5.42万元，其中：公务用车运行维护费4.50万元、公务接待费0.92万元，因公出国（境）未发生。“三公”经费决算数未超出年初财政预算数，具体详见下表：</w:t>
      </w:r>
    </w:p>
    <w:tbl>
      <w:tblPr>
        <w:tblStyle w:val="13"/>
        <w:tblW w:w="8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1695"/>
        <w:gridCol w:w="1680"/>
        <w:gridCol w:w="1710"/>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blHeader/>
          <w:jc w:val="center"/>
        </w:trPr>
        <w:tc>
          <w:tcPr>
            <w:tcW w:w="2118" w:type="dxa"/>
            <w:vAlign w:val="center"/>
          </w:tcPr>
          <w:p>
            <w:pPr>
              <w:widowControl/>
              <w:tabs>
                <w:tab w:val="left" w:pos="4154"/>
              </w:tabs>
              <w:spacing w:line="400" w:lineRule="exact"/>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项目内容</w:t>
            </w:r>
          </w:p>
        </w:tc>
        <w:tc>
          <w:tcPr>
            <w:tcW w:w="1695" w:type="dxa"/>
            <w:tcBorders>
              <w:bottom w:val="single" w:color="auto" w:sz="4" w:space="0"/>
            </w:tcBorders>
            <w:vAlign w:val="center"/>
          </w:tcPr>
          <w:p>
            <w:pPr>
              <w:widowControl/>
              <w:tabs>
                <w:tab w:val="left" w:pos="4154"/>
              </w:tabs>
              <w:spacing w:line="400" w:lineRule="exact"/>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预算金额</w:t>
            </w:r>
          </w:p>
        </w:tc>
        <w:tc>
          <w:tcPr>
            <w:tcW w:w="1680" w:type="dxa"/>
            <w:tcBorders>
              <w:bottom w:val="single" w:color="auto" w:sz="4" w:space="0"/>
            </w:tcBorders>
            <w:vAlign w:val="center"/>
          </w:tcPr>
          <w:p>
            <w:pPr>
              <w:widowControl/>
              <w:tabs>
                <w:tab w:val="left" w:pos="4154"/>
              </w:tabs>
              <w:spacing w:line="400" w:lineRule="exact"/>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决算金额</w:t>
            </w:r>
          </w:p>
        </w:tc>
        <w:tc>
          <w:tcPr>
            <w:tcW w:w="1710" w:type="dxa"/>
            <w:tcBorders>
              <w:bottom w:val="single" w:color="auto" w:sz="4" w:space="0"/>
            </w:tcBorders>
            <w:vAlign w:val="center"/>
          </w:tcPr>
          <w:p>
            <w:pPr>
              <w:widowControl/>
              <w:tabs>
                <w:tab w:val="left" w:pos="4154"/>
              </w:tabs>
              <w:spacing w:line="400" w:lineRule="exact"/>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预、决算差额</w:t>
            </w:r>
          </w:p>
        </w:tc>
        <w:tc>
          <w:tcPr>
            <w:tcW w:w="1607" w:type="dxa"/>
            <w:tcBorders>
              <w:bottom w:val="single" w:color="auto" w:sz="4" w:space="0"/>
            </w:tcBorders>
            <w:vAlign w:val="center"/>
          </w:tcPr>
          <w:p>
            <w:pPr>
              <w:widowControl/>
              <w:tabs>
                <w:tab w:val="left" w:pos="4154"/>
              </w:tabs>
              <w:spacing w:line="400" w:lineRule="exact"/>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118" w:type="dxa"/>
            <w:vAlign w:val="center"/>
          </w:tcPr>
          <w:p>
            <w:pPr>
              <w:widowControl/>
              <w:tabs>
                <w:tab w:val="left" w:pos="4154"/>
              </w:tabs>
              <w:spacing w:line="400" w:lineRule="exact"/>
              <w:jc w:val="left"/>
              <w:textAlignment w:val="center"/>
              <w:rPr>
                <w:rFonts w:hint="default" w:ascii="Times New Roman" w:hAnsi="Times New Roman" w:eastAsia="宋体" w:cs="Times New Roman"/>
                <w:color w:val="auto"/>
                <w:kern w:val="0"/>
                <w:sz w:val="20"/>
                <w:szCs w:val="20"/>
                <w:lang w:bidi="ar"/>
              </w:rPr>
            </w:pPr>
            <w:bookmarkStart w:id="3" w:name="_Hlk71883128"/>
            <w:r>
              <w:rPr>
                <w:rFonts w:hint="default" w:ascii="Times New Roman" w:hAnsi="Times New Roman" w:eastAsia="宋体" w:cs="Times New Roman"/>
                <w:color w:val="auto"/>
                <w:kern w:val="0"/>
                <w:sz w:val="20"/>
                <w:szCs w:val="20"/>
                <w:lang w:bidi="ar"/>
              </w:rPr>
              <w:t>1.公务用车运行维护</w:t>
            </w:r>
            <w:bookmarkEnd w:id="3"/>
          </w:p>
        </w:tc>
        <w:tc>
          <w:tcPr>
            <w:tcW w:w="1695" w:type="dxa"/>
            <w:tcBorders>
              <w:bottom w:val="single" w:color="auto" w:sz="4" w:space="0"/>
            </w:tcBorders>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4.50</w:t>
            </w:r>
          </w:p>
        </w:tc>
        <w:tc>
          <w:tcPr>
            <w:tcW w:w="1680" w:type="dxa"/>
            <w:tcBorders>
              <w:bottom w:val="single" w:color="auto" w:sz="4" w:space="0"/>
            </w:tcBorders>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4.50</w:t>
            </w:r>
          </w:p>
        </w:tc>
        <w:tc>
          <w:tcPr>
            <w:tcW w:w="1710" w:type="dxa"/>
            <w:tcBorders>
              <w:bottom w:val="single" w:color="auto" w:sz="4" w:space="0"/>
            </w:tcBorders>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0.00</w:t>
            </w:r>
          </w:p>
        </w:tc>
        <w:tc>
          <w:tcPr>
            <w:tcW w:w="1607" w:type="dxa"/>
            <w:tcBorders>
              <w:bottom w:val="single" w:color="auto" w:sz="4" w:space="0"/>
            </w:tcBorders>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bidi="ar"/>
              </w:rPr>
            </w:pPr>
            <w:r>
              <w:rPr>
                <w:rFonts w:hint="eastAsia" w:ascii="Times New Roman" w:hAnsi="Times New Roman" w:eastAsia="宋体" w:cs="Times New Roman"/>
                <w:color w:val="auto"/>
                <w:kern w:val="0"/>
                <w:sz w:val="20"/>
                <w:szCs w:val="20"/>
                <w:lang w:val="en-US" w:eastAsia="zh-CN" w:bidi="ar"/>
              </w:rPr>
              <w:t>100.00</w:t>
            </w:r>
            <w:r>
              <w:rPr>
                <w:rFonts w:hint="default" w:ascii="Times New Roman" w:hAnsi="Times New Roman" w:eastAsia="宋体" w:cs="Times New Roman"/>
                <w:color w:val="auto"/>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118" w:type="dxa"/>
            <w:vAlign w:val="center"/>
          </w:tcPr>
          <w:p>
            <w:pPr>
              <w:widowControl/>
              <w:tabs>
                <w:tab w:val="left" w:pos="4154"/>
              </w:tabs>
              <w:spacing w:line="400" w:lineRule="exact"/>
              <w:jc w:val="left"/>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2.因公出国（境）</w:t>
            </w:r>
          </w:p>
        </w:tc>
        <w:tc>
          <w:tcPr>
            <w:tcW w:w="1695" w:type="dxa"/>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0.00</w:t>
            </w:r>
          </w:p>
        </w:tc>
        <w:tc>
          <w:tcPr>
            <w:tcW w:w="1680" w:type="dxa"/>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0.00</w:t>
            </w:r>
          </w:p>
        </w:tc>
        <w:tc>
          <w:tcPr>
            <w:tcW w:w="1710" w:type="dxa"/>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0.00</w:t>
            </w:r>
          </w:p>
        </w:tc>
        <w:tc>
          <w:tcPr>
            <w:tcW w:w="1607" w:type="dxa"/>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118" w:type="dxa"/>
            <w:vAlign w:val="center"/>
          </w:tcPr>
          <w:p>
            <w:pPr>
              <w:widowControl/>
              <w:tabs>
                <w:tab w:val="left" w:pos="4154"/>
              </w:tabs>
              <w:spacing w:line="400" w:lineRule="exact"/>
              <w:jc w:val="left"/>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3.公务接待费</w:t>
            </w:r>
          </w:p>
        </w:tc>
        <w:tc>
          <w:tcPr>
            <w:tcW w:w="1695" w:type="dxa"/>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2.00</w:t>
            </w:r>
          </w:p>
        </w:tc>
        <w:tc>
          <w:tcPr>
            <w:tcW w:w="1680" w:type="dxa"/>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0.92</w:t>
            </w:r>
          </w:p>
        </w:tc>
        <w:tc>
          <w:tcPr>
            <w:tcW w:w="1710" w:type="dxa"/>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1.08</w:t>
            </w:r>
          </w:p>
        </w:tc>
        <w:tc>
          <w:tcPr>
            <w:tcW w:w="1607" w:type="dxa"/>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val="en-US" w:eastAsia="zh-CN" w:bidi="ar"/>
              </w:rPr>
              <w:t>4</w:t>
            </w:r>
            <w:r>
              <w:rPr>
                <w:rFonts w:hint="eastAsia" w:ascii="Times New Roman" w:hAnsi="Times New Roman" w:eastAsia="宋体" w:cs="Times New Roman"/>
                <w:color w:val="auto"/>
                <w:kern w:val="0"/>
                <w:sz w:val="20"/>
                <w:szCs w:val="20"/>
                <w:lang w:val="en-US" w:eastAsia="zh-CN" w:bidi="ar"/>
              </w:rPr>
              <w:t>6.09</w:t>
            </w:r>
            <w:r>
              <w:rPr>
                <w:rFonts w:hint="default" w:ascii="Times New Roman" w:hAnsi="Times New Roman" w:eastAsia="宋体" w:cs="Times New Roman"/>
                <w:color w:val="auto"/>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118" w:type="dxa"/>
            <w:vAlign w:val="center"/>
          </w:tcPr>
          <w:p>
            <w:pPr>
              <w:widowControl/>
              <w:tabs>
                <w:tab w:val="left" w:pos="4154"/>
              </w:tabs>
              <w:spacing w:line="400" w:lineRule="exact"/>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color w:val="auto"/>
                <w:kern w:val="0"/>
                <w:sz w:val="20"/>
                <w:szCs w:val="20"/>
                <w:lang w:bidi="ar"/>
              </w:rPr>
              <w:t>合计</w:t>
            </w:r>
          </w:p>
        </w:tc>
        <w:tc>
          <w:tcPr>
            <w:tcW w:w="1695" w:type="dxa"/>
            <w:tcBorders>
              <w:bottom w:val="single" w:color="auto" w:sz="4" w:space="0"/>
            </w:tcBorders>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6.50</w:t>
            </w:r>
          </w:p>
        </w:tc>
        <w:tc>
          <w:tcPr>
            <w:tcW w:w="1680" w:type="dxa"/>
            <w:tcBorders>
              <w:bottom w:val="single" w:color="auto" w:sz="4" w:space="0"/>
            </w:tcBorders>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5.42</w:t>
            </w:r>
          </w:p>
        </w:tc>
        <w:tc>
          <w:tcPr>
            <w:tcW w:w="1710" w:type="dxa"/>
            <w:tcBorders>
              <w:bottom w:val="single" w:color="auto" w:sz="4" w:space="0"/>
            </w:tcBorders>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val="en-US" w:eastAsia="zh-CN" w:bidi="ar"/>
              </w:rPr>
            </w:pPr>
            <w:r>
              <w:rPr>
                <w:rFonts w:hint="eastAsia" w:ascii="Times New Roman" w:hAnsi="Times New Roman" w:eastAsia="宋体" w:cs="Times New Roman"/>
                <w:color w:val="auto"/>
                <w:kern w:val="0"/>
                <w:sz w:val="20"/>
                <w:szCs w:val="20"/>
                <w:lang w:val="en-US" w:eastAsia="zh-CN" w:bidi="ar"/>
              </w:rPr>
              <w:t>1.08</w:t>
            </w:r>
          </w:p>
        </w:tc>
        <w:tc>
          <w:tcPr>
            <w:tcW w:w="1607" w:type="dxa"/>
            <w:tcBorders>
              <w:bottom w:val="single" w:color="auto" w:sz="4" w:space="0"/>
            </w:tcBorders>
            <w:vAlign w:val="center"/>
          </w:tcPr>
          <w:p>
            <w:pPr>
              <w:widowControl/>
              <w:tabs>
                <w:tab w:val="left" w:pos="4154"/>
              </w:tabs>
              <w:spacing w:line="400" w:lineRule="exact"/>
              <w:jc w:val="right"/>
              <w:textAlignment w:val="center"/>
              <w:rPr>
                <w:rFonts w:hint="default" w:ascii="Times New Roman" w:hAnsi="Times New Roman" w:eastAsia="宋体" w:cs="Times New Roman"/>
                <w:color w:val="auto"/>
                <w:kern w:val="0"/>
                <w:sz w:val="20"/>
                <w:szCs w:val="20"/>
                <w:lang w:bidi="ar"/>
              </w:rPr>
            </w:pPr>
            <w:r>
              <w:rPr>
                <w:rFonts w:hint="eastAsia" w:ascii="Times New Roman" w:hAnsi="Times New Roman" w:eastAsia="宋体" w:cs="Times New Roman"/>
                <w:color w:val="auto"/>
                <w:kern w:val="0"/>
                <w:sz w:val="20"/>
                <w:szCs w:val="20"/>
                <w:lang w:val="en-US" w:eastAsia="zh-CN" w:bidi="ar"/>
              </w:rPr>
              <w:t>83.41</w:t>
            </w:r>
            <w:r>
              <w:rPr>
                <w:rFonts w:hint="default" w:ascii="Times New Roman" w:hAnsi="Times New Roman" w:eastAsia="宋体" w:cs="Times New Roman"/>
                <w:color w:val="auto"/>
                <w:kern w:val="0"/>
                <w:sz w:val="20"/>
                <w:szCs w:val="20"/>
                <w:lang w:bidi="ar"/>
              </w:rPr>
              <w:t>%</w:t>
            </w:r>
          </w:p>
        </w:tc>
      </w:tr>
    </w:tbl>
    <w:p>
      <w:pPr>
        <w:keepNext w:val="0"/>
        <w:keepLines w:val="0"/>
        <w:pageBreakBefore w:val="0"/>
        <w:widowControl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（三）项目支出情况</w:t>
      </w:r>
    </w:p>
    <w:p>
      <w:pPr>
        <w:pStyle w:val="5"/>
        <w:keepNext w:val="0"/>
        <w:keepLines w:val="0"/>
        <w:pageBreakBefore w:val="0"/>
        <w:widowControl w:val="0"/>
        <w:numPr>
          <w:ilvl w:val="0"/>
          <w:numId w:val="0"/>
        </w:numPr>
        <w:tabs>
          <w:tab w:val="left" w:pos="4154"/>
        </w:tabs>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2021年度，我站项目支出全年预算数为6,868.55万元，年末决算数为5,695.76万元，项目支出预决算对比情况详见下表：</w:t>
      </w:r>
    </w:p>
    <w:tbl>
      <w:tblPr>
        <w:tblStyle w:val="13"/>
        <w:tblW w:w="8952" w:type="dxa"/>
        <w:jc w:val="center"/>
        <w:tblLayout w:type="fixed"/>
        <w:tblCellMar>
          <w:top w:w="0" w:type="dxa"/>
          <w:left w:w="108" w:type="dxa"/>
          <w:bottom w:w="0" w:type="dxa"/>
          <w:right w:w="108" w:type="dxa"/>
        </w:tblCellMar>
      </w:tblPr>
      <w:tblGrid>
        <w:gridCol w:w="4599"/>
        <w:gridCol w:w="1156"/>
        <w:gridCol w:w="1004"/>
        <w:gridCol w:w="1156"/>
        <w:gridCol w:w="1037"/>
      </w:tblGrid>
      <w:tr>
        <w:tblPrEx>
          <w:tblCellMar>
            <w:top w:w="0" w:type="dxa"/>
            <w:left w:w="108" w:type="dxa"/>
            <w:bottom w:w="0" w:type="dxa"/>
            <w:right w:w="108" w:type="dxa"/>
          </w:tblCellMar>
        </w:tblPrEx>
        <w:trPr>
          <w:trHeight w:val="731" w:hRule="atLeast"/>
          <w:tblHeader/>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400" w:lineRule="exact"/>
              <w:ind w:firstLine="0" w:firstLineChars="0"/>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项目内容</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400" w:lineRule="exact"/>
              <w:ind w:firstLine="0" w:firstLineChars="0"/>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预算</w:t>
            </w:r>
          </w:p>
          <w:p>
            <w:pPr>
              <w:widowControl/>
              <w:tabs>
                <w:tab w:val="left" w:pos="4154"/>
              </w:tabs>
              <w:spacing w:line="400" w:lineRule="exact"/>
              <w:ind w:firstLine="0" w:firstLineChars="0"/>
              <w:jc w:val="center"/>
              <w:textAlignment w:val="center"/>
              <w:rPr>
                <w:rFonts w:hint="eastAsia" w:ascii="宋体" w:hAnsi="宋体" w:eastAsia="宋体" w:cs="宋体"/>
                <w:color w:val="auto"/>
                <w:kern w:val="0"/>
                <w:sz w:val="20"/>
                <w:szCs w:val="20"/>
                <w:lang w:eastAsia="zh-CN" w:bidi="ar"/>
              </w:rPr>
            </w:pPr>
            <w:r>
              <w:rPr>
                <w:rFonts w:hint="eastAsia" w:ascii="宋体" w:hAnsi="宋体" w:eastAsia="宋体" w:cs="宋体"/>
                <w:color w:val="auto"/>
                <w:kern w:val="0"/>
                <w:sz w:val="20"/>
                <w:szCs w:val="20"/>
                <w:lang w:val="en-US" w:eastAsia="zh-CN" w:bidi="ar"/>
              </w:rPr>
              <w:t>资金A</w:t>
            </w:r>
          </w:p>
        </w:tc>
        <w:tc>
          <w:tcPr>
            <w:tcW w:w="1004"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400" w:lineRule="exact"/>
              <w:ind w:firstLine="0" w:firstLineChars="0"/>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决算</w:t>
            </w:r>
          </w:p>
          <w:p>
            <w:pPr>
              <w:widowControl/>
              <w:tabs>
                <w:tab w:val="left" w:pos="4154"/>
              </w:tabs>
              <w:spacing w:line="400" w:lineRule="exact"/>
              <w:ind w:firstLine="0" w:firstLineChars="0"/>
              <w:jc w:val="center"/>
              <w:textAlignment w:val="center"/>
              <w:rPr>
                <w:rFonts w:hint="eastAsia" w:ascii="宋体" w:hAnsi="宋体" w:eastAsia="宋体" w:cs="宋体"/>
                <w:color w:val="auto"/>
                <w:kern w:val="0"/>
                <w:sz w:val="20"/>
                <w:szCs w:val="20"/>
                <w:lang w:eastAsia="zh-CN" w:bidi="ar"/>
              </w:rPr>
            </w:pPr>
            <w:r>
              <w:rPr>
                <w:rFonts w:hint="eastAsia" w:ascii="宋体" w:hAnsi="宋体" w:eastAsia="宋体" w:cs="宋体"/>
                <w:color w:val="auto"/>
                <w:kern w:val="0"/>
                <w:sz w:val="20"/>
                <w:szCs w:val="20"/>
                <w:lang w:val="en-US" w:eastAsia="zh-CN" w:bidi="ar"/>
              </w:rPr>
              <w:t>支出B</w:t>
            </w:r>
          </w:p>
        </w:tc>
        <w:tc>
          <w:tcPr>
            <w:tcW w:w="1156"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400" w:lineRule="exact"/>
              <w:ind w:firstLine="0" w:firstLineChars="0"/>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预、决算差</w:t>
            </w:r>
            <w:r>
              <w:rPr>
                <w:rFonts w:hint="eastAsia" w:ascii="宋体" w:hAnsi="宋体" w:eastAsia="宋体" w:cs="宋体"/>
                <w:color w:val="auto"/>
                <w:kern w:val="0"/>
                <w:sz w:val="20"/>
                <w:szCs w:val="20"/>
                <w:lang w:val="en-US" w:eastAsia="zh-CN" w:bidi="ar"/>
              </w:rPr>
              <w:t>C</w:t>
            </w:r>
            <w:r>
              <w:rPr>
                <w:rFonts w:hint="eastAsia" w:ascii="宋体" w:hAnsi="宋体" w:eastAsia="宋体" w:cs="宋体"/>
                <w:color w:val="auto"/>
                <w:kern w:val="0"/>
                <w:sz w:val="20"/>
                <w:szCs w:val="20"/>
                <w:lang w:bidi="ar"/>
              </w:rPr>
              <w:t>=A</w:t>
            </w:r>
            <w:r>
              <w:rPr>
                <w:rFonts w:hint="eastAsia" w:ascii="宋体" w:hAnsi="宋体" w:eastAsia="宋体" w:cs="宋体"/>
                <w:color w:val="auto"/>
                <w:kern w:val="0"/>
                <w:sz w:val="20"/>
                <w:szCs w:val="20"/>
                <w:lang w:val="en-US" w:eastAsia="zh-CN" w:bidi="ar"/>
              </w:rPr>
              <w:t>-</w:t>
            </w:r>
            <w:r>
              <w:rPr>
                <w:rFonts w:hint="eastAsia" w:ascii="宋体" w:hAnsi="宋体" w:eastAsia="宋体" w:cs="宋体"/>
                <w:color w:val="auto"/>
                <w:kern w:val="0"/>
                <w:sz w:val="20"/>
                <w:szCs w:val="20"/>
                <w:lang w:bidi="ar"/>
              </w:rPr>
              <w:t>B</w:t>
            </w:r>
          </w:p>
        </w:tc>
        <w:tc>
          <w:tcPr>
            <w:tcW w:w="1037"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400" w:lineRule="exact"/>
              <w:ind w:firstLine="0" w:firstLineChars="0"/>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预算执</w:t>
            </w:r>
          </w:p>
          <w:p>
            <w:pPr>
              <w:widowControl/>
              <w:tabs>
                <w:tab w:val="left" w:pos="4154"/>
              </w:tabs>
              <w:spacing w:line="400" w:lineRule="exact"/>
              <w:ind w:firstLine="0" w:firstLineChars="0"/>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行率</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编制农村生活污水规划技术指南、生活污水考核标准等</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76.97</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76.97</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土壤环境及底泥监测</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土壤样品制备及流转</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551.00</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358.71</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192.29</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65.10%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宁乡市仙女河源区镉污染农田安全利用示范项目</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710.00</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618.41</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91.59</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87.10%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土壤污染防治专项（益阳耕地污染成因排查）</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1,114.00</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990.60</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123.40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88.92%</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耕地土壤污染成因排查和试点</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123.21</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123.21</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省级农村生态环境保护</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363.04</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352.28</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10.76</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97.04%</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环境保护与污染防治专项（省直）建设2个示范</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200.00</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180.84</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19.16</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90.42%</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农村面源污染防治监管能力建设</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600.00</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295.50</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304.50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49.25%</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土壤样品库院子运行维护</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90.00</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47.54</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42.46</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52.82%</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耕地土壤与农产品加密调查资金</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687.08</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687.06</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0.02</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重金属污染耕地修复及农作物种植结构调整试点</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2,176.49</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1,797.50</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378.99</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82.59%</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第二次全国污染源普查经费</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3.62</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3.62</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现代农业发展专项-农业资源与安全利用-农用地土壤污染</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40.40</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40.40</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湖南农业大学项目款</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4.56</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4.56</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100.00%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农业大学协作费</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26.43</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17.14</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9.29</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64.84%</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lang w:val="en-US" w:eastAsia="zh-CN" w:bidi="ar"/>
              </w:rPr>
            </w:pPr>
            <w:r>
              <w:rPr>
                <w:rFonts w:hint="eastAsia" w:ascii="宋体" w:hAnsi="宋体" w:eastAsia="宋体" w:cs="宋体"/>
                <w:i w:val="0"/>
                <w:iCs w:val="0"/>
                <w:color w:val="000000"/>
                <w:kern w:val="0"/>
                <w:sz w:val="20"/>
                <w:szCs w:val="20"/>
                <w:u w:val="none"/>
                <w:lang w:val="en-US" w:eastAsia="zh-CN" w:bidi="ar"/>
              </w:rPr>
              <w:t>2020绩效考核奖</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1.45</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1.45</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0.00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100.00%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2019年、2020年非财政拨款结余分配</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0.32</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0.00</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0.32</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0.00%</w:t>
            </w:r>
          </w:p>
        </w:tc>
      </w:tr>
      <w:tr>
        <w:tblPrEx>
          <w:tblCellMar>
            <w:top w:w="0" w:type="dxa"/>
            <w:left w:w="108" w:type="dxa"/>
            <w:bottom w:w="0" w:type="dxa"/>
            <w:right w:w="108" w:type="dxa"/>
          </w:tblCellMar>
        </w:tblPrEx>
        <w:trPr>
          <w:trHeight w:val="533" w:hRule="atLeast"/>
          <w:jc w:val="center"/>
        </w:trPr>
        <w:tc>
          <w:tcPr>
            <w:tcW w:w="4599" w:type="dxa"/>
            <w:tcBorders>
              <w:top w:val="single" w:color="000000" w:sz="4" w:space="0"/>
              <w:left w:val="single" w:color="000000" w:sz="4" w:space="0"/>
              <w:bottom w:val="single" w:color="000000" w:sz="4" w:space="0"/>
              <w:right w:val="single" w:color="000000" w:sz="4" w:space="0"/>
            </w:tcBorders>
            <w:vAlign w:val="center"/>
          </w:tcPr>
          <w:p>
            <w:pPr>
              <w:widowControl/>
              <w:tabs>
                <w:tab w:val="left" w:pos="4154"/>
              </w:tabs>
              <w:spacing w:line="240" w:lineRule="exact"/>
              <w:ind w:firstLine="0" w:firstLineChars="0"/>
              <w:jc w:val="center"/>
              <w:textAlignment w:val="center"/>
              <w:rPr>
                <w:rFonts w:hint="eastAsia" w:ascii="宋体" w:hAnsi="宋体" w:eastAsia="宋体" w:cs="宋体"/>
                <w:b/>
                <w:bCs/>
                <w:color w:val="auto"/>
                <w:kern w:val="0"/>
                <w:sz w:val="20"/>
                <w:szCs w:val="20"/>
                <w:lang w:bidi="ar"/>
              </w:rPr>
            </w:pPr>
            <w:r>
              <w:rPr>
                <w:rFonts w:hint="eastAsia" w:ascii="宋体" w:hAnsi="宋体" w:eastAsia="宋体" w:cs="宋体"/>
                <w:b/>
                <w:bCs/>
                <w:color w:val="auto"/>
                <w:kern w:val="0"/>
                <w:sz w:val="20"/>
                <w:szCs w:val="20"/>
                <w:lang w:val="en-US" w:eastAsia="zh-CN" w:bidi="ar"/>
              </w:rPr>
              <w:t>合计</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6,868.55</w:t>
            </w:r>
          </w:p>
        </w:tc>
        <w:tc>
          <w:tcPr>
            <w:tcW w:w="1004"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5,695.76</w:t>
            </w:r>
          </w:p>
        </w:tc>
        <w:tc>
          <w:tcPr>
            <w:tcW w:w="1156"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default"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1,172.80</w:t>
            </w:r>
          </w:p>
        </w:tc>
        <w:tc>
          <w:tcPr>
            <w:tcW w:w="1037" w:type="dxa"/>
            <w:tcBorders>
              <w:top w:val="single" w:color="000000" w:sz="4" w:space="0"/>
              <w:left w:val="single" w:color="000000" w:sz="4" w:space="0"/>
              <w:bottom w:val="single" w:color="000000" w:sz="4" w:space="0"/>
              <w:right w:val="single" w:color="000000" w:sz="4" w:space="0"/>
            </w:tcBorders>
            <w:vAlign w:val="center"/>
          </w:tcPr>
          <w:p>
            <w:pPr>
              <w:tabs>
                <w:tab w:val="left" w:pos="4154"/>
              </w:tabs>
              <w:spacing w:line="400" w:lineRule="exact"/>
              <w:jc w:val="right"/>
              <w:rPr>
                <w:rFonts w:hint="eastAsia" w:ascii="Times New Roman" w:hAnsi="Times New Roman" w:eastAsia="宋体" w:cs="Times New Roman"/>
                <w:b/>
                <w:bCs/>
                <w:color w:val="auto"/>
                <w:sz w:val="20"/>
                <w:szCs w:val="20"/>
                <w:lang w:val="en-US" w:eastAsia="zh-CN"/>
              </w:rPr>
            </w:pPr>
            <w:r>
              <w:rPr>
                <w:rFonts w:hint="eastAsia" w:ascii="Times New Roman" w:hAnsi="Times New Roman" w:eastAsia="宋体" w:cs="Times New Roman"/>
                <w:b/>
                <w:bCs/>
                <w:color w:val="auto"/>
                <w:sz w:val="20"/>
                <w:szCs w:val="20"/>
                <w:lang w:val="en-US" w:eastAsia="zh-CN"/>
              </w:rPr>
              <w:t>82.93%</w:t>
            </w:r>
          </w:p>
        </w:tc>
      </w:tr>
    </w:tbl>
    <w:p>
      <w:pPr>
        <w:pStyle w:val="5"/>
        <w:keepNext w:val="0"/>
        <w:keepLines w:val="0"/>
        <w:pageBreakBefore w:val="0"/>
        <w:widowControl w:val="0"/>
        <w:tabs>
          <w:tab w:val="left" w:pos="4154"/>
        </w:tabs>
        <w:kinsoku/>
        <w:wordWrap/>
        <w:overflowPunct/>
        <w:topLinePunct w:val="0"/>
        <w:autoSpaceDE/>
        <w:autoSpaceDN/>
        <w:bidi w:val="0"/>
        <w:adjustRightInd w:val="0"/>
        <w:snapToGrid w:val="0"/>
        <w:spacing w:line="360" w:lineRule="exact"/>
        <w:ind w:firstLine="210" w:firstLineChars="100"/>
        <w:jc w:val="left"/>
        <w:textAlignment w:val="auto"/>
        <w:rPr>
          <w:rFonts w:hint="eastAsia" w:ascii="Times New Roman" w:hAnsi="楷体" w:cs="Times New Roman"/>
          <w:b w:val="0"/>
          <w:bCs w:val="0"/>
          <w:color w:val="auto"/>
          <w:sz w:val="21"/>
          <w:szCs w:val="21"/>
          <w:lang w:val="en-US" w:eastAsia="zh-CN"/>
        </w:rPr>
      </w:pPr>
      <w:r>
        <w:rPr>
          <w:rFonts w:hint="eastAsia" w:ascii="Times New Roman" w:hAnsi="楷体" w:cs="Times New Roman"/>
          <w:b w:val="0"/>
          <w:bCs w:val="0"/>
          <w:color w:val="auto"/>
          <w:sz w:val="21"/>
          <w:szCs w:val="21"/>
          <w:lang w:val="en-US" w:eastAsia="zh-CN"/>
        </w:rPr>
        <w:t>注：非财政项目：①湖南农业大学项目款（基于环境友好的化肥农药减施增效技术模式筛选项目），为非财政拨款，总预算30万元；②农业大学协作费（中南镉砷污染农田综合防治与修复技术示范项目），为非财政拨款，总预算47万元。</w:t>
      </w:r>
    </w:p>
    <w:p>
      <w:pPr>
        <w:keepNext w:val="0"/>
        <w:keepLines w:val="0"/>
        <w:pageBreakBefore w:val="0"/>
        <w:widowControl/>
        <w:numPr>
          <w:ilvl w:val="0"/>
          <w:numId w:val="0"/>
        </w:numPr>
        <w:kinsoku/>
        <w:wordWrap/>
        <w:overflowPunct/>
        <w:topLinePunct w:val="0"/>
        <w:autoSpaceDE/>
        <w:autoSpaceDN/>
        <w:bidi w:val="0"/>
        <w:spacing w:line="600" w:lineRule="exact"/>
        <w:ind w:firstLine="640" w:firstLineChars="200"/>
        <w:jc w:val="left"/>
        <w:textAlignment w:val="auto"/>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val="en-US" w:eastAsia="zh-CN"/>
        </w:rPr>
        <w:t>三、部门管理情况</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（一）部门制度建设和执行情况</w:t>
      </w:r>
    </w:p>
    <w:p>
      <w:pPr>
        <w:pStyle w:val="5"/>
        <w:keepNext w:val="0"/>
        <w:keepLines w:val="0"/>
        <w:pageBreakBefore w:val="0"/>
        <w:widowControl w:val="0"/>
        <w:numPr>
          <w:ilvl w:val="0"/>
          <w:numId w:val="0"/>
        </w:numPr>
        <w:tabs>
          <w:tab w:val="left" w:pos="4154"/>
        </w:tabs>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我站依据《湖南省生态环境厅工作规则》《湖南省环境保护厅关于贯彻落实“三重一大”事项集体决策制度的实施办法》及《湖南省生态环境厅财务管理办法》等有关制度的规定，并结合单位实际情况，制定了《三重一大事项决策制度》《财务管理制度》《公务接待和考察调研制度》《湖南省生态环境农村工作站政府采购管理办法》《湖南省生态环境农村工作站专项资金管理办法》等管理制度，内部管理制度较健全，各项制度得到了较好的执行，项目经费使用管理按照财务工作制度及专项资金管理办法规定的基本程序进行审批管理。</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（二）部门绩效评价管理情况</w:t>
      </w:r>
    </w:p>
    <w:p>
      <w:pPr>
        <w:pStyle w:val="5"/>
        <w:keepNext w:val="0"/>
        <w:keepLines w:val="0"/>
        <w:pageBreakBefore w:val="0"/>
        <w:widowControl w:val="0"/>
        <w:numPr>
          <w:ilvl w:val="0"/>
          <w:numId w:val="0"/>
        </w:numPr>
        <w:tabs>
          <w:tab w:val="left" w:pos="4154"/>
        </w:tabs>
        <w:kinsoku/>
        <w:wordWrap/>
        <w:overflowPunct/>
        <w:topLinePunct w:val="0"/>
        <w:autoSpaceDE/>
        <w:autoSpaceDN/>
        <w:bidi w:val="0"/>
        <w:adjustRightInd/>
        <w:snapToGrid/>
        <w:spacing w:line="600" w:lineRule="exact"/>
        <w:ind w:firstLine="560" w:firstLineChars="200"/>
        <w:textAlignment w:val="auto"/>
        <w:rPr>
          <w:rFonts w:hint="default" w:ascii="Times New Roman" w:hAnsi="Times New Roman" w:eastAsia="仿宋_GB2312" w:cs="Times New Roman"/>
          <w:b w:val="0"/>
          <w:bCs w:val="0"/>
          <w:color w:val="auto"/>
          <w:kern w:val="2"/>
          <w:sz w:val="28"/>
          <w:szCs w:val="28"/>
          <w:highlight w:val="none"/>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我站根据湖南省财政厅《关于开展2021年度部门整体支出绩效自评工作的通知》及湖南</w:t>
      </w:r>
      <w:r>
        <w:rPr>
          <w:rFonts w:hint="eastAsia" w:ascii="Times New Roman" w:hAnsi="Times New Roman" w:eastAsia="仿宋_GB2312" w:cs="Times New Roman"/>
          <w:b w:val="0"/>
          <w:bCs w:val="0"/>
          <w:color w:val="auto"/>
          <w:kern w:val="2"/>
          <w:sz w:val="28"/>
          <w:szCs w:val="28"/>
          <w:highlight w:val="none"/>
          <w:lang w:val="en-US" w:eastAsia="zh-CN" w:bidi="ar-SA"/>
        </w:rPr>
        <w:t>省生态环境厅办公室《关于开展2021年度部门整体支出绩效自评价工作的通知》，于2022年3月29日印发绩效自评通知，成立了绩效自评工作小组，对2021年度部门整体预算绩效管理情况；部门履职效能；资金分配、使用和管理；资产和财务管理；政府采购等方面开展全面绩效自评。</w:t>
      </w:r>
    </w:p>
    <w:p>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黑体" w:hAnsi="黑体" w:eastAsia="黑体"/>
          <w:sz w:val="32"/>
          <w:szCs w:val="32"/>
          <w:highlight w:val="none"/>
        </w:rPr>
      </w:pPr>
      <w:r>
        <w:rPr>
          <w:rFonts w:hint="eastAsia" w:ascii="黑体" w:hAnsi="黑体" w:eastAsia="黑体"/>
          <w:sz w:val="32"/>
          <w:szCs w:val="32"/>
          <w:highlight w:val="none"/>
          <w:lang w:val="en-US" w:eastAsia="zh-CN"/>
        </w:rPr>
        <w:t>四、</w:t>
      </w:r>
      <w:r>
        <w:rPr>
          <w:rFonts w:ascii="黑体" w:hAnsi="黑体" w:eastAsia="黑体"/>
          <w:sz w:val="32"/>
          <w:szCs w:val="32"/>
          <w:highlight w:val="none"/>
        </w:rPr>
        <w:t>部门</w:t>
      </w:r>
      <w:r>
        <w:rPr>
          <w:rFonts w:hint="eastAsia" w:ascii="黑体" w:hAnsi="黑体" w:eastAsia="黑体"/>
          <w:sz w:val="32"/>
          <w:szCs w:val="32"/>
          <w:highlight w:val="none"/>
        </w:rPr>
        <w:t>整体支出绩效情况</w:t>
      </w:r>
    </w:p>
    <w:p>
      <w:pPr>
        <w:pStyle w:val="11"/>
        <w:keepNext w:val="0"/>
        <w:keepLines w:val="0"/>
        <w:pageBreakBefore w:val="0"/>
        <w:kinsoku/>
        <w:wordWrap/>
        <w:overflowPunct/>
        <w:topLinePunct w:val="0"/>
        <w:autoSpaceDE/>
        <w:autoSpaceDN/>
        <w:bidi w:val="0"/>
        <w:spacing w:line="600" w:lineRule="exact"/>
        <w:ind w:firstLine="56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Times New Roman" w:hAnsi="Times New Roman" w:eastAsia="仿宋_GB2312" w:cs="Times New Roman"/>
          <w:b w:val="0"/>
          <w:bCs w:val="0"/>
          <w:color w:val="auto"/>
          <w:kern w:val="2"/>
          <w:sz w:val="28"/>
          <w:szCs w:val="28"/>
          <w:lang w:val="en-US" w:eastAsia="zh-CN" w:bidi="ar-SA"/>
        </w:rPr>
        <w:t>2021年度，我站以持续打好农业农村污染防治攻坚战为主线，深入推进农用地土壤污染防治、农村面源污染防控、农村生活污水和黑臭水体治理以及农村生物多样性保护工作，取得了明显的成效，基本完成了年初制定的重点工作目标及各项考核指标。</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（一）开展农村面源污染防控，夯实防控基础</w:t>
      </w:r>
    </w:p>
    <w:p>
      <w:pPr>
        <w:pStyle w:val="2"/>
        <w:keepNext w:val="0"/>
        <w:keepLines w:val="0"/>
        <w:pageBreakBefore w:val="0"/>
        <w:widowControl w:val="0"/>
        <w:kinsoku/>
        <w:wordWrap/>
        <w:overflowPunct/>
        <w:topLinePunct w:val="0"/>
        <w:autoSpaceDE/>
        <w:autoSpaceDN/>
        <w:bidi w:val="0"/>
        <w:adjustRightInd w:val="0"/>
        <w:snapToGrid w:val="0"/>
        <w:spacing w:after="0" w:afterLines="0" w:line="600" w:lineRule="exact"/>
        <w:ind w:left="0" w:leftChars="0" w:firstLine="560" w:firstLineChars="200"/>
        <w:jc w:val="both"/>
        <w:textAlignment w:val="auto"/>
        <w:outlineLvl w:val="9"/>
        <w:rPr>
          <w:rFonts w:hint="default" w:ascii="仿宋_GB2312" w:hAnsi="仿宋_GB2312" w:eastAsia="仿宋_GB2312" w:cs="仿宋_GB2312"/>
          <w:color w:val="000000"/>
          <w:kern w:val="0"/>
          <w:sz w:val="32"/>
          <w:szCs w:val="32"/>
          <w:lang w:val="en-US" w:eastAsia="zh-CN"/>
        </w:rPr>
      </w:pPr>
      <w:r>
        <w:rPr>
          <w:rFonts w:hint="eastAsia" w:ascii="Times New Roman" w:hAnsi="Times New Roman" w:eastAsia="仿宋_GB2312" w:cs="Times New Roman"/>
          <w:b w:val="0"/>
          <w:bCs w:val="0"/>
          <w:color w:val="auto"/>
          <w:kern w:val="2"/>
          <w:sz w:val="28"/>
          <w:szCs w:val="28"/>
          <w:lang w:val="en-US" w:eastAsia="zh-CN" w:bidi="ar-SA"/>
        </w:rPr>
        <w:t>一是开展小流域农村面源污染监测。</w:t>
      </w:r>
      <w:r>
        <w:rPr>
          <w:rFonts w:hint="eastAsia" w:ascii="Times New Roman" w:hAnsi="Times New Roman" w:eastAsia="仿宋_GB2312" w:cs="Times New Roman"/>
          <w:b w:val="0"/>
          <w:bCs w:val="0"/>
          <w:color w:val="auto"/>
          <w:kern w:val="2"/>
          <w:sz w:val="28"/>
          <w:szCs w:val="28"/>
          <w:highlight w:val="none"/>
          <w:lang w:val="en-US" w:eastAsia="zh-CN" w:bidi="ar-SA"/>
        </w:rPr>
        <w:t>在长沙县白石源流域内建成1个城郊区农村面源污染监测示范片区，完成了白石源小流域背景调查和农业环境质量基础调查工作；制定了《湖南省农村面源污染监测试点片区完善监测要素建设方案》，对已建和在建的6个监测试点片区选取南县、西洞庭区、云溪区和长沙县4个片区进行完善建设，截止到2021年底，已完成项目实施主体供应商的招投标工作；</w:t>
      </w:r>
      <w:r>
        <w:rPr>
          <w:rFonts w:hint="eastAsia" w:ascii="Times New Roman" w:hAnsi="Times New Roman" w:eastAsia="仿宋_GB2312" w:cs="Times New Roman"/>
          <w:b w:val="0"/>
          <w:bCs w:val="0"/>
          <w:color w:val="auto"/>
          <w:kern w:val="2"/>
          <w:sz w:val="28"/>
          <w:szCs w:val="28"/>
          <w:lang w:val="en-US" w:eastAsia="zh-CN" w:bidi="ar-SA"/>
        </w:rPr>
        <w:t>二是参与畜禽养殖污染防治相关规划编制及洞庭湖区总磷污染调研工作，完成2019年农村面源污染防控示范项目验收；三是试点探索农村面源污染综合防控，在汨罗市、津市、慈利县选择相对封闭小流域开展农村面源污染模式探索并积极申报全国试点，南县获批成为全国首批农业面源污染治理与监督指导试点地区之一。</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default"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（二）完成农村生活污水和黑臭水体治理，完善方案规划</w:t>
      </w:r>
    </w:p>
    <w:p>
      <w:pPr>
        <w:pStyle w:val="2"/>
        <w:keepNext w:val="0"/>
        <w:keepLines w:val="0"/>
        <w:pageBreakBefore w:val="0"/>
        <w:widowControl w:val="0"/>
        <w:kinsoku/>
        <w:wordWrap/>
        <w:overflowPunct/>
        <w:topLinePunct w:val="0"/>
        <w:autoSpaceDE/>
        <w:autoSpaceDN/>
        <w:bidi w:val="0"/>
        <w:adjustRightInd w:val="0"/>
        <w:snapToGrid w:val="0"/>
        <w:spacing w:after="0" w:afterLines="0" w:line="600" w:lineRule="exact"/>
        <w:ind w:left="0" w:leftChars="0" w:firstLine="560" w:firstLineChars="200"/>
        <w:jc w:val="both"/>
        <w:textAlignment w:val="auto"/>
        <w:outlineLvl w:val="9"/>
        <w:rPr>
          <w:rFonts w:hint="default"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一是完成了605个村的生活污水和34条优先管控类农村黑臭水体治理，衡阳县两个村农村生活污水治理模式和沅江市农村黑臭水体治理模式被生态环境部作为典型案例进行通报；二是制定下发了《湖南省2021年农村环境整治实施方案》，组织编制《湖南省农村生活污水治理规划（2021-2030）》、《湖南省农村生活污水处理设施运维技术指南》；三是组织开展排查工作，对全省农村集中式生活污水处理设施开展排查，全省日处理能力20吨及以上的设施共计1529套，正常运行率96%，核实上报528条黑臭水体，其中优先治理329条。</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default"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（三）推进加密调查工作，提升土壤生态环境行政管理效率</w:t>
      </w:r>
    </w:p>
    <w:p>
      <w:pPr>
        <w:pStyle w:val="5"/>
        <w:keepNext w:val="0"/>
        <w:keepLines w:val="0"/>
        <w:pageBreakBefore w:val="0"/>
        <w:numPr>
          <w:ilvl w:val="0"/>
          <w:numId w:val="0"/>
        </w:numPr>
        <w:tabs>
          <w:tab w:val="left" w:pos="4154"/>
        </w:tabs>
        <w:kinsoku/>
        <w:wordWrap/>
        <w:overflowPunct/>
        <w:topLinePunct w:val="0"/>
        <w:autoSpaceDE/>
        <w:autoSpaceDN/>
        <w:bidi w:val="0"/>
        <w:spacing w:line="600" w:lineRule="exact"/>
        <w:ind w:firstLine="560" w:firstLineChars="200"/>
        <w:textAlignment w:val="auto"/>
        <w:rPr>
          <w:rFonts w:hint="eastAsia"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一是组织编写《湖南省耕地土壤与农产品重金属污染加密调查报告·三调版》详本和简本，同步开展5个专题研究；二是建设信息管理系统，组织完成加密调查信息管理系统开发，实现调查成果“可视化”、“数据化”、“信息化”管理，为提升土壤生态环境行政管理效率提供基础支撑；三是推进县市区加密调查工作</w:t>
      </w:r>
      <w:r>
        <w:rPr>
          <w:rFonts w:hint="eastAsia" w:ascii="Times New Roman" w:hAnsi="Times New Roman" w:eastAsia="仿宋_GB2312" w:cs="Times New Roman"/>
          <w:b w:val="0"/>
          <w:bCs w:val="0"/>
          <w:color w:val="auto"/>
          <w:kern w:val="2"/>
          <w:sz w:val="28"/>
          <w:szCs w:val="28"/>
          <w:highlight w:val="none"/>
          <w:lang w:val="en-US" w:eastAsia="zh-CN" w:bidi="ar-SA"/>
        </w:rPr>
        <w:t>，完成了98个县市区的加密调查和全省122个县市区的二次加密调查工作；四是启动新增耕地补充调查，组织编制补充调查实施方案，共采集土</w:t>
      </w:r>
      <w:r>
        <w:rPr>
          <w:rFonts w:hint="eastAsia" w:ascii="Times New Roman" w:hAnsi="Times New Roman" w:eastAsia="仿宋_GB2312" w:cs="Times New Roman"/>
          <w:b w:val="0"/>
          <w:bCs w:val="0"/>
          <w:color w:val="auto"/>
          <w:kern w:val="2"/>
          <w:sz w:val="28"/>
          <w:szCs w:val="28"/>
          <w:lang w:val="en-US" w:eastAsia="zh-CN" w:bidi="ar-SA"/>
        </w:rPr>
        <w:t>壤样品1.9万多个，农产品样品1.7万多个，年底前完成所有样品的检测任务和数据上报审核。</w:t>
      </w:r>
    </w:p>
    <w:p>
      <w:pPr>
        <w:keepNext w:val="0"/>
        <w:keepLines w:val="0"/>
        <w:pageBreakBefore w:val="0"/>
        <w:tabs>
          <w:tab w:val="left" w:pos="4154"/>
        </w:tabs>
        <w:kinsoku/>
        <w:wordWrap/>
        <w:overflowPunct/>
        <w:topLinePunct w:val="0"/>
        <w:autoSpaceDE/>
        <w:autoSpaceDN/>
        <w:bidi w:val="0"/>
        <w:adjustRightInd w:val="0"/>
        <w:snapToGrid w:val="0"/>
        <w:spacing w:line="600" w:lineRule="exact"/>
        <w:ind w:firstLine="420" w:firstLineChars="150"/>
        <w:textAlignment w:val="auto"/>
        <w:rPr>
          <w:rStyle w:val="25"/>
          <w:rFonts w:hint="default"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（四）推进农用地土壤污染防控，探索安全利用技术模式</w:t>
      </w:r>
    </w:p>
    <w:p>
      <w:pPr>
        <w:pStyle w:val="5"/>
        <w:keepNext w:val="0"/>
        <w:keepLines w:val="0"/>
        <w:pageBreakBefore w:val="0"/>
        <w:numPr>
          <w:ilvl w:val="0"/>
          <w:numId w:val="0"/>
        </w:numPr>
        <w:tabs>
          <w:tab w:val="left" w:pos="4154"/>
        </w:tabs>
        <w:kinsoku/>
        <w:wordWrap/>
        <w:overflowPunct/>
        <w:topLinePunct w:val="0"/>
        <w:autoSpaceDE/>
        <w:autoSpaceDN/>
        <w:bidi w:val="0"/>
        <w:spacing w:line="600" w:lineRule="exact"/>
        <w:ind w:firstLine="560" w:firstLineChars="200"/>
        <w:textAlignment w:val="auto"/>
        <w:rPr>
          <w:rFonts w:hint="eastAsia"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一是完成全国首批农用地土壤重金属污染成因排查与分析试点工作，涉及5个县市区，共计111万亩，并形成总结报告；二是启动益阳市耕地土壤污染成因排查与分析工作，完成了益阳市土壤调查数据、污染源数据和辅助资料的收集，形成了耕地土壤环境信息综合数据库，建立了耕地土壤污染源清单；三是启动宁乡仙女河源区受污染耕地安全利用国家库项目建设，组织开展湘阴、苏仙两个受污染耕地安全利用项目建设；四是组织制定全国首个地方标准—《农用地土壤重金属污染修复治理效果评价技术规范》，顺利通过审查并正式发布。</w:t>
      </w:r>
    </w:p>
    <w:p>
      <w:pPr>
        <w:keepNext w:val="0"/>
        <w:keepLines w:val="0"/>
        <w:pageBreakBefore w:val="0"/>
        <w:kinsoku/>
        <w:wordWrap/>
        <w:overflowPunct/>
        <w:topLinePunct w:val="0"/>
        <w:autoSpaceDE/>
        <w:autoSpaceDN/>
        <w:bidi w:val="0"/>
        <w:spacing w:line="600" w:lineRule="exact"/>
        <w:ind w:firstLine="560" w:firstLineChars="200"/>
        <w:textAlignment w:val="auto"/>
        <w:rPr>
          <w:rStyle w:val="25"/>
          <w:rFonts w:hint="eastAsia" w:ascii="楷体_GB2312" w:hAnsi="楷体_GB2312" w:eastAsia="楷体_GB2312" w:cs="楷体_GB2312"/>
          <w:color w:val="auto"/>
          <w:sz w:val="28"/>
          <w:szCs w:val="28"/>
          <w:highlight w:val="none"/>
          <w:lang w:val="en-US" w:eastAsia="zh-CN"/>
        </w:rPr>
      </w:pPr>
      <w:r>
        <w:rPr>
          <w:rStyle w:val="25"/>
          <w:rFonts w:hint="eastAsia" w:ascii="楷体_GB2312" w:hAnsi="楷体_GB2312" w:eastAsia="楷体_GB2312" w:cs="楷体_GB2312"/>
          <w:color w:val="auto"/>
          <w:sz w:val="28"/>
          <w:szCs w:val="28"/>
          <w:highlight w:val="none"/>
          <w:lang w:val="en-US" w:eastAsia="zh-CN"/>
        </w:rPr>
        <w:t>（五）开展农村生物多样性保护工作，推进农村生物安全管理</w:t>
      </w:r>
    </w:p>
    <w:p>
      <w:pPr>
        <w:keepNext w:val="0"/>
        <w:keepLines w:val="0"/>
        <w:pageBreakBefore w:val="0"/>
        <w:kinsoku/>
        <w:wordWrap/>
        <w:overflowPunct/>
        <w:topLinePunct w:val="0"/>
        <w:autoSpaceDE/>
        <w:autoSpaceDN/>
        <w:bidi w:val="0"/>
        <w:spacing w:line="600" w:lineRule="exact"/>
        <w:ind w:firstLine="560" w:firstLineChars="200"/>
        <w:textAlignment w:val="auto"/>
        <w:rPr>
          <w:rFonts w:hint="default" w:ascii="Times New Roman" w:hAnsi="Times New Roman" w:eastAsia="仿宋_GB2312" w:cs="Times New Roman"/>
          <w:b w:val="0"/>
          <w:bCs w:val="0"/>
          <w:color w:val="auto"/>
          <w:kern w:val="2"/>
          <w:sz w:val="28"/>
          <w:szCs w:val="28"/>
          <w:lang w:val="en-US" w:eastAsia="zh-CN" w:bidi="ar-SA"/>
        </w:rPr>
      </w:pPr>
      <w:r>
        <w:rPr>
          <w:rFonts w:hint="default" w:ascii="Times New Roman" w:hAnsi="Times New Roman" w:eastAsia="仿宋_GB2312" w:cs="Times New Roman"/>
          <w:b w:val="0"/>
          <w:bCs w:val="0"/>
          <w:color w:val="auto"/>
          <w:kern w:val="2"/>
          <w:sz w:val="28"/>
          <w:szCs w:val="28"/>
          <w:lang w:val="en-US" w:eastAsia="zh-CN" w:bidi="ar-SA"/>
        </w:rPr>
        <w:t>一是开展农村生物资源调查，</w:t>
      </w:r>
      <w:r>
        <w:rPr>
          <w:rFonts w:hint="eastAsia" w:ascii="Times New Roman" w:hAnsi="Times New Roman" w:eastAsia="仿宋_GB2312" w:cs="Times New Roman"/>
          <w:b w:val="0"/>
          <w:bCs w:val="0"/>
          <w:color w:val="auto"/>
          <w:kern w:val="2"/>
          <w:sz w:val="28"/>
          <w:szCs w:val="28"/>
          <w:lang w:val="en-US" w:eastAsia="zh-CN" w:bidi="ar-SA"/>
        </w:rPr>
        <w:t>截止到2021年年底，完成长江经济带湖南区域外来入侵生物调查</w:t>
      </w:r>
      <w:r>
        <w:rPr>
          <w:rFonts w:hint="default" w:ascii="Times New Roman" w:hAnsi="Times New Roman" w:eastAsia="仿宋_GB2312" w:cs="Times New Roman"/>
          <w:b w:val="0"/>
          <w:bCs w:val="0"/>
          <w:color w:val="auto"/>
          <w:kern w:val="2"/>
          <w:sz w:val="28"/>
          <w:szCs w:val="28"/>
          <w:lang w:val="en-US" w:eastAsia="zh-CN" w:bidi="ar-SA"/>
        </w:rPr>
        <w:t>，总调查面积达到530平方公里，</w:t>
      </w:r>
      <w:r>
        <w:rPr>
          <w:rFonts w:hint="eastAsia" w:ascii="Times New Roman" w:hAnsi="Times New Roman" w:eastAsia="仿宋_GB2312" w:cs="Times New Roman"/>
          <w:b w:val="0"/>
          <w:bCs w:val="0"/>
          <w:color w:val="auto"/>
          <w:kern w:val="2"/>
          <w:sz w:val="28"/>
          <w:szCs w:val="28"/>
          <w:lang w:val="en-US" w:eastAsia="zh-CN" w:bidi="ar-SA"/>
        </w:rPr>
        <w:t>正式出版了《长江经济带湖南区域外来入侵生物图鉴》（书刊号ISBN978-7-109-28598-9）</w:t>
      </w:r>
      <w:r>
        <w:rPr>
          <w:rFonts w:hint="default" w:ascii="Times New Roman" w:hAnsi="Times New Roman" w:eastAsia="仿宋_GB2312" w:cs="Times New Roman"/>
          <w:b w:val="0"/>
          <w:bCs w:val="0"/>
          <w:color w:val="auto"/>
          <w:kern w:val="2"/>
          <w:sz w:val="28"/>
          <w:szCs w:val="28"/>
          <w:lang w:val="en-US" w:eastAsia="zh-CN" w:bidi="ar-SA"/>
        </w:rPr>
        <w:t>；</w:t>
      </w:r>
      <w:r>
        <w:rPr>
          <w:rFonts w:hint="eastAsia" w:ascii="Times New Roman" w:hAnsi="Times New Roman" w:eastAsia="仿宋_GB2312" w:cs="Times New Roman"/>
          <w:b w:val="0"/>
          <w:bCs w:val="0"/>
          <w:color w:val="auto"/>
          <w:kern w:val="2"/>
          <w:sz w:val="28"/>
          <w:szCs w:val="28"/>
          <w:lang w:val="en-US" w:eastAsia="zh-CN" w:bidi="ar-SA"/>
        </w:rPr>
        <w:t>启动</w:t>
      </w:r>
      <w:r>
        <w:rPr>
          <w:rFonts w:hint="default" w:ascii="Times New Roman" w:hAnsi="Times New Roman" w:eastAsia="仿宋_GB2312" w:cs="Times New Roman"/>
          <w:b w:val="0"/>
          <w:bCs w:val="0"/>
          <w:color w:val="auto"/>
          <w:kern w:val="2"/>
          <w:sz w:val="28"/>
          <w:szCs w:val="28"/>
          <w:lang w:val="en-US" w:eastAsia="zh-CN" w:bidi="ar-SA"/>
        </w:rPr>
        <w:t>洞庭湖生物多样性保护优先区域农村生物资源调查</w:t>
      </w:r>
      <w:r>
        <w:rPr>
          <w:rFonts w:hint="eastAsia" w:ascii="Times New Roman" w:hAnsi="Times New Roman" w:eastAsia="仿宋_GB2312" w:cs="Times New Roman"/>
          <w:b w:val="0"/>
          <w:bCs w:val="0"/>
          <w:color w:val="auto"/>
          <w:kern w:val="2"/>
          <w:sz w:val="28"/>
          <w:szCs w:val="28"/>
          <w:lang w:val="en-US" w:eastAsia="zh-CN" w:bidi="ar-SA"/>
        </w:rPr>
        <w:t>，</w:t>
      </w:r>
      <w:r>
        <w:rPr>
          <w:rFonts w:hint="default" w:ascii="Times New Roman" w:hAnsi="Times New Roman" w:eastAsia="仿宋_GB2312" w:cs="Times New Roman"/>
          <w:b w:val="0"/>
          <w:bCs w:val="0"/>
          <w:color w:val="auto"/>
          <w:kern w:val="2"/>
          <w:sz w:val="28"/>
          <w:szCs w:val="28"/>
          <w:lang w:val="en-US" w:eastAsia="zh-CN" w:bidi="ar-SA"/>
        </w:rPr>
        <w:t>完成洞庭湖区域植物多样性野外调查，制作标本200份，鉴定物种500种，拍摄物种图片4000张，</w:t>
      </w:r>
      <w:r>
        <w:rPr>
          <w:rFonts w:hint="eastAsia" w:ascii="Times New Roman" w:hAnsi="Times New Roman" w:eastAsia="仿宋_GB2312" w:cs="Times New Roman"/>
          <w:b w:val="0"/>
          <w:bCs w:val="0"/>
          <w:color w:val="auto"/>
          <w:kern w:val="2"/>
          <w:sz w:val="28"/>
          <w:szCs w:val="28"/>
          <w:lang w:val="en-US" w:eastAsia="zh-CN" w:bidi="ar-SA"/>
        </w:rPr>
        <w:t>发现湖南新纪录5种，洞庭湖新纪录67种，</w:t>
      </w:r>
      <w:r>
        <w:rPr>
          <w:rFonts w:hint="default" w:ascii="Times New Roman" w:hAnsi="Times New Roman" w:eastAsia="仿宋_GB2312" w:cs="Times New Roman"/>
          <w:b w:val="0"/>
          <w:bCs w:val="0"/>
          <w:color w:val="auto"/>
          <w:kern w:val="2"/>
          <w:sz w:val="28"/>
          <w:szCs w:val="28"/>
          <w:lang w:val="en-US" w:eastAsia="zh-CN" w:bidi="ar-SA"/>
        </w:rPr>
        <w:t>有效推动洞庭湖区域生物多样保护及生物安全管理；二是推进农村生物安全管理，完成双牌、祁阳、新田、汨罗和新宁等5个农村生物安全管理试点任务，</w:t>
      </w:r>
      <w:r>
        <w:rPr>
          <w:rFonts w:hint="eastAsia" w:ascii="Times New Roman" w:hAnsi="Times New Roman" w:eastAsia="仿宋_GB2312" w:cs="Times New Roman"/>
          <w:b w:val="0"/>
          <w:bCs w:val="0"/>
          <w:color w:val="auto"/>
          <w:kern w:val="2"/>
          <w:sz w:val="28"/>
          <w:szCs w:val="28"/>
          <w:lang w:val="en-US" w:eastAsia="zh-CN" w:bidi="ar-SA"/>
        </w:rPr>
        <w:t>开展了村域外来入侵物种灭除活动，结合5.22环境保护日等契机开展了生物安全和生物多样性保护宣传培训，</w:t>
      </w:r>
      <w:r>
        <w:rPr>
          <w:rFonts w:hint="default" w:ascii="Times New Roman" w:hAnsi="Times New Roman" w:eastAsia="仿宋_GB2312" w:cs="Times New Roman"/>
          <w:b w:val="0"/>
          <w:bCs w:val="0"/>
          <w:color w:val="auto"/>
          <w:kern w:val="2"/>
          <w:sz w:val="28"/>
          <w:szCs w:val="28"/>
          <w:lang w:val="en-US" w:eastAsia="zh-CN" w:bidi="ar-SA"/>
        </w:rPr>
        <w:t>为维护本土生物安全和物种多样性水平提供保障；三是建设农村</w:t>
      </w:r>
      <w:r>
        <w:rPr>
          <w:rFonts w:hint="eastAsia" w:ascii="Times New Roman" w:hAnsi="Times New Roman" w:eastAsia="仿宋_GB2312" w:cs="Times New Roman"/>
          <w:b w:val="0"/>
          <w:bCs w:val="0"/>
          <w:color w:val="auto"/>
          <w:kern w:val="2"/>
          <w:sz w:val="28"/>
          <w:szCs w:val="28"/>
          <w:lang w:val="en-US" w:eastAsia="zh-CN" w:bidi="ar-SA"/>
        </w:rPr>
        <w:t>生物多样性保护（农村</w:t>
      </w:r>
      <w:r>
        <w:rPr>
          <w:rFonts w:hint="default" w:ascii="Times New Roman" w:hAnsi="Times New Roman" w:eastAsia="仿宋_GB2312" w:cs="Times New Roman"/>
          <w:b w:val="0"/>
          <w:bCs w:val="0"/>
          <w:color w:val="auto"/>
          <w:kern w:val="2"/>
          <w:sz w:val="28"/>
          <w:szCs w:val="28"/>
          <w:lang w:val="en-US" w:eastAsia="zh-CN" w:bidi="ar-SA"/>
        </w:rPr>
        <w:t>生态景观</w:t>
      </w:r>
      <w:r>
        <w:rPr>
          <w:rFonts w:hint="eastAsia" w:ascii="Times New Roman" w:hAnsi="Times New Roman" w:eastAsia="仿宋_GB2312" w:cs="Times New Roman"/>
          <w:b w:val="0"/>
          <w:bCs w:val="0"/>
          <w:color w:val="auto"/>
          <w:kern w:val="2"/>
          <w:sz w:val="28"/>
          <w:szCs w:val="28"/>
          <w:lang w:val="en-US" w:eastAsia="zh-CN" w:bidi="ar-SA"/>
        </w:rPr>
        <w:t>建设）</w:t>
      </w:r>
      <w:r>
        <w:rPr>
          <w:rFonts w:hint="default" w:ascii="Times New Roman" w:hAnsi="Times New Roman" w:eastAsia="仿宋_GB2312" w:cs="Times New Roman"/>
          <w:b w:val="0"/>
          <w:bCs w:val="0"/>
          <w:color w:val="auto"/>
          <w:kern w:val="2"/>
          <w:sz w:val="28"/>
          <w:szCs w:val="28"/>
          <w:lang w:val="en-US" w:eastAsia="zh-CN" w:bidi="ar-SA"/>
        </w:rPr>
        <w:t>试点，2021年度完成</w:t>
      </w:r>
      <w:r>
        <w:rPr>
          <w:rFonts w:hint="eastAsia" w:ascii="Times New Roman" w:hAnsi="Times New Roman" w:eastAsia="仿宋_GB2312" w:cs="Times New Roman"/>
          <w:b w:val="0"/>
          <w:bCs w:val="0"/>
          <w:color w:val="auto"/>
          <w:kern w:val="2"/>
          <w:sz w:val="28"/>
          <w:szCs w:val="28"/>
          <w:lang w:val="en-US" w:eastAsia="zh-CN" w:bidi="ar-SA"/>
        </w:rPr>
        <w:t>了</w:t>
      </w:r>
      <w:r>
        <w:rPr>
          <w:rFonts w:hint="default" w:ascii="Times New Roman" w:hAnsi="Times New Roman" w:eastAsia="仿宋_GB2312" w:cs="Times New Roman"/>
          <w:b w:val="0"/>
          <w:bCs w:val="0"/>
          <w:color w:val="auto"/>
          <w:kern w:val="2"/>
          <w:sz w:val="28"/>
          <w:szCs w:val="28"/>
          <w:lang w:val="en-US" w:eastAsia="zh-CN" w:bidi="ar-SA"/>
        </w:rPr>
        <w:t>武冈市“美丽田园示范点”和“花园院落示范点”建设，有效提升了当地生态</w:t>
      </w:r>
      <w:r>
        <w:rPr>
          <w:rFonts w:hint="eastAsia" w:ascii="Times New Roman" w:hAnsi="Times New Roman" w:eastAsia="仿宋_GB2312" w:cs="Times New Roman"/>
          <w:b w:val="0"/>
          <w:bCs w:val="0"/>
          <w:color w:val="auto"/>
          <w:kern w:val="2"/>
          <w:sz w:val="28"/>
          <w:szCs w:val="28"/>
          <w:lang w:val="en-US" w:eastAsia="zh-CN" w:bidi="ar-SA"/>
        </w:rPr>
        <w:t>系统</w:t>
      </w:r>
      <w:r>
        <w:rPr>
          <w:rFonts w:hint="default" w:ascii="Times New Roman" w:hAnsi="Times New Roman" w:eastAsia="仿宋_GB2312" w:cs="Times New Roman"/>
          <w:b w:val="0"/>
          <w:bCs w:val="0"/>
          <w:color w:val="auto"/>
          <w:kern w:val="2"/>
          <w:sz w:val="28"/>
          <w:szCs w:val="28"/>
          <w:lang w:val="en-US" w:eastAsia="zh-CN" w:bidi="ar-SA"/>
        </w:rPr>
        <w:t>服务功能</w:t>
      </w:r>
      <w:r>
        <w:rPr>
          <w:rFonts w:hint="eastAsia" w:ascii="Times New Roman" w:hAnsi="Times New Roman" w:eastAsia="仿宋_GB2312" w:cs="Times New Roman"/>
          <w:b w:val="0"/>
          <w:bCs w:val="0"/>
          <w:color w:val="auto"/>
          <w:kern w:val="2"/>
          <w:sz w:val="28"/>
          <w:szCs w:val="28"/>
          <w:lang w:val="en-US" w:eastAsia="zh-CN" w:bidi="ar-SA"/>
        </w:rPr>
        <w:t>，为保护当地生物多样性提供了有益探索；编制完成《</w:t>
      </w:r>
      <w:r>
        <w:rPr>
          <w:rFonts w:hint="default" w:ascii="Times New Roman" w:hAnsi="Times New Roman" w:eastAsia="仿宋_GB2312" w:cs="Times New Roman"/>
          <w:b w:val="0"/>
          <w:bCs w:val="0"/>
          <w:color w:val="auto"/>
          <w:kern w:val="2"/>
          <w:sz w:val="28"/>
          <w:szCs w:val="28"/>
          <w:lang w:val="en-US" w:eastAsia="zh-CN" w:bidi="ar-SA"/>
        </w:rPr>
        <w:t>农村生态景观</w:t>
      </w:r>
      <w:r>
        <w:rPr>
          <w:rFonts w:hint="eastAsia" w:ascii="Times New Roman" w:hAnsi="Times New Roman" w:eastAsia="仿宋_GB2312" w:cs="Times New Roman"/>
          <w:b w:val="0"/>
          <w:bCs w:val="0"/>
          <w:color w:val="auto"/>
          <w:kern w:val="2"/>
          <w:sz w:val="28"/>
          <w:szCs w:val="28"/>
          <w:lang w:val="en-US" w:eastAsia="zh-CN" w:bidi="ar-SA"/>
        </w:rPr>
        <w:t>示范点</w:t>
      </w:r>
      <w:r>
        <w:rPr>
          <w:rFonts w:hint="default" w:ascii="Times New Roman" w:hAnsi="Times New Roman" w:eastAsia="仿宋_GB2312" w:cs="Times New Roman"/>
          <w:b w:val="0"/>
          <w:bCs w:val="0"/>
          <w:color w:val="auto"/>
          <w:kern w:val="2"/>
          <w:sz w:val="28"/>
          <w:szCs w:val="28"/>
          <w:lang w:val="en-US" w:eastAsia="zh-CN" w:bidi="ar-SA"/>
        </w:rPr>
        <w:t>建设技术指南</w:t>
      </w:r>
      <w:r>
        <w:rPr>
          <w:rFonts w:hint="eastAsia" w:ascii="Times New Roman" w:hAnsi="Times New Roman" w:eastAsia="仿宋_GB2312" w:cs="Times New Roman"/>
          <w:b w:val="0"/>
          <w:bCs w:val="0"/>
          <w:color w:val="auto"/>
          <w:kern w:val="2"/>
          <w:sz w:val="28"/>
          <w:szCs w:val="28"/>
          <w:lang w:val="en-US" w:eastAsia="zh-CN" w:bidi="ar-SA"/>
        </w:rPr>
        <w:t>》</w:t>
      </w:r>
      <w:r>
        <w:rPr>
          <w:rFonts w:hint="default" w:ascii="Times New Roman" w:hAnsi="Times New Roman" w:eastAsia="仿宋_GB2312" w:cs="Times New Roman"/>
          <w:b w:val="0"/>
          <w:bCs w:val="0"/>
          <w:color w:val="auto"/>
          <w:kern w:val="2"/>
          <w:sz w:val="28"/>
          <w:szCs w:val="28"/>
          <w:lang w:val="en-US" w:eastAsia="zh-CN" w:bidi="ar-SA"/>
        </w:rPr>
        <w:t>，为乡村生态景观建设提供技术支撑。</w:t>
      </w:r>
    </w:p>
    <w:p>
      <w:pPr>
        <w:pStyle w:val="2"/>
        <w:keepNext w:val="0"/>
        <w:keepLines w:val="0"/>
        <w:pageBreakBefore w:val="0"/>
        <w:widowControl w:val="0"/>
        <w:kinsoku/>
        <w:wordWrap/>
        <w:overflowPunct/>
        <w:topLinePunct w:val="0"/>
        <w:autoSpaceDE/>
        <w:autoSpaceDN/>
        <w:bidi w:val="0"/>
        <w:adjustRightInd w:val="0"/>
        <w:snapToGrid w:val="0"/>
        <w:spacing w:after="0" w:afterLines="0" w:line="600" w:lineRule="exact"/>
        <w:ind w:left="0" w:leftChars="0" w:firstLine="560" w:firstLineChars="200"/>
        <w:jc w:val="both"/>
        <w:textAlignment w:val="auto"/>
        <w:outlineLvl w:val="9"/>
        <w:rPr>
          <w:rStyle w:val="25"/>
          <w:rFonts w:hint="default" w:ascii="楷体_GB2312" w:hAnsi="楷体_GB2312" w:eastAsia="楷体_GB2312" w:cs="楷体_GB2312"/>
          <w:color w:val="auto"/>
          <w:kern w:val="2"/>
          <w:sz w:val="28"/>
          <w:szCs w:val="28"/>
          <w:highlight w:val="none"/>
          <w:lang w:val="en-US" w:eastAsia="zh-CN" w:bidi="ar-SA"/>
        </w:rPr>
      </w:pPr>
      <w:r>
        <w:rPr>
          <w:rStyle w:val="25"/>
          <w:rFonts w:hint="eastAsia" w:ascii="楷体_GB2312" w:hAnsi="楷体_GB2312" w:eastAsia="楷体_GB2312" w:cs="楷体_GB2312"/>
          <w:color w:val="auto"/>
          <w:kern w:val="2"/>
          <w:sz w:val="28"/>
          <w:szCs w:val="28"/>
          <w:highlight w:val="none"/>
          <w:lang w:val="en-US" w:eastAsia="zh-CN" w:bidi="ar-SA"/>
        </w:rPr>
        <w:t>（六）完成整体工程联合验收，推动土壤样品制备流转中心建设</w:t>
      </w:r>
    </w:p>
    <w:p>
      <w:pPr>
        <w:pStyle w:val="2"/>
        <w:keepNext w:val="0"/>
        <w:keepLines w:val="0"/>
        <w:pageBreakBefore w:val="0"/>
        <w:widowControl w:val="0"/>
        <w:kinsoku/>
        <w:wordWrap/>
        <w:overflowPunct/>
        <w:topLinePunct w:val="0"/>
        <w:autoSpaceDE/>
        <w:autoSpaceDN/>
        <w:bidi w:val="0"/>
        <w:adjustRightInd w:val="0"/>
        <w:snapToGrid w:val="0"/>
        <w:spacing w:after="0" w:afterLines="0" w:line="600" w:lineRule="exact"/>
        <w:ind w:left="0" w:leftChars="0" w:firstLine="560" w:firstLineChars="200"/>
        <w:jc w:val="both"/>
        <w:textAlignment w:val="auto"/>
        <w:outlineLvl w:val="9"/>
        <w:rPr>
          <w:rStyle w:val="25"/>
          <w:rFonts w:hint="default" w:ascii="楷体_GB2312" w:hAnsi="楷体_GB2312" w:eastAsia="楷体_GB2312" w:cs="楷体_GB2312"/>
          <w:color w:val="auto"/>
          <w:kern w:val="2"/>
          <w:sz w:val="28"/>
          <w:szCs w:val="28"/>
          <w:highlight w:val="none"/>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一是完成了样品库整体工程联合验收工作，按进度完成了样品库规划和国土竣工实测，待开展工程</w:t>
      </w:r>
      <w:r>
        <w:rPr>
          <w:rFonts w:hint="eastAsia" w:ascii="Times New Roman" w:hAnsi="Times New Roman" w:eastAsia="仿宋_GB2312" w:cs="Times New Roman"/>
          <w:b w:val="0"/>
          <w:bCs w:val="0"/>
          <w:color w:val="auto"/>
          <w:kern w:val="2"/>
          <w:sz w:val="28"/>
          <w:szCs w:val="28"/>
          <w:highlight w:val="none"/>
          <w:lang w:val="en-US" w:eastAsia="zh-CN" w:bidi="ar-SA"/>
        </w:rPr>
        <w:t>的竣工结算；二是开展土壤样品制备流转中心建设工作，制定了《土壤样品库制备流转中心建设方案》，2021年11月中旬，完成了湖南省土壤样品制备仪器采购项目、湖南省土壤样品库制备流转中心建设项目的采购任务，采购的制备仪器年底均已供货到位，待中心场地建设完成后，完成项目验收。</w:t>
      </w:r>
    </w:p>
    <w:p>
      <w:pPr>
        <w:keepNext w:val="0"/>
        <w:keepLines w:val="0"/>
        <w:pageBreakBefore w:val="0"/>
        <w:widowControl/>
        <w:numPr>
          <w:ilvl w:val="0"/>
          <w:numId w:val="0"/>
        </w:numPr>
        <w:kinsoku/>
        <w:wordWrap/>
        <w:overflowPunct/>
        <w:topLinePunct w:val="0"/>
        <w:autoSpaceDE/>
        <w:autoSpaceDN/>
        <w:bidi w:val="0"/>
        <w:spacing w:line="600" w:lineRule="exact"/>
        <w:ind w:firstLine="640" w:firstLineChars="200"/>
        <w:jc w:val="left"/>
        <w:textAlignment w:val="auto"/>
        <w:rPr>
          <w:rFonts w:hint="eastAsia" w:ascii="黑体" w:hAnsi="黑体" w:eastAsia="黑体"/>
          <w:sz w:val="32"/>
          <w:szCs w:val="32"/>
        </w:rPr>
      </w:pPr>
      <w:r>
        <w:rPr>
          <w:rFonts w:hint="eastAsia" w:ascii="黑体" w:hAnsi="黑体" w:eastAsia="黑体"/>
          <w:sz w:val="32"/>
          <w:szCs w:val="32"/>
          <w:lang w:val="en-US" w:eastAsia="zh-CN"/>
        </w:rPr>
        <w:t>五、</w:t>
      </w:r>
      <w:r>
        <w:rPr>
          <w:rFonts w:hint="eastAsia" w:ascii="黑体" w:hAnsi="黑体" w:eastAsia="黑体"/>
          <w:sz w:val="32"/>
          <w:szCs w:val="32"/>
        </w:rPr>
        <w:t>存在的主要问题</w:t>
      </w:r>
    </w:p>
    <w:p>
      <w:pPr>
        <w:pStyle w:val="2"/>
        <w:keepNext w:val="0"/>
        <w:keepLines w:val="0"/>
        <w:pageBreakBefore w:val="0"/>
        <w:numPr>
          <w:ilvl w:val="0"/>
          <w:numId w:val="0"/>
        </w:numPr>
        <w:kinsoku/>
        <w:wordWrap/>
        <w:overflowPunct/>
        <w:topLinePunct w:val="0"/>
        <w:autoSpaceDE/>
        <w:autoSpaceDN/>
        <w:bidi w:val="0"/>
        <w:spacing w:line="600" w:lineRule="exact"/>
        <w:ind w:firstLine="560" w:firstLineChars="200"/>
        <w:textAlignment w:val="auto"/>
        <w:rPr>
          <w:rStyle w:val="25"/>
          <w:rFonts w:hint="eastAsia" w:ascii="楷体_GB2312" w:hAnsi="楷体_GB2312" w:eastAsia="楷体_GB2312" w:cs="楷体_GB2312"/>
          <w:color w:val="auto"/>
          <w:kern w:val="2"/>
          <w:sz w:val="28"/>
          <w:szCs w:val="28"/>
          <w:highlight w:val="none"/>
          <w:lang w:val="en-US" w:eastAsia="zh-CN" w:bidi="ar-SA"/>
        </w:rPr>
      </w:pPr>
      <w:r>
        <w:rPr>
          <w:rStyle w:val="25"/>
          <w:rFonts w:hint="eastAsia" w:ascii="楷体_GB2312" w:hAnsi="楷体_GB2312" w:eastAsia="楷体_GB2312" w:cs="楷体_GB2312"/>
          <w:color w:val="auto"/>
          <w:kern w:val="2"/>
          <w:sz w:val="28"/>
          <w:szCs w:val="28"/>
          <w:highlight w:val="none"/>
          <w:lang w:val="en-US" w:eastAsia="zh-CN" w:bidi="ar-SA"/>
        </w:rPr>
        <w:t>（一）部分费用报销附件有待完善</w:t>
      </w:r>
    </w:p>
    <w:p>
      <w:pPr>
        <w:pStyle w:val="2"/>
        <w:keepNext w:val="0"/>
        <w:keepLines w:val="0"/>
        <w:pageBreakBefore w:val="0"/>
        <w:widowControl w:val="0"/>
        <w:kinsoku/>
        <w:wordWrap/>
        <w:overflowPunct/>
        <w:topLinePunct w:val="0"/>
        <w:autoSpaceDE/>
        <w:autoSpaceDN/>
        <w:bidi w:val="0"/>
        <w:adjustRightInd w:val="0"/>
        <w:snapToGrid w:val="0"/>
        <w:spacing w:after="0" w:afterLines="0" w:line="600" w:lineRule="exact"/>
        <w:ind w:left="0" w:leftChars="0" w:firstLine="560" w:firstLineChars="200"/>
        <w:jc w:val="both"/>
        <w:textAlignment w:val="auto"/>
        <w:outlineLvl w:val="9"/>
        <w:rPr>
          <w:rFonts w:hint="eastAsia"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2021年7月26号凭证，报销差旅费1,415.00元，出差审批单的出差日期为2021年7月5日至7月9日，实际出差日期为2021年7月4日至7月6日，未对日期变更进行说明；2021年12月112号凭证，支付样品库电梯安装费用45,800.00元，未附电梯安装检验报告。</w:t>
      </w:r>
    </w:p>
    <w:p>
      <w:pPr>
        <w:pStyle w:val="2"/>
        <w:keepNext w:val="0"/>
        <w:keepLines w:val="0"/>
        <w:pageBreakBefore w:val="0"/>
        <w:widowControl w:val="0"/>
        <w:numPr>
          <w:ilvl w:val="0"/>
          <w:numId w:val="0"/>
        </w:numPr>
        <w:kinsoku/>
        <w:wordWrap/>
        <w:overflowPunct/>
        <w:topLinePunct w:val="0"/>
        <w:autoSpaceDE/>
        <w:autoSpaceDN/>
        <w:bidi w:val="0"/>
        <w:spacing w:line="600" w:lineRule="exact"/>
        <w:ind w:firstLine="560" w:firstLineChars="200"/>
        <w:textAlignment w:val="auto"/>
        <w:rPr>
          <w:rStyle w:val="25"/>
          <w:rFonts w:hint="eastAsia" w:ascii="楷体_GB2312" w:hAnsi="楷体_GB2312" w:eastAsia="楷体_GB2312" w:cs="楷体_GB2312"/>
          <w:color w:val="auto"/>
          <w:kern w:val="2"/>
          <w:sz w:val="28"/>
          <w:szCs w:val="28"/>
          <w:highlight w:val="none"/>
          <w:lang w:val="en-US" w:eastAsia="zh-CN" w:bidi="ar-SA"/>
        </w:rPr>
      </w:pPr>
      <w:r>
        <w:rPr>
          <w:rStyle w:val="25"/>
          <w:rFonts w:hint="eastAsia" w:ascii="楷体_GB2312" w:hAnsi="楷体_GB2312" w:eastAsia="楷体_GB2312" w:cs="楷体_GB2312"/>
          <w:color w:val="auto"/>
          <w:kern w:val="2"/>
          <w:sz w:val="28"/>
          <w:szCs w:val="28"/>
          <w:highlight w:val="none"/>
          <w:lang w:val="en-US" w:eastAsia="zh-CN" w:bidi="ar-SA"/>
        </w:rPr>
        <w:t>（二）部分重点工作目标未完成</w:t>
      </w:r>
    </w:p>
    <w:p>
      <w:pPr>
        <w:pStyle w:val="12"/>
        <w:keepNext w:val="0"/>
        <w:keepLines w:val="0"/>
        <w:pageBreakBefore w:val="0"/>
        <w:widowControl w:val="0"/>
        <w:kinsoku/>
        <w:wordWrap/>
        <w:overflowPunct/>
        <w:topLinePunct w:val="0"/>
        <w:autoSpaceDE/>
        <w:autoSpaceDN/>
        <w:bidi w:val="0"/>
        <w:adjustRightInd/>
        <w:snapToGrid/>
        <w:spacing w:after="0" w:line="600" w:lineRule="exact"/>
        <w:ind w:left="0" w:leftChars="0"/>
        <w:textAlignment w:val="auto"/>
        <w:rPr>
          <w:rFonts w:hint="default"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2021年我站计划3月底前完成土壤样品库项目竣工验收，5月底前完成项目结算与决算财评工作，6月底前完成智能综合管理系统安装，截至2021年底，土壤样品库项目竣工验收12月才完成；计划完成4个农村面源污染监测试点片区完善监测要素建设，由于项目招标流程时间长及疫情影响的原因，该项工作年底暂未完成。</w:t>
      </w:r>
    </w:p>
    <w:p>
      <w:pPr>
        <w:keepNext w:val="0"/>
        <w:keepLines w:val="0"/>
        <w:pageBreakBefore w:val="0"/>
        <w:widowControl/>
        <w:numPr>
          <w:ilvl w:val="0"/>
          <w:numId w:val="0"/>
        </w:numPr>
        <w:kinsoku/>
        <w:wordWrap/>
        <w:overflowPunct/>
        <w:topLinePunct w:val="0"/>
        <w:autoSpaceDE/>
        <w:autoSpaceDN/>
        <w:bidi w:val="0"/>
        <w:spacing w:line="600" w:lineRule="exact"/>
        <w:ind w:firstLine="640" w:firstLineChars="200"/>
        <w:jc w:val="left"/>
        <w:textAlignment w:val="auto"/>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六、下一步改进措施</w:t>
      </w:r>
    </w:p>
    <w:p>
      <w:pPr>
        <w:pStyle w:val="2"/>
        <w:keepNext w:val="0"/>
        <w:keepLines w:val="0"/>
        <w:pageBreakBefore w:val="0"/>
        <w:numPr>
          <w:ilvl w:val="0"/>
          <w:numId w:val="0"/>
        </w:numPr>
        <w:kinsoku/>
        <w:wordWrap/>
        <w:overflowPunct/>
        <w:topLinePunct w:val="0"/>
        <w:autoSpaceDE/>
        <w:autoSpaceDN/>
        <w:bidi w:val="0"/>
        <w:spacing w:line="600" w:lineRule="exact"/>
        <w:ind w:firstLine="560" w:firstLineChars="200"/>
        <w:textAlignment w:val="auto"/>
        <w:rPr>
          <w:rStyle w:val="25"/>
          <w:rFonts w:hint="eastAsia" w:ascii="楷体_GB2312" w:hAnsi="楷体_GB2312" w:eastAsia="楷体_GB2312" w:cs="楷体_GB2312"/>
          <w:color w:val="auto"/>
          <w:kern w:val="2"/>
          <w:sz w:val="28"/>
          <w:szCs w:val="28"/>
          <w:highlight w:val="none"/>
          <w:lang w:val="en-US" w:eastAsia="zh-CN" w:bidi="ar-SA"/>
        </w:rPr>
      </w:pPr>
      <w:r>
        <w:rPr>
          <w:rStyle w:val="25"/>
          <w:rFonts w:hint="eastAsia" w:ascii="楷体_GB2312" w:hAnsi="楷体_GB2312" w:eastAsia="楷体_GB2312" w:cs="楷体_GB2312"/>
          <w:color w:val="auto"/>
          <w:kern w:val="2"/>
          <w:sz w:val="28"/>
          <w:szCs w:val="28"/>
          <w:highlight w:val="none"/>
          <w:lang w:val="en-US" w:eastAsia="zh-CN" w:bidi="ar-SA"/>
        </w:rPr>
        <w:t>（一）进一步规范费用报销，加强对原始票据的审核</w:t>
      </w:r>
    </w:p>
    <w:p>
      <w:pPr>
        <w:pStyle w:val="11"/>
        <w:keepNext w:val="0"/>
        <w:keepLines w:val="0"/>
        <w:pageBreakBefore w:val="0"/>
        <w:tabs>
          <w:tab w:val="left" w:pos="4154"/>
        </w:tabs>
        <w:kinsoku/>
        <w:wordWrap/>
        <w:overflowPunct/>
        <w:topLinePunct w:val="0"/>
        <w:autoSpaceDE/>
        <w:autoSpaceDN/>
        <w:bidi w:val="0"/>
        <w:spacing w:line="600" w:lineRule="exact"/>
        <w:ind w:firstLine="560" w:firstLineChars="200"/>
        <w:textAlignment w:val="auto"/>
        <w:rPr>
          <w:rFonts w:hint="eastAsia"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进一步规范费用报销、完善财务附件资料，财务人员对原始凭证不齐全或填写有误的的费用支出应予以退回，并要求报销人员按照国家统一的会计制度的规定更正、补充，确保原始凭证的真实性、合法性。</w:t>
      </w:r>
    </w:p>
    <w:p>
      <w:pPr>
        <w:pStyle w:val="5"/>
        <w:keepNext w:val="0"/>
        <w:keepLines w:val="0"/>
        <w:pageBreakBefore w:val="0"/>
        <w:tabs>
          <w:tab w:val="left" w:pos="4154"/>
        </w:tabs>
        <w:kinsoku/>
        <w:wordWrap/>
        <w:overflowPunct/>
        <w:topLinePunct w:val="0"/>
        <w:autoSpaceDE/>
        <w:autoSpaceDN/>
        <w:bidi w:val="0"/>
        <w:spacing w:line="600" w:lineRule="exact"/>
        <w:ind w:firstLine="420" w:firstLineChars="150"/>
        <w:textAlignment w:val="auto"/>
        <w:rPr>
          <w:rFonts w:hint="default" w:ascii="楷体_GB2312" w:hAnsi="楷体_GB2312" w:eastAsia="楷体_GB2312" w:cs="楷体_GB2312"/>
          <w:color w:val="auto"/>
          <w:sz w:val="28"/>
          <w:szCs w:val="28"/>
          <w:highlight w:val="none"/>
          <w:lang w:val="en-US"/>
        </w:rPr>
      </w:pPr>
      <w:r>
        <w:rPr>
          <w:rStyle w:val="25"/>
          <w:rFonts w:hint="eastAsia" w:ascii="楷体_GB2312" w:hAnsi="楷体_GB2312" w:eastAsia="楷体_GB2312" w:cs="楷体_GB2312"/>
          <w:b/>
          <w:bCs/>
          <w:color w:val="auto"/>
          <w:kern w:val="2"/>
          <w:sz w:val="28"/>
          <w:szCs w:val="28"/>
          <w:highlight w:val="none"/>
          <w:lang w:val="en-US" w:eastAsia="zh-CN" w:bidi="ar-SA"/>
        </w:rPr>
        <w:t>（二）</w:t>
      </w:r>
      <w:r>
        <w:rPr>
          <w:rFonts w:hint="eastAsia" w:ascii="楷体_GB2312" w:hAnsi="楷体_GB2312" w:eastAsia="楷体_GB2312" w:cs="楷体_GB2312"/>
          <w:color w:val="auto"/>
          <w:sz w:val="28"/>
          <w:szCs w:val="28"/>
          <w:highlight w:val="none"/>
          <w:lang w:eastAsia="zh-CN"/>
        </w:rPr>
        <w:t>推进</w:t>
      </w:r>
      <w:r>
        <w:rPr>
          <w:rFonts w:hint="eastAsia" w:ascii="楷体_GB2312" w:hAnsi="楷体_GB2312" w:eastAsia="楷体_GB2312" w:cs="楷体_GB2312"/>
          <w:color w:val="auto"/>
          <w:sz w:val="28"/>
          <w:szCs w:val="28"/>
          <w:highlight w:val="none"/>
          <w:lang w:val="en-US" w:eastAsia="zh-CN"/>
        </w:rPr>
        <w:t>重点工作</w:t>
      </w:r>
      <w:r>
        <w:rPr>
          <w:rFonts w:hint="eastAsia" w:ascii="楷体_GB2312" w:hAnsi="楷体_GB2312" w:eastAsia="楷体_GB2312" w:cs="楷体_GB2312"/>
          <w:color w:val="auto"/>
          <w:sz w:val="28"/>
          <w:szCs w:val="28"/>
          <w:highlight w:val="none"/>
          <w:lang w:eastAsia="zh-CN"/>
        </w:rPr>
        <w:t>实施进度，</w:t>
      </w:r>
      <w:r>
        <w:rPr>
          <w:rFonts w:hint="eastAsia" w:ascii="楷体_GB2312" w:hAnsi="楷体_GB2312" w:eastAsia="楷体_GB2312" w:cs="楷体_GB2312"/>
          <w:color w:val="auto"/>
          <w:sz w:val="28"/>
          <w:szCs w:val="28"/>
          <w:highlight w:val="none"/>
          <w:lang w:val="en-US" w:eastAsia="zh-CN"/>
        </w:rPr>
        <w:t>确保绩效目标按时完成</w:t>
      </w:r>
    </w:p>
    <w:p>
      <w:pPr>
        <w:pStyle w:val="2"/>
        <w:keepNext w:val="0"/>
        <w:keepLines w:val="0"/>
        <w:pageBreakBefore w:val="0"/>
        <w:widowControl w:val="0"/>
        <w:kinsoku/>
        <w:wordWrap/>
        <w:overflowPunct/>
        <w:topLinePunct w:val="0"/>
        <w:autoSpaceDE/>
        <w:autoSpaceDN/>
        <w:bidi w:val="0"/>
        <w:adjustRightInd w:val="0"/>
        <w:snapToGrid w:val="0"/>
        <w:spacing w:after="0" w:afterLines="0" w:line="600" w:lineRule="exact"/>
        <w:ind w:left="0" w:leftChars="0" w:firstLine="560" w:firstLineChars="200"/>
        <w:jc w:val="both"/>
        <w:textAlignment w:val="auto"/>
        <w:outlineLvl w:val="9"/>
        <w:rPr>
          <w:rFonts w:hint="eastAsia" w:eastAsia="仿宋_GB2312"/>
          <w:color w:val="auto"/>
          <w:sz w:val="28"/>
          <w:szCs w:val="28"/>
          <w:highlight w:val="yellow"/>
        </w:rPr>
      </w:pPr>
      <w:r>
        <w:rPr>
          <w:rFonts w:hint="eastAsia" w:ascii="Times New Roman" w:hAnsi="Times New Roman" w:eastAsia="仿宋_GB2312" w:cs="Times New Roman"/>
          <w:b w:val="0"/>
          <w:bCs w:val="0"/>
          <w:color w:val="auto"/>
          <w:kern w:val="2"/>
          <w:sz w:val="28"/>
          <w:szCs w:val="28"/>
          <w:lang w:val="en-US" w:eastAsia="zh-CN" w:bidi="ar-SA"/>
        </w:rPr>
        <w:t>加强项目管理，积</w:t>
      </w:r>
      <w:r>
        <w:rPr>
          <w:rFonts w:hint="eastAsia" w:ascii="Times New Roman" w:hAnsi="Times New Roman" w:eastAsia="仿宋_GB2312" w:cs="Times New Roman"/>
          <w:b w:val="0"/>
          <w:bCs w:val="0"/>
          <w:color w:val="auto"/>
          <w:kern w:val="2"/>
          <w:sz w:val="28"/>
          <w:szCs w:val="28"/>
          <w:highlight w:val="none"/>
          <w:lang w:val="en-US" w:eastAsia="zh-CN" w:bidi="ar-SA"/>
        </w:rPr>
        <w:t>极与施工单位、主管部门对接，加快完成样品库整体工程项目结算与决算财评工作，并完成智能综合管理系统安装及样品制备流转中心建设，推进土壤样品入库工作；严格按照《湖南省生态环境农村工作站政府采购管理办法》</w:t>
      </w:r>
      <w:r>
        <w:rPr>
          <w:rFonts w:hint="eastAsia" w:ascii="Times New Roman" w:hAnsi="Times New Roman" w:eastAsia="仿宋_GB2312" w:cs="Times New Roman"/>
          <w:b w:val="0"/>
          <w:bCs w:val="0"/>
          <w:color w:val="auto"/>
          <w:kern w:val="2"/>
          <w:sz w:val="28"/>
          <w:szCs w:val="28"/>
          <w:lang w:val="en-US" w:eastAsia="zh-CN" w:bidi="ar-SA"/>
        </w:rPr>
        <w:t>的规定，推进招投标工作的开展，实行项目跟踪监督管理，争取在2022年6月底完成农村面源污染监测试点片区完善监测要素建设工作。</w:t>
      </w:r>
    </w:p>
    <w:p>
      <w:pPr>
        <w:keepNext w:val="0"/>
        <w:keepLines w:val="0"/>
        <w:pageBreakBefore w:val="0"/>
        <w:widowControl/>
        <w:kinsoku/>
        <w:wordWrap/>
        <w:overflowPunct/>
        <w:topLinePunct w:val="0"/>
        <w:autoSpaceDE/>
        <w:autoSpaceDN/>
        <w:bidi w:val="0"/>
        <w:spacing w:line="600" w:lineRule="exact"/>
        <w:ind w:firstLine="645"/>
        <w:jc w:val="left"/>
        <w:textAlignment w:val="auto"/>
        <w:rPr>
          <w:rFonts w:hint="eastAsia" w:ascii="黑体" w:hAnsi="黑体" w:eastAsia="黑体"/>
          <w:sz w:val="32"/>
          <w:szCs w:val="32"/>
        </w:rPr>
      </w:pPr>
      <w:r>
        <w:rPr>
          <w:rFonts w:hint="eastAsia" w:ascii="黑体" w:hAnsi="黑体" w:eastAsia="黑体"/>
          <w:sz w:val="32"/>
          <w:szCs w:val="32"/>
          <w:lang w:val="en-US" w:eastAsia="zh-CN"/>
        </w:rPr>
        <w:t>七</w:t>
      </w:r>
      <w:r>
        <w:rPr>
          <w:rFonts w:hint="eastAsia" w:ascii="黑体" w:hAnsi="黑体" w:eastAsia="黑体"/>
          <w:sz w:val="32"/>
          <w:szCs w:val="32"/>
        </w:rPr>
        <w:t>、绩效自评结果拟应用和公开情况</w:t>
      </w:r>
    </w:p>
    <w:p>
      <w:pPr>
        <w:keepNext w:val="0"/>
        <w:keepLines w:val="0"/>
        <w:pageBreakBefore w:val="0"/>
        <w:tabs>
          <w:tab w:val="left" w:pos="4154"/>
        </w:tabs>
        <w:kinsoku/>
        <w:wordWrap/>
        <w:overflowPunct/>
        <w:topLinePunct w:val="0"/>
        <w:autoSpaceDE/>
        <w:autoSpaceDN/>
        <w:bidi w:val="0"/>
        <w:spacing w:line="600" w:lineRule="exact"/>
        <w:ind w:firstLine="640"/>
        <w:textAlignment w:val="auto"/>
      </w:pPr>
      <w:r>
        <w:rPr>
          <w:rFonts w:hint="eastAsia" w:ascii="Times New Roman" w:hAnsi="Times New Roman" w:eastAsia="仿宋_GB2312" w:cs="Times New Roman"/>
          <w:b w:val="0"/>
          <w:bCs w:val="0"/>
          <w:color w:val="auto"/>
          <w:kern w:val="2"/>
          <w:sz w:val="28"/>
          <w:szCs w:val="28"/>
          <w:lang w:val="en-US" w:eastAsia="zh-CN" w:bidi="ar-SA"/>
        </w:rPr>
        <w:t>一是拟根据绩效评价发现的问题，采取相关措施进行整改，将绩效评价结果作为各科室年度绩效考核的参考依据；二是按规定时间将绩效自评报告上交至湖南省生态环境厅，由湖南省生态环境厅整体进行公示。</w:t>
      </w:r>
    </w:p>
    <w:p>
      <w:pPr>
        <w:keepNext w:val="0"/>
        <w:keepLines w:val="0"/>
        <w:pageBreakBefore w:val="0"/>
        <w:widowControl/>
        <w:kinsoku/>
        <w:wordWrap/>
        <w:overflowPunct/>
        <w:topLinePunct w:val="0"/>
        <w:autoSpaceDE/>
        <w:autoSpaceDN/>
        <w:bidi w:val="0"/>
        <w:adjustRightInd/>
        <w:snapToGrid/>
        <w:spacing w:line="600" w:lineRule="exact"/>
        <w:ind w:firstLine="645"/>
        <w:jc w:val="left"/>
        <w:textAlignment w:val="auto"/>
        <w:rPr>
          <w:rFonts w:hint="eastAsia" w:ascii="黑体" w:hAnsi="黑体" w:eastAsia="黑体" w:cs="Times New Roman"/>
          <w:sz w:val="32"/>
          <w:szCs w:val="32"/>
          <w:lang w:val="en-US" w:eastAsia="zh-CN"/>
        </w:rPr>
      </w:pPr>
      <w:bookmarkStart w:id="4" w:name="_Toc15729"/>
      <w:r>
        <w:rPr>
          <w:rFonts w:hint="eastAsia" w:ascii="黑体" w:hAnsi="黑体" w:eastAsia="黑体" w:cs="Times New Roman"/>
          <w:sz w:val="32"/>
          <w:szCs w:val="32"/>
          <w:lang w:val="en-US" w:eastAsia="zh-CN"/>
        </w:rPr>
        <w:t>八、报告附件</w:t>
      </w:r>
      <w:bookmarkEnd w:id="4"/>
    </w:p>
    <w:p>
      <w:pPr>
        <w:keepNext w:val="0"/>
        <w:keepLines w:val="0"/>
        <w:pageBreakBefore w:val="0"/>
        <w:widowControl/>
        <w:kinsoku/>
        <w:wordWrap/>
        <w:overflowPunct/>
        <w:topLinePunct w:val="0"/>
        <w:autoSpaceDE/>
        <w:autoSpaceDN/>
        <w:bidi w:val="0"/>
        <w:adjustRightInd/>
        <w:snapToGrid/>
        <w:spacing w:line="600" w:lineRule="exact"/>
        <w:ind w:firstLine="645"/>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附件1：部门整体支出绩效评价</w:t>
      </w:r>
      <w:r>
        <w:rPr>
          <w:rFonts w:hint="eastAsia" w:ascii="仿宋_GB2312" w:hAnsi="仿宋_GB2312" w:eastAsia="仿宋_GB2312" w:cs="仿宋_GB2312"/>
          <w:color w:val="auto"/>
          <w:sz w:val="28"/>
          <w:szCs w:val="28"/>
          <w:highlight w:val="none"/>
          <w:lang w:val="en-US" w:eastAsia="zh-CN"/>
        </w:rPr>
        <w:t>基础数据表</w:t>
      </w:r>
    </w:p>
    <w:p>
      <w:pPr>
        <w:keepNext w:val="0"/>
        <w:keepLines w:val="0"/>
        <w:pageBreakBefore w:val="0"/>
        <w:tabs>
          <w:tab w:val="left" w:pos="4154"/>
        </w:tabs>
        <w:kinsoku/>
        <w:wordWrap/>
        <w:overflowPunct/>
        <w:topLinePunct w:val="0"/>
        <w:autoSpaceDE/>
        <w:autoSpaceDN/>
        <w:bidi w:val="0"/>
        <w:adjustRightInd/>
        <w:snapToGrid/>
        <w:spacing w:line="620" w:lineRule="exact"/>
        <w:ind w:firstLine="640"/>
        <w:textAlignment w:val="auto"/>
        <w:rPr>
          <w:rFonts w:hint="eastAsia" w:eastAsia="仿宋_GB2312" w:cs="Times New Roman"/>
          <w:color w:val="auto"/>
          <w:sz w:val="28"/>
          <w:szCs w:val="28"/>
          <w:highlight w:val="none"/>
          <w:lang w:val="en-US" w:eastAsia="zh-CN"/>
        </w:rPr>
      </w:pPr>
      <w:r>
        <w:rPr>
          <w:rFonts w:hint="eastAsia" w:eastAsia="仿宋_GB2312"/>
          <w:color w:val="auto"/>
          <w:sz w:val="28"/>
          <w:szCs w:val="28"/>
          <w:highlight w:val="none"/>
          <w:lang w:eastAsia="zh-CN"/>
        </w:rPr>
        <w:t>附件</w:t>
      </w:r>
      <w:r>
        <w:rPr>
          <w:rFonts w:hint="eastAsia" w:eastAsia="仿宋_GB2312"/>
          <w:color w:val="auto"/>
          <w:sz w:val="28"/>
          <w:szCs w:val="28"/>
          <w:highlight w:val="none"/>
          <w:lang w:val="en-US" w:eastAsia="zh-CN"/>
        </w:rPr>
        <w:t>2：</w:t>
      </w:r>
      <w:r>
        <w:rPr>
          <w:rFonts w:hint="eastAsia" w:eastAsia="仿宋_GB2312" w:cs="Times New Roman"/>
          <w:color w:val="auto"/>
          <w:sz w:val="28"/>
          <w:szCs w:val="28"/>
          <w:highlight w:val="none"/>
          <w:lang w:val="en-US" w:eastAsia="zh-CN"/>
        </w:rPr>
        <w:t>业务工作专项资金绩效目标自评表</w:t>
      </w:r>
    </w:p>
    <w:p>
      <w:pPr>
        <w:pStyle w:val="2"/>
        <w:rPr>
          <w:rFonts w:hint="eastAsia" w:eastAsia="仿宋_GB2312" w:cs="Times New Roman"/>
          <w:color w:val="auto"/>
          <w:sz w:val="28"/>
          <w:szCs w:val="28"/>
          <w:highlight w:val="none"/>
          <w:lang w:val="en-US" w:eastAsia="zh-CN"/>
        </w:rPr>
      </w:pPr>
    </w:p>
    <w:p>
      <w:pPr>
        <w:pStyle w:val="2"/>
        <w:rPr>
          <w:rFonts w:hint="default" w:eastAsia="仿宋_GB2312" w:cs="Times New Roman"/>
          <w:color w:val="auto"/>
          <w:sz w:val="28"/>
          <w:szCs w:val="28"/>
          <w:highlight w:val="none"/>
          <w:lang w:val="en-US" w:eastAsia="zh-CN"/>
        </w:rPr>
      </w:pPr>
      <w:r>
        <w:drawing>
          <wp:inline distT="0" distB="0" distL="114300" distR="114300">
            <wp:extent cx="5332095" cy="8268970"/>
            <wp:effectExtent l="0" t="0" r="1905" b="1143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5332095" cy="8268970"/>
                    </a:xfrm>
                    <a:prstGeom prst="rect">
                      <a:avLst/>
                    </a:prstGeom>
                    <a:noFill/>
                    <a:ln>
                      <a:noFill/>
                    </a:ln>
                  </pic:spPr>
                </pic:pic>
              </a:graphicData>
            </a:graphic>
          </wp:inline>
        </w:drawing>
      </w:r>
    </w:p>
    <w:p>
      <w:pPr>
        <w:ind w:firstLine="420" w:firstLineChars="200"/>
        <w:jc w:val="left"/>
        <w:rPr>
          <w:rFonts w:cs="黑体" w:asciiTheme="minorEastAsia" w:hAnsiTheme="minorEastAsia"/>
          <w:color w:val="000000"/>
          <w:kern w:val="0"/>
          <w:sz w:val="32"/>
          <w:szCs w:val="32"/>
        </w:rPr>
      </w:pPr>
      <w:r>
        <w:drawing>
          <wp:inline distT="0" distB="0" distL="114300" distR="114300">
            <wp:extent cx="5631180" cy="7684770"/>
            <wp:effectExtent l="0" t="0" r="7620" b="1143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tretch>
                      <a:fillRect/>
                    </a:stretch>
                  </pic:blipFill>
                  <pic:spPr>
                    <a:xfrm>
                      <a:off x="0" y="0"/>
                      <a:ext cx="5631180" cy="7684770"/>
                    </a:xfrm>
                    <a:prstGeom prst="rect">
                      <a:avLst/>
                    </a:prstGeom>
                    <a:noFill/>
                    <a:ln>
                      <a:noFill/>
                    </a:ln>
                  </pic:spPr>
                </pic:pic>
              </a:graphicData>
            </a:graphic>
          </wp:inline>
        </w:drawing>
      </w: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FF731"/>
    <w:multiLevelType w:val="singleLevel"/>
    <w:tmpl w:val="C48FF731"/>
    <w:lvl w:ilvl="0" w:tentative="0">
      <w:start w:val="2"/>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56E4A72"/>
    <w:multiLevelType w:val="singleLevel"/>
    <w:tmpl w:val="556E4A72"/>
    <w:lvl w:ilvl="0" w:tentative="0">
      <w:start w:val="10"/>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0FF5CD6"/>
    <w:rsid w:val="02E8344E"/>
    <w:rsid w:val="041912D1"/>
    <w:rsid w:val="06F74C4F"/>
    <w:rsid w:val="0850620C"/>
    <w:rsid w:val="08BA4C3B"/>
    <w:rsid w:val="116527F2"/>
    <w:rsid w:val="13983614"/>
    <w:rsid w:val="142A0FAD"/>
    <w:rsid w:val="153656F6"/>
    <w:rsid w:val="16DC7E2D"/>
    <w:rsid w:val="18B64B90"/>
    <w:rsid w:val="19020C33"/>
    <w:rsid w:val="19C23227"/>
    <w:rsid w:val="1AA94E33"/>
    <w:rsid w:val="1B11121E"/>
    <w:rsid w:val="1EF52136"/>
    <w:rsid w:val="22E97A3D"/>
    <w:rsid w:val="24383888"/>
    <w:rsid w:val="24C8155E"/>
    <w:rsid w:val="26993975"/>
    <w:rsid w:val="27523467"/>
    <w:rsid w:val="2AA06DD0"/>
    <w:rsid w:val="2B521247"/>
    <w:rsid w:val="2BC8368C"/>
    <w:rsid w:val="2FE3366C"/>
    <w:rsid w:val="318C43CD"/>
    <w:rsid w:val="33C10429"/>
    <w:rsid w:val="35675000"/>
    <w:rsid w:val="386C32F4"/>
    <w:rsid w:val="3B256D5A"/>
    <w:rsid w:val="434B01CE"/>
    <w:rsid w:val="447A31B7"/>
    <w:rsid w:val="48D657E1"/>
    <w:rsid w:val="4A2263F7"/>
    <w:rsid w:val="4A3C3AC9"/>
    <w:rsid w:val="4B552A62"/>
    <w:rsid w:val="4C1B12F0"/>
    <w:rsid w:val="530F2BB2"/>
    <w:rsid w:val="5633166C"/>
    <w:rsid w:val="563D17A3"/>
    <w:rsid w:val="5A202E74"/>
    <w:rsid w:val="5AA57006"/>
    <w:rsid w:val="5B0774E3"/>
    <w:rsid w:val="5C395A67"/>
    <w:rsid w:val="5FB03106"/>
    <w:rsid w:val="5FB21E75"/>
    <w:rsid w:val="5FC167F2"/>
    <w:rsid w:val="61EB5BA0"/>
    <w:rsid w:val="627F299B"/>
    <w:rsid w:val="64284529"/>
    <w:rsid w:val="66EE732C"/>
    <w:rsid w:val="6842315A"/>
    <w:rsid w:val="696F0EF2"/>
    <w:rsid w:val="6AE83510"/>
    <w:rsid w:val="6B617793"/>
    <w:rsid w:val="6C740395"/>
    <w:rsid w:val="6CF7791F"/>
    <w:rsid w:val="70DA4E49"/>
    <w:rsid w:val="71F001EA"/>
    <w:rsid w:val="774140C7"/>
    <w:rsid w:val="78DC2C21"/>
    <w:rsid w:val="7A0C7383"/>
    <w:rsid w:val="7C8836BC"/>
    <w:rsid w:val="7D2D5265"/>
    <w:rsid w:val="7D3F0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outlineLvl w:val="0"/>
    </w:pPr>
    <w:rPr>
      <w:rFonts w:eastAsia="黑体"/>
      <w:b/>
      <w:bCs/>
      <w:kern w:val="44"/>
      <w:szCs w:val="44"/>
    </w:rPr>
  </w:style>
  <w:style w:type="paragraph" w:styleId="5">
    <w:name w:val="heading 2"/>
    <w:basedOn w:val="1"/>
    <w:next w:val="1"/>
    <w:link w:val="25"/>
    <w:unhideWhenUsed/>
    <w:qFormat/>
    <w:uiPriority w:val="0"/>
    <w:pPr>
      <w:keepNext/>
      <w:keepLines/>
      <w:spacing w:beforeLines="0" w:beforeAutospacing="0" w:afterLines="0" w:afterAutospacing="0" w:line="600" w:lineRule="exact"/>
      <w:ind w:left="641" w:firstLine="0"/>
      <w:outlineLvl w:val="1"/>
    </w:pPr>
    <w:rPr>
      <w:rFonts w:ascii="Arial" w:hAnsi="Arial" w:eastAsia="黑体"/>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pPr>
    <w:rPr>
      <w:rFonts w:ascii="Calibri" w:hAnsi="Calibri" w:eastAsia="宋体" w:cs="Times New Roman"/>
      <w:kern w:val="2"/>
      <w:sz w:val="21"/>
      <w:szCs w:val="24"/>
    </w:rPr>
  </w:style>
  <w:style w:type="paragraph" w:styleId="6">
    <w:name w:val="annotation text"/>
    <w:basedOn w:val="1"/>
    <w:qFormat/>
    <w:uiPriority w:val="0"/>
    <w:pPr>
      <w:tabs>
        <w:tab w:val="left" w:pos="4154"/>
      </w:tabs>
      <w:jc w:val="left"/>
    </w:pPr>
  </w:style>
  <w:style w:type="paragraph" w:styleId="7">
    <w:name w:val="Body Text Indent"/>
    <w:basedOn w:val="1"/>
    <w:qFormat/>
    <w:uiPriority w:val="0"/>
    <w:pPr>
      <w:spacing w:after="120"/>
      <w:ind w:left="420" w:leftChars="200"/>
    </w:pPr>
  </w:style>
  <w:style w:type="paragraph" w:styleId="8">
    <w:name w:val="Balloon Text"/>
    <w:basedOn w:val="1"/>
    <w:link w:val="20"/>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Body Text First Indent 2"/>
    <w:basedOn w:val="7"/>
    <w:qFormat/>
    <w:uiPriority w:val="0"/>
    <w:pPr>
      <w:ind w:firstLine="420" w:firstLine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Char"/>
    <w:basedOn w:val="15"/>
    <w:link w:val="10"/>
    <w:qFormat/>
    <w:uiPriority w:val="99"/>
    <w:rPr>
      <w:sz w:val="18"/>
      <w:szCs w:val="18"/>
    </w:rPr>
  </w:style>
  <w:style w:type="character" w:customStyle="1" w:styleId="17">
    <w:name w:val="页脚 Char"/>
    <w:basedOn w:val="15"/>
    <w:link w:val="9"/>
    <w:qFormat/>
    <w:uiPriority w:val="99"/>
    <w:rPr>
      <w:sz w:val="18"/>
      <w:szCs w:val="18"/>
    </w:rPr>
  </w:style>
  <w:style w:type="paragraph" w:customStyle="1" w:styleId="1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批注框文本 Char"/>
    <w:basedOn w:val="15"/>
    <w:link w:val="8"/>
    <w:semiHidden/>
    <w:qFormat/>
    <w:uiPriority w:val="99"/>
    <w:rPr>
      <w:sz w:val="18"/>
      <w:szCs w:val="18"/>
    </w:rPr>
  </w:style>
  <w:style w:type="character" w:customStyle="1" w:styleId="21">
    <w:name w:val="font21"/>
    <w:basedOn w:val="15"/>
    <w:qFormat/>
    <w:uiPriority w:val="0"/>
    <w:rPr>
      <w:rFonts w:hint="default" w:ascii="Times New Roman" w:hAnsi="Times New Roman" w:cs="Times New Roman"/>
      <w:color w:val="000000"/>
      <w:sz w:val="21"/>
      <w:szCs w:val="21"/>
      <w:u w:val="none"/>
    </w:rPr>
  </w:style>
  <w:style w:type="character" w:customStyle="1" w:styleId="22">
    <w:name w:val="font41"/>
    <w:basedOn w:val="15"/>
    <w:qFormat/>
    <w:uiPriority w:val="0"/>
    <w:rPr>
      <w:rFonts w:ascii="仿宋_GB2312" w:eastAsia="仿宋_GB2312" w:cs="仿宋_GB2312"/>
      <w:color w:val="000000"/>
      <w:sz w:val="21"/>
      <w:szCs w:val="21"/>
      <w:u w:val="none"/>
    </w:rPr>
  </w:style>
  <w:style w:type="character" w:customStyle="1" w:styleId="23">
    <w:name w:val="font51"/>
    <w:basedOn w:val="15"/>
    <w:qFormat/>
    <w:uiPriority w:val="0"/>
    <w:rPr>
      <w:rFonts w:hint="eastAsia" w:ascii="宋体" w:hAnsi="宋体" w:eastAsia="宋体" w:cs="宋体"/>
      <w:color w:val="000000"/>
      <w:sz w:val="21"/>
      <w:szCs w:val="21"/>
      <w:u w:val="none"/>
    </w:rPr>
  </w:style>
  <w:style w:type="character" w:customStyle="1" w:styleId="24">
    <w:name w:val="font81"/>
    <w:basedOn w:val="15"/>
    <w:qFormat/>
    <w:uiPriority w:val="0"/>
    <w:rPr>
      <w:rFonts w:hint="eastAsia" w:ascii="宋体" w:hAnsi="宋体" w:eastAsia="宋体" w:cs="宋体"/>
      <w:color w:val="000000"/>
      <w:sz w:val="20"/>
      <w:szCs w:val="20"/>
      <w:u w:val="none"/>
    </w:rPr>
  </w:style>
  <w:style w:type="character" w:customStyle="1" w:styleId="25">
    <w:name w:val="标题 2 字符"/>
    <w:link w:val="5"/>
    <w:qFormat/>
    <w:uiPriority w:val="0"/>
    <w:rPr>
      <w:rFonts w:ascii="Arial" w:hAnsi="Arial" w:eastAsia="黑体"/>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33</Pages>
  <Words>9035</Words>
  <Characters>10310</Characters>
  <Lines>61</Lines>
  <Paragraphs>17</Paragraphs>
  <TotalTime>57</TotalTime>
  <ScaleCrop>false</ScaleCrop>
  <LinksUpToDate>false</LinksUpToDate>
  <CharactersWithSpaces>10548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2020-07-02T10:32:00Z</dcterms:created>
  <dc:creator>李航 null</dc:creator>
  <cp:lastModifiedBy>rani</cp:lastModifiedBy>
  <cp:lastPrinted>2021-08-05T16:54:00Z</cp:lastPrinted>
  <dcterms:modified xsi:type="dcterms:W3CDTF">2023-09-15T12:36:46Z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39C1AFCC63CA4BE0981C76F46B7FBFA9_13</vt:lpwstr>
  </property>
</Properties>
</file>