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jc w:val="center"/>
        <w:rPr>
          <w:rFonts w:hint="eastAsia"/>
          <w:sz w:val="56"/>
          <w:szCs w:val="56"/>
        </w:rPr>
      </w:pPr>
    </w:p>
    <w:p>
      <w:pPr>
        <w:pStyle w:val="20"/>
        <w:jc w:val="center"/>
        <w:rPr>
          <w:sz w:val="56"/>
          <w:szCs w:val="56"/>
        </w:rPr>
      </w:pPr>
    </w:p>
    <w:p>
      <w:pPr>
        <w:pStyle w:val="20"/>
        <w:jc w:val="center"/>
        <w:rPr>
          <w:sz w:val="84"/>
          <w:szCs w:val="84"/>
        </w:rPr>
      </w:pPr>
    </w:p>
    <w:p>
      <w:pPr>
        <w:pStyle w:val="20"/>
        <w:jc w:val="center"/>
        <w:rPr>
          <w:sz w:val="84"/>
          <w:szCs w:val="84"/>
        </w:rPr>
      </w:pPr>
    </w:p>
    <w:p>
      <w:pPr>
        <w:pStyle w:val="20"/>
        <w:jc w:val="center"/>
        <w:rPr>
          <w:sz w:val="84"/>
          <w:szCs w:val="84"/>
        </w:rPr>
      </w:pPr>
      <w:r>
        <w:rPr>
          <w:rFonts w:hint="eastAsia"/>
          <w:sz w:val="84"/>
          <w:szCs w:val="84"/>
        </w:rPr>
        <w:t>2021年度</w:t>
      </w:r>
    </w:p>
    <w:p>
      <w:pPr>
        <w:pStyle w:val="20"/>
        <w:jc w:val="center"/>
        <w:rPr>
          <w:rFonts w:hint="default"/>
          <w:sz w:val="72"/>
          <w:szCs w:val="72"/>
          <w:lang w:val="en-US" w:eastAsia="zh-CN"/>
        </w:rPr>
      </w:pPr>
      <w:r>
        <w:rPr>
          <w:rFonts w:hint="eastAsia"/>
          <w:sz w:val="72"/>
          <w:szCs w:val="72"/>
          <w:lang w:eastAsia="zh-CN"/>
        </w:rPr>
        <w:t>湖南省</w:t>
      </w:r>
      <w:r>
        <w:rPr>
          <w:rFonts w:hint="eastAsia"/>
          <w:sz w:val="72"/>
          <w:szCs w:val="72"/>
          <w:lang w:val="en-US" w:eastAsia="zh-CN"/>
        </w:rPr>
        <w:t>生态</w:t>
      </w:r>
      <w:r>
        <w:rPr>
          <w:rFonts w:hint="eastAsia"/>
          <w:sz w:val="72"/>
          <w:szCs w:val="72"/>
          <w:lang w:eastAsia="zh-CN"/>
        </w:rPr>
        <w:t>环境</w:t>
      </w:r>
      <w:r>
        <w:rPr>
          <w:rFonts w:hint="eastAsia"/>
          <w:sz w:val="72"/>
          <w:szCs w:val="72"/>
          <w:lang w:val="en-US" w:eastAsia="zh-CN"/>
        </w:rPr>
        <w:t>事务中心</w:t>
      </w:r>
    </w:p>
    <w:p>
      <w:pPr>
        <w:pStyle w:val="20"/>
        <w:jc w:val="center"/>
        <w:rPr>
          <w:sz w:val="84"/>
          <w:szCs w:val="84"/>
        </w:rPr>
      </w:pPr>
      <w:r>
        <w:rPr>
          <w:rFonts w:hint="eastAsia"/>
          <w:sz w:val="84"/>
          <w:szCs w:val="84"/>
        </w:rPr>
        <w:t>部门决算</w:t>
      </w:r>
    </w:p>
    <w:p>
      <w:pPr>
        <w:pStyle w:val="20"/>
        <w:jc w:val="center"/>
        <w:rPr>
          <w:sz w:val="56"/>
          <w:szCs w:val="56"/>
        </w:rPr>
      </w:pPr>
    </w:p>
    <w:p>
      <w:pPr>
        <w:pStyle w:val="20"/>
        <w:jc w:val="center"/>
        <w:rPr>
          <w:sz w:val="56"/>
          <w:szCs w:val="56"/>
        </w:rPr>
      </w:pPr>
    </w:p>
    <w:p>
      <w:pPr>
        <w:pStyle w:val="20"/>
        <w:jc w:val="center"/>
        <w:rPr>
          <w:sz w:val="56"/>
          <w:szCs w:val="56"/>
        </w:rPr>
      </w:pPr>
    </w:p>
    <w:p>
      <w:pPr>
        <w:pStyle w:val="20"/>
        <w:jc w:val="center"/>
        <w:rPr>
          <w:sz w:val="56"/>
          <w:szCs w:val="56"/>
        </w:rPr>
      </w:pPr>
    </w:p>
    <w:p>
      <w:pPr>
        <w:pStyle w:val="20"/>
        <w:jc w:val="center"/>
        <w:rPr>
          <w:sz w:val="32"/>
          <w:szCs w:val="32"/>
        </w:rPr>
      </w:pPr>
    </w:p>
    <w:p>
      <w:pPr>
        <w:pStyle w:val="20"/>
        <w:jc w:val="center"/>
        <w:rPr>
          <w:sz w:val="32"/>
          <w:szCs w:val="32"/>
        </w:rPr>
      </w:pPr>
    </w:p>
    <w:p>
      <w:pPr>
        <w:pStyle w:val="20"/>
        <w:jc w:val="center"/>
        <w:rPr>
          <w:sz w:val="32"/>
          <w:szCs w:val="32"/>
        </w:rPr>
      </w:pPr>
    </w:p>
    <w:p>
      <w:pPr>
        <w:pStyle w:val="20"/>
        <w:jc w:val="center"/>
        <w:rPr>
          <w:sz w:val="32"/>
          <w:szCs w:val="32"/>
        </w:rPr>
      </w:pPr>
    </w:p>
    <w:p>
      <w:pPr>
        <w:pStyle w:val="20"/>
        <w:jc w:val="center"/>
        <w:rPr>
          <w:sz w:val="32"/>
          <w:szCs w:val="32"/>
        </w:rPr>
      </w:pPr>
    </w:p>
    <w:p>
      <w:pPr>
        <w:pStyle w:val="20"/>
        <w:spacing w:line="540" w:lineRule="exact"/>
        <w:jc w:val="center"/>
        <w:rPr>
          <w:sz w:val="56"/>
          <w:szCs w:val="56"/>
        </w:rPr>
      </w:pPr>
    </w:p>
    <w:p>
      <w:pPr>
        <w:pStyle w:val="20"/>
        <w:spacing w:line="500" w:lineRule="exact"/>
        <w:jc w:val="center"/>
        <w:rPr>
          <w:b/>
          <w:sz w:val="36"/>
          <w:szCs w:val="28"/>
        </w:rPr>
      </w:pPr>
    </w:p>
    <w:p>
      <w:pPr>
        <w:pStyle w:val="20"/>
        <w:spacing w:line="500" w:lineRule="exact"/>
        <w:jc w:val="center"/>
        <w:rPr>
          <w:b/>
          <w:sz w:val="36"/>
          <w:szCs w:val="28"/>
        </w:rPr>
      </w:pPr>
    </w:p>
    <w:p>
      <w:pPr>
        <w:pStyle w:val="20"/>
        <w:spacing w:line="500" w:lineRule="exact"/>
        <w:jc w:val="center"/>
        <w:rPr>
          <w:b/>
          <w:sz w:val="36"/>
          <w:szCs w:val="28"/>
        </w:rPr>
      </w:pPr>
      <w:r>
        <w:rPr>
          <w:rFonts w:hint="eastAsia"/>
          <w:b/>
          <w:sz w:val="36"/>
          <w:szCs w:val="28"/>
        </w:rPr>
        <w:t>目录</w:t>
      </w:r>
    </w:p>
    <w:p>
      <w:pPr>
        <w:pStyle w:val="20"/>
        <w:spacing w:line="500" w:lineRule="exact"/>
        <w:rPr>
          <w:rFonts w:ascii="仿宋_GB2312" w:hAnsi="仿宋_GB2312" w:cs="仿宋_GB2312"/>
          <w:b/>
          <w:sz w:val="28"/>
          <w:szCs w:val="28"/>
        </w:rPr>
      </w:pPr>
      <w:r>
        <w:rPr>
          <w:rFonts w:hint="eastAsia"/>
          <w:b/>
          <w:sz w:val="28"/>
          <w:szCs w:val="28"/>
        </w:rPr>
        <w:t>第一部分XX单位概况</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20"/>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2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2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2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2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20"/>
        <w:ind w:firstLine="560" w:firstLineChars="200"/>
        <w:rPr>
          <w:rFonts w:hint="eastAsia" w:ascii="仿宋_GB2312" w:hAnsi="仿宋_GB2312" w:cs="仿宋_GB2312" w:eastAsiaTheme="minorEastAsia"/>
          <w:color w:val="000000"/>
          <w:sz w:val="28"/>
          <w:szCs w:val="28"/>
        </w:rPr>
      </w:pPr>
      <w:r>
        <w:rPr>
          <w:rFonts w:hint="eastAsia" w:ascii="仿宋_GB2312" w:hAnsi="仿宋_GB2312" w:cs="仿宋_GB2312" w:eastAsiaTheme="minorEastAsia"/>
          <w:sz w:val="28"/>
          <w:szCs w:val="28"/>
        </w:rPr>
        <w:t>十三、</w:t>
      </w:r>
      <w:r>
        <w:rPr>
          <w:rFonts w:hint="eastAsia" w:ascii="仿宋_GB2312" w:hAnsi="仿宋_GB2312" w:cs="仿宋_GB2312" w:eastAsiaTheme="minorEastAsia"/>
          <w:color w:val="000000"/>
          <w:sz w:val="28"/>
          <w:szCs w:val="28"/>
        </w:rPr>
        <w:t>关于部门整体支出、单位项目支出、重点（专项）项目支出绩效自评情况说明</w:t>
      </w:r>
    </w:p>
    <w:p>
      <w:pPr>
        <w:pStyle w:val="20"/>
        <w:spacing w:line="500" w:lineRule="exact"/>
        <w:ind w:firstLine="700" w:firstLineChars="250"/>
        <w:rPr>
          <w:rFonts w:ascii="仿宋_GB2312" w:hAnsi="仿宋_GB2312" w:cs="仿宋_GB2312" w:eastAsiaTheme="minorEastAsia"/>
          <w:sz w:val="28"/>
          <w:szCs w:val="28"/>
        </w:rPr>
      </w:pP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20"/>
        <w:jc w:val="center"/>
        <w:rPr>
          <w:sz w:val="72"/>
          <w:szCs w:val="72"/>
        </w:rPr>
      </w:pPr>
      <w:r>
        <w:rPr>
          <w:rFonts w:hint="eastAsia"/>
          <w:sz w:val="72"/>
          <w:szCs w:val="72"/>
        </w:rPr>
        <w:t>第一部分</w:t>
      </w:r>
      <w:r>
        <w:rPr>
          <w:sz w:val="72"/>
          <w:szCs w:val="72"/>
        </w:rPr>
        <w:t xml:space="preserve"> </w:t>
      </w:r>
    </w:p>
    <w:p>
      <w:pPr>
        <w:pStyle w:val="20"/>
        <w:jc w:val="center"/>
        <w:rPr>
          <w:sz w:val="72"/>
          <w:szCs w:val="72"/>
        </w:rPr>
      </w:pPr>
    </w:p>
    <w:p>
      <w:pPr>
        <w:pStyle w:val="20"/>
        <w:jc w:val="center"/>
        <w:rPr>
          <w:rFonts w:hint="default"/>
          <w:sz w:val="72"/>
          <w:szCs w:val="72"/>
          <w:lang w:val="en-US" w:eastAsia="zh-CN"/>
        </w:rPr>
      </w:pPr>
      <w:r>
        <w:rPr>
          <w:rFonts w:hint="eastAsia"/>
          <w:sz w:val="72"/>
          <w:szCs w:val="72"/>
          <w:lang w:eastAsia="zh-CN"/>
        </w:rPr>
        <w:t>湖南省</w:t>
      </w:r>
      <w:r>
        <w:rPr>
          <w:rFonts w:hint="eastAsia"/>
          <w:sz w:val="72"/>
          <w:szCs w:val="72"/>
          <w:lang w:val="en-US" w:eastAsia="zh-CN"/>
        </w:rPr>
        <w:t>生态</w:t>
      </w:r>
      <w:r>
        <w:rPr>
          <w:rFonts w:hint="eastAsia"/>
          <w:sz w:val="72"/>
          <w:szCs w:val="72"/>
          <w:lang w:eastAsia="zh-CN"/>
        </w:rPr>
        <w:t>环境</w:t>
      </w:r>
      <w:r>
        <w:rPr>
          <w:rFonts w:hint="eastAsia"/>
          <w:sz w:val="72"/>
          <w:szCs w:val="72"/>
          <w:lang w:val="en-US" w:eastAsia="zh-CN"/>
        </w:rPr>
        <w:t>事务中心</w:t>
      </w:r>
    </w:p>
    <w:p>
      <w:pPr>
        <w:pStyle w:val="20"/>
        <w:jc w:val="center"/>
        <w:rPr>
          <w:rFonts w:hint="eastAsia"/>
          <w:sz w:val="72"/>
          <w:szCs w:val="72"/>
        </w:rPr>
      </w:pPr>
    </w:p>
    <w:p>
      <w:pPr>
        <w:pStyle w:val="20"/>
        <w:jc w:val="center"/>
        <w:rPr>
          <w:sz w:val="72"/>
          <w:szCs w:val="72"/>
        </w:rPr>
      </w:pPr>
      <w:r>
        <w:rPr>
          <w:rFonts w:hint="eastAsia"/>
          <w:sz w:val="72"/>
          <w:szCs w:val="72"/>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21"/>
        <w:ind w:left="0" w:leftChars="0" w:firstLine="0" w:firstLineChars="0"/>
        <w:jc w:val="left"/>
        <w:rPr>
          <w:rFonts w:ascii="黑体" w:hAnsi="黑体" w:eastAsia="黑体"/>
          <w:sz w:val="32"/>
          <w:szCs w:val="32"/>
        </w:rPr>
      </w:pPr>
    </w:p>
    <w:p>
      <w:pPr>
        <w:pStyle w:val="21"/>
        <w:ind w:left="0" w:leftChars="0" w:firstLine="0" w:firstLineChars="0"/>
        <w:jc w:val="left"/>
        <w:rPr>
          <w:rFonts w:ascii="黑体" w:hAnsi="黑体" w:eastAsia="黑体"/>
          <w:sz w:val="32"/>
          <w:szCs w:val="32"/>
        </w:rPr>
      </w:pPr>
    </w:p>
    <w:p>
      <w:pPr>
        <w:pStyle w:val="21"/>
        <w:ind w:left="720" w:firstLine="0" w:firstLineChars="0"/>
        <w:jc w:val="left"/>
        <w:rPr>
          <w:rFonts w:ascii="黑体" w:hAnsi="黑体" w:eastAsia="黑体"/>
          <w:sz w:val="32"/>
          <w:szCs w:val="32"/>
        </w:rPr>
      </w:pPr>
    </w:p>
    <w:p>
      <w:pPr>
        <w:pStyle w:val="21"/>
        <w:numPr>
          <w:ilvl w:val="0"/>
          <w:numId w:val="1"/>
        </w:numPr>
        <w:ind w:firstLineChars="0"/>
        <w:jc w:val="left"/>
        <w:rPr>
          <w:rFonts w:ascii="黑体" w:hAnsi="黑体" w:eastAsia="黑体"/>
          <w:sz w:val="28"/>
          <w:szCs w:val="28"/>
        </w:rPr>
      </w:pPr>
      <w:r>
        <w:rPr>
          <w:rFonts w:ascii="黑体" w:hAnsi="黑体" w:eastAsia="黑体"/>
          <w:sz w:val="28"/>
          <w:szCs w:val="28"/>
        </w:rPr>
        <w:t>部门职责</w:t>
      </w:r>
    </w:p>
    <w:p>
      <w:pPr>
        <w:spacing w:line="600" w:lineRule="exact"/>
        <w:ind w:firstLine="560" w:firstLineChars="200"/>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（一）负责为省生态环境厅行使监督管理、行政审批、宏观决策提供服务保障，为构建政府为主导、企业为主体、社会组织和公众共同参与的生态环境治理体系服务。</w:t>
      </w:r>
    </w:p>
    <w:p>
      <w:pPr>
        <w:spacing w:line="600" w:lineRule="exact"/>
        <w:ind w:firstLine="560" w:firstLineChars="200"/>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（二）承担生态环境战略规划、生态文明体制改革、环境政策法规、环境规章制度等全局性、综合性重大生态环境问题的研究，为生态环境管理提供政策咨询和决策支持。</w:t>
      </w:r>
    </w:p>
    <w:p>
      <w:pPr>
        <w:spacing w:line="600" w:lineRule="exact"/>
        <w:ind w:firstLine="560" w:firstLineChars="200"/>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（三）承担生态环境保护领域地方标准技术归口的技术支持、生物多样性技术服务等工作。</w:t>
      </w:r>
    </w:p>
    <w:p>
      <w:pPr>
        <w:spacing w:line="600" w:lineRule="exact"/>
        <w:ind w:firstLine="560" w:firstLineChars="200"/>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（四）承担主要污染物排污权有偿使用和指标储备相关技术性、事务性工作，为排污权与排污许可管理提供技术支持和服务保障。</w:t>
      </w:r>
    </w:p>
    <w:p>
      <w:pPr>
        <w:spacing w:line="600" w:lineRule="exact"/>
        <w:ind w:firstLine="560" w:firstLineChars="200"/>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（五）承担生态环境数据资源建设、信息系统及基础设施的管理运维工作，提供网络安全与信息化技术支持和服务保障。</w:t>
      </w:r>
    </w:p>
    <w:p>
      <w:pPr>
        <w:spacing w:line="600" w:lineRule="exact"/>
        <w:ind w:firstLine="560" w:firstLineChars="200"/>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（六）承担生态环境宣传活动和全民生态环境保护教育相关工作，引导公众和非政府组织参与生态环境保护，承担环境信用评价相关技术性、事务性工作。</w:t>
      </w:r>
    </w:p>
    <w:p>
      <w:pPr>
        <w:spacing w:line="600" w:lineRule="exact"/>
        <w:ind w:firstLine="560" w:firstLineChars="200"/>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（七）承担省生态环境厅交办的其他工作。</w:t>
      </w:r>
    </w:p>
    <w:p>
      <w:pPr>
        <w:widowControl/>
        <w:spacing w:line="600" w:lineRule="exact"/>
        <w:rPr>
          <w:rFonts w:hint="eastAsia" w:ascii="黑体" w:hAnsi="黑体" w:eastAsia="黑体"/>
          <w:bCs/>
          <w:kern w:val="0"/>
          <w:sz w:val="28"/>
          <w:szCs w:val="28"/>
        </w:rPr>
      </w:pPr>
      <w:r>
        <w:rPr>
          <w:rFonts w:hint="eastAsia" w:ascii="黑体" w:hAnsi="黑体" w:eastAsia="黑体"/>
          <w:bCs/>
          <w:kern w:val="0"/>
          <w:sz w:val="28"/>
          <w:szCs w:val="28"/>
        </w:rPr>
        <w:t>二、机构设置及决算单位构成</w:t>
      </w:r>
    </w:p>
    <w:p>
      <w:pPr>
        <w:spacing w:line="600" w:lineRule="exact"/>
        <w:ind w:firstLine="560" w:firstLineChars="200"/>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（一）内设机构设置</w:t>
      </w:r>
    </w:p>
    <w:p>
      <w:pPr>
        <w:spacing w:line="600" w:lineRule="exact"/>
        <w:ind w:firstLine="560" w:firstLineChars="200"/>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湖南省生态环境事务中心为湖南省生态环境厅管理的副厅级公益一类事业单位。单位内设机构5个（规格为副处级）分别为综合部、研究部、技术服务部、信息服务部、社会宣传部。</w:t>
      </w:r>
    </w:p>
    <w:p>
      <w:pPr>
        <w:spacing w:line="600" w:lineRule="exact"/>
        <w:ind w:firstLine="560" w:firstLineChars="200"/>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（二）部门决算单位构成</w:t>
      </w:r>
    </w:p>
    <w:p>
      <w:pPr>
        <w:spacing w:line="600" w:lineRule="exact"/>
        <w:ind w:firstLine="560" w:firstLineChars="200"/>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湖南省生态环境事务中心</w:t>
      </w:r>
      <w:r>
        <w:rPr>
          <w:rFonts w:ascii="宋体" w:hAnsi="宋体"/>
          <w:bCs/>
          <w:kern w:val="0"/>
          <w:sz w:val="28"/>
          <w:szCs w:val="28"/>
        </w:rPr>
        <w:t>20</w:t>
      </w:r>
      <w:r>
        <w:rPr>
          <w:rFonts w:hint="eastAsia" w:ascii="宋体" w:hAnsi="宋体"/>
          <w:bCs/>
          <w:kern w:val="0"/>
          <w:sz w:val="28"/>
          <w:szCs w:val="28"/>
        </w:rPr>
        <w:t>2</w:t>
      </w:r>
      <w:r>
        <w:rPr>
          <w:rFonts w:hint="eastAsia" w:ascii="宋体" w:hAnsi="宋体"/>
          <w:bCs/>
          <w:kern w:val="0"/>
          <w:sz w:val="28"/>
          <w:szCs w:val="28"/>
          <w:lang w:val="en-US" w:eastAsia="zh-CN"/>
        </w:rPr>
        <w:t>1</w:t>
      </w:r>
      <w:r>
        <w:rPr>
          <w:rFonts w:hint="eastAsia" w:ascii="宋体" w:hAnsi="宋体"/>
          <w:bCs/>
          <w:kern w:val="0"/>
          <w:sz w:val="28"/>
          <w:szCs w:val="28"/>
        </w:rPr>
        <w:t>年部门决算汇总公开单位构成包括：</w:t>
      </w:r>
      <w:r>
        <w:rPr>
          <w:rFonts w:hint="eastAsia" w:ascii="宋体" w:hAnsi="宋体" w:eastAsia="宋体" w:cs="宋体"/>
          <w:color w:val="000000"/>
          <w:kern w:val="0"/>
          <w:sz w:val="28"/>
          <w:szCs w:val="28"/>
          <w:lang w:val="en-US" w:eastAsia="zh-CN" w:bidi="ar-SA"/>
        </w:rPr>
        <w:t>湖南省生态环境事务中心</w:t>
      </w:r>
      <w:r>
        <w:rPr>
          <w:rFonts w:hint="eastAsia" w:ascii="宋体" w:hAnsi="宋体"/>
          <w:bCs/>
          <w:kern w:val="0"/>
          <w:sz w:val="28"/>
          <w:szCs w:val="28"/>
        </w:rPr>
        <w:t>本级</w:t>
      </w:r>
      <w:r>
        <w:rPr>
          <w:rFonts w:hint="eastAsia" w:ascii="宋体" w:hAnsi="宋体" w:eastAsia="宋体" w:cs="宋体"/>
          <w:color w:val="000000"/>
          <w:kern w:val="0"/>
          <w:sz w:val="28"/>
          <w:szCs w:val="28"/>
          <w:lang w:val="en-US" w:eastAsia="zh-CN" w:bidi="ar-SA"/>
        </w:rPr>
        <w:t>，无其他二级单位。</w:t>
      </w:r>
    </w:p>
    <w:p>
      <w:pPr>
        <w:spacing w:line="600" w:lineRule="exact"/>
        <w:ind w:firstLine="560" w:firstLineChars="200"/>
        <w:rPr>
          <w:rFonts w:hint="eastAsia" w:ascii="宋体" w:hAnsi="宋体" w:eastAsia="宋体" w:cs="宋体"/>
          <w:color w:val="000000"/>
          <w:kern w:val="0"/>
          <w:sz w:val="28"/>
          <w:szCs w:val="28"/>
          <w:lang w:val="en-US" w:eastAsia="zh-CN" w:bidi="ar-SA"/>
        </w:rPr>
      </w:pPr>
    </w:p>
    <w:p>
      <w:pPr>
        <w:pStyle w:val="13"/>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20"/>
        <w:jc w:val="both"/>
        <w:rPr>
          <w:sz w:val="84"/>
          <w:szCs w:val="84"/>
        </w:rPr>
      </w:pPr>
    </w:p>
    <w:p>
      <w:pPr>
        <w:pStyle w:val="20"/>
        <w:jc w:val="center"/>
        <w:rPr>
          <w:sz w:val="84"/>
          <w:szCs w:val="84"/>
        </w:rPr>
      </w:pPr>
      <w:r>
        <w:rPr>
          <w:rFonts w:hint="eastAsia"/>
          <w:sz w:val="84"/>
          <w:szCs w:val="84"/>
        </w:rPr>
        <w:t>第二部分</w:t>
      </w:r>
    </w:p>
    <w:p>
      <w:pPr>
        <w:pStyle w:val="20"/>
        <w:jc w:val="center"/>
        <w:rPr>
          <w:sz w:val="84"/>
          <w:szCs w:val="84"/>
        </w:rPr>
      </w:pPr>
    </w:p>
    <w:p>
      <w:pPr>
        <w:pStyle w:val="20"/>
        <w:jc w:val="center"/>
        <w:rPr>
          <w:sz w:val="84"/>
          <w:szCs w:val="84"/>
        </w:rPr>
      </w:pPr>
      <w:r>
        <w:rPr>
          <w:rFonts w:hint="eastAsia"/>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1803" w:bottom="720" w:left="1803" w:header="851" w:footer="992" w:gutter="0"/>
          <w:cols w:space="425" w:num="1"/>
          <w:docGrid w:type="lines" w:linePitch="312" w:charSpace="0"/>
        </w:sectPr>
      </w:pPr>
    </w:p>
    <w:tbl>
      <w:tblPr>
        <w:tblStyle w:val="15"/>
        <w:tblW w:w="14081" w:type="dxa"/>
        <w:tblInd w:w="93" w:type="dxa"/>
        <w:tblLayout w:type="autofit"/>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部门：</w:t>
            </w:r>
            <w:r>
              <w:rPr>
                <w:rFonts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eastAsia="zh-CN"/>
              </w:rPr>
              <w:t>湖南省</w:t>
            </w:r>
            <w:r>
              <w:rPr>
                <w:rFonts w:hint="eastAsia" w:ascii="宋体" w:hAnsi="宋体" w:eastAsia="宋体" w:cs="宋体"/>
                <w:color w:val="000000"/>
                <w:kern w:val="0"/>
                <w:sz w:val="20"/>
                <w:szCs w:val="20"/>
                <w:lang w:val="en-US" w:eastAsia="zh-CN"/>
              </w:rPr>
              <w:t>生态环境事务中心</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566"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5205.48</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26</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2"/>
                <w:lang w:eastAsia="zh-CN"/>
              </w:rPr>
              <w:t>七、社会保障和就业支出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163.18</w:t>
            </w:r>
          </w:p>
        </w:tc>
      </w:tr>
      <w:tr>
        <w:tblPrEx>
          <w:tblCellMar>
            <w:top w:w="0" w:type="dxa"/>
            <w:left w:w="108" w:type="dxa"/>
            <w:bottom w:w="0" w:type="dxa"/>
            <w:right w:w="108" w:type="dxa"/>
          </w:tblCellMar>
        </w:tblPrEx>
        <w:trPr>
          <w:trHeight w:val="9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eastAsia="zh-CN"/>
              </w:rPr>
            </w:pPr>
            <w:r>
              <w:rPr>
                <w:rFonts w:hint="eastAsia" w:ascii="宋体" w:hAnsi="宋体" w:eastAsia="宋体" w:cs="宋体"/>
                <w:kern w:val="0"/>
                <w:sz w:val="22"/>
              </w:rPr>
              <w:t>　</w:t>
            </w:r>
            <w:r>
              <w:rPr>
                <w:rFonts w:hint="eastAsia" w:ascii="宋体" w:hAnsi="宋体" w:eastAsia="宋体" w:cs="宋体"/>
                <w:kern w:val="0"/>
                <w:sz w:val="22"/>
                <w:lang w:eastAsia="zh-CN"/>
              </w:rPr>
              <w:t>八、节能环保支出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5527.05</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5205.48</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5820.23</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755.74</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140.99</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5961.22</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5961.22</w:t>
            </w:r>
          </w:p>
        </w:tc>
      </w:tr>
      <w:tr>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134" w:right="1440" w:bottom="1134" w:left="1440" w:header="851" w:footer="992" w:gutter="0"/>
          <w:cols w:space="425" w:num="1"/>
          <w:docGrid w:type="linesAndChars" w:linePitch="312" w:charSpace="0"/>
        </w:sectPr>
      </w:pPr>
    </w:p>
    <w:tbl>
      <w:tblPr>
        <w:tblStyle w:val="15"/>
        <w:tblW w:w="14538" w:type="dxa"/>
        <w:tblInd w:w="0" w:type="dxa"/>
        <w:tblLayout w:type="fixed"/>
        <w:tblCellMar>
          <w:top w:w="0" w:type="dxa"/>
          <w:left w:w="0" w:type="dxa"/>
          <w:bottom w:w="0" w:type="dxa"/>
          <w:right w:w="0" w:type="dxa"/>
        </w:tblCellMar>
      </w:tblPr>
      <w:tblGrid>
        <w:gridCol w:w="458"/>
        <w:gridCol w:w="792"/>
        <w:gridCol w:w="1403"/>
        <w:gridCol w:w="2000"/>
        <w:gridCol w:w="2365"/>
        <w:gridCol w:w="1382"/>
        <w:gridCol w:w="1382"/>
        <w:gridCol w:w="1382"/>
        <w:gridCol w:w="1382"/>
        <w:gridCol w:w="1992"/>
      </w:tblGrid>
      <w:tr>
        <w:trPr>
          <w:trHeight w:val="435" w:hRule="atLeast"/>
        </w:trPr>
        <w:tc>
          <w:tcPr>
            <w:tcW w:w="14538"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45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79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0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00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36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125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5768"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both"/>
              <w:rPr>
                <w:rFonts w:hint="default" w:ascii="宋体" w:hAnsi="宋体" w:eastAsia="宋体" w:cs="宋体"/>
                <w:sz w:val="24"/>
                <w:szCs w:val="24"/>
                <w:lang w:val="en-US"/>
              </w:rPr>
            </w:pPr>
            <w:r>
              <w:rPr>
                <w:rFonts w:hint="eastAsia"/>
                <w:lang w:eastAsia="zh-CN"/>
              </w:rPr>
              <w:t>湖南省</w:t>
            </w:r>
            <w:r>
              <w:rPr>
                <w:rFonts w:hint="eastAsia"/>
                <w:lang w:val="en-US" w:eastAsia="zh-CN"/>
              </w:rPr>
              <w:t>生态环境事务中心</w:t>
            </w:r>
          </w:p>
        </w:tc>
        <w:tc>
          <w:tcPr>
            <w:tcW w:w="1382"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38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rPr>
        <w:tc>
          <w:tcPr>
            <w:tcW w:w="2653"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200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236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382"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382"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382"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382"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992"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rPr>
        <w:tc>
          <w:tcPr>
            <w:tcW w:w="1250"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1403"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20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3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9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125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03"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0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3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9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2653"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200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236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38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38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38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38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99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450" w:hRule="atLeast"/>
        </w:trPr>
        <w:tc>
          <w:tcPr>
            <w:tcW w:w="2653"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5205.48</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5205.48</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201</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一般公共服务支出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20138</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市场监督管理事务</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2013810</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质量基础</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206</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科学技术支出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6</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6</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i w:val="0"/>
                <w:iCs w:val="0"/>
                <w:color w:val="000000"/>
                <w:sz w:val="20"/>
                <w:szCs w:val="20"/>
                <w:u w:val="none"/>
              </w:rPr>
              <w:t>20603</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　</w:t>
            </w:r>
            <w:r>
              <w:rPr>
                <w:rFonts w:hint="eastAsia" w:ascii="宋体" w:hAnsi="宋体" w:eastAsia="宋体" w:cs="宋体"/>
                <w:i w:val="0"/>
                <w:iCs w:val="0"/>
                <w:color w:val="000000"/>
                <w:sz w:val="20"/>
                <w:szCs w:val="20"/>
                <w:u w:val="none"/>
              </w:rPr>
              <w:t>应用研究</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rPr>
            </w:pPr>
            <w:r>
              <w:rPr>
                <w:rFonts w:hint="eastAsia" w:ascii="宋体" w:hAnsi="宋体" w:eastAsia="宋体" w:cs="宋体"/>
                <w:sz w:val="20"/>
                <w:szCs w:val="20"/>
                <w:lang w:val="en-US" w:eastAsia="zh-CN"/>
              </w:rPr>
              <w:t>6</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6</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2060302</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社会公益研究</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rPr>
            </w:pPr>
            <w:r>
              <w:rPr>
                <w:rFonts w:hint="eastAsia" w:ascii="宋体" w:hAnsi="宋体" w:eastAsia="宋体" w:cs="宋体"/>
                <w:sz w:val="20"/>
                <w:szCs w:val="20"/>
                <w:lang w:val="en-US" w:eastAsia="zh-CN"/>
              </w:rPr>
              <w:t>6</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6</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208</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社会保障和就业支出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rPr>
            </w:pPr>
            <w:r>
              <w:rPr>
                <w:rFonts w:hint="eastAsia" w:ascii="宋体" w:hAnsi="宋体" w:eastAsia="宋体" w:cs="宋体"/>
                <w:sz w:val="20"/>
                <w:szCs w:val="20"/>
                <w:lang w:val="en-US" w:eastAsia="zh-CN"/>
              </w:rPr>
              <w:t>163.18</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b/>
                <w:bCs/>
                <w:kern w:val="2"/>
                <w:sz w:val="20"/>
                <w:szCs w:val="20"/>
                <w:lang w:val="en-US" w:eastAsia="zh-CN" w:bidi="ar-SA"/>
              </w:rPr>
            </w:pPr>
            <w:r>
              <w:rPr>
                <w:rFonts w:hint="eastAsia" w:ascii="宋体" w:hAnsi="宋体" w:eastAsia="宋体" w:cs="宋体"/>
                <w:sz w:val="20"/>
                <w:szCs w:val="20"/>
                <w:lang w:val="en-US" w:eastAsia="zh-CN"/>
              </w:rPr>
              <w:t>163.18</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20805</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行政事业单位养老支出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b/>
                <w:bCs/>
                <w:sz w:val="20"/>
                <w:szCs w:val="20"/>
              </w:rPr>
            </w:pPr>
            <w:r>
              <w:rPr>
                <w:rFonts w:hint="eastAsia" w:ascii="宋体" w:hAnsi="宋体" w:eastAsia="宋体" w:cs="宋体"/>
                <w:sz w:val="20"/>
                <w:szCs w:val="20"/>
                <w:lang w:val="en-US" w:eastAsia="zh-CN"/>
              </w:rPr>
              <w:t>163.18</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163.18</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2080505</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 xml:space="preserve"> 机关事业单位基本养老保险缴费支出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163.18</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163.18</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节能环保支出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4932.3</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4932.3</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21101</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环境保护管理事务</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1632.3</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1632.3</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2110101</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 xml:space="preserve">  行政运行</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1157.3</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1157.3</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2110104</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 xml:space="preserve"> 生态环境保护宣传</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200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2110105</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环境保护法规、规划及标准</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200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2110108</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 xml:space="preserve"> 应对气候变化管理事务</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25</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25</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2110199</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 xml:space="preserve"> 其他环境保护管理事务支出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50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21103</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污染防治</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3000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3000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2110399</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其他污染防治支出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3000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3000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21111</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污染减排</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300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300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2111101</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生态环境监测与信息</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300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300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221</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住房保障支出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100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22102</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住房改革支出</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100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450" w:hRule="atLeast"/>
        </w:trPr>
        <w:tc>
          <w:tcPr>
            <w:tcW w:w="125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2210201</w:t>
            </w:r>
          </w:p>
        </w:tc>
        <w:tc>
          <w:tcPr>
            <w:tcW w:w="140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i w:val="0"/>
                <w:iCs w:val="0"/>
                <w:color w:val="000000"/>
                <w:sz w:val="20"/>
                <w:szCs w:val="20"/>
                <w:u w:val="none"/>
              </w:rPr>
              <w:t xml:space="preserve">  住房公积金</w:t>
            </w:r>
          </w:p>
        </w:tc>
        <w:tc>
          <w:tcPr>
            <w:tcW w:w="20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100</w:t>
            </w:r>
          </w:p>
        </w:tc>
        <w:tc>
          <w:tcPr>
            <w:tcW w:w="2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100</w:t>
            </w: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38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c>
          <w:tcPr>
            <w:tcW w:w="19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rPr>
            </w:pPr>
          </w:p>
        </w:tc>
      </w:tr>
      <w:tr>
        <w:tblPrEx>
          <w:tblCellMar>
            <w:top w:w="0" w:type="dxa"/>
            <w:left w:w="0" w:type="dxa"/>
            <w:bottom w:w="0" w:type="dxa"/>
            <w:right w:w="0" w:type="dxa"/>
          </w:tblCellMar>
        </w:tblPrEx>
        <w:trPr>
          <w:trHeight w:val="615" w:hRule="atLeast"/>
        </w:trPr>
        <w:tc>
          <w:tcPr>
            <w:tcW w:w="1453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rPr>
          <w:rFonts w:ascii="Times New Roman" w:hAnsi="Times New Roman" w:eastAsia="方正小标宋_GBK" w:cs="Times New Roman"/>
          <w:color w:val="000000"/>
          <w:kern w:val="0"/>
          <w:sz w:val="36"/>
          <w:szCs w:val="36"/>
        </w:rPr>
      </w:pPr>
    </w:p>
    <w:tbl>
      <w:tblPr>
        <w:tblStyle w:val="15"/>
        <w:tblW w:w="14807" w:type="dxa"/>
        <w:tblInd w:w="93" w:type="dxa"/>
        <w:tblLayout w:type="fixed"/>
        <w:tblCellMar>
          <w:top w:w="0" w:type="dxa"/>
          <w:left w:w="108" w:type="dxa"/>
          <w:bottom w:w="0" w:type="dxa"/>
          <w:right w:w="108" w:type="dxa"/>
        </w:tblCellMar>
      </w:tblPr>
      <w:tblGrid>
        <w:gridCol w:w="1042"/>
        <w:gridCol w:w="222"/>
        <w:gridCol w:w="2105"/>
        <w:gridCol w:w="1688"/>
        <w:gridCol w:w="1740"/>
        <w:gridCol w:w="1725"/>
        <w:gridCol w:w="1830"/>
        <w:gridCol w:w="2122"/>
        <w:gridCol w:w="2333"/>
      </w:tblGrid>
      <w:tr>
        <w:tblPrEx>
          <w:tblCellMar>
            <w:top w:w="0" w:type="dxa"/>
            <w:left w:w="108" w:type="dxa"/>
            <w:bottom w:w="0" w:type="dxa"/>
            <w:right w:w="108" w:type="dxa"/>
          </w:tblCellMar>
        </w:tblPrEx>
        <w:trPr>
          <w:trHeight w:val="435" w:hRule="atLeast"/>
        </w:trPr>
        <w:tc>
          <w:tcPr>
            <w:tcW w:w="14807"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0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8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4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3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3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5755" w:type="dxa"/>
            <w:gridSpan w:val="4"/>
            <w:tcBorders>
              <w:top w:val="nil"/>
              <w:left w:val="nil"/>
              <w:bottom w:val="nil"/>
              <w:right w:val="nil"/>
            </w:tcBorders>
            <w:shd w:val="clear" w:color="000000" w:fill="FFFFFF"/>
            <w:noWrap/>
            <w:vAlign w:val="center"/>
          </w:tcPr>
          <w:p>
            <w:pPr>
              <w:widowControl/>
              <w:jc w:val="both"/>
              <w:rPr>
                <w:rFonts w:ascii="宋体" w:hAnsi="宋体" w:eastAsia="宋体" w:cs="宋体"/>
                <w:kern w:val="0"/>
                <w:sz w:val="24"/>
                <w:szCs w:val="24"/>
              </w:rPr>
            </w:pPr>
            <w:r>
              <w:rPr>
                <w:rFonts w:hint="eastAsia"/>
                <w:lang w:eastAsia="zh-CN"/>
              </w:rPr>
              <w:t>湖南省</w:t>
            </w:r>
            <w:r>
              <w:rPr>
                <w:rFonts w:hint="eastAsia"/>
                <w:lang w:val="en-US" w:eastAsia="zh-CN"/>
              </w:rPr>
              <w:t>生态</w:t>
            </w:r>
            <w:r>
              <w:rPr>
                <w:rFonts w:hint="eastAsia"/>
                <w:lang w:eastAsia="zh-CN"/>
              </w:rPr>
              <w:t>环境</w:t>
            </w:r>
            <w:r>
              <w:rPr>
                <w:rFonts w:hint="eastAsia"/>
                <w:lang w:val="en-US" w:eastAsia="zh-CN"/>
              </w:rPr>
              <w:t>事务中心</w:t>
            </w:r>
            <w:r>
              <w:rPr>
                <w:rFonts w:hint="eastAsia" w:ascii="宋体" w:hAnsi="宋体" w:eastAsia="宋体" w:cs="宋体"/>
                <w:kern w:val="0"/>
                <w:sz w:val="24"/>
                <w:szCs w:val="24"/>
              </w:rPr>
              <w:t>　</w:t>
            </w:r>
          </w:p>
        </w:tc>
        <w:tc>
          <w:tcPr>
            <w:tcW w:w="1725"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83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3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50" w:hRule="atLeast"/>
        </w:trPr>
        <w:tc>
          <w:tcPr>
            <w:tcW w:w="3369"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68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74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72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83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212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233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trHeight w:val="450" w:hRule="atLeast"/>
        </w:trPr>
        <w:tc>
          <w:tcPr>
            <w:tcW w:w="1264"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0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6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3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0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3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336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68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74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72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83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212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33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trHeight w:val="450" w:hRule="atLeast"/>
        </w:trPr>
        <w:tc>
          <w:tcPr>
            <w:tcW w:w="336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5820.23</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1453.46</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4366.77</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9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201</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一般公共服务支出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20138</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市场监督管理事务</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2013810</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rPr>
              <w:t>质量基础</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206</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科学技术支出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20603</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应用研究</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2060302</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社会公益研究</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208</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社会保障和就业支出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163.18</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163.18</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20805</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rPr>
              <w:t>行政事业单位养老支出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163.18</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163.18</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2080505</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机关事业单位基本养老保险缴费支出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163.18</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163.18</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节能环保支出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5527.05</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1190.28</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4336.77</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环境保护管理事务</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1736.6</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1190.28</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546.32</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2110101</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行政运行</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1212.28</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1190.28</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22</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2110104</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生态环境保护宣传</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239.82</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239.82</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2110105</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环境保护法规、规划及标准</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196.82</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196.82</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2110108</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应对气候变化管理事务</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15.27</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15.27</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2110199</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其他环境保护管理事务支出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72.42</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72.42</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21102</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环境监测与监察</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26.53</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26.53</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2110203</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建设项目环评审查与监督</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26.53</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26.53</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21103</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污染防治</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3327.57</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3327.57</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2110399</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其他污染防治支出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3327.57</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3327.57</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21111</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污染减排</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436.36</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436.36</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2111101</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生态环境监测与信息</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436.36</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436.36</w:t>
            </w: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221</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住房保障支出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100</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22102</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住房改革支出</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100</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5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2210201</w:t>
            </w:r>
          </w:p>
        </w:tc>
        <w:tc>
          <w:tcPr>
            <w:tcW w:w="2105" w:type="dxa"/>
            <w:tcBorders>
              <w:top w:val="nil"/>
              <w:left w:val="nil"/>
              <w:bottom w:val="single" w:color="auto" w:sz="4" w:space="0"/>
              <w:right w:val="single" w:color="auto" w:sz="4" w:space="0"/>
            </w:tcBorders>
            <w:shd w:val="clear" w:color="000000" w:fill="FFFFFF"/>
            <w:noWrap/>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住房公积金</w:t>
            </w:r>
          </w:p>
        </w:tc>
        <w:tc>
          <w:tcPr>
            <w:tcW w:w="168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17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100</w:t>
            </w:r>
          </w:p>
        </w:tc>
        <w:tc>
          <w:tcPr>
            <w:tcW w:w="17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p>
        </w:tc>
        <w:tc>
          <w:tcPr>
            <w:tcW w:w="183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122"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c>
          <w:tcPr>
            <w:tcW w:w="233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630" w:hRule="atLeast"/>
        </w:trPr>
        <w:tc>
          <w:tcPr>
            <w:tcW w:w="14807"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p>
      <w:pPr>
        <w:pStyle w:val="2"/>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p>
      <w:pPr>
        <w:pStyle w:val="2"/>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tbl>
      <w:tblPr>
        <w:tblStyle w:val="15"/>
        <w:tblW w:w="15521" w:type="dxa"/>
        <w:tblInd w:w="93" w:type="dxa"/>
        <w:tblLayout w:type="autofit"/>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部门：</w:t>
            </w:r>
            <w:r>
              <w:rPr>
                <w:rFonts w:hint="eastAsia"/>
                <w:lang w:eastAsia="zh-CN"/>
              </w:rPr>
              <w:t>湖南省</w:t>
            </w:r>
            <w:r>
              <w:rPr>
                <w:rFonts w:hint="eastAsia"/>
                <w:lang w:val="en-US" w:eastAsia="zh-CN"/>
              </w:rPr>
              <w:t>生态环境事务中心</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5205.48</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4</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4</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26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26</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2"/>
                <w:lang w:eastAsia="zh-CN"/>
              </w:rPr>
              <w:t>七、社会保障和就业支出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163.18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163.18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rPr>
            </w:pPr>
            <w:r>
              <w:rPr>
                <w:rFonts w:hint="eastAsia" w:ascii="宋体" w:hAnsi="宋体" w:eastAsia="宋体" w:cs="宋体"/>
                <w:kern w:val="0"/>
                <w:sz w:val="22"/>
                <w:lang w:eastAsia="zh-CN"/>
              </w:rPr>
              <w:t>八、节能环保支出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5527.05</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5527.05</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5205.48</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5820.23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5820.23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755.74</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140.99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140.99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755.74</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szCs w:val="22"/>
                <w:lang w:val="en-US" w:eastAsia="zh-CN" w:bidi="ar-SA"/>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5961.22</w:t>
            </w: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5961.22</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lang w:val="en-US" w:eastAsia="zh-CN"/>
              </w:rPr>
              <w:t>5961.22</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lang w:eastAsia="zh-CN"/>
        </w:rPr>
        <w:t>湖南省</w:t>
      </w:r>
      <w:r>
        <w:rPr>
          <w:rFonts w:hint="eastAsia"/>
          <w:lang w:val="en-US" w:eastAsia="zh-CN"/>
        </w:rPr>
        <w:t>生态环境事务中心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15"/>
        <w:tblW w:w="14219" w:type="dxa"/>
        <w:jc w:val="center"/>
        <w:tblLayout w:type="autofit"/>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rPr>
              <w:t>5820.23</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1453.46</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4366.77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201</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一般公共服务支出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20138</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市场监督管理事务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2013810</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rPr>
              <w:t>质量基础</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206</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科学技术支出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20603</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应用研究</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2060302</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社会公益研究</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208</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163.18</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163.18</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20805</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163.18</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163.18</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2080505</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163.18</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163.18</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节能环保支出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5527.05</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1190.28</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4336.77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环境保护管理事务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1736.6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1190.28</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546.32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2110101</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行政运行</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1212.28</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1190.28</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2110104</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生态环境保护宣传</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239.82</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239.82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2110105</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环境保护法规、规划及标准</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196.82</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196.82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2110108</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应对气候变化管理事务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15.27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15.27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2110199</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其他环境保护管理事务支出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72.42</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72.42</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default"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21102</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环境监测与监察</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26.53</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26.53</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default"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2110203</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建设项目环评审查与监督</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26.53</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26.53</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21103</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污染防治</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3327.57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3327.57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2110399</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其他污染防治支出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3327.57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3327.57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21111</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污染减排</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436.36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436.36</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2111101</w:t>
            </w:r>
          </w:p>
        </w:tc>
        <w:tc>
          <w:tcPr>
            <w:tcW w:w="3527"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生态环境监测与信息</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436.36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436.36</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221</w:t>
            </w:r>
          </w:p>
        </w:tc>
        <w:tc>
          <w:tcPr>
            <w:tcW w:w="3527" w:type="dxa"/>
            <w:tcBorders>
              <w:top w:val="nil"/>
              <w:left w:val="nil"/>
              <w:bottom w:val="single" w:color="auto" w:sz="8"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住房保障支出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100</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22102</w:t>
            </w:r>
          </w:p>
        </w:tc>
        <w:tc>
          <w:tcPr>
            <w:tcW w:w="3527" w:type="dxa"/>
            <w:tcBorders>
              <w:top w:val="nil"/>
              <w:left w:val="nil"/>
              <w:bottom w:val="single" w:color="auto" w:sz="8"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住房改革支出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100</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2210201</w:t>
            </w:r>
          </w:p>
        </w:tc>
        <w:tc>
          <w:tcPr>
            <w:tcW w:w="3527" w:type="dxa"/>
            <w:tcBorders>
              <w:top w:val="nil"/>
              <w:left w:val="nil"/>
              <w:bottom w:val="single" w:color="auto" w:sz="8" w:space="0"/>
              <w:right w:val="single" w:color="auto" w:sz="4" w:space="0"/>
            </w:tcBorders>
            <w:shd w:val="clear" w:color="auto" w:fill="auto"/>
            <w:vAlign w:val="center"/>
          </w:tcPr>
          <w:p>
            <w:pPr>
              <w:jc w:val="left"/>
              <w:rPr>
                <w:rFonts w:hint="eastAsia" w:ascii="宋体" w:hAnsi="宋体" w:eastAsia="宋体" w:cs="宋体"/>
                <w:kern w:val="2"/>
                <w:sz w:val="20"/>
                <w:szCs w:val="20"/>
                <w:lang w:val="en-US" w:eastAsia="zh-CN" w:bidi="ar-SA"/>
              </w:rPr>
            </w:pPr>
            <w:r>
              <w:rPr>
                <w:rFonts w:hint="eastAsia" w:ascii="宋体" w:hAnsi="宋体" w:eastAsia="宋体" w:cs="宋体"/>
                <w:i w:val="0"/>
                <w:iCs w:val="0"/>
                <w:color w:val="000000"/>
                <w:sz w:val="20"/>
                <w:szCs w:val="20"/>
                <w:u w:val="none"/>
              </w:rPr>
              <w:t>住房公积金</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100</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5"/>
        <w:tblW w:w="15628" w:type="dxa"/>
        <w:tblInd w:w="0" w:type="dxa"/>
        <w:tblLayout w:type="fixed"/>
        <w:tblCellMar>
          <w:top w:w="0" w:type="dxa"/>
          <w:left w:w="108" w:type="dxa"/>
          <w:bottom w:w="0" w:type="dxa"/>
          <w:right w:w="108" w:type="dxa"/>
        </w:tblCellMar>
      </w:tblPr>
      <w:tblGrid>
        <w:gridCol w:w="1335"/>
        <w:gridCol w:w="3060"/>
        <w:gridCol w:w="1141"/>
        <w:gridCol w:w="942"/>
        <w:gridCol w:w="2168"/>
        <w:gridCol w:w="947"/>
        <w:gridCol w:w="942"/>
        <w:gridCol w:w="3842"/>
        <w:gridCol w:w="1251"/>
      </w:tblGrid>
      <w:tr>
        <w:tblPrEx>
          <w:tblCellMar>
            <w:top w:w="0" w:type="dxa"/>
            <w:left w:w="108" w:type="dxa"/>
            <w:bottom w:w="0" w:type="dxa"/>
            <w:right w:w="108" w:type="dxa"/>
          </w:tblCellMar>
        </w:tblPrEx>
        <w:trPr>
          <w:trHeight w:val="1000" w:hRule="atLeast"/>
        </w:trPr>
        <w:tc>
          <w:tcPr>
            <w:tcW w:w="15628" w:type="dxa"/>
            <w:gridSpan w:val="9"/>
            <w:tcBorders>
              <w:top w:val="nil"/>
              <w:left w:val="nil"/>
              <w:bottom w:val="nil"/>
              <w:right w:val="nil"/>
            </w:tcBorders>
            <w:shd w:val="clear" w:color="auto" w:fill="auto"/>
            <w:noWrap/>
            <w:vAlign w:val="center"/>
          </w:tcPr>
          <w:p>
            <w:pPr>
              <w:widowControl/>
              <w:wordWrap/>
              <w:jc w:val="center"/>
              <w:rPr>
                <w:rFonts w:hint="eastAsia" w:ascii="Times New Roman" w:hAnsi="Times New Roman" w:eastAsia="仿宋_GB2312" w:cs="Times New Roman"/>
                <w:color w:val="000000"/>
                <w:kern w:val="0"/>
                <w:szCs w:val="21"/>
              </w:rPr>
            </w:pPr>
            <w:bookmarkStart w:id="2" w:name="RANGE!A1:I34"/>
            <w:r>
              <w:rPr>
                <w:rFonts w:hint="eastAsia" w:ascii="华文中宋" w:hAnsi="华文中宋" w:eastAsia="华文中宋" w:cs="宋体"/>
                <w:color w:val="000000"/>
                <w:kern w:val="0"/>
                <w:sz w:val="32"/>
                <w:szCs w:val="32"/>
              </w:rPr>
              <w:t>一般公共预算财政拨款基本支出决算明细表</w:t>
            </w:r>
            <w:bookmarkEnd w:id="2"/>
          </w:p>
          <w:p>
            <w:pPr>
              <w:widowControl/>
              <w:wordWrap/>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lang w:eastAsia="zh-CN"/>
              </w:rPr>
              <w:t>湖南省</w:t>
            </w:r>
            <w:r>
              <w:rPr>
                <w:rFonts w:hint="eastAsia"/>
                <w:lang w:val="en-US" w:eastAsia="zh-CN"/>
              </w:rPr>
              <w:t>生态环境事务中心</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4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1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8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2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1060.88</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378.28</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207.88</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50</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111.12</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151.23</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52.88</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254.58</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17</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76.05</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36</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16.42</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6</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57.41</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26</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27</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13.3</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20</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100</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20</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14.3</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7.56</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1.28</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5.44</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40</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40</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15</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18</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4</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1.3</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0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1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4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50</w:t>
            </w:r>
          </w:p>
        </w:tc>
        <w:tc>
          <w:tcPr>
            <w:tcW w:w="9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4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439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14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1075.18</w:t>
            </w:r>
          </w:p>
        </w:tc>
        <w:tc>
          <w:tcPr>
            <w:tcW w:w="884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1251"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18"/>
                <w:lang w:val="en-US" w:eastAsia="zh-CN"/>
              </w:rPr>
            </w:pPr>
            <w:r>
              <w:rPr>
                <w:rFonts w:hint="eastAsia" w:ascii="宋体" w:hAnsi="宋体" w:eastAsia="宋体" w:cs="宋体"/>
                <w:color w:val="000000"/>
                <w:kern w:val="0"/>
                <w:szCs w:val="18"/>
              </w:rPr>
              <w:t>　</w:t>
            </w:r>
            <w:r>
              <w:rPr>
                <w:rFonts w:hint="eastAsia" w:ascii="宋体" w:hAnsi="宋体" w:eastAsia="宋体" w:cs="宋体"/>
                <w:color w:val="000000"/>
                <w:kern w:val="0"/>
                <w:szCs w:val="18"/>
                <w:lang w:val="en-US" w:eastAsia="zh-CN"/>
              </w:rPr>
              <w:t>378.28</w:t>
            </w:r>
          </w:p>
        </w:tc>
      </w:tr>
      <w:tr>
        <w:tblPrEx>
          <w:tblCellMar>
            <w:top w:w="0" w:type="dxa"/>
            <w:left w:w="108" w:type="dxa"/>
            <w:bottom w:w="0" w:type="dxa"/>
            <w:right w:w="108" w:type="dxa"/>
          </w:tblCellMar>
        </w:tblPrEx>
        <w:trPr>
          <w:trHeight w:val="284" w:hRule="exact"/>
        </w:trPr>
        <w:tc>
          <w:tcPr>
            <w:tcW w:w="15628"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lang w:eastAsia="zh-CN"/>
        </w:rPr>
        <w:t>湖南省</w:t>
      </w:r>
      <w:r>
        <w:rPr>
          <w:rFonts w:hint="eastAsia"/>
          <w:lang w:val="en-US" w:eastAsia="zh-CN"/>
        </w:rPr>
        <w:t>生态环境事务中心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15"/>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48</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40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22</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18</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8</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41.28</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22</w:t>
            </w:r>
          </w:p>
        </w:tc>
        <w:tc>
          <w:tcPr>
            <w:tcW w:w="1220" w:type="dxa"/>
            <w:tcBorders>
              <w:top w:val="nil"/>
              <w:left w:val="nil"/>
              <w:bottom w:val="single" w:color="auto" w:sz="8" w:space="0"/>
              <w:right w:val="nil"/>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18</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1.28</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lang w:eastAsia="zh-CN"/>
        </w:rPr>
        <w:t>湖南省</w:t>
      </w:r>
      <w:r>
        <w:rPr>
          <w:rFonts w:hint="eastAsia"/>
          <w:lang w:val="en-US" w:eastAsia="zh-CN"/>
        </w:rPr>
        <w:t>生态</w:t>
      </w:r>
      <w:r>
        <w:rPr>
          <w:rFonts w:hint="eastAsia"/>
          <w:lang w:eastAsia="zh-CN"/>
        </w:rPr>
        <w:t>环境</w:t>
      </w:r>
      <w:r>
        <w:rPr>
          <w:rFonts w:hint="eastAsia"/>
          <w:lang w:val="en-US" w:eastAsia="zh-CN"/>
        </w:rPr>
        <w:t>事务中心</w:t>
      </w:r>
      <w:r>
        <w:rPr>
          <w:rFonts w:ascii="Times New Roman" w:hAnsi="Times New Roman" w:eastAsia="仿宋_GB2312" w:cs="Times New Roman"/>
          <w:color w:val="000000"/>
          <w:kern w:val="0"/>
          <w:szCs w:val="21"/>
        </w:rPr>
        <w:t xml:space="preserve">                                                                                             公开08表</w:t>
      </w:r>
    </w:p>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5"/>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lang w:val="en-US" w:eastAsia="zh-CN"/>
        </w:rPr>
        <w:t>本部门</w:t>
      </w:r>
      <w:r>
        <w:rPr>
          <w:rFonts w:hint="eastAsia" w:ascii="Times New Roman" w:hAnsi="Times New Roman" w:eastAsia="仿宋_GB2312" w:cs="Times New Roman"/>
          <w:kern w:val="0"/>
          <w:szCs w:val="21"/>
        </w:rPr>
        <w:t>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15"/>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3775" w:type="dxa"/>
            <w:gridSpan w:val="3"/>
            <w:tcBorders>
              <w:top w:val="nil"/>
              <w:left w:val="nil"/>
              <w:bottom w:val="nil"/>
              <w:right w:val="nil"/>
            </w:tcBorders>
            <w:shd w:val="clear" w:color="000000" w:fill="FFFFFF"/>
            <w:vAlign w:val="center"/>
          </w:tcPr>
          <w:p>
            <w:pPr>
              <w:widowControl/>
              <w:jc w:val="both"/>
              <w:rPr>
                <w:rFonts w:hint="eastAsia" w:ascii="宋体" w:hAnsi="宋体" w:eastAsia="宋体" w:cs="宋体"/>
                <w:kern w:val="0"/>
                <w:sz w:val="20"/>
                <w:szCs w:val="20"/>
                <w:lang w:eastAsia="zh-CN"/>
              </w:rPr>
            </w:pPr>
            <w:r>
              <w:rPr>
                <w:rFonts w:hint="eastAsia"/>
                <w:lang w:eastAsia="zh-CN"/>
              </w:rPr>
              <w:t>湖南省</w:t>
            </w:r>
            <w:r>
              <w:rPr>
                <w:rFonts w:hint="eastAsia"/>
                <w:lang w:val="en-US" w:eastAsia="zh-CN"/>
              </w:rPr>
              <w:t>生态</w:t>
            </w:r>
            <w:r>
              <w:rPr>
                <w:rFonts w:hint="eastAsia"/>
                <w:lang w:eastAsia="zh-CN"/>
              </w:rPr>
              <w:t>环境</w:t>
            </w:r>
            <w:r>
              <w:rPr>
                <w:rFonts w:hint="eastAsia"/>
                <w:lang w:val="en-US" w:eastAsia="zh-CN"/>
              </w:rPr>
              <w:t>事务中心</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pStyle w:val="2"/>
              <w:rPr>
                <w:rFonts w:hint="eastAsia" w:eastAsia="宋体"/>
                <w:lang w:eastAsia="zh-CN"/>
              </w:rPr>
            </w:pPr>
            <w:r>
              <w:rPr>
                <w:rFonts w:hint="eastAsia" w:ascii="宋体" w:hAnsi="宋体" w:eastAsia="宋体" w:cs="宋体"/>
                <w:kern w:val="0"/>
                <w:sz w:val="24"/>
                <w:szCs w:val="24"/>
                <w:lang w:val="en-US" w:eastAsia="zh-CN"/>
              </w:rPr>
              <w:t>本部门</w:t>
            </w:r>
            <w:r>
              <w:rPr>
                <w:rFonts w:hint="eastAsia" w:ascii="宋体" w:hAnsi="宋体" w:eastAsia="宋体" w:cs="宋体"/>
                <w:kern w:val="0"/>
                <w:sz w:val="24"/>
                <w:szCs w:val="24"/>
              </w:rPr>
              <w:t>没有国有资本经营预算收入，也没有使用国有资本经营预算安排的支出，故本表无数据</w:t>
            </w:r>
            <w:r>
              <w:rPr>
                <w:rFonts w:hint="eastAsia" w:ascii="宋体" w:hAnsi="宋体" w:eastAsia="宋体" w:cs="宋体"/>
                <w:kern w:val="0"/>
                <w:sz w:val="24"/>
                <w:szCs w:val="24"/>
                <w:lang w:eastAsia="zh-CN"/>
              </w:rPr>
              <w:t>。</w:t>
            </w:r>
          </w:p>
        </w:tc>
      </w:tr>
    </w:tbl>
    <w:p>
      <w:pPr>
        <w:pStyle w:val="20"/>
        <w:rPr>
          <w:sz w:val="72"/>
          <w:szCs w:val="72"/>
        </w:rPr>
        <w:sectPr>
          <w:pgSz w:w="16838" w:h="11906" w:orient="landscape"/>
          <w:pgMar w:top="720" w:right="720" w:bottom="720" w:left="720" w:header="851" w:footer="992" w:gutter="0"/>
          <w:cols w:space="425" w:num="1"/>
          <w:docGrid w:type="lines" w:linePitch="312" w:charSpace="0"/>
        </w:sectPr>
      </w:pPr>
    </w:p>
    <w:p>
      <w:pPr>
        <w:pStyle w:val="20"/>
        <w:rPr>
          <w:sz w:val="72"/>
          <w:szCs w:val="72"/>
        </w:rPr>
      </w:pPr>
    </w:p>
    <w:p>
      <w:pPr>
        <w:pStyle w:val="20"/>
        <w:rPr>
          <w:sz w:val="72"/>
          <w:szCs w:val="72"/>
        </w:rPr>
      </w:pPr>
    </w:p>
    <w:p>
      <w:pPr>
        <w:pStyle w:val="20"/>
        <w:rPr>
          <w:sz w:val="72"/>
          <w:szCs w:val="72"/>
        </w:rPr>
      </w:pPr>
    </w:p>
    <w:p>
      <w:pPr>
        <w:pStyle w:val="20"/>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r>
        <w:rPr>
          <w:rFonts w:hint="eastAsia"/>
          <w:sz w:val="72"/>
          <w:szCs w:val="72"/>
        </w:rPr>
        <w:t>第三部分</w:t>
      </w:r>
    </w:p>
    <w:p>
      <w:pPr>
        <w:pStyle w:val="20"/>
        <w:jc w:val="center"/>
        <w:rPr>
          <w:sz w:val="70"/>
          <w:szCs w:val="70"/>
        </w:rPr>
      </w:pPr>
    </w:p>
    <w:p>
      <w:pPr>
        <w:pStyle w:val="2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asciiTheme="minorEastAsia" w:hAnsiTheme="minorEastAsia" w:eastAsiaTheme="minorEastAsia"/>
          <w:sz w:val="32"/>
          <w:szCs w:val="32"/>
        </w:rPr>
      </w:pP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一、收入支出决算总体情况说明</w:t>
      </w:r>
    </w:p>
    <w:p>
      <w:pPr>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val="en-US" w:eastAsia="zh-CN"/>
        </w:rPr>
        <w:t>本部门</w:t>
      </w:r>
      <w:r>
        <w:rPr>
          <w:rFonts w:hint="eastAsia" w:asciiTheme="minorEastAsia" w:hAnsiTheme="minorEastAsia" w:cstheme="minorEastAsia"/>
          <w:sz w:val="28"/>
          <w:szCs w:val="28"/>
        </w:rPr>
        <w:t>202</w:t>
      </w: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年度</w:t>
      </w:r>
      <w:r>
        <w:rPr>
          <w:rFonts w:hint="eastAsia" w:asciiTheme="minorEastAsia" w:hAnsiTheme="minorEastAsia" w:cstheme="minorEastAsia"/>
          <w:sz w:val="28"/>
          <w:szCs w:val="28"/>
          <w:lang w:val="en-US" w:eastAsia="zh-CN"/>
        </w:rPr>
        <w:t>收入总计5961.22万元</w:t>
      </w:r>
      <w:r>
        <w:rPr>
          <w:rFonts w:hint="eastAsia" w:ascii="宋体" w:hAnsi="宋体" w:eastAsia="宋体"/>
          <w:sz w:val="28"/>
          <w:szCs w:val="28"/>
          <w:highlight w:val="none"/>
        </w:rPr>
        <w:t>（含年初结转和结余资金</w:t>
      </w:r>
      <w:r>
        <w:rPr>
          <w:rFonts w:hint="eastAsia" w:ascii="宋体" w:hAnsi="宋体" w:eastAsia="宋体" w:cs="宋体"/>
          <w:kern w:val="0"/>
          <w:sz w:val="28"/>
          <w:szCs w:val="28"/>
          <w:lang w:val="en-US" w:eastAsia="zh-CN"/>
        </w:rPr>
        <w:t>755.74</w:t>
      </w:r>
      <w:r>
        <w:rPr>
          <w:rFonts w:hint="eastAsia" w:ascii="宋体" w:hAnsi="宋体" w:eastAsia="宋体"/>
          <w:sz w:val="28"/>
          <w:szCs w:val="28"/>
          <w:highlight w:val="none"/>
        </w:rPr>
        <w:t>万元）</w:t>
      </w:r>
      <w:r>
        <w:rPr>
          <w:rFonts w:hint="eastAsia" w:asciiTheme="minorEastAsia" w:hAnsiTheme="minorEastAsia" w:cstheme="minorEastAsia"/>
          <w:sz w:val="28"/>
          <w:szCs w:val="28"/>
          <w:lang w:val="en-US" w:eastAsia="zh-CN"/>
        </w:rPr>
        <w:t>，</w:t>
      </w:r>
      <w:r>
        <w:rPr>
          <w:rFonts w:hint="eastAsia" w:ascii="宋体" w:hAnsi="宋体" w:eastAsia="宋体"/>
          <w:sz w:val="28"/>
          <w:szCs w:val="28"/>
        </w:rPr>
        <w:t>与上年相比，增长</w:t>
      </w:r>
      <w:r>
        <w:rPr>
          <w:rFonts w:hint="eastAsia" w:ascii="宋体" w:hAnsi="宋体" w:eastAsia="宋体"/>
          <w:sz w:val="28"/>
          <w:szCs w:val="28"/>
          <w:lang w:val="en-US" w:eastAsia="zh-CN"/>
        </w:rPr>
        <w:t>391.55</w:t>
      </w:r>
      <w:r>
        <w:rPr>
          <w:rFonts w:hint="eastAsia" w:ascii="宋体" w:hAnsi="宋体" w:eastAsia="宋体"/>
          <w:sz w:val="28"/>
          <w:szCs w:val="28"/>
        </w:rPr>
        <w:t>万元，增长</w:t>
      </w:r>
      <w:r>
        <w:rPr>
          <w:rFonts w:hint="eastAsia" w:ascii="宋体" w:hAnsi="宋体" w:eastAsia="宋体"/>
          <w:sz w:val="28"/>
          <w:szCs w:val="28"/>
          <w:lang w:val="en-US" w:eastAsia="zh-CN"/>
        </w:rPr>
        <w:t>7.03</w:t>
      </w:r>
      <w:r>
        <w:rPr>
          <w:rFonts w:hint="eastAsia" w:ascii="宋体" w:hAnsi="宋体" w:eastAsia="宋体"/>
          <w:sz w:val="28"/>
          <w:szCs w:val="28"/>
        </w:rPr>
        <w:t>%，主要是因为</w:t>
      </w:r>
      <w:r>
        <w:rPr>
          <w:rFonts w:hint="eastAsia" w:asciiTheme="minorEastAsia" w:hAnsiTheme="minorEastAsia" w:cstheme="minorEastAsia"/>
          <w:sz w:val="28"/>
          <w:szCs w:val="28"/>
          <w:lang w:val="en-US" w:eastAsia="zh-CN"/>
        </w:rPr>
        <w:t>本年项目整合后，项目经费拨款增加。</w:t>
      </w:r>
    </w:p>
    <w:p>
      <w:pPr>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Theme="minorEastAsia" w:hAnsiTheme="minorEastAsia" w:cstheme="minorEastAsia"/>
          <w:sz w:val="32"/>
          <w:szCs w:val="32"/>
          <w:lang w:eastAsia="zh-CN"/>
        </w:rPr>
      </w:pPr>
      <w:r>
        <w:rPr>
          <w:rFonts w:hint="eastAsia" w:asciiTheme="minorEastAsia" w:hAnsiTheme="minorEastAsia" w:cstheme="minorEastAsia"/>
          <w:sz w:val="28"/>
          <w:szCs w:val="28"/>
          <w:lang w:val="en-US" w:eastAsia="zh-CN"/>
        </w:rPr>
        <w:t>本部门</w:t>
      </w:r>
      <w:r>
        <w:rPr>
          <w:rFonts w:hint="eastAsia" w:asciiTheme="minorEastAsia" w:hAnsiTheme="minorEastAsia" w:cstheme="minorEastAsia"/>
          <w:sz w:val="28"/>
          <w:szCs w:val="28"/>
        </w:rPr>
        <w:t>202</w:t>
      </w: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年度</w:t>
      </w:r>
      <w:r>
        <w:rPr>
          <w:rFonts w:hint="eastAsia" w:asciiTheme="minorEastAsia" w:hAnsiTheme="minorEastAsia" w:cstheme="minorEastAsia"/>
          <w:sz w:val="28"/>
          <w:szCs w:val="28"/>
          <w:lang w:val="en-US" w:eastAsia="zh-CN"/>
        </w:rPr>
        <w:t>支出总计5961.22万元</w:t>
      </w:r>
      <w:r>
        <w:rPr>
          <w:rFonts w:hint="eastAsia" w:ascii="宋体" w:hAnsi="宋体" w:eastAsia="宋体"/>
          <w:sz w:val="28"/>
          <w:szCs w:val="28"/>
          <w:highlight w:val="none"/>
        </w:rPr>
        <w:t>（含年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宋体" w:hAnsi="宋体" w:eastAsia="宋体" w:cs="宋体"/>
          <w:kern w:val="0"/>
          <w:sz w:val="28"/>
          <w:szCs w:val="28"/>
          <w:lang w:val="en-US" w:eastAsia="zh-CN"/>
        </w:rPr>
        <w:t>140.99</w:t>
      </w:r>
      <w:r>
        <w:rPr>
          <w:rFonts w:hint="eastAsia" w:ascii="宋体" w:hAnsi="宋体" w:eastAsia="宋体"/>
          <w:sz w:val="28"/>
          <w:szCs w:val="28"/>
          <w:highlight w:val="none"/>
        </w:rPr>
        <w:t>万元）</w:t>
      </w:r>
      <w:r>
        <w:rPr>
          <w:rFonts w:hint="eastAsia" w:asciiTheme="minorEastAsia" w:hAnsiTheme="minorEastAsia" w:cstheme="minorEastAsia"/>
          <w:sz w:val="28"/>
          <w:szCs w:val="28"/>
          <w:lang w:val="en-US" w:eastAsia="zh-CN"/>
        </w:rPr>
        <w:t>，</w:t>
      </w:r>
      <w:r>
        <w:rPr>
          <w:rFonts w:hint="eastAsia" w:ascii="宋体" w:hAnsi="宋体" w:eastAsia="宋体"/>
          <w:sz w:val="28"/>
          <w:szCs w:val="28"/>
        </w:rPr>
        <w:t>与上年相比，增长</w:t>
      </w:r>
      <w:r>
        <w:rPr>
          <w:rFonts w:hint="eastAsia" w:ascii="宋体" w:hAnsi="宋体" w:eastAsia="宋体"/>
          <w:sz w:val="28"/>
          <w:szCs w:val="28"/>
          <w:lang w:val="en-US" w:eastAsia="zh-CN"/>
        </w:rPr>
        <w:t>391.55</w:t>
      </w:r>
      <w:r>
        <w:rPr>
          <w:rFonts w:hint="eastAsia" w:ascii="宋体" w:hAnsi="宋体" w:eastAsia="宋体"/>
          <w:sz w:val="28"/>
          <w:szCs w:val="28"/>
        </w:rPr>
        <w:t>万元，增长</w:t>
      </w:r>
      <w:r>
        <w:rPr>
          <w:rFonts w:hint="eastAsia" w:ascii="宋体" w:hAnsi="宋体" w:eastAsia="宋体"/>
          <w:sz w:val="28"/>
          <w:szCs w:val="28"/>
          <w:lang w:val="en-US" w:eastAsia="zh-CN"/>
        </w:rPr>
        <w:t>7.03</w:t>
      </w:r>
      <w:r>
        <w:rPr>
          <w:rFonts w:hint="eastAsia" w:ascii="宋体" w:hAnsi="宋体" w:eastAsia="宋体"/>
          <w:sz w:val="28"/>
          <w:szCs w:val="28"/>
        </w:rPr>
        <w:t>%，主要是因为</w:t>
      </w:r>
      <w:r>
        <w:rPr>
          <w:rFonts w:hint="eastAsia" w:asciiTheme="minorEastAsia" w:hAnsiTheme="minorEastAsia" w:cstheme="minorEastAsia"/>
          <w:sz w:val="28"/>
          <w:szCs w:val="28"/>
          <w:lang w:val="en-US" w:eastAsia="zh-CN"/>
        </w:rPr>
        <w:t>本年项目整合后，项目经费支出增加。</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二、收入决算情况说明</w:t>
      </w:r>
    </w:p>
    <w:p>
      <w:pPr>
        <w:pStyle w:val="1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bidi w:val="0"/>
        <w:snapToGrid/>
        <w:spacing w:before="158" w:after="158" w:line="460" w:lineRule="atLeas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2021年度收入合计</w:t>
      </w:r>
      <w:r>
        <w:rPr>
          <w:rFonts w:hint="eastAsia" w:asciiTheme="minorEastAsia" w:hAnsiTheme="minorEastAsia" w:eastAsiaTheme="minorEastAsia"/>
          <w:sz w:val="28"/>
          <w:szCs w:val="28"/>
          <w:lang w:val="en-US" w:eastAsia="zh-CN"/>
        </w:rPr>
        <w:t>5205.48</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（不含年初结转和结余资金）</w:t>
      </w:r>
      <w:r>
        <w:rPr>
          <w:rFonts w:hint="eastAsia" w:asciiTheme="minorEastAsia" w:hAnsiTheme="minorEastAsia" w:eastAsiaTheme="minorEastAsia"/>
          <w:sz w:val="28"/>
          <w:szCs w:val="28"/>
        </w:rPr>
        <w:t>，其中：财政拨款收入</w:t>
      </w:r>
      <w:r>
        <w:rPr>
          <w:rFonts w:hint="eastAsia" w:asciiTheme="minorEastAsia" w:hAnsiTheme="minorEastAsia" w:eastAsiaTheme="minorEastAsia"/>
          <w:sz w:val="28"/>
          <w:szCs w:val="28"/>
          <w:lang w:val="en-US" w:eastAsia="zh-CN"/>
        </w:rPr>
        <w:t>5205.48</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%；上级补助收入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%；事业收入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%；经营收入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%；附属单位上缴收入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%；其他收入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三、支出决算情况说明</w:t>
      </w:r>
    </w:p>
    <w:p>
      <w:pPr>
        <w:pStyle w:val="1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bidi w:val="0"/>
        <w:snapToGrid/>
        <w:spacing w:before="158" w:after="158" w:line="460" w:lineRule="atLeas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2021年度支出合计</w:t>
      </w:r>
      <w:r>
        <w:rPr>
          <w:rFonts w:hint="eastAsia" w:asciiTheme="minorEastAsia" w:hAnsiTheme="minorEastAsia" w:eastAsiaTheme="minorEastAsia"/>
          <w:sz w:val="28"/>
          <w:szCs w:val="28"/>
          <w:lang w:val="en-US" w:eastAsia="zh-CN"/>
        </w:rPr>
        <w:t>5820.23</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（不含年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Theme="minorEastAsia" w:hAnsiTheme="minorEastAsia" w:eastAsiaTheme="minorEastAsia"/>
          <w:sz w:val="28"/>
          <w:szCs w:val="28"/>
        </w:rPr>
        <w:t>，其中：基本支出</w:t>
      </w:r>
      <w:r>
        <w:rPr>
          <w:rFonts w:hint="eastAsia" w:asciiTheme="minorEastAsia" w:hAnsiTheme="minorEastAsia" w:eastAsiaTheme="minorEastAsia"/>
          <w:sz w:val="28"/>
          <w:szCs w:val="28"/>
          <w:lang w:val="en-US" w:eastAsia="zh-CN"/>
        </w:rPr>
        <w:t>1453.46</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25</w:t>
      </w:r>
      <w:r>
        <w:rPr>
          <w:rFonts w:hint="eastAsia" w:asciiTheme="minorEastAsia" w:hAnsiTheme="minorEastAsia" w:eastAsiaTheme="minorEastAsia"/>
          <w:sz w:val="28"/>
          <w:szCs w:val="28"/>
        </w:rPr>
        <w:t>%；项目支出</w:t>
      </w:r>
      <w:r>
        <w:rPr>
          <w:rFonts w:hint="eastAsia" w:asciiTheme="minorEastAsia" w:hAnsiTheme="minorEastAsia" w:eastAsiaTheme="minorEastAsia"/>
          <w:sz w:val="28"/>
          <w:szCs w:val="28"/>
          <w:lang w:val="en-US" w:eastAsia="zh-CN"/>
        </w:rPr>
        <w:t>4366.77</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val="en-US" w:eastAsia="zh-CN"/>
        </w:rPr>
        <w:t>75</w:t>
      </w:r>
      <w:r>
        <w:rPr>
          <w:rFonts w:hint="eastAsia" w:asciiTheme="minorEastAsia" w:hAnsiTheme="minorEastAsia" w:eastAsiaTheme="minorEastAsia"/>
          <w:sz w:val="28"/>
          <w:szCs w:val="28"/>
        </w:rPr>
        <w:t>%；上缴上级支出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%；经营支出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%；对附属单位补助支出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四、财政拨款收入支出决算总体情况说明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宋体" w:hAnsi="宋体" w:eastAsia="宋体" w:cs="宋体"/>
          <w:sz w:val="32"/>
          <w:szCs w:val="32"/>
          <w:highlight w:val="none"/>
        </w:rPr>
      </w:pPr>
      <w:r>
        <w:rPr>
          <w:rFonts w:hint="eastAsia" w:asciiTheme="minorEastAsia" w:hAnsiTheme="minorEastAsia" w:eastAsiaTheme="minorEastAsia"/>
          <w:sz w:val="28"/>
          <w:szCs w:val="28"/>
        </w:rPr>
        <w:t>2021年度</w:t>
      </w:r>
      <w:r>
        <w:rPr>
          <w:rFonts w:hint="eastAsia" w:asciiTheme="minorEastAsia" w:hAnsiTheme="minorEastAsia" w:eastAsiaTheme="minorEastAsia"/>
          <w:sz w:val="28"/>
          <w:szCs w:val="28"/>
          <w:lang w:val="en-US" w:eastAsia="zh-CN"/>
        </w:rPr>
        <w:t>财政拨款</w:t>
      </w:r>
      <w:r>
        <w:rPr>
          <w:rFonts w:hint="eastAsia" w:asciiTheme="minorEastAsia" w:hAnsiTheme="minorEastAsia" w:eastAsiaTheme="minorEastAsia"/>
          <w:sz w:val="28"/>
          <w:szCs w:val="28"/>
        </w:rPr>
        <w:t>收入合计</w:t>
      </w:r>
      <w:r>
        <w:rPr>
          <w:rFonts w:hint="eastAsia" w:asciiTheme="minorEastAsia" w:hAnsiTheme="minorEastAsia" w:eastAsiaTheme="minorEastAsia"/>
          <w:sz w:val="28"/>
          <w:szCs w:val="28"/>
          <w:lang w:val="en-US" w:eastAsia="zh-CN"/>
        </w:rPr>
        <w:t>5205.48</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（不含年初结转和结余资金）</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比上年减少183.22万元，减少3.40%，减少的主要</w:t>
      </w:r>
      <w:r>
        <w:rPr>
          <w:rFonts w:hint="eastAsia" w:asciiTheme="minorEastAsia" w:hAnsiTheme="minorEastAsia" w:eastAsiaTheme="minorEastAsia"/>
          <w:sz w:val="28"/>
          <w:szCs w:val="28"/>
          <w:highlight w:val="none"/>
          <w:lang w:val="en-US" w:eastAsia="zh-CN"/>
        </w:rPr>
        <w:t>原因为上年结余资金较多，当年</w:t>
      </w:r>
      <w:r>
        <w:rPr>
          <w:rFonts w:hint="eastAsia" w:cs="黑体" w:asciiTheme="minorEastAsia" w:hAnsiTheme="minorEastAsia" w:eastAsiaTheme="minorEastAsia"/>
          <w:sz w:val="28"/>
          <w:szCs w:val="28"/>
          <w:highlight w:val="none"/>
          <w:lang w:val="en-US" w:eastAsia="zh-CN"/>
        </w:rPr>
        <w:t>项目经费拨款减少。</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int="eastAsia" w:ascii="宋体" w:hAnsi="宋体" w:eastAsia="宋体" w:cs="宋体"/>
          <w:sz w:val="32"/>
          <w:szCs w:val="32"/>
        </w:rPr>
      </w:pP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lang w:val="en-US" w:eastAsia="zh-CN"/>
        </w:rPr>
      </w:pPr>
      <w:r>
        <w:rPr>
          <w:rFonts w:hint="eastAsia" w:asciiTheme="minorEastAsia" w:hAnsiTheme="minorEastAsia" w:eastAsiaTheme="minorEastAsia"/>
          <w:sz w:val="28"/>
          <w:szCs w:val="28"/>
        </w:rPr>
        <w:t>2021年度</w:t>
      </w:r>
      <w:r>
        <w:rPr>
          <w:rFonts w:hint="eastAsia" w:asciiTheme="minorEastAsia" w:hAnsiTheme="minorEastAsia" w:eastAsiaTheme="minorEastAsia"/>
          <w:sz w:val="28"/>
          <w:szCs w:val="28"/>
          <w:lang w:val="en-US" w:eastAsia="zh-CN"/>
        </w:rPr>
        <w:t>财政拨款</w:t>
      </w:r>
      <w:r>
        <w:rPr>
          <w:rFonts w:hint="eastAsia" w:ascii="宋体" w:hAnsi="宋体" w:eastAsia="宋体" w:cs="宋体"/>
          <w:sz w:val="28"/>
          <w:szCs w:val="28"/>
        </w:rPr>
        <w:t>支出</w:t>
      </w:r>
      <w:r>
        <w:rPr>
          <w:rFonts w:hint="eastAsia" w:ascii="宋体" w:hAnsi="宋体" w:eastAsia="宋体" w:cs="宋体"/>
          <w:sz w:val="28"/>
          <w:szCs w:val="28"/>
          <w:lang w:val="en-US" w:eastAsia="zh-CN"/>
        </w:rPr>
        <w:t>合</w:t>
      </w:r>
      <w:r>
        <w:rPr>
          <w:rFonts w:hint="eastAsia" w:ascii="宋体" w:hAnsi="宋体" w:eastAsia="宋体" w:cs="宋体"/>
          <w:sz w:val="28"/>
          <w:szCs w:val="28"/>
        </w:rPr>
        <w:t>计</w:t>
      </w:r>
      <w:r>
        <w:rPr>
          <w:rFonts w:hint="eastAsia" w:ascii="宋体" w:hAnsi="宋体" w:eastAsia="宋体" w:cs="宋体"/>
          <w:sz w:val="28"/>
          <w:szCs w:val="28"/>
          <w:lang w:val="en-US" w:eastAsia="zh-CN"/>
        </w:rPr>
        <w:t>5820.23</w:t>
      </w:r>
      <w:r>
        <w:rPr>
          <w:rFonts w:hint="eastAsia" w:ascii="宋体" w:hAnsi="宋体" w:eastAsia="宋体" w:cs="宋体"/>
          <w:sz w:val="28"/>
          <w:szCs w:val="28"/>
        </w:rPr>
        <w:t>万元</w:t>
      </w:r>
      <w:r>
        <w:rPr>
          <w:rFonts w:hint="eastAsia" w:ascii="宋体" w:hAnsi="宋体" w:eastAsia="宋体"/>
          <w:sz w:val="28"/>
          <w:szCs w:val="28"/>
          <w:highlight w:val="none"/>
        </w:rPr>
        <w:t>（不含年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与上年相比，增加1048.28万元，增加21.97%，主要原因是</w:t>
      </w:r>
      <w:r>
        <w:rPr>
          <w:rFonts w:hint="eastAsia" w:ascii="宋体" w:hAnsi="宋体" w:eastAsia="宋体" w:cs="宋体"/>
          <w:i w:val="0"/>
          <w:iCs w:val="0"/>
          <w:caps w:val="0"/>
          <w:color w:val="333333"/>
          <w:spacing w:val="0"/>
          <w:sz w:val="28"/>
          <w:szCs w:val="28"/>
          <w:shd w:val="clear" w:fill="FFFFFF"/>
        </w:rPr>
        <w:t>按时督促提醒相关</w:t>
      </w:r>
      <w:r>
        <w:rPr>
          <w:rFonts w:hint="eastAsia" w:ascii="宋体" w:hAnsi="宋体" w:eastAsia="宋体" w:cs="宋体"/>
          <w:i w:val="0"/>
          <w:iCs w:val="0"/>
          <w:caps w:val="0"/>
          <w:color w:val="333333"/>
          <w:spacing w:val="0"/>
          <w:sz w:val="28"/>
          <w:szCs w:val="28"/>
          <w:shd w:val="clear" w:fill="FFFFFF"/>
          <w:lang w:val="en-US" w:eastAsia="zh-CN"/>
        </w:rPr>
        <w:t>项目</w:t>
      </w:r>
      <w:r>
        <w:rPr>
          <w:rFonts w:hint="eastAsia" w:ascii="宋体" w:hAnsi="宋体" w:eastAsia="宋体" w:cs="宋体"/>
          <w:i w:val="0"/>
          <w:iCs w:val="0"/>
          <w:caps w:val="0"/>
          <w:color w:val="333333"/>
          <w:spacing w:val="0"/>
          <w:sz w:val="28"/>
          <w:szCs w:val="28"/>
          <w:shd w:val="clear" w:fill="FFFFFF"/>
        </w:rPr>
        <w:t>责任人加快资金使用进度，各类项目资金使用较充分,因此财政拨款支出大幅增加。</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五、一般公共预算财政拨款支出决算情况说明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b/>
          <w:sz w:val="28"/>
          <w:szCs w:val="28"/>
        </w:rPr>
      </w:pPr>
      <w:r>
        <w:rPr>
          <w:rFonts w:hint="eastAsia" w:asciiTheme="minorEastAsia" w:hAnsiTheme="minorEastAsia" w:eastAsiaTheme="minorEastAsia"/>
          <w:b/>
          <w:sz w:val="28"/>
          <w:szCs w:val="28"/>
        </w:rPr>
        <w:t>（一）财政拨款支出决算总体情况</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color w:val="000000" w:themeColor="text1"/>
          <w:sz w:val="28"/>
          <w:szCs w:val="28"/>
          <w:lang w:eastAsia="zh-CN"/>
          <w14:textFill>
            <w14:solidFill>
              <w14:schemeClr w14:val="tx1"/>
            </w14:solidFill>
          </w14:textFill>
        </w:rPr>
      </w:pPr>
      <w:r>
        <w:rPr>
          <w:rFonts w:hint="eastAsia" w:asciiTheme="minorEastAsia" w:hAnsiTheme="minorEastAsia" w:eastAsiaTheme="minorEastAsia"/>
          <w:sz w:val="28"/>
          <w:szCs w:val="28"/>
        </w:rPr>
        <w:t>2021年度财政拨款支出</w:t>
      </w:r>
      <w:r>
        <w:rPr>
          <w:rFonts w:hint="eastAsia" w:asciiTheme="minorEastAsia" w:hAnsiTheme="minorEastAsia" w:eastAsiaTheme="minorEastAsia"/>
          <w:sz w:val="28"/>
          <w:szCs w:val="28"/>
          <w:lang w:val="en-US" w:eastAsia="zh-CN"/>
        </w:rPr>
        <w:t>5820.23</w:t>
      </w:r>
      <w:r>
        <w:rPr>
          <w:rFonts w:hint="eastAsia" w:asciiTheme="minorEastAsia" w:hAnsiTheme="minorEastAsia" w:eastAsiaTheme="minorEastAsia"/>
          <w:sz w:val="28"/>
          <w:szCs w:val="28"/>
        </w:rPr>
        <w:t>万元，占本年支出合计的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w:t>
      </w:r>
      <w:r>
        <w:rPr>
          <w:rFonts w:hint="eastAsia" w:ascii="宋体" w:hAnsi="宋体" w:eastAsia="宋体" w:cs="宋体"/>
          <w:sz w:val="28"/>
          <w:szCs w:val="28"/>
          <w:lang w:val="en-US" w:eastAsia="zh-CN"/>
        </w:rPr>
        <w:t>与上年相比，支出增加1048.28万元，增加21.97%，主要原因是</w:t>
      </w:r>
      <w:r>
        <w:rPr>
          <w:rFonts w:hint="eastAsia" w:ascii="宋体" w:hAnsi="宋体" w:eastAsia="宋体" w:cs="宋体"/>
          <w:i w:val="0"/>
          <w:iCs w:val="0"/>
          <w:caps w:val="0"/>
          <w:color w:val="333333"/>
          <w:spacing w:val="0"/>
          <w:sz w:val="28"/>
          <w:szCs w:val="28"/>
          <w:shd w:val="clear" w:fill="FFFFFF"/>
        </w:rPr>
        <w:t>按时督促提醒相关</w:t>
      </w:r>
      <w:r>
        <w:rPr>
          <w:rFonts w:hint="eastAsia" w:ascii="宋体" w:hAnsi="宋体" w:eastAsia="宋体" w:cs="宋体"/>
          <w:i w:val="0"/>
          <w:iCs w:val="0"/>
          <w:caps w:val="0"/>
          <w:color w:val="333333"/>
          <w:spacing w:val="0"/>
          <w:sz w:val="28"/>
          <w:szCs w:val="28"/>
          <w:shd w:val="clear" w:fill="FFFFFF"/>
          <w:lang w:val="en-US" w:eastAsia="zh-CN"/>
        </w:rPr>
        <w:t>项目</w:t>
      </w:r>
      <w:r>
        <w:rPr>
          <w:rFonts w:hint="eastAsia" w:ascii="宋体" w:hAnsi="宋体" w:eastAsia="宋体" w:cs="宋体"/>
          <w:i w:val="0"/>
          <w:iCs w:val="0"/>
          <w:caps w:val="0"/>
          <w:color w:val="333333"/>
          <w:spacing w:val="0"/>
          <w:sz w:val="28"/>
          <w:szCs w:val="28"/>
          <w:shd w:val="clear" w:fill="FFFFFF"/>
        </w:rPr>
        <w:t>责任人加快资金使用进度，各类项目资金使用较充分,因此财政拨款支出大幅增加。</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b/>
          <w:sz w:val="28"/>
          <w:szCs w:val="28"/>
        </w:rPr>
      </w:pPr>
      <w:r>
        <w:rPr>
          <w:rFonts w:hint="eastAsia" w:asciiTheme="minorEastAsia" w:hAnsiTheme="minorEastAsia" w:eastAsiaTheme="minorEastAsia"/>
          <w:b/>
          <w:sz w:val="28"/>
          <w:szCs w:val="28"/>
        </w:rPr>
        <w:t>（二）财政拨款支出决算结构情况</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仿宋_GB2312" w:hAnsi="宋体" w:eastAsia="仿宋_GB2312" w:cs="仿宋_GB2312"/>
          <w:i w:val="0"/>
          <w:iCs w:val="0"/>
          <w:caps w:val="0"/>
          <w:color w:val="333333"/>
          <w:spacing w:val="0"/>
          <w:sz w:val="28"/>
          <w:szCs w:val="28"/>
          <w:shd w:val="clear" w:fill="FFFFFF"/>
          <w:lang w:val="en-US" w:eastAsia="zh-CN"/>
        </w:rPr>
      </w:pPr>
      <w:r>
        <w:rPr>
          <w:rFonts w:hint="eastAsia" w:ascii="宋体" w:hAnsi="宋体" w:eastAsia="宋体" w:cs="宋体"/>
          <w:b w:val="0"/>
          <w:bCs w:val="0"/>
          <w:sz w:val="28"/>
          <w:szCs w:val="28"/>
        </w:rPr>
        <w:t>2021年度财政拨款支出</w:t>
      </w:r>
      <w:r>
        <w:rPr>
          <w:rFonts w:hint="eastAsia" w:ascii="宋体" w:hAnsi="宋体" w:eastAsia="宋体" w:cs="宋体"/>
          <w:b w:val="0"/>
          <w:bCs w:val="0"/>
          <w:sz w:val="28"/>
          <w:szCs w:val="28"/>
          <w:lang w:val="en-US" w:eastAsia="zh-CN"/>
        </w:rPr>
        <w:t>5820.23</w:t>
      </w:r>
      <w:r>
        <w:rPr>
          <w:rFonts w:hint="eastAsia" w:ascii="宋体" w:hAnsi="宋体" w:eastAsia="宋体" w:cs="宋体"/>
          <w:b w:val="0"/>
          <w:bCs w:val="0"/>
          <w:sz w:val="28"/>
          <w:szCs w:val="28"/>
        </w:rPr>
        <w:t>万元，主要用于以下方面：一般公共服务（类）支出</w:t>
      </w: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万元，占</w:t>
      </w:r>
      <w:r>
        <w:rPr>
          <w:rFonts w:hint="eastAsia" w:ascii="宋体" w:hAnsi="宋体" w:eastAsia="宋体" w:cs="宋体"/>
          <w:b w:val="0"/>
          <w:bCs w:val="0"/>
          <w:sz w:val="28"/>
          <w:szCs w:val="28"/>
          <w:lang w:val="en-US" w:eastAsia="zh-CN"/>
        </w:rPr>
        <w:t>0.07</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科学技术（类）</w:t>
      </w:r>
      <w:r>
        <w:rPr>
          <w:rFonts w:hint="eastAsia" w:ascii="宋体" w:hAnsi="宋体" w:eastAsia="宋体" w:cs="宋体"/>
          <w:b w:val="0"/>
          <w:bCs w:val="0"/>
          <w:sz w:val="28"/>
          <w:szCs w:val="28"/>
        </w:rPr>
        <w:t>支出</w:t>
      </w:r>
      <w:r>
        <w:rPr>
          <w:rFonts w:hint="eastAsia" w:ascii="宋体" w:hAnsi="宋体" w:eastAsia="宋体" w:cs="宋体"/>
          <w:b w:val="0"/>
          <w:bCs w:val="0"/>
          <w:sz w:val="28"/>
          <w:szCs w:val="28"/>
          <w:lang w:val="en-US" w:eastAsia="zh-CN"/>
        </w:rPr>
        <w:t>26</w:t>
      </w:r>
      <w:r>
        <w:rPr>
          <w:rFonts w:hint="eastAsia" w:ascii="宋体" w:hAnsi="宋体" w:eastAsia="宋体" w:cs="宋体"/>
          <w:b w:val="0"/>
          <w:bCs w:val="0"/>
          <w:sz w:val="28"/>
          <w:szCs w:val="28"/>
        </w:rPr>
        <w:t>万元，占</w:t>
      </w:r>
      <w:r>
        <w:rPr>
          <w:rFonts w:hint="eastAsia" w:ascii="宋体" w:hAnsi="宋体" w:eastAsia="宋体" w:cs="宋体"/>
          <w:b w:val="0"/>
          <w:bCs w:val="0"/>
          <w:sz w:val="28"/>
          <w:szCs w:val="28"/>
          <w:lang w:val="en-US" w:eastAsia="zh-CN"/>
        </w:rPr>
        <w:t>0.45%；</w:t>
      </w:r>
      <w:r>
        <w:rPr>
          <w:rStyle w:val="17"/>
          <w:rFonts w:hint="eastAsia" w:ascii="宋体" w:hAnsi="宋体" w:eastAsia="宋体" w:cs="宋体"/>
          <w:b w:val="0"/>
          <w:bCs w:val="0"/>
          <w:i w:val="0"/>
          <w:iCs w:val="0"/>
          <w:caps w:val="0"/>
          <w:color w:val="333333"/>
          <w:spacing w:val="0"/>
          <w:sz w:val="28"/>
          <w:szCs w:val="28"/>
          <w:shd w:val="clear" w:fill="FFFFFF"/>
        </w:rPr>
        <w:t>社会保障和就业（类）</w:t>
      </w:r>
      <w:r>
        <w:rPr>
          <w:rFonts w:hint="eastAsia" w:ascii="宋体" w:hAnsi="宋体" w:eastAsia="宋体" w:cs="宋体"/>
          <w:b w:val="0"/>
          <w:bCs w:val="0"/>
          <w:i w:val="0"/>
          <w:iCs w:val="0"/>
          <w:caps w:val="0"/>
          <w:color w:val="333333"/>
          <w:spacing w:val="0"/>
          <w:sz w:val="28"/>
          <w:szCs w:val="28"/>
          <w:shd w:val="clear" w:fill="FFFFFF"/>
        </w:rPr>
        <w:t>支出</w:t>
      </w:r>
      <w:r>
        <w:rPr>
          <w:rFonts w:hint="eastAsia" w:ascii="宋体" w:hAnsi="宋体" w:eastAsia="宋体" w:cs="宋体"/>
          <w:b w:val="0"/>
          <w:bCs w:val="0"/>
          <w:i w:val="0"/>
          <w:iCs w:val="0"/>
          <w:caps w:val="0"/>
          <w:color w:val="333333"/>
          <w:spacing w:val="0"/>
          <w:sz w:val="28"/>
          <w:szCs w:val="28"/>
          <w:shd w:val="clear" w:fill="FFFFFF"/>
          <w:lang w:val="en-US" w:eastAsia="zh-CN"/>
        </w:rPr>
        <w:t>163.18</w:t>
      </w:r>
      <w:r>
        <w:rPr>
          <w:rFonts w:hint="eastAsia" w:ascii="宋体" w:hAnsi="宋体" w:eastAsia="宋体" w:cs="宋体"/>
          <w:b w:val="0"/>
          <w:bCs w:val="0"/>
          <w:i w:val="0"/>
          <w:iCs w:val="0"/>
          <w:caps w:val="0"/>
          <w:color w:val="333333"/>
          <w:spacing w:val="0"/>
          <w:sz w:val="28"/>
          <w:szCs w:val="28"/>
          <w:shd w:val="clear" w:fill="FFFFFF"/>
        </w:rPr>
        <w:t>万元，占</w:t>
      </w:r>
      <w:r>
        <w:rPr>
          <w:rFonts w:hint="eastAsia" w:ascii="宋体" w:hAnsi="宋体" w:eastAsia="宋体" w:cs="宋体"/>
          <w:b w:val="0"/>
          <w:bCs w:val="0"/>
          <w:i w:val="0"/>
          <w:iCs w:val="0"/>
          <w:caps w:val="0"/>
          <w:color w:val="333333"/>
          <w:spacing w:val="0"/>
          <w:sz w:val="28"/>
          <w:szCs w:val="28"/>
          <w:shd w:val="clear" w:fill="FFFFFF"/>
          <w:lang w:val="en-US" w:eastAsia="zh-CN"/>
        </w:rPr>
        <w:t>2.8</w:t>
      </w:r>
      <w:r>
        <w:rPr>
          <w:rFonts w:hint="eastAsia" w:ascii="宋体" w:hAnsi="宋体" w:eastAsia="宋体" w:cs="宋体"/>
          <w:b w:val="0"/>
          <w:bCs w:val="0"/>
          <w:i w:val="0"/>
          <w:iCs w:val="0"/>
          <w:caps w:val="0"/>
          <w:color w:val="333333"/>
          <w:spacing w:val="0"/>
          <w:sz w:val="28"/>
          <w:szCs w:val="28"/>
          <w:shd w:val="clear" w:fill="FFFFFF"/>
        </w:rPr>
        <w:t>%；</w:t>
      </w:r>
      <w:r>
        <w:rPr>
          <w:rStyle w:val="17"/>
          <w:rFonts w:hint="eastAsia" w:ascii="宋体" w:hAnsi="宋体" w:eastAsia="宋体" w:cs="宋体"/>
          <w:b w:val="0"/>
          <w:bCs w:val="0"/>
          <w:i w:val="0"/>
          <w:iCs w:val="0"/>
          <w:caps w:val="0"/>
          <w:color w:val="333333"/>
          <w:spacing w:val="0"/>
          <w:sz w:val="28"/>
          <w:szCs w:val="28"/>
          <w:shd w:val="clear" w:fill="FFFFFF"/>
          <w:lang w:val="en-US" w:eastAsia="zh-CN"/>
        </w:rPr>
        <w:t>节能环保</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b w:val="0"/>
          <w:bCs w:val="0"/>
          <w:i w:val="0"/>
          <w:iCs w:val="0"/>
          <w:caps w:val="0"/>
          <w:color w:val="333333"/>
          <w:spacing w:val="0"/>
          <w:sz w:val="28"/>
          <w:szCs w:val="28"/>
          <w:shd w:val="clear" w:fill="FFFFFF"/>
        </w:rPr>
        <w:t>支出</w:t>
      </w:r>
      <w:r>
        <w:rPr>
          <w:rFonts w:hint="eastAsia" w:ascii="宋体" w:hAnsi="宋体" w:eastAsia="宋体" w:cs="宋体"/>
          <w:b w:val="0"/>
          <w:bCs w:val="0"/>
          <w:i w:val="0"/>
          <w:iCs w:val="0"/>
          <w:caps w:val="0"/>
          <w:color w:val="333333"/>
          <w:spacing w:val="0"/>
          <w:sz w:val="28"/>
          <w:szCs w:val="28"/>
          <w:shd w:val="clear" w:fill="FFFFFF"/>
          <w:lang w:val="en-US" w:eastAsia="zh-CN"/>
        </w:rPr>
        <w:t>5527.05</w:t>
      </w:r>
      <w:r>
        <w:rPr>
          <w:rFonts w:hint="eastAsia" w:ascii="宋体" w:hAnsi="宋体" w:eastAsia="宋体" w:cs="宋体"/>
          <w:b w:val="0"/>
          <w:bCs w:val="0"/>
          <w:i w:val="0"/>
          <w:iCs w:val="0"/>
          <w:caps w:val="0"/>
          <w:color w:val="333333"/>
          <w:spacing w:val="0"/>
          <w:sz w:val="28"/>
          <w:szCs w:val="28"/>
          <w:shd w:val="clear" w:fill="FFFFFF"/>
        </w:rPr>
        <w:t>万元，占</w:t>
      </w:r>
      <w:r>
        <w:rPr>
          <w:rFonts w:hint="eastAsia" w:ascii="宋体" w:hAnsi="宋体" w:eastAsia="宋体" w:cs="宋体"/>
          <w:b w:val="0"/>
          <w:bCs w:val="0"/>
          <w:i w:val="0"/>
          <w:iCs w:val="0"/>
          <w:caps w:val="0"/>
          <w:color w:val="333333"/>
          <w:spacing w:val="0"/>
          <w:sz w:val="28"/>
          <w:szCs w:val="28"/>
          <w:shd w:val="clear" w:fill="FFFFFF"/>
          <w:lang w:val="en-US" w:eastAsia="zh-CN"/>
        </w:rPr>
        <w:t>94.96</w:t>
      </w:r>
      <w:r>
        <w:rPr>
          <w:rFonts w:hint="eastAsia" w:ascii="宋体" w:hAnsi="宋体" w:eastAsia="宋体" w:cs="宋体"/>
          <w:b w:val="0"/>
          <w:bCs w:val="0"/>
          <w:i w:val="0"/>
          <w:iCs w:val="0"/>
          <w:caps w:val="0"/>
          <w:color w:val="333333"/>
          <w:spacing w:val="0"/>
          <w:sz w:val="28"/>
          <w:szCs w:val="28"/>
          <w:shd w:val="clear" w:fill="FFFFFF"/>
        </w:rPr>
        <w:t>%；</w:t>
      </w:r>
      <w:r>
        <w:rPr>
          <w:rStyle w:val="17"/>
          <w:rFonts w:hint="eastAsia" w:ascii="宋体" w:hAnsi="宋体" w:eastAsia="宋体" w:cs="宋体"/>
          <w:b w:val="0"/>
          <w:bCs w:val="0"/>
          <w:i w:val="0"/>
          <w:iCs w:val="0"/>
          <w:caps w:val="0"/>
          <w:color w:val="333333"/>
          <w:spacing w:val="0"/>
          <w:sz w:val="28"/>
          <w:szCs w:val="28"/>
          <w:shd w:val="clear" w:fill="FFFFFF"/>
        </w:rPr>
        <w:t>住房保障（类）</w:t>
      </w:r>
      <w:r>
        <w:rPr>
          <w:rFonts w:hint="eastAsia" w:ascii="宋体" w:hAnsi="宋体" w:eastAsia="宋体" w:cs="宋体"/>
          <w:b w:val="0"/>
          <w:bCs w:val="0"/>
          <w:i w:val="0"/>
          <w:iCs w:val="0"/>
          <w:caps w:val="0"/>
          <w:color w:val="333333"/>
          <w:spacing w:val="0"/>
          <w:sz w:val="28"/>
          <w:szCs w:val="28"/>
          <w:shd w:val="clear" w:fill="FFFFFF"/>
        </w:rPr>
        <w:t>支出</w:t>
      </w:r>
      <w:r>
        <w:rPr>
          <w:rFonts w:hint="eastAsia" w:ascii="宋体" w:hAnsi="宋体" w:eastAsia="宋体" w:cs="宋体"/>
          <w:b w:val="0"/>
          <w:bCs w:val="0"/>
          <w:i w:val="0"/>
          <w:iCs w:val="0"/>
          <w:caps w:val="0"/>
          <w:color w:val="333333"/>
          <w:spacing w:val="0"/>
          <w:sz w:val="28"/>
          <w:szCs w:val="28"/>
          <w:shd w:val="clear" w:fill="FFFFFF"/>
          <w:lang w:val="en-US" w:eastAsia="zh-CN"/>
        </w:rPr>
        <w:t>100</w:t>
      </w:r>
      <w:r>
        <w:rPr>
          <w:rFonts w:hint="eastAsia" w:ascii="宋体" w:hAnsi="宋体" w:eastAsia="宋体" w:cs="宋体"/>
          <w:b w:val="0"/>
          <w:bCs w:val="0"/>
          <w:i w:val="0"/>
          <w:iCs w:val="0"/>
          <w:caps w:val="0"/>
          <w:color w:val="333333"/>
          <w:spacing w:val="0"/>
          <w:sz w:val="28"/>
          <w:szCs w:val="28"/>
          <w:shd w:val="clear" w:fill="FFFFFF"/>
        </w:rPr>
        <w:t>万元，占</w:t>
      </w:r>
      <w:r>
        <w:rPr>
          <w:rFonts w:hint="eastAsia" w:ascii="宋体" w:hAnsi="宋体" w:eastAsia="宋体" w:cs="宋体"/>
          <w:b w:val="0"/>
          <w:bCs w:val="0"/>
          <w:i w:val="0"/>
          <w:iCs w:val="0"/>
          <w:caps w:val="0"/>
          <w:color w:val="333333"/>
          <w:spacing w:val="0"/>
          <w:sz w:val="28"/>
          <w:szCs w:val="28"/>
          <w:shd w:val="clear" w:fill="FFFFFF"/>
          <w:lang w:val="en-US" w:eastAsia="zh-CN"/>
        </w:rPr>
        <w:t>1.72</w:t>
      </w:r>
      <w:r>
        <w:rPr>
          <w:rFonts w:hint="eastAsia" w:ascii="宋体" w:hAnsi="宋体" w:eastAsia="宋体" w:cs="宋体"/>
          <w:b w:val="0"/>
          <w:bCs w:val="0"/>
          <w:i w:val="0"/>
          <w:iCs w:val="0"/>
          <w:caps w:val="0"/>
          <w:color w:val="333333"/>
          <w:spacing w:val="0"/>
          <w:sz w:val="28"/>
          <w:szCs w:val="28"/>
          <w:shd w:val="clear" w:fill="FFFFFF"/>
        </w:rPr>
        <w:t>%。</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b/>
          <w:sz w:val="28"/>
          <w:szCs w:val="28"/>
        </w:rPr>
      </w:pPr>
      <w:r>
        <w:rPr>
          <w:rFonts w:hint="eastAsia" w:asciiTheme="minorEastAsia" w:hAnsiTheme="minorEastAsia" w:eastAsiaTheme="minorEastAsia"/>
          <w:b/>
          <w:sz w:val="28"/>
          <w:szCs w:val="28"/>
        </w:rPr>
        <w:t>（三）财政拨款支出决算具体情况</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2021年度财政拨款支出年初预算数为</w:t>
      </w:r>
      <w:r>
        <w:rPr>
          <w:rFonts w:hint="eastAsia" w:asciiTheme="minorEastAsia" w:hAnsiTheme="minorEastAsia" w:eastAsiaTheme="minorEastAsia"/>
          <w:sz w:val="28"/>
          <w:szCs w:val="28"/>
          <w:lang w:val="en-US" w:eastAsia="zh-CN"/>
        </w:rPr>
        <w:t>5682.18</w:t>
      </w:r>
      <w:r>
        <w:rPr>
          <w:rFonts w:hint="eastAsia" w:asciiTheme="minorEastAsia" w:hAnsiTheme="minorEastAsia" w:eastAsiaTheme="minorEastAsia"/>
          <w:sz w:val="28"/>
          <w:szCs w:val="28"/>
        </w:rPr>
        <w:t>万元，支出决算数为</w:t>
      </w:r>
      <w:r>
        <w:rPr>
          <w:rFonts w:hint="eastAsia" w:asciiTheme="minorEastAsia" w:hAnsiTheme="minorEastAsia" w:eastAsiaTheme="minorEastAsia"/>
          <w:sz w:val="28"/>
          <w:szCs w:val="28"/>
          <w:lang w:val="en-US" w:eastAsia="zh-CN"/>
        </w:rPr>
        <w:t>5820.23</w:t>
      </w:r>
      <w:r>
        <w:rPr>
          <w:rFonts w:hint="eastAsia" w:asciiTheme="minorEastAsia" w:hAnsiTheme="minorEastAsia" w:eastAsiaTheme="minorEastAsia"/>
          <w:sz w:val="28"/>
          <w:szCs w:val="28"/>
        </w:rPr>
        <w:t>万元，完成年初预算</w:t>
      </w:r>
      <w:r>
        <w:rPr>
          <w:rFonts w:hint="eastAsia" w:asciiTheme="minorEastAsia" w:hAnsiTheme="minorEastAsia" w:eastAsiaTheme="minorEastAsia"/>
          <w:sz w:val="28"/>
          <w:szCs w:val="28"/>
          <w:lang w:val="en-US" w:eastAsia="zh-CN"/>
        </w:rPr>
        <w:t>102.43</w:t>
      </w:r>
      <w:r>
        <w:rPr>
          <w:rFonts w:hint="eastAsia" w:asciiTheme="minorEastAsia" w:hAnsiTheme="minorEastAsia" w:eastAsiaTheme="minorEastAsia"/>
          <w:sz w:val="28"/>
          <w:szCs w:val="28"/>
        </w:rPr>
        <w:t>%，其中：</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一般公共服务（类）</w:t>
      </w:r>
      <w:r>
        <w:rPr>
          <w:rFonts w:hint="eastAsia" w:ascii="宋体" w:hAnsi="宋体" w:eastAsia="宋体" w:cs="宋体"/>
          <w:i w:val="0"/>
          <w:iCs w:val="0"/>
          <w:color w:val="000000"/>
          <w:sz w:val="28"/>
          <w:szCs w:val="28"/>
          <w:u w:val="none"/>
        </w:rPr>
        <w:t>市场监督管理事务</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sz w:val="28"/>
          <w:szCs w:val="28"/>
        </w:rPr>
        <w:t>质量基础</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万元，决算数</w:t>
      </w:r>
      <w:r>
        <w:rPr>
          <w:rFonts w:hint="eastAsia" w:asciiTheme="minorEastAsia" w:hAnsiTheme="minorEastAsia" w:eastAsiaTheme="minorEastAsia"/>
          <w:sz w:val="28"/>
          <w:szCs w:val="28"/>
          <w:lang w:val="en-US" w:eastAsia="zh-CN"/>
        </w:rPr>
        <w:t>大于</w:t>
      </w:r>
      <w:r>
        <w:rPr>
          <w:rFonts w:hint="eastAsia" w:asciiTheme="minorEastAsia" w:hAnsiTheme="minorEastAsia" w:eastAsiaTheme="minorEastAsia"/>
          <w:sz w:val="28"/>
          <w:szCs w:val="28"/>
        </w:rPr>
        <w:t>年初预算数的主要原因是</w:t>
      </w:r>
      <w:r>
        <w:rPr>
          <w:rFonts w:hint="eastAsia" w:asciiTheme="minorEastAsia" w:hAnsiTheme="minorEastAsia" w:eastAsiaTheme="minorEastAsia"/>
          <w:sz w:val="28"/>
          <w:szCs w:val="28"/>
          <w:lang w:val="en-US" w:eastAsia="zh-CN"/>
        </w:rPr>
        <w:t>增加金额为年中调整至本单位项目预算</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科学技术（类）</w:t>
      </w:r>
      <w:r>
        <w:rPr>
          <w:rFonts w:hint="eastAsia" w:ascii="宋体" w:hAnsi="宋体" w:eastAsia="宋体" w:cs="宋体"/>
          <w:i w:val="0"/>
          <w:iCs w:val="0"/>
          <w:color w:val="000000"/>
          <w:sz w:val="28"/>
          <w:szCs w:val="28"/>
          <w:u w:val="none"/>
        </w:rPr>
        <w:t>应用研究</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社会公益研究</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1"/>
          <w:numId w:val="0"/>
        </w:numPr>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20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26</w:t>
      </w:r>
      <w:r>
        <w:rPr>
          <w:rFonts w:hint="eastAsia" w:asciiTheme="minorEastAsia" w:hAnsiTheme="minorEastAsia" w:eastAsiaTheme="minorEastAsia"/>
          <w:sz w:val="28"/>
          <w:szCs w:val="28"/>
        </w:rPr>
        <w:t>万元，完成年初预算</w:t>
      </w:r>
      <w:r>
        <w:rPr>
          <w:rFonts w:hint="eastAsia" w:asciiTheme="minorEastAsia" w:hAnsiTheme="minorEastAsia" w:eastAsiaTheme="minorEastAsia"/>
          <w:sz w:val="28"/>
          <w:szCs w:val="28"/>
          <w:lang w:val="en-US" w:eastAsia="zh-CN"/>
        </w:rPr>
        <w:t>130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大于</w:t>
      </w:r>
      <w:r>
        <w:rPr>
          <w:rFonts w:hint="eastAsia" w:asciiTheme="minorEastAsia" w:hAnsiTheme="minorEastAsia" w:eastAsiaTheme="minorEastAsia"/>
          <w:sz w:val="28"/>
          <w:szCs w:val="28"/>
        </w:rPr>
        <w:t>年初预算数的主要原因是</w:t>
      </w:r>
      <w:r>
        <w:rPr>
          <w:rFonts w:hint="eastAsia" w:asciiTheme="minorEastAsia" w:hAnsiTheme="minorEastAsia" w:eastAsiaTheme="minorEastAsia"/>
          <w:sz w:val="28"/>
          <w:szCs w:val="28"/>
          <w:lang w:val="en-US" w:eastAsia="zh-CN"/>
        </w:rPr>
        <w:t>增加金额为年中调整至本单位项目预算。</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Fonts w:hint="eastAsia" w:ascii="宋体" w:hAnsi="宋体" w:eastAsia="宋体" w:cs="宋体"/>
          <w:i w:val="0"/>
          <w:iCs w:val="0"/>
          <w:color w:val="000000"/>
          <w:sz w:val="28"/>
          <w:szCs w:val="28"/>
          <w:u w:val="none"/>
        </w:rPr>
        <w:t>社会保障和就业支出</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sz w:val="28"/>
          <w:szCs w:val="28"/>
        </w:rPr>
        <w:t>行政事业单位养老支出</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机关事业单位基本养老保险缴费支出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163.18</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163.18</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eastAsia="zh-CN"/>
        </w:rPr>
        <w:t>与</w:t>
      </w:r>
      <w:r>
        <w:rPr>
          <w:rFonts w:hint="eastAsia" w:asciiTheme="minorEastAsia" w:hAnsiTheme="minorEastAsia" w:eastAsiaTheme="minorEastAsia"/>
          <w:sz w:val="28"/>
          <w:szCs w:val="28"/>
        </w:rPr>
        <w:t>年初预算数</w:t>
      </w:r>
      <w:r>
        <w:rPr>
          <w:rFonts w:hint="eastAsia" w:asciiTheme="minorEastAsia" w:hAnsiTheme="minorEastAsia" w:eastAsiaTheme="minorEastAsia"/>
          <w:sz w:val="28"/>
          <w:szCs w:val="28"/>
          <w:lang w:eastAsia="zh-CN"/>
        </w:rPr>
        <w:t>一致，</w:t>
      </w:r>
      <w:r>
        <w:rPr>
          <w:rFonts w:hint="eastAsia" w:asciiTheme="minorEastAsia" w:hAnsiTheme="minorEastAsia" w:eastAsiaTheme="minorEastAsia"/>
          <w:sz w:val="28"/>
          <w:szCs w:val="28"/>
          <w:lang w:val="en-US" w:eastAsia="zh-CN"/>
        </w:rPr>
        <w:t>本部门严格执行预算</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Style w:val="17"/>
          <w:rFonts w:hint="eastAsia" w:ascii="宋体" w:hAnsi="宋体" w:eastAsia="宋体" w:cs="宋体"/>
          <w:b w:val="0"/>
          <w:bCs w:val="0"/>
          <w:i w:val="0"/>
          <w:iCs w:val="0"/>
          <w:caps w:val="0"/>
          <w:color w:val="333333"/>
          <w:spacing w:val="0"/>
          <w:sz w:val="28"/>
          <w:szCs w:val="28"/>
          <w:shd w:val="clear" w:fill="FFFFFF"/>
          <w:lang w:val="en-US" w:eastAsia="zh-CN"/>
        </w:rPr>
        <w:t>节能环保</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i w:val="0"/>
          <w:iCs w:val="0"/>
          <w:color w:val="000000"/>
          <w:sz w:val="28"/>
          <w:szCs w:val="28"/>
          <w:u w:val="none"/>
        </w:rPr>
        <w:t>环境保护管理事务</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行政运行</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1244</w:t>
      </w:r>
      <w:r>
        <w:rPr>
          <w:rFonts w:hint="eastAsia" w:asciiTheme="minorEastAsia" w:hAnsiTheme="minorEastAsia" w:eastAsiaTheme="minorEastAsia"/>
          <w:sz w:val="28"/>
          <w:szCs w:val="28"/>
        </w:rPr>
        <w:t>万元，支出决算为</w:t>
      </w:r>
      <w:r>
        <w:rPr>
          <w:rFonts w:hint="eastAsia" w:ascii="宋体" w:hAnsi="宋体" w:eastAsia="宋体" w:cs="宋体"/>
          <w:kern w:val="0"/>
          <w:sz w:val="28"/>
          <w:szCs w:val="28"/>
          <w:lang w:val="en-US" w:eastAsia="zh-CN" w:bidi="ar-SA"/>
        </w:rPr>
        <w:t>1212.28</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97.45</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小</w:t>
      </w:r>
      <w:r>
        <w:rPr>
          <w:rFonts w:hint="eastAsia" w:asciiTheme="minorEastAsia" w:hAnsiTheme="minorEastAsia" w:eastAsiaTheme="minorEastAsia"/>
          <w:sz w:val="28"/>
          <w:szCs w:val="28"/>
        </w:rPr>
        <w:t>于年初预算数的主要原因是</w:t>
      </w:r>
      <w:r>
        <w:rPr>
          <w:rFonts w:hint="eastAsia" w:asciiTheme="minorEastAsia" w:hAnsiTheme="minorEastAsia" w:eastAsiaTheme="minorEastAsia"/>
          <w:sz w:val="28"/>
          <w:szCs w:val="28"/>
          <w:lang w:val="en-US" w:eastAsia="zh-CN"/>
        </w:rPr>
        <w:t>严格控股预算</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Style w:val="17"/>
          <w:rFonts w:hint="eastAsia" w:ascii="宋体" w:hAnsi="宋体" w:eastAsia="宋体" w:cs="宋体"/>
          <w:b w:val="0"/>
          <w:bCs w:val="0"/>
          <w:i w:val="0"/>
          <w:iCs w:val="0"/>
          <w:caps w:val="0"/>
          <w:color w:val="333333"/>
          <w:spacing w:val="0"/>
          <w:sz w:val="28"/>
          <w:szCs w:val="28"/>
          <w:shd w:val="clear" w:fill="FFFFFF"/>
          <w:lang w:val="en-US" w:eastAsia="zh-CN"/>
        </w:rPr>
        <w:t>节能环保</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i w:val="0"/>
          <w:iCs w:val="0"/>
          <w:color w:val="000000"/>
          <w:sz w:val="28"/>
          <w:szCs w:val="28"/>
          <w:u w:val="none"/>
        </w:rPr>
        <w:t>环境保护管理事务</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生态环境保护宣传</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239.82</w:t>
      </w:r>
      <w:r>
        <w:rPr>
          <w:rFonts w:hint="eastAsia" w:asciiTheme="minorEastAsia" w:hAnsiTheme="minorEastAsia" w:eastAsiaTheme="minorEastAsia"/>
          <w:sz w:val="28"/>
          <w:szCs w:val="28"/>
        </w:rPr>
        <w:t>万元，支出决算为</w:t>
      </w:r>
      <w:r>
        <w:rPr>
          <w:rFonts w:hint="eastAsia" w:ascii="宋体" w:hAnsi="宋体" w:eastAsia="宋体" w:cs="宋体"/>
          <w:kern w:val="0"/>
          <w:sz w:val="28"/>
          <w:szCs w:val="28"/>
          <w:lang w:val="en-US" w:eastAsia="zh-CN"/>
        </w:rPr>
        <w:t>239.82</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与</w:t>
      </w:r>
      <w:r>
        <w:rPr>
          <w:rFonts w:hint="eastAsia" w:asciiTheme="minorEastAsia" w:hAnsiTheme="minorEastAsia" w:eastAsiaTheme="minorEastAsia"/>
          <w:sz w:val="28"/>
          <w:szCs w:val="28"/>
        </w:rPr>
        <w:t>年初预算数</w:t>
      </w:r>
      <w:r>
        <w:rPr>
          <w:rFonts w:hint="eastAsia" w:asciiTheme="minorEastAsia" w:hAnsiTheme="minorEastAsia" w:eastAsiaTheme="minorEastAsia"/>
          <w:sz w:val="28"/>
          <w:szCs w:val="28"/>
          <w:lang w:eastAsia="zh-CN"/>
        </w:rPr>
        <w:t>一</w:t>
      </w:r>
      <w:r>
        <w:rPr>
          <w:rFonts w:hint="eastAsia" w:asciiTheme="minorEastAsia" w:hAnsiTheme="minorEastAsia" w:eastAsiaTheme="minorEastAsia"/>
          <w:sz w:val="28"/>
          <w:szCs w:val="28"/>
          <w:lang w:val="en-US" w:eastAsia="zh-CN"/>
        </w:rPr>
        <w:t>致，主要原因是本部门严格执行预算</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Style w:val="17"/>
          <w:rFonts w:hint="eastAsia" w:ascii="宋体" w:hAnsi="宋体" w:eastAsia="宋体" w:cs="宋体"/>
          <w:b w:val="0"/>
          <w:bCs w:val="0"/>
          <w:i w:val="0"/>
          <w:iCs w:val="0"/>
          <w:caps w:val="0"/>
          <w:color w:val="333333"/>
          <w:spacing w:val="0"/>
          <w:sz w:val="28"/>
          <w:szCs w:val="28"/>
          <w:shd w:val="clear" w:fill="FFFFFF"/>
          <w:lang w:val="en-US" w:eastAsia="zh-CN"/>
        </w:rPr>
        <w:t>节能环保</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i w:val="0"/>
          <w:iCs w:val="0"/>
          <w:color w:val="000000"/>
          <w:sz w:val="28"/>
          <w:szCs w:val="28"/>
          <w:u w:val="none"/>
        </w:rPr>
        <w:t>环境保护管理事务</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环境保护法规、规划及标准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200</w:t>
      </w:r>
      <w:r>
        <w:rPr>
          <w:rFonts w:hint="eastAsia" w:asciiTheme="minorEastAsia" w:hAnsiTheme="minorEastAsia" w:eastAsiaTheme="minorEastAsia"/>
          <w:sz w:val="28"/>
          <w:szCs w:val="28"/>
        </w:rPr>
        <w:t>万元，支出决算为</w:t>
      </w:r>
      <w:r>
        <w:rPr>
          <w:rFonts w:hint="eastAsia" w:ascii="宋体" w:hAnsi="宋体" w:eastAsia="宋体" w:cs="宋体"/>
          <w:kern w:val="0"/>
          <w:sz w:val="28"/>
          <w:szCs w:val="28"/>
          <w:lang w:val="en-US" w:eastAsia="zh-CN"/>
        </w:rPr>
        <w:t>196.82</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98.41</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小</w:t>
      </w:r>
      <w:r>
        <w:rPr>
          <w:rFonts w:hint="eastAsia" w:asciiTheme="minorEastAsia" w:hAnsiTheme="minorEastAsia" w:eastAsiaTheme="minorEastAsia"/>
          <w:sz w:val="28"/>
          <w:szCs w:val="28"/>
        </w:rPr>
        <w:t>于年初预算数的主要原因是</w:t>
      </w:r>
      <w:r>
        <w:rPr>
          <w:rFonts w:hint="eastAsia" w:asciiTheme="minorEastAsia" w:hAnsiTheme="minorEastAsia" w:eastAsiaTheme="minorEastAsia"/>
          <w:sz w:val="28"/>
          <w:szCs w:val="28"/>
          <w:lang w:val="en-US" w:eastAsia="zh-CN"/>
        </w:rPr>
        <w:t>严格控股预算</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Style w:val="17"/>
          <w:rFonts w:hint="eastAsia" w:ascii="宋体" w:hAnsi="宋体" w:eastAsia="宋体" w:cs="宋体"/>
          <w:b w:val="0"/>
          <w:bCs w:val="0"/>
          <w:i w:val="0"/>
          <w:iCs w:val="0"/>
          <w:caps w:val="0"/>
          <w:color w:val="333333"/>
          <w:spacing w:val="0"/>
          <w:sz w:val="28"/>
          <w:szCs w:val="28"/>
          <w:shd w:val="clear" w:fill="FFFFFF"/>
          <w:lang w:val="en-US" w:eastAsia="zh-CN"/>
        </w:rPr>
        <w:t>节能环保</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i w:val="0"/>
          <w:iCs w:val="0"/>
          <w:color w:val="000000"/>
          <w:sz w:val="28"/>
          <w:szCs w:val="28"/>
          <w:u w:val="none"/>
        </w:rPr>
        <w:t>环境保护管理事务</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应对气候变化管理事务</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 xml:space="preserve"> 0</w:t>
      </w:r>
      <w:r>
        <w:rPr>
          <w:rFonts w:hint="eastAsia" w:asciiTheme="minorEastAsia" w:hAnsiTheme="minorEastAsia" w:eastAsiaTheme="minorEastAsia"/>
          <w:sz w:val="28"/>
          <w:szCs w:val="28"/>
        </w:rPr>
        <w:t>万元，支出决算为</w:t>
      </w:r>
      <w:r>
        <w:rPr>
          <w:rFonts w:hint="eastAsia" w:ascii="宋体" w:hAnsi="宋体" w:eastAsia="宋体" w:cs="宋体"/>
          <w:kern w:val="0"/>
          <w:sz w:val="28"/>
          <w:szCs w:val="28"/>
          <w:lang w:val="en-US" w:eastAsia="zh-CN"/>
        </w:rPr>
        <w:t>15.27</w:t>
      </w:r>
      <w:r>
        <w:rPr>
          <w:rFonts w:hint="eastAsia" w:asciiTheme="minorEastAsia" w:hAnsiTheme="minorEastAsia" w:eastAsiaTheme="minorEastAsia"/>
          <w:sz w:val="28"/>
          <w:szCs w:val="28"/>
        </w:rPr>
        <w:t>万元，决算数</w:t>
      </w:r>
      <w:r>
        <w:rPr>
          <w:rFonts w:hint="eastAsia" w:asciiTheme="minorEastAsia" w:hAnsiTheme="minorEastAsia" w:eastAsiaTheme="minorEastAsia"/>
          <w:sz w:val="28"/>
          <w:szCs w:val="28"/>
          <w:lang w:val="en-US" w:eastAsia="zh-CN"/>
        </w:rPr>
        <w:t>大</w:t>
      </w:r>
      <w:r>
        <w:rPr>
          <w:rFonts w:hint="eastAsia" w:asciiTheme="minorEastAsia" w:hAnsiTheme="minorEastAsia" w:eastAsiaTheme="minorEastAsia"/>
          <w:sz w:val="28"/>
          <w:szCs w:val="28"/>
        </w:rPr>
        <w:t>于年初预算数的主要原因是</w:t>
      </w:r>
      <w:r>
        <w:rPr>
          <w:rFonts w:hint="eastAsia" w:asciiTheme="minorEastAsia" w:hAnsiTheme="minorEastAsia" w:eastAsiaTheme="minorEastAsia"/>
          <w:sz w:val="28"/>
          <w:szCs w:val="28"/>
          <w:lang w:val="en-US" w:eastAsia="zh-CN"/>
        </w:rPr>
        <w:t>年中追加项目支出</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Style w:val="17"/>
          <w:rFonts w:hint="eastAsia" w:ascii="宋体" w:hAnsi="宋体" w:eastAsia="宋体" w:cs="宋体"/>
          <w:b w:val="0"/>
          <w:bCs w:val="0"/>
          <w:i w:val="0"/>
          <w:iCs w:val="0"/>
          <w:caps w:val="0"/>
          <w:color w:val="333333"/>
          <w:spacing w:val="0"/>
          <w:sz w:val="28"/>
          <w:szCs w:val="28"/>
          <w:shd w:val="clear" w:fill="FFFFFF"/>
          <w:lang w:val="en-US" w:eastAsia="zh-CN"/>
        </w:rPr>
        <w:t>节能环保</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i w:val="0"/>
          <w:iCs w:val="0"/>
          <w:color w:val="000000"/>
          <w:sz w:val="28"/>
          <w:szCs w:val="28"/>
          <w:u w:val="none"/>
        </w:rPr>
        <w:t>环境保护管理事务</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其他环境保护管理事务支出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宋体" w:hAnsi="宋体" w:eastAsia="宋体" w:cs="宋体"/>
          <w:kern w:val="0"/>
          <w:sz w:val="28"/>
          <w:szCs w:val="28"/>
          <w:lang w:val="en-US" w:eastAsia="zh-CN"/>
        </w:rPr>
        <w:t>72.42</w:t>
      </w:r>
      <w:r>
        <w:rPr>
          <w:rFonts w:hint="eastAsia" w:asciiTheme="minorEastAsia" w:hAnsiTheme="minorEastAsia" w:eastAsiaTheme="minorEastAsia"/>
          <w:sz w:val="28"/>
          <w:szCs w:val="28"/>
        </w:rPr>
        <w:t>万元，支出决算为</w:t>
      </w:r>
      <w:r>
        <w:rPr>
          <w:rFonts w:hint="eastAsia" w:ascii="宋体" w:hAnsi="宋体" w:eastAsia="宋体" w:cs="宋体"/>
          <w:kern w:val="0"/>
          <w:sz w:val="28"/>
          <w:szCs w:val="28"/>
          <w:lang w:val="en-US" w:eastAsia="zh-CN"/>
        </w:rPr>
        <w:t>72.42</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等</w:t>
      </w:r>
      <w:r>
        <w:rPr>
          <w:rFonts w:hint="eastAsia" w:asciiTheme="minorEastAsia" w:hAnsiTheme="minorEastAsia" w:eastAsiaTheme="minorEastAsia"/>
          <w:sz w:val="28"/>
          <w:szCs w:val="28"/>
        </w:rPr>
        <w:t>于年初预算数的主要原因是</w:t>
      </w:r>
      <w:r>
        <w:rPr>
          <w:rFonts w:hint="eastAsia" w:asciiTheme="minorEastAsia" w:hAnsiTheme="minorEastAsia" w:eastAsiaTheme="minorEastAsia"/>
          <w:sz w:val="28"/>
          <w:szCs w:val="28"/>
          <w:lang w:val="en-US" w:eastAsia="zh-CN"/>
        </w:rPr>
        <w:t>严格执行预算</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Style w:val="17"/>
          <w:rFonts w:hint="eastAsia" w:ascii="宋体" w:hAnsi="宋体" w:eastAsia="宋体" w:cs="宋体"/>
          <w:b w:val="0"/>
          <w:bCs w:val="0"/>
          <w:i w:val="0"/>
          <w:iCs w:val="0"/>
          <w:caps w:val="0"/>
          <w:color w:val="333333"/>
          <w:spacing w:val="0"/>
          <w:sz w:val="28"/>
          <w:szCs w:val="28"/>
          <w:shd w:val="clear" w:fill="FFFFFF"/>
          <w:lang w:val="en-US" w:eastAsia="zh-CN"/>
        </w:rPr>
        <w:t>节能环保</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i w:val="0"/>
          <w:iCs w:val="0"/>
          <w:color w:val="000000"/>
          <w:sz w:val="28"/>
          <w:szCs w:val="28"/>
          <w:u w:val="none"/>
        </w:rPr>
        <w:t>环境监测与监察</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建设项目环评审查与监督</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26.53</w:t>
      </w:r>
      <w:r>
        <w:rPr>
          <w:rFonts w:hint="eastAsia" w:asciiTheme="minorEastAsia" w:hAnsiTheme="minorEastAsia" w:eastAsiaTheme="minorEastAsia"/>
          <w:sz w:val="28"/>
          <w:szCs w:val="28"/>
        </w:rPr>
        <w:t>万元，支出决算为</w:t>
      </w:r>
      <w:r>
        <w:rPr>
          <w:rFonts w:hint="eastAsia" w:ascii="宋体" w:hAnsi="宋体" w:eastAsia="宋体" w:cs="宋体"/>
          <w:kern w:val="0"/>
          <w:sz w:val="28"/>
          <w:szCs w:val="28"/>
          <w:lang w:val="en-US" w:eastAsia="zh-CN"/>
        </w:rPr>
        <w:t>26.53</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等</w:t>
      </w:r>
      <w:r>
        <w:rPr>
          <w:rFonts w:hint="eastAsia" w:asciiTheme="minorEastAsia" w:hAnsiTheme="minorEastAsia" w:eastAsiaTheme="minorEastAsia"/>
          <w:sz w:val="28"/>
          <w:szCs w:val="28"/>
        </w:rPr>
        <w:t>于年初预算数的主要原因是</w:t>
      </w:r>
      <w:r>
        <w:rPr>
          <w:rFonts w:hint="eastAsia" w:asciiTheme="minorEastAsia" w:hAnsiTheme="minorEastAsia" w:eastAsiaTheme="minorEastAsia"/>
          <w:sz w:val="28"/>
          <w:szCs w:val="28"/>
          <w:lang w:val="en-US" w:eastAsia="zh-CN"/>
        </w:rPr>
        <w:t>严格执行预算</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Style w:val="17"/>
          <w:rFonts w:hint="eastAsia" w:ascii="宋体" w:hAnsi="宋体" w:eastAsia="宋体" w:cs="宋体"/>
          <w:b w:val="0"/>
          <w:bCs w:val="0"/>
          <w:i w:val="0"/>
          <w:iCs w:val="0"/>
          <w:caps w:val="0"/>
          <w:color w:val="333333"/>
          <w:spacing w:val="0"/>
          <w:sz w:val="28"/>
          <w:szCs w:val="28"/>
          <w:shd w:val="clear" w:fill="FFFFFF"/>
          <w:lang w:val="en-US" w:eastAsia="zh-CN"/>
        </w:rPr>
        <w:t>节能环保</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i w:val="0"/>
          <w:iCs w:val="0"/>
          <w:color w:val="000000"/>
          <w:sz w:val="28"/>
          <w:szCs w:val="28"/>
          <w:u w:val="none"/>
        </w:rPr>
        <w:t>污染防治</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其他污染防治支出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3160</w:t>
      </w:r>
      <w:r>
        <w:rPr>
          <w:rFonts w:hint="eastAsia" w:asciiTheme="minorEastAsia" w:hAnsiTheme="minorEastAsia" w:eastAsiaTheme="minorEastAsia"/>
          <w:sz w:val="28"/>
          <w:szCs w:val="28"/>
        </w:rPr>
        <w:t>万元，支出决算为</w:t>
      </w:r>
      <w:r>
        <w:rPr>
          <w:rFonts w:hint="eastAsia" w:ascii="宋体" w:hAnsi="宋体" w:eastAsia="宋体" w:cs="宋体"/>
          <w:kern w:val="0"/>
          <w:sz w:val="28"/>
          <w:szCs w:val="28"/>
          <w:lang w:val="en-US" w:eastAsia="zh-CN"/>
        </w:rPr>
        <w:t>3327.57</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105.30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大</w:t>
      </w:r>
      <w:r>
        <w:rPr>
          <w:rFonts w:hint="eastAsia" w:asciiTheme="minorEastAsia" w:hAnsiTheme="minorEastAsia" w:eastAsiaTheme="minorEastAsia"/>
          <w:sz w:val="28"/>
          <w:szCs w:val="28"/>
        </w:rPr>
        <w:t>于年初预算数的主要原因是</w:t>
      </w:r>
      <w:r>
        <w:rPr>
          <w:rFonts w:hint="eastAsia" w:asciiTheme="minorEastAsia" w:hAnsiTheme="minorEastAsia" w:eastAsiaTheme="minorEastAsia"/>
          <w:sz w:val="28"/>
          <w:szCs w:val="28"/>
          <w:lang w:val="en-US" w:eastAsia="zh-CN"/>
        </w:rPr>
        <w:t>上年度</w:t>
      </w:r>
      <w:r>
        <w:rPr>
          <w:rFonts w:hint="eastAsia" w:asciiTheme="minorEastAsia" w:hAnsiTheme="minorEastAsia" w:eastAsiaTheme="minorEastAsia"/>
          <w:sz w:val="28"/>
          <w:szCs w:val="28"/>
          <w:lang w:eastAsia="zh-CN"/>
        </w:rPr>
        <w:t>项目尾款按合同进度</w:t>
      </w:r>
      <w:r>
        <w:rPr>
          <w:rFonts w:hint="eastAsia" w:asciiTheme="minorEastAsia" w:hAnsiTheme="minorEastAsia" w:eastAsiaTheme="minorEastAsia"/>
          <w:sz w:val="28"/>
          <w:szCs w:val="28"/>
          <w:lang w:val="en-US" w:eastAsia="zh-CN"/>
        </w:rPr>
        <w:t>本年进行支付</w:t>
      </w:r>
      <w:r>
        <w:rPr>
          <w:rFonts w:hint="eastAsia" w:asciiTheme="minorEastAsia" w:hAnsiTheme="minorEastAsia" w:eastAsiaTheme="minorEastAsia"/>
          <w:sz w:val="28"/>
          <w:szCs w:val="28"/>
          <w:lang w:eastAsia="zh-CN"/>
        </w:rPr>
        <w:t>，从而</w:t>
      </w:r>
      <w:r>
        <w:rPr>
          <w:rFonts w:hint="eastAsia" w:asciiTheme="minorEastAsia" w:hAnsiTheme="minorEastAsia" w:eastAsiaTheme="minorEastAsia"/>
          <w:sz w:val="28"/>
          <w:szCs w:val="28"/>
          <w:lang w:val="en-US" w:eastAsia="zh-CN"/>
        </w:rPr>
        <w:t>决算数大于预算数</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eastAsia" w:ascii="宋体" w:hAnsi="宋体" w:eastAsia="宋体" w:cs="宋体"/>
          <w:b w:val="0"/>
          <w:bCs w:val="0"/>
          <w:sz w:val="28"/>
          <w:szCs w:val="28"/>
        </w:rPr>
      </w:pPr>
      <w:r>
        <w:rPr>
          <w:rStyle w:val="17"/>
          <w:rFonts w:hint="eastAsia" w:ascii="宋体" w:hAnsi="宋体" w:eastAsia="宋体" w:cs="宋体"/>
          <w:b w:val="0"/>
          <w:bCs w:val="0"/>
          <w:i w:val="0"/>
          <w:iCs w:val="0"/>
          <w:caps w:val="0"/>
          <w:color w:val="333333"/>
          <w:spacing w:val="0"/>
          <w:sz w:val="28"/>
          <w:szCs w:val="28"/>
          <w:shd w:val="clear" w:fill="FFFFFF"/>
          <w:lang w:val="en-US" w:eastAsia="zh-CN"/>
        </w:rPr>
        <w:t>节能环保</w:t>
      </w:r>
      <w:r>
        <w:rPr>
          <w:rStyle w:val="17"/>
          <w:rFonts w:hint="eastAsia" w:ascii="宋体" w:hAnsi="宋体" w:eastAsia="宋体" w:cs="宋体"/>
          <w:b w:val="0"/>
          <w:bCs w:val="0"/>
          <w:i w:val="0"/>
          <w:iCs w:val="0"/>
          <w:caps w:val="0"/>
          <w:color w:val="333333"/>
          <w:spacing w:val="0"/>
          <w:sz w:val="28"/>
          <w:szCs w:val="28"/>
          <w:shd w:val="clear" w:fill="FFFFFF"/>
        </w:rPr>
        <w:t>（类）</w:t>
      </w:r>
      <w:r>
        <w:rPr>
          <w:rFonts w:hint="eastAsia" w:ascii="宋体" w:hAnsi="宋体" w:eastAsia="宋体" w:cs="宋体"/>
          <w:i w:val="0"/>
          <w:iCs w:val="0"/>
          <w:color w:val="000000"/>
          <w:sz w:val="28"/>
          <w:szCs w:val="28"/>
          <w:u w:val="none"/>
        </w:rPr>
        <w:t>污染减排</w:t>
      </w:r>
      <w:r>
        <w:rPr>
          <w:rFonts w:hint="eastAsia" w:ascii="宋体" w:hAnsi="宋体" w:eastAsia="宋体" w:cs="宋体"/>
          <w:i w:val="0"/>
          <w:iCs w:val="0"/>
          <w:color w:val="000000"/>
          <w:sz w:val="28"/>
          <w:szCs w:val="28"/>
          <w:u w:val="none"/>
          <w:lang w:eastAsia="zh-CN"/>
        </w:rPr>
        <w:t>（</w:t>
      </w:r>
      <w:r>
        <w:rPr>
          <w:rFonts w:hint="eastAsia" w:ascii="宋体" w:hAnsi="宋体" w:eastAsia="宋体" w:cs="宋体"/>
          <w:i w:val="0"/>
          <w:iCs w:val="0"/>
          <w:color w:val="000000"/>
          <w:sz w:val="28"/>
          <w:szCs w:val="28"/>
          <w:u w:val="none"/>
          <w:lang w:val="en-US" w:eastAsia="zh-CN"/>
        </w:rPr>
        <w:t>款）</w:t>
      </w:r>
      <w:r>
        <w:rPr>
          <w:rFonts w:hint="eastAsia" w:ascii="宋体" w:hAnsi="宋体" w:eastAsia="宋体" w:cs="宋体"/>
          <w:i w:val="0"/>
          <w:iCs w:val="0"/>
          <w:color w:val="000000"/>
          <w:sz w:val="28"/>
          <w:szCs w:val="28"/>
          <w:u w:val="none"/>
        </w:rPr>
        <w:t>生态环境监测与信息</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456.3</w:t>
      </w:r>
      <w:r>
        <w:rPr>
          <w:rFonts w:hint="eastAsia" w:asciiTheme="minorEastAsia" w:hAnsiTheme="minorEastAsia" w:eastAsiaTheme="minorEastAsia"/>
          <w:sz w:val="28"/>
          <w:szCs w:val="28"/>
        </w:rPr>
        <w:t>万元，支出决算为</w:t>
      </w:r>
      <w:r>
        <w:rPr>
          <w:rFonts w:hint="eastAsia" w:ascii="宋体" w:hAnsi="宋体" w:eastAsia="宋体" w:cs="宋体"/>
          <w:kern w:val="0"/>
          <w:sz w:val="28"/>
          <w:szCs w:val="28"/>
          <w:lang w:val="en-US" w:eastAsia="zh-CN"/>
        </w:rPr>
        <w:t>436.36</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95.63</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小</w:t>
      </w:r>
      <w:r>
        <w:rPr>
          <w:rFonts w:hint="eastAsia" w:asciiTheme="minorEastAsia" w:hAnsiTheme="minorEastAsia" w:eastAsiaTheme="minorEastAsia"/>
          <w:sz w:val="28"/>
          <w:szCs w:val="28"/>
        </w:rPr>
        <w:t>于年初预算数的主要原因是</w:t>
      </w:r>
      <w:r>
        <w:rPr>
          <w:rFonts w:hint="eastAsia" w:asciiTheme="minorEastAsia" w:hAnsiTheme="minorEastAsia" w:eastAsiaTheme="minorEastAsia"/>
          <w:sz w:val="28"/>
          <w:szCs w:val="28"/>
          <w:lang w:val="en-US" w:eastAsia="zh-CN"/>
        </w:rPr>
        <w:t>严格控制预算</w:t>
      </w:r>
      <w:r>
        <w:rPr>
          <w:rFonts w:hint="eastAsia" w:asciiTheme="minorEastAsia" w:hAnsiTheme="minorEastAsia" w:eastAsiaTheme="minorEastAsia"/>
          <w:sz w:val="28"/>
          <w:szCs w:val="28"/>
          <w:lang w:eastAsia="zh-CN"/>
        </w:rPr>
        <w:t>。</w:t>
      </w:r>
    </w:p>
    <w:p>
      <w:pPr>
        <w:pStyle w:val="20"/>
        <w:keepNext w:val="0"/>
        <w:keepLines w:val="0"/>
        <w:pageBreakBefore w:val="0"/>
        <w:widowControl w:val="0"/>
        <w:numPr>
          <w:ilvl w:val="0"/>
          <w:numId w:val="2"/>
        </w:numPr>
        <w:kinsoku/>
        <w:wordWrap/>
        <w:overflowPunct/>
        <w:topLinePunct w:val="0"/>
        <w:bidi w:val="0"/>
        <w:snapToGrid/>
        <w:spacing w:line="600" w:lineRule="exact"/>
        <w:ind w:left="0" w:leftChars="0" w:firstLine="560" w:firstLineChars="200"/>
        <w:textAlignment w:val="auto"/>
        <w:rPr>
          <w:rFonts w:hint="default" w:ascii="宋体" w:hAnsi="宋体" w:eastAsia="宋体" w:cs="宋体"/>
          <w:b w:val="0"/>
          <w:bCs w:val="0"/>
          <w:sz w:val="28"/>
          <w:szCs w:val="28"/>
        </w:rPr>
      </w:pPr>
      <w:r>
        <w:rPr>
          <w:rStyle w:val="17"/>
          <w:rFonts w:hint="eastAsia" w:ascii="宋体" w:hAnsi="宋体" w:eastAsia="宋体" w:cs="宋体"/>
          <w:b w:val="0"/>
          <w:bCs w:val="0"/>
          <w:i w:val="0"/>
          <w:iCs w:val="0"/>
          <w:caps w:val="0"/>
          <w:color w:val="333333"/>
          <w:spacing w:val="0"/>
          <w:sz w:val="28"/>
          <w:szCs w:val="28"/>
          <w:shd w:val="clear" w:fill="FFFFFF"/>
        </w:rPr>
        <w:t>住房保障（类）</w:t>
      </w:r>
      <w:r>
        <w:rPr>
          <w:rFonts w:hint="eastAsia" w:ascii="宋体" w:hAnsi="宋体" w:eastAsia="宋体" w:cs="宋体"/>
          <w:i w:val="0"/>
          <w:iCs w:val="0"/>
          <w:color w:val="000000"/>
          <w:sz w:val="28"/>
          <w:szCs w:val="28"/>
          <w:u w:val="none"/>
        </w:rPr>
        <w:t>住房改革支出</w:t>
      </w:r>
      <w:r>
        <w:rPr>
          <w:rFonts w:hint="eastAsia" w:ascii="宋体" w:hAnsi="宋体" w:eastAsia="宋体" w:cs="宋体"/>
          <w:b w:val="0"/>
          <w:bCs w:val="0"/>
          <w:i w:val="0"/>
          <w:iCs w:val="0"/>
          <w:caps w:val="0"/>
          <w:color w:val="333333"/>
          <w:spacing w:val="0"/>
          <w:sz w:val="28"/>
          <w:szCs w:val="28"/>
          <w:shd w:val="clear" w:fill="FFFFFF"/>
          <w:lang w:eastAsia="zh-CN"/>
        </w:rPr>
        <w:t>（</w:t>
      </w:r>
      <w:r>
        <w:rPr>
          <w:rFonts w:hint="eastAsia" w:ascii="宋体" w:hAnsi="宋体" w:eastAsia="宋体" w:cs="宋体"/>
          <w:b w:val="0"/>
          <w:bCs w:val="0"/>
          <w:i w:val="0"/>
          <w:iCs w:val="0"/>
          <w:caps w:val="0"/>
          <w:color w:val="333333"/>
          <w:spacing w:val="0"/>
          <w:sz w:val="28"/>
          <w:szCs w:val="28"/>
          <w:shd w:val="clear" w:fill="FFFFFF"/>
          <w:lang w:val="en-US" w:eastAsia="zh-CN"/>
        </w:rPr>
        <w:t>款）</w:t>
      </w:r>
      <w:r>
        <w:rPr>
          <w:rFonts w:hint="eastAsia" w:ascii="宋体" w:hAnsi="宋体" w:eastAsia="宋体" w:cs="宋体"/>
          <w:i w:val="0"/>
          <w:iCs w:val="0"/>
          <w:color w:val="000000"/>
          <w:sz w:val="28"/>
          <w:szCs w:val="28"/>
          <w:u w:val="none"/>
        </w:rPr>
        <w:t>住房公积金</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项）</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eastAsia="zh-CN"/>
        </w:rPr>
        <w:t>与</w:t>
      </w:r>
      <w:r>
        <w:rPr>
          <w:rFonts w:hint="eastAsia" w:asciiTheme="minorEastAsia" w:hAnsiTheme="minorEastAsia" w:eastAsiaTheme="minorEastAsia"/>
          <w:sz w:val="28"/>
          <w:szCs w:val="28"/>
        </w:rPr>
        <w:t>年初预算数</w:t>
      </w:r>
      <w:r>
        <w:rPr>
          <w:rFonts w:hint="eastAsia" w:asciiTheme="minorEastAsia" w:hAnsiTheme="minorEastAsia" w:eastAsiaTheme="minorEastAsia"/>
          <w:sz w:val="28"/>
          <w:szCs w:val="28"/>
          <w:lang w:eastAsia="zh-CN"/>
        </w:rPr>
        <w:t>一致，</w:t>
      </w:r>
      <w:r>
        <w:rPr>
          <w:rFonts w:hint="eastAsia" w:asciiTheme="minorEastAsia" w:hAnsiTheme="minorEastAsia" w:eastAsiaTheme="minorEastAsia"/>
          <w:sz w:val="28"/>
          <w:szCs w:val="28"/>
          <w:lang w:val="en-US" w:eastAsia="zh-CN"/>
        </w:rPr>
        <w:t>主要原因是本部门严格执行预算</w:t>
      </w:r>
      <w:r>
        <w:rPr>
          <w:rFonts w:hint="eastAsia" w:asciiTheme="minorEastAsia" w:hAnsiTheme="minorEastAsia" w:eastAsiaTheme="minorEastAsia"/>
          <w:sz w:val="28"/>
          <w:szCs w:val="28"/>
          <w:lang w:eastAsia="zh-CN"/>
        </w:rPr>
        <w:t>。</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六、一般公共预算财政拨款基本支出决算情况说明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i/>
          <w:color w:val="FF0000"/>
          <w:sz w:val="28"/>
          <w:szCs w:val="28"/>
        </w:rPr>
      </w:pPr>
      <w:r>
        <w:rPr>
          <w:rFonts w:hint="eastAsia" w:asciiTheme="minorEastAsia" w:hAnsiTheme="minorEastAsia" w:eastAsiaTheme="minorEastAsia"/>
          <w:sz w:val="28"/>
          <w:szCs w:val="28"/>
        </w:rPr>
        <w:t>2021年度财政拨款基本支出</w:t>
      </w:r>
      <w:r>
        <w:rPr>
          <w:rFonts w:hint="eastAsia" w:asciiTheme="minorEastAsia" w:hAnsiTheme="minorEastAsia" w:eastAsiaTheme="minorEastAsia"/>
          <w:sz w:val="28"/>
          <w:szCs w:val="28"/>
          <w:lang w:val="en-US" w:eastAsia="zh-CN"/>
        </w:rPr>
        <w:t>1453.46</w:t>
      </w:r>
      <w:r>
        <w:rPr>
          <w:rFonts w:hint="eastAsia" w:asciiTheme="minorEastAsia" w:hAnsiTheme="minorEastAsia" w:eastAsiaTheme="minorEastAsia"/>
          <w:sz w:val="28"/>
          <w:szCs w:val="28"/>
        </w:rPr>
        <w:t>万元，其中：人员经费</w:t>
      </w:r>
      <w:r>
        <w:rPr>
          <w:rFonts w:hint="eastAsia" w:asciiTheme="minorEastAsia" w:hAnsiTheme="minorEastAsia" w:eastAsiaTheme="minorEastAsia"/>
          <w:sz w:val="28"/>
          <w:szCs w:val="28"/>
          <w:lang w:val="en-US" w:eastAsia="zh-CN"/>
        </w:rPr>
        <w:t>1075.18</w:t>
      </w:r>
      <w:r>
        <w:rPr>
          <w:rFonts w:hint="eastAsia" w:asciiTheme="minorEastAsia" w:hAnsiTheme="minorEastAsia" w:eastAsiaTheme="minorEastAsia"/>
          <w:sz w:val="28"/>
          <w:szCs w:val="28"/>
        </w:rPr>
        <w:t>万元，占基本支出的</w:t>
      </w:r>
      <w:r>
        <w:rPr>
          <w:rFonts w:hint="eastAsia" w:asciiTheme="minorEastAsia" w:hAnsiTheme="minorEastAsia" w:eastAsiaTheme="minorEastAsia"/>
          <w:sz w:val="28"/>
          <w:szCs w:val="28"/>
          <w:lang w:val="en-US" w:eastAsia="zh-CN"/>
        </w:rPr>
        <w:t>73.97</w:t>
      </w:r>
      <w:r>
        <w:rPr>
          <w:rFonts w:hint="eastAsia" w:asciiTheme="minorEastAsia" w:hAnsiTheme="minorEastAsia" w:eastAsiaTheme="minorEastAsia"/>
          <w:sz w:val="28"/>
          <w:szCs w:val="28"/>
        </w:rPr>
        <w:t>%,基本工资</w:t>
      </w:r>
      <w:r>
        <w:rPr>
          <w:rFonts w:hint="eastAsia" w:asciiTheme="minorEastAsia" w:hAnsiTheme="minorEastAsia" w:eastAsiaTheme="minorEastAsia"/>
          <w:sz w:val="28"/>
          <w:szCs w:val="28"/>
          <w:lang w:val="en-US" w:eastAsia="zh-CN"/>
        </w:rPr>
        <w:t>207.88万元</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绩效工资254.58万元、</w:t>
      </w:r>
      <w:r>
        <w:rPr>
          <w:rFonts w:hint="eastAsia" w:asciiTheme="minorEastAsia" w:hAnsiTheme="minorEastAsia" w:eastAsiaTheme="minorEastAsia"/>
          <w:sz w:val="28"/>
          <w:szCs w:val="28"/>
        </w:rPr>
        <w:t>津贴补贴</w:t>
      </w:r>
      <w:r>
        <w:rPr>
          <w:rFonts w:hint="eastAsia" w:asciiTheme="minorEastAsia" w:hAnsiTheme="minorEastAsia" w:eastAsiaTheme="minorEastAsia"/>
          <w:sz w:val="28"/>
          <w:szCs w:val="28"/>
          <w:lang w:val="en-US" w:eastAsia="zh-CN"/>
        </w:rPr>
        <w:t>111.12万元</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奖金151.23万元、</w:t>
      </w:r>
      <w:r>
        <w:rPr>
          <w:rFonts w:hint="eastAsia" w:asciiTheme="minorEastAsia" w:hAnsiTheme="minorEastAsia" w:eastAsiaTheme="minorEastAsia"/>
          <w:sz w:val="28"/>
          <w:szCs w:val="28"/>
        </w:rPr>
        <w:t>伙食补助费</w:t>
      </w:r>
      <w:r>
        <w:rPr>
          <w:rFonts w:hint="eastAsia" w:asciiTheme="minorEastAsia" w:hAnsiTheme="minorEastAsia" w:eastAsiaTheme="minorEastAsia"/>
          <w:sz w:val="28"/>
          <w:szCs w:val="28"/>
          <w:lang w:val="en-US" w:eastAsia="zh-CN"/>
        </w:rPr>
        <w:t>52.88万元、机关事业单位基本养老保险缴费76.05万元、职业年金缴费16.42万元、职工基本医疗保险缴费57.41万元、其他社会保障缴费13.3万元、住房公积金100万元、其他工资福利支出20万元、对个人和家庭的补助14.3万元；</w:t>
      </w:r>
      <w:r>
        <w:rPr>
          <w:rFonts w:hint="eastAsia" w:asciiTheme="minorEastAsia" w:hAnsiTheme="minorEastAsia" w:eastAsiaTheme="minorEastAsia"/>
          <w:sz w:val="28"/>
          <w:szCs w:val="28"/>
        </w:rPr>
        <w:t>公用经费</w:t>
      </w:r>
      <w:r>
        <w:rPr>
          <w:rFonts w:hint="eastAsia" w:asciiTheme="minorEastAsia" w:hAnsiTheme="minorEastAsia" w:eastAsiaTheme="minorEastAsia"/>
          <w:sz w:val="28"/>
          <w:szCs w:val="28"/>
          <w:lang w:val="en-US" w:eastAsia="zh-CN"/>
        </w:rPr>
        <w:t>378.28</w:t>
      </w:r>
      <w:r>
        <w:rPr>
          <w:rFonts w:hint="eastAsia" w:asciiTheme="minorEastAsia" w:hAnsiTheme="minorEastAsia" w:eastAsiaTheme="minorEastAsia"/>
          <w:sz w:val="28"/>
          <w:szCs w:val="28"/>
        </w:rPr>
        <w:t>万元，占基本支出的</w:t>
      </w:r>
      <w:r>
        <w:rPr>
          <w:rFonts w:hint="eastAsia" w:asciiTheme="minorEastAsia" w:hAnsiTheme="minorEastAsia" w:eastAsiaTheme="minorEastAsia"/>
          <w:sz w:val="28"/>
          <w:szCs w:val="28"/>
          <w:lang w:val="en-US" w:eastAsia="zh-CN"/>
        </w:rPr>
        <w:t>26.03</w:t>
      </w:r>
      <w:r>
        <w:rPr>
          <w:rFonts w:hint="eastAsia" w:asciiTheme="minorEastAsia" w:hAnsiTheme="minorEastAsia" w:eastAsiaTheme="minorEastAsia"/>
          <w:sz w:val="28"/>
          <w:szCs w:val="28"/>
        </w:rPr>
        <w:t>%，主要包括办公费</w:t>
      </w:r>
      <w:r>
        <w:rPr>
          <w:rFonts w:hint="eastAsia" w:asciiTheme="minorEastAsia" w:hAnsiTheme="minorEastAsia" w:eastAsiaTheme="minorEastAsia"/>
          <w:sz w:val="28"/>
          <w:szCs w:val="28"/>
          <w:lang w:val="en-US" w:eastAsia="zh-CN"/>
        </w:rPr>
        <w:t>50万元</w:t>
      </w:r>
      <w:r>
        <w:rPr>
          <w:rFonts w:hint="eastAsia" w:asciiTheme="minorEastAsia" w:hAnsiTheme="minorEastAsia" w:eastAsiaTheme="minorEastAsia"/>
          <w:sz w:val="28"/>
          <w:szCs w:val="28"/>
        </w:rPr>
        <w:t>、印刷费</w:t>
      </w:r>
      <w:r>
        <w:rPr>
          <w:rFonts w:hint="eastAsia" w:asciiTheme="minorEastAsia" w:hAnsiTheme="minorEastAsia" w:eastAsiaTheme="minorEastAsia"/>
          <w:sz w:val="28"/>
          <w:szCs w:val="28"/>
          <w:lang w:val="en-US" w:eastAsia="zh-CN"/>
        </w:rPr>
        <w:t>10万元</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水费</w:t>
      </w:r>
      <w:r>
        <w:rPr>
          <w:rFonts w:hint="eastAsia" w:asciiTheme="minorEastAsia" w:hAnsiTheme="minorEastAsia" w:eastAsiaTheme="minorEastAsia"/>
          <w:sz w:val="28"/>
          <w:szCs w:val="28"/>
          <w:lang w:val="en-US" w:eastAsia="zh-CN"/>
        </w:rPr>
        <w:t>17万元、电费36万元、邮电</w:t>
      </w:r>
      <w:r>
        <w:rPr>
          <w:rFonts w:hint="eastAsia" w:asciiTheme="minorEastAsia" w:hAnsiTheme="minorEastAsia" w:eastAsiaTheme="minorEastAsia"/>
          <w:sz w:val="28"/>
          <w:szCs w:val="28"/>
        </w:rPr>
        <w:t>费</w:t>
      </w:r>
      <w:r>
        <w:rPr>
          <w:rFonts w:hint="eastAsia" w:asciiTheme="minorEastAsia" w:hAnsiTheme="minorEastAsia" w:eastAsiaTheme="minorEastAsia"/>
          <w:sz w:val="28"/>
          <w:szCs w:val="28"/>
          <w:lang w:val="en-US" w:eastAsia="zh-CN"/>
        </w:rPr>
        <w:t>6万元</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取暖</w:t>
      </w:r>
      <w:r>
        <w:rPr>
          <w:rFonts w:hint="eastAsia" w:asciiTheme="minorEastAsia" w:hAnsiTheme="minorEastAsia" w:eastAsiaTheme="minorEastAsia"/>
          <w:sz w:val="28"/>
          <w:szCs w:val="28"/>
        </w:rPr>
        <w:t>费</w:t>
      </w:r>
      <w:r>
        <w:rPr>
          <w:rFonts w:hint="eastAsia" w:asciiTheme="minorEastAsia" w:hAnsiTheme="minorEastAsia" w:eastAsiaTheme="minorEastAsia"/>
          <w:sz w:val="28"/>
          <w:szCs w:val="28"/>
          <w:lang w:val="en-US" w:eastAsia="zh-CN"/>
        </w:rPr>
        <w:t>26万元、物业管理费27万元、差旅费20万元、维修（护）费3万元、会议费5万元、培训费10万元、劳务费40万元、公务接待费1.28万元、工会经费40万元、福利费15万元、公务用车运行维护费18万元、其他交通费用4万元、其他商品服务支出50万元</w:t>
      </w:r>
      <w:r>
        <w:rPr>
          <w:rFonts w:hint="eastAsia" w:asciiTheme="minorEastAsia" w:hAnsiTheme="minorEastAsia" w:eastAsiaTheme="minorEastAsia"/>
          <w:sz w:val="28"/>
          <w:szCs w:val="28"/>
        </w:rPr>
        <w:t>。</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七、一般公共预算财政拨款“三公”经费支出决算情况说明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b/>
          <w:sz w:val="28"/>
          <w:szCs w:val="28"/>
        </w:rPr>
      </w:pPr>
      <w:r>
        <w:rPr>
          <w:rFonts w:hint="eastAsia" w:asciiTheme="minorEastAsia" w:hAnsiTheme="minorEastAsia" w:eastAsiaTheme="minorEastAsia"/>
          <w:b/>
          <w:sz w:val="28"/>
          <w:szCs w:val="28"/>
        </w:rPr>
        <w:t>（一）“三公”经费财政拨款支出决算总体情况说明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2021年度“三公”经费财政拨款支出预算为</w:t>
      </w:r>
      <w:r>
        <w:rPr>
          <w:rFonts w:hint="eastAsia" w:asciiTheme="minorEastAsia" w:hAnsiTheme="minorEastAsia" w:eastAsiaTheme="minorEastAsia"/>
          <w:sz w:val="28"/>
          <w:szCs w:val="28"/>
          <w:lang w:val="en-US" w:eastAsia="zh-CN"/>
        </w:rPr>
        <w:t>48</w:t>
      </w:r>
      <w:r>
        <w:rPr>
          <w:rFonts w:hint="eastAsia" w:asciiTheme="minorEastAsia" w:hAnsiTheme="minorEastAsia" w:eastAsiaTheme="minorEastAsia"/>
          <w:sz w:val="28"/>
          <w:szCs w:val="28"/>
        </w:rPr>
        <w:t>万元，支出决算为</w:t>
      </w:r>
      <w:bookmarkStart w:id="5" w:name="_GoBack"/>
      <w:bookmarkEnd w:id="5"/>
      <w:r>
        <w:rPr>
          <w:rFonts w:hint="eastAsia" w:asciiTheme="minorEastAsia" w:hAnsiTheme="minorEastAsia" w:eastAsiaTheme="minorEastAsia"/>
          <w:sz w:val="28"/>
          <w:szCs w:val="28"/>
          <w:lang w:val="en-US" w:eastAsia="zh-CN"/>
        </w:rPr>
        <w:t>41.28</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86</w:t>
      </w:r>
      <w:r>
        <w:rPr>
          <w:rFonts w:hint="eastAsia" w:asciiTheme="minorEastAsia" w:hAnsiTheme="minorEastAsia" w:eastAsiaTheme="minorEastAsia"/>
          <w:sz w:val="28"/>
          <w:szCs w:val="28"/>
        </w:rPr>
        <w:t>%，其中：</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因公出国（境）费支出预算为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w:t>
      </w:r>
      <w:r>
        <w:rPr>
          <w:rFonts w:hint="eastAsia" w:asciiTheme="minorEastAsia" w:hAnsiTheme="minorEastAsia" w:eastAsiaTheme="minorEastAsia"/>
          <w:color w:val="000000"/>
          <w:sz w:val="28"/>
          <w:szCs w:val="28"/>
        </w:rPr>
        <w:t>决算数等于预算数的</w:t>
      </w:r>
      <w:r>
        <w:rPr>
          <w:rFonts w:hint="eastAsia" w:asciiTheme="minorEastAsia" w:hAnsiTheme="minorEastAsia" w:eastAsiaTheme="minorEastAsia"/>
          <w:color w:val="000000"/>
          <w:sz w:val="28"/>
          <w:szCs w:val="28"/>
          <w:lang w:val="en-US" w:eastAsia="zh-CN"/>
        </w:rPr>
        <w:t>原因</w:t>
      </w:r>
      <w:r>
        <w:rPr>
          <w:rFonts w:hint="eastAsia" w:asciiTheme="minorEastAsia" w:hAnsiTheme="minorEastAsia" w:eastAsiaTheme="minorEastAsia"/>
          <w:color w:val="000000"/>
          <w:sz w:val="28"/>
          <w:szCs w:val="28"/>
        </w:rPr>
        <w:t>主要是疫情影响，今年未安排出国出境，与上年相比无变化，主要原因是主要是疫情影响，今年及去年均未安排出国出境</w:t>
      </w:r>
      <w:r>
        <w:rPr>
          <w:rFonts w:hint="eastAsia" w:asciiTheme="minorEastAsia" w:hAnsiTheme="minorEastAsia" w:eastAsiaTheme="minorEastAsia"/>
          <w:sz w:val="28"/>
          <w:szCs w:val="28"/>
        </w:rPr>
        <w:t>。</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default" w:asciiTheme="minorEastAsia" w:hAnsiTheme="minorEastAsia" w:eastAsiaTheme="minorEastAsia"/>
          <w:sz w:val="28"/>
          <w:szCs w:val="28"/>
        </w:rPr>
      </w:pPr>
      <w:r>
        <w:rPr>
          <w:rFonts w:hint="eastAsia" w:asciiTheme="minorEastAsia" w:hAnsiTheme="minorEastAsia" w:eastAsiaTheme="minorEastAsia"/>
          <w:sz w:val="28"/>
          <w:szCs w:val="28"/>
        </w:rPr>
        <w:t>公务接待费支出预算为</w:t>
      </w:r>
      <w:r>
        <w:rPr>
          <w:rFonts w:hint="eastAsia" w:asciiTheme="minorEastAsia" w:hAnsiTheme="minorEastAsia" w:eastAsiaTheme="minorEastAsia"/>
          <w:sz w:val="28"/>
          <w:szCs w:val="28"/>
          <w:lang w:val="en-US" w:eastAsia="zh-CN"/>
        </w:rPr>
        <w:t>8</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1.28</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16</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决算数小于预算数</w:t>
      </w:r>
      <w:r>
        <w:rPr>
          <w:rFonts w:hint="eastAsia" w:asciiTheme="minorEastAsia" w:hAnsiTheme="minorEastAsia" w:eastAsiaTheme="minorEastAsia"/>
          <w:sz w:val="28"/>
          <w:szCs w:val="28"/>
        </w:rPr>
        <w:t>的主要原因是贯彻落实厉行节约精神，压减了不必要的接待开支。</w:t>
      </w:r>
      <w:r>
        <w:rPr>
          <w:rFonts w:hint="eastAsia" w:asciiTheme="minorEastAsia" w:hAnsiTheme="minorEastAsia" w:eastAsiaTheme="minorEastAsia"/>
          <w:sz w:val="28"/>
          <w:szCs w:val="28"/>
          <w:lang w:val="en-US" w:eastAsia="zh-CN"/>
        </w:rPr>
        <w:t>与上年决算数相比减少0.54万元，减少29.67%，主要原因是我单位厉行节约，压减不必要的经费支出。</w:t>
      </w:r>
    </w:p>
    <w:p>
      <w:pPr>
        <w:pStyle w:val="20"/>
        <w:keepNext w:val="0"/>
        <w:keepLines w:val="0"/>
        <w:pageBreakBefore w:val="0"/>
        <w:widowControl w:val="0"/>
        <w:numPr>
          <w:ilvl w:val="0"/>
          <w:numId w:val="0"/>
        </w:numPr>
        <w:kinsoku/>
        <w:wordWrap/>
        <w:overflowPunct/>
        <w:topLinePunct w:val="0"/>
        <w:bidi w:val="0"/>
        <w:snapToGrid/>
        <w:spacing w:line="600" w:lineRule="exact"/>
        <w:ind w:left="0" w:leftChars="0" w:firstLine="560" w:firstLineChars="200"/>
        <w:textAlignment w:val="auto"/>
        <w:rPr>
          <w:rFonts w:hint="default" w:asciiTheme="minorEastAsia" w:hAnsiTheme="minorEastAsia" w:eastAsiaTheme="minorEastAsia"/>
          <w:sz w:val="28"/>
          <w:szCs w:val="28"/>
          <w:lang w:eastAsia="zh-CN"/>
        </w:rPr>
      </w:pPr>
      <w:r>
        <w:rPr>
          <w:rFonts w:hint="eastAsia" w:asciiTheme="minorEastAsia" w:hAnsiTheme="minorEastAsia" w:eastAsiaTheme="minorEastAsia"/>
          <w:sz w:val="28"/>
          <w:szCs w:val="28"/>
        </w:rPr>
        <w:t>公务用车购置费支出预算为</w:t>
      </w:r>
      <w:r>
        <w:rPr>
          <w:rFonts w:hint="eastAsia" w:asciiTheme="minorEastAsia" w:hAnsiTheme="minorEastAsia" w:eastAsiaTheme="minorEastAsia"/>
          <w:sz w:val="28"/>
          <w:szCs w:val="28"/>
          <w:lang w:val="en-US" w:eastAsia="zh-CN"/>
        </w:rPr>
        <w:t>22</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22</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eastAsia="zh-CN"/>
        </w:rPr>
        <w:t>与</w:t>
      </w:r>
      <w:r>
        <w:rPr>
          <w:rFonts w:hint="eastAsia" w:asciiTheme="minorEastAsia" w:hAnsiTheme="minorEastAsia" w:eastAsiaTheme="minorEastAsia"/>
          <w:sz w:val="28"/>
          <w:szCs w:val="28"/>
        </w:rPr>
        <w:t>年初预算数</w:t>
      </w:r>
      <w:r>
        <w:rPr>
          <w:rFonts w:hint="eastAsia" w:asciiTheme="minorEastAsia" w:hAnsiTheme="minorEastAsia" w:eastAsiaTheme="minorEastAsia"/>
          <w:sz w:val="28"/>
          <w:szCs w:val="28"/>
          <w:lang w:eastAsia="zh-CN"/>
        </w:rPr>
        <w:t>一致，</w:t>
      </w:r>
      <w:r>
        <w:rPr>
          <w:rFonts w:hint="eastAsia" w:asciiTheme="minorEastAsia" w:hAnsiTheme="minorEastAsia" w:eastAsiaTheme="minorEastAsia"/>
          <w:sz w:val="28"/>
          <w:szCs w:val="28"/>
          <w:lang w:val="en-US" w:eastAsia="zh-CN"/>
        </w:rPr>
        <w:t>主要原因是我单位严格执行预算</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与上年决算数相比增加22万元，增加100%，主要原因是我单位上年度未发生购车支出。</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公务用车运行维护费支出预算为</w:t>
      </w:r>
      <w:r>
        <w:rPr>
          <w:rFonts w:hint="eastAsia" w:asciiTheme="minorEastAsia" w:hAnsiTheme="minorEastAsia" w:eastAsiaTheme="minorEastAsia"/>
          <w:sz w:val="28"/>
          <w:szCs w:val="28"/>
          <w:lang w:val="en-US" w:eastAsia="zh-CN"/>
        </w:rPr>
        <w:t>18</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18</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eastAsia="zh-CN"/>
        </w:rPr>
        <w:t>与</w:t>
      </w:r>
      <w:r>
        <w:rPr>
          <w:rFonts w:hint="eastAsia" w:asciiTheme="minorEastAsia" w:hAnsiTheme="minorEastAsia" w:eastAsiaTheme="minorEastAsia"/>
          <w:sz w:val="28"/>
          <w:szCs w:val="28"/>
        </w:rPr>
        <w:t>年初预算数</w:t>
      </w:r>
      <w:r>
        <w:rPr>
          <w:rFonts w:hint="eastAsia" w:asciiTheme="minorEastAsia" w:hAnsiTheme="minorEastAsia" w:eastAsiaTheme="minorEastAsia"/>
          <w:sz w:val="28"/>
          <w:szCs w:val="28"/>
          <w:lang w:eastAsia="zh-CN"/>
        </w:rPr>
        <w:t>一致，</w:t>
      </w:r>
      <w:r>
        <w:rPr>
          <w:rFonts w:hint="eastAsia" w:asciiTheme="minorEastAsia" w:hAnsiTheme="minorEastAsia" w:eastAsiaTheme="minorEastAsia"/>
          <w:sz w:val="28"/>
          <w:szCs w:val="28"/>
          <w:lang w:val="en-US" w:eastAsia="zh-CN"/>
        </w:rPr>
        <w:t>主要原因是我单位严格执行预算。与上年决算数比减少7万元，减少28%，主要原因是我单位严格管理用车出车，减少不必要的出车，节约支出</w:t>
      </w:r>
      <w:r>
        <w:rPr>
          <w:rFonts w:hint="eastAsia" w:asciiTheme="minorEastAsia" w:hAnsiTheme="minorEastAsia" w:eastAsiaTheme="minorEastAsia"/>
          <w:sz w:val="28"/>
          <w:szCs w:val="28"/>
          <w:lang w:eastAsia="zh-CN"/>
        </w:rPr>
        <w:t>。</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b/>
          <w:sz w:val="28"/>
          <w:szCs w:val="28"/>
        </w:rPr>
      </w:pPr>
      <w:r>
        <w:rPr>
          <w:rFonts w:hint="eastAsia" w:asciiTheme="minorEastAsia" w:hAnsiTheme="minorEastAsia" w:eastAsiaTheme="minorEastAsia"/>
          <w:b/>
          <w:sz w:val="28"/>
          <w:szCs w:val="28"/>
        </w:rPr>
        <w:t>（二）“三公”经费财政拨款支出决算具体情况说明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2021年度“三公”经费财政拨款支出决算中，公务接待费支出决算</w:t>
      </w:r>
      <w:r>
        <w:rPr>
          <w:rFonts w:hint="eastAsia" w:asciiTheme="minorEastAsia" w:hAnsiTheme="minorEastAsia" w:eastAsiaTheme="minorEastAsia"/>
          <w:sz w:val="28"/>
          <w:szCs w:val="28"/>
          <w:lang w:val="en-US" w:eastAsia="zh-CN"/>
        </w:rPr>
        <w:t>1.28万</w:t>
      </w:r>
      <w:r>
        <w:rPr>
          <w:rFonts w:hint="eastAsia" w:asciiTheme="minorEastAsia" w:hAnsiTheme="minorEastAsia" w:eastAsiaTheme="minorEastAsia"/>
          <w:sz w:val="28"/>
          <w:szCs w:val="28"/>
        </w:rPr>
        <w:t>元，占</w:t>
      </w:r>
      <w:r>
        <w:rPr>
          <w:rFonts w:hint="eastAsia" w:asciiTheme="minorEastAsia" w:hAnsiTheme="minorEastAsia" w:eastAsiaTheme="minorEastAsia"/>
          <w:sz w:val="28"/>
          <w:szCs w:val="28"/>
          <w:lang w:val="en-US" w:eastAsia="zh-CN"/>
        </w:rPr>
        <w:t>3.1</w:t>
      </w:r>
      <w:r>
        <w:rPr>
          <w:rFonts w:hint="eastAsia" w:asciiTheme="minorEastAsia" w:hAnsiTheme="minorEastAsia" w:eastAsiaTheme="minorEastAsia"/>
          <w:sz w:val="28"/>
          <w:szCs w:val="28"/>
        </w:rPr>
        <w:t>%,因公出国（境）费支出决算</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%,公务用车购置费及运行维护费支出决算</w:t>
      </w:r>
      <w:r>
        <w:rPr>
          <w:rFonts w:hint="eastAsia" w:asciiTheme="minorEastAsia" w:hAnsiTheme="minorEastAsia" w:eastAsiaTheme="minorEastAsia"/>
          <w:sz w:val="28"/>
          <w:szCs w:val="28"/>
          <w:lang w:val="en-US" w:eastAsia="zh-CN"/>
        </w:rPr>
        <w:t>40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96.9</w:t>
      </w:r>
      <w:r>
        <w:rPr>
          <w:rFonts w:hint="eastAsia" w:asciiTheme="minorEastAsia" w:hAnsiTheme="minorEastAsia" w:eastAsiaTheme="minorEastAsia"/>
          <w:sz w:val="28"/>
          <w:szCs w:val="28"/>
        </w:rPr>
        <w:t>%。其中：</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default"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rPr>
        <w:t>1、因公出国（境）费支出决算为</w:t>
      </w:r>
      <w:r>
        <w:rPr>
          <w:rFonts w:hint="eastAsia" w:asciiTheme="minorEastAsia" w:hAnsiTheme="minorEastAsia" w:eastAsiaTheme="minorEastAsia"/>
          <w:color w:val="auto"/>
          <w:sz w:val="28"/>
          <w:szCs w:val="28"/>
          <w:lang w:val="en-US" w:eastAsia="zh-CN"/>
        </w:rPr>
        <w:t>0</w:t>
      </w:r>
      <w:r>
        <w:rPr>
          <w:rFonts w:hint="eastAsia" w:asciiTheme="minorEastAsia" w:hAnsiTheme="minorEastAsia" w:eastAsiaTheme="minorEastAsia"/>
          <w:color w:val="auto"/>
          <w:sz w:val="28"/>
          <w:szCs w:val="28"/>
        </w:rPr>
        <w:t>万元，全年安排因公出国（境）团组</w:t>
      </w:r>
      <w:r>
        <w:rPr>
          <w:rFonts w:hint="eastAsia" w:asciiTheme="minorEastAsia" w:hAnsiTheme="minorEastAsia" w:eastAsiaTheme="minorEastAsia"/>
          <w:color w:val="auto"/>
          <w:sz w:val="28"/>
          <w:szCs w:val="28"/>
          <w:lang w:val="en-US" w:eastAsia="zh-CN"/>
        </w:rPr>
        <w:t>0</w:t>
      </w:r>
      <w:r>
        <w:rPr>
          <w:rFonts w:hint="eastAsia" w:asciiTheme="minorEastAsia" w:hAnsiTheme="minorEastAsia" w:eastAsiaTheme="minorEastAsia"/>
          <w:color w:val="auto"/>
          <w:sz w:val="28"/>
          <w:szCs w:val="28"/>
        </w:rPr>
        <w:t>个，累计</w:t>
      </w:r>
      <w:r>
        <w:rPr>
          <w:rFonts w:hint="eastAsia" w:asciiTheme="minorEastAsia" w:hAnsiTheme="minorEastAsia" w:eastAsiaTheme="minorEastAsia"/>
          <w:color w:val="auto"/>
          <w:sz w:val="28"/>
          <w:szCs w:val="28"/>
          <w:lang w:val="en-US" w:eastAsia="zh-CN"/>
        </w:rPr>
        <w:t>0</w:t>
      </w:r>
      <w:r>
        <w:rPr>
          <w:rFonts w:hint="eastAsia" w:asciiTheme="minorEastAsia" w:hAnsiTheme="minorEastAsia" w:eastAsiaTheme="minorEastAsia"/>
          <w:color w:val="auto"/>
          <w:sz w:val="28"/>
          <w:szCs w:val="28"/>
        </w:rPr>
        <w:t>人次</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2021年我单位无出国预算，亦无相关支出。</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cstheme="minorBidi"/>
          <w:color w:val="auto"/>
          <w:kern w:val="2"/>
          <w:sz w:val="28"/>
          <w:szCs w:val="28"/>
          <w:lang w:val="en-US" w:eastAsia="zh-CN" w:bidi="ar-SA"/>
        </w:rPr>
      </w:pPr>
      <w:r>
        <w:rPr>
          <w:rFonts w:hint="eastAsia" w:asciiTheme="minorEastAsia" w:hAnsiTheme="minorEastAsia" w:eastAsiaTheme="minorEastAsia" w:cstheme="minorBidi"/>
          <w:color w:val="auto"/>
          <w:kern w:val="2"/>
          <w:sz w:val="28"/>
          <w:szCs w:val="28"/>
          <w:lang w:val="en-US" w:eastAsia="zh-CN" w:bidi="ar-SA"/>
        </w:rPr>
        <w:t>2、公务接待费支出决算为1.28万元，全年共接待来访团组7个、来宾170人次，主要是环保部及外省同级单位、地市环保局工作汇报等发生的接待支出。</w:t>
      </w:r>
    </w:p>
    <w:p>
      <w:pPr>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cs="黑体" w:asciiTheme="minorEastAsia" w:hAnsiTheme="minorEastAsia"/>
          <w:color w:val="000000"/>
          <w:kern w:val="0"/>
          <w:sz w:val="28"/>
          <w:szCs w:val="28"/>
        </w:rPr>
      </w:pPr>
      <w:r>
        <w:rPr>
          <w:rFonts w:hint="eastAsia" w:asciiTheme="minorEastAsia" w:hAnsiTheme="minorEastAsia"/>
          <w:sz w:val="28"/>
          <w:szCs w:val="28"/>
        </w:rPr>
        <w:t>3、公务用车购置费及运行维护费支出决算为</w:t>
      </w:r>
      <w:r>
        <w:rPr>
          <w:rFonts w:hint="eastAsia" w:asciiTheme="minorEastAsia" w:hAnsiTheme="minorEastAsia"/>
          <w:sz w:val="28"/>
          <w:szCs w:val="28"/>
          <w:lang w:val="en-US" w:eastAsia="zh-CN"/>
        </w:rPr>
        <w:t>40</w:t>
      </w:r>
      <w:r>
        <w:rPr>
          <w:rFonts w:hint="eastAsia" w:asciiTheme="minorEastAsia" w:hAnsiTheme="minorEastAsia"/>
          <w:sz w:val="28"/>
          <w:szCs w:val="28"/>
        </w:rPr>
        <w:t>万元，其中：公务用车购置费</w:t>
      </w:r>
      <w:r>
        <w:rPr>
          <w:rFonts w:hint="eastAsia" w:asciiTheme="minorEastAsia" w:hAnsiTheme="minorEastAsia"/>
          <w:sz w:val="28"/>
          <w:szCs w:val="28"/>
          <w:lang w:val="en-US" w:eastAsia="zh-CN"/>
        </w:rPr>
        <w:t>22</w:t>
      </w:r>
      <w:r>
        <w:rPr>
          <w:rFonts w:hint="eastAsia" w:asciiTheme="minorEastAsia" w:hAnsiTheme="minorEastAsia"/>
          <w:sz w:val="28"/>
          <w:szCs w:val="28"/>
        </w:rPr>
        <w:t>万元，</w:t>
      </w:r>
      <w:r>
        <w:rPr>
          <w:rFonts w:hint="eastAsia" w:asciiTheme="minorEastAsia" w:hAnsiTheme="minorEastAsia"/>
          <w:sz w:val="28"/>
          <w:szCs w:val="28"/>
          <w:lang w:val="en-US" w:eastAsia="zh-CN"/>
        </w:rPr>
        <w:t>我单位本年购置公务用车一辆；</w:t>
      </w:r>
      <w:r>
        <w:rPr>
          <w:rFonts w:hint="eastAsia" w:asciiTheme="minorEastAsia" w:hAnsiTheme="minorEastAsia"/>
          <w:sz w:val="28"/>
          <w:szCs w:val="28"/>
        </w:rPr>
        <w:t>公务用车运行维护费</w:t>
      </w:r>
      <w:r>
        <w:rPr>
          <w:rFonts w:hint="eastAsia" w:asciiTheme="minorEastAsia" w:hAnsiTheme="minorEastAsia"/>
          <w:sz w:val="28"/>
          <w:szCs w:val="28"/>
          <w:lang w:val="en-US" w:eastAsia="zh-CN"/>
        </w:rPr>
        <w:t>18</w:t>
      </w:r>
      <w:r>
        <w:rPr>
          <w:rFonts w:hint="eastAsia" w:asciiTheme="minorEastAsia" w:hAnsiTheme="minorEastAsia"/>
          <w:sz w:val="28"/>
          <w:szCs w:val="28"/>
        </w:rPr>
        <w:t>万元，主要是</w:t>
      </w:r>
      <w:r>
        <w:rPr>
          <w:rFonts w:hint="eastAsia" w:asciiTheme="minorEastAsia" w:hAnsiTheme="minorEastAsia"/>
          <w:sz w:val="28"/>
          <w:szCs w:val="28"/>
          <w:lang w:eastAsia="zh-CN"/>
        </w:rPr>
        <w:t>车辆加油、维修、保险、过路过桥费</w:t>
      </w:r>
      <w:r>
        <w:rPr>
          <w:rFonts w:hint="eastAsia" w:asciiTheme="minorEastAsia" w:hAnsiTheme="minorEastAsia"/>
          <w:sz w:val="28"/>
          <w:szCs w:val="28"/>
        </w:rPr>
        <w:t>支出</w:t>
      </w:r>
      <w:r>
        <w:rPr>
          <w:rFonts w:hint="eastAsia" w:asciiTheme="minorEastAsia" w:hAnsiTheme="minorEastAsia"/>
          <w:sz w:val="28"/>
          <w:szCs w:val="28"/>
          <w:lang w:eastAsia="zh-CN"/>
        </w:rPr>
        <w:t>。</w:t>
      </w:r>
      <w:r>
        <w:rPr>
          <w:rFonts w:hint="eastAsia" w:asciiTheme="minorEastAsia" w:hAnsiTheme="minorEastAsia"/>
          <w:sz w:val="28"/>
          <w:szCs w:val="28"/>
        </w:rPr>
        <w:t>截止202</w:t>
      </w:r>
      <w:r>
        <w:rPr>
          <w:rFonts w:hint="eastAsia" w:asciiTheme="minorEastAsia" w:hAnsiTheme="minorEastAsia"/>
          <w:sz w:val="28"/>
          <w:szCs w:val="28"/>
          <w:lang w:val="en-US" w:eastAsia="zh-CN"/>
        </w:rPr>
        <w:t>1</w:t>
      </w:r>
      <w:r>
        <w:rPr>
          <w:rFonts w:hint="eastAsia" w:asciiTheme="minorEastAsia" w:hAnsiTheme="minorEastAsia"/>
          <w:sz w:val="28"/>
          <w:szCs w:val="28"/>
        </w:rPr>
        <w:t>年12月31日，我单位开支财政拨款的公务用车保有量为</w:t>
      </w:r>
      <w:r>
        <w:rPr>
          <w:rFonts w:hint="eastAsia" w:asciiTheme="minorEastAsia" w:hAnsiTheme="minorEastAsia"/>
          <w:sz w:val="28"/>
          <w:szCs w:val="28"/>
          <w:lang w:val="en-US" w:eastAsia="zh-CN"/>
        </w:rPr>
        <w:t>4</w:t>
      </w:r>
      <w:r>
        <w:rPr>
          <w:rFonts w:hint="eastAsia" w:asciiTheme="minorEastAsia" w:hAnsiTheme="minorEastAsia"/>
          <w:sz w:val="28"/>
          <w:szCs w:val="28"/>
        </w:rPr>
        <w:t>辆。</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八、政府性基金预算收入支出决算情况</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2021年度政府性基金预算财政拨款收入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万元；年初结转和结余</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万元，其中基本支出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万元，项目支出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万元；年末结转和结余</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val="en-US" w:eastAsia="zh-CN"/>
        </w:rPr>
        <w:t>本部门</w:t>
      </w:r>
      <w:r>
        <w:rPr>
          <w:rFonts w:hint="eastAsia" w:asciiTheme="minorEastAsia" w:hAnsiTheme="minorEastAsia" w:eastAsiaTheme="minorEastAsia"/>
          <w:sz w:val="28"/>
          <w:szCs w:val="28"/>
          <w:lang w:eastAsia="zh-CN"/>
        </w:rPr>
        <w:t>无政府性基金</w:t>
      </w:r>
      <w:r>
        <w:rPr>
          <w:rFonts w:hint="eastAsia" w:asciiTheme="minorEastAsia" w:hAnsiTheme="minorEastAsia" w:eastAsiaTheme="minorEastAsia"/>
          <w:sz w:val="28"/>
          <w:szCs w:val="28"/>
          <w:lang w:val="en-US" w:eastAsia="zh-CN"/>
        </w:rPr>
        <w:t>收支</w:t>
      </w:r>
      <w:r>
        <w:rPr>
          <w:rFonts w:hint="eastAsia" w:asciiTheme="minorEastAsia" w:hAnsiTheme="minorEastAsia" w:eastAsiaTheme="minorEastAsia"/>
          <w:sz w:val="28"/>
          <w:szCs w:val="28"/>
          <w:lang w:eastAsia="zh-CN"/>
        </w:rPr>
        <w:t>。</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九、机关运行经费支出说明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28"/>
          <w:szCs w:val="28"/>
        </w:rPr>
        <w:t>本</w:t>
      </w:r>
      <w:r>
        <w:rPr>
          <w:rFonts w:hint="eastAsia" w:asciiTheme="minorEastAsia" w:hAnsiTheme="minorEastAsia" w:eastAsiaTheme="minorEastAsia"/>
          <w:sz w:val="28"/>
          <w:szCs w:val="28"/>
          <w:lang w:val="en-US" w:eastAsia="zh-CN"/>
        </w:rPr>
        <w:t>中心</w:t>
      </w:r>
      <w:r>
        <w:rPr>
          <w:rFonts w:hint="eastAsia" w:asciiTheme="minorEastAsia" w:hAnsiTheme="minorEastAsia" w:eastAsiaTheme="minorEastAsia"/>
          <w:sz w:val="28"/>
          <w:szCs w:val="28"/>
        </w:rPr>
        <w:t>2021年度机关运行经费支出</w:t>
      </w:r>
      <w:r>
        <w:rPr>
          <w:rFonts w:hint="eastAsia" w:asciiTheme="minorEastAsia" w:hAnsiTheme="minorEastAsia" w:eastAsiaTheme="minorEastAsia"/>
          <w:sz w:val="28"/>
          <w:szCs w:val="28"/>
          <w:lang w:val="en-US" w:eastAsia="zh-CN"/>
        </w:rPr>
        <w:t>378.28</w:t>
      </w:r>
      <w:r>
        <w:rPr>
          <w:rFonts w:hint="eastAsia" w:asciiTheme="minorEastAsia" w:hAnsiTheme="minorEastAsia" w:eastAsiaTheme="minorEastAsia"/>
          <w:sz w:val="28"/>
          <w:szCs w:val="28"/>
        </w:rPr>
        <w:t>万元，比年初预算数减少</w:t>
      </w:r>
      <w:r>
        <w:rPr>
          <w:rFonts w:hint="eastAsia" w:asciiTheme="minorEastAsia" w:hAnsiTheme="minorEastAsia" w:eastAsiaTheme="minorEastAsia"/>
          <w:sz w:val="28"/>
          <w:szCs w:val="28"/>
          <w:lang w:val="en-US" w:eastAsia="zh-CN"/>
        </w:rPr>
        <w:t>6.72</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比年初预算</w:t>
      </w:r>
      <w:r>
        <w:rPr>
          <w:rFonts w:hint="eastAsia" w:asciiTheme="minorEastAsia" w:hAnsiTheme="minorEastAsia" w:eastAsiaTheme="minorEastAsia"/>
          <w:sz w:val="28"/>
          <w:szCs w:val="28"/>
        </w:rPr>
        <w:t>降低</w:t>
      </w:r>
      <w:r>
        <w:rPr>
          <w:rFonts w:hint="eastAsia" w:asciiTheme="minorEastAsia" w:hAnsiTheme="minorEastAsia" w:eastAsiaTheme="minorEastAsia"/>
          <w:sz w:val="28"/>
          <w:szCs w:val="28"/>
          <w:lang w:val="en-US" w:eastAsia="zh-CN"/>
        </w:rPr>
        <w:t>1.74</w:t>
      </w:r>
      <w:r>
        <w:rPr>
          <w:rFonts w:hint="eastAsia" w:asciiTheme="minorEastAsia" w:hAnsiTheme="minorEastAsia" w:eastAsiaTheme="minorEastAsia"/>
          <w:sz w:val="28"/>
          <w:szCs w:val="28"/>
        </w:rPr>
        <w:t>%。主要原因是：贯彻落实厉行节约精神，压减了不必要的接待开支。</w:t>
      </w:r>
      <w:r>
        <w:rPr>
          <w:rFonts w:hint="eastAsia" w:asciiTheme="minorEastAsia" w:hAnsiTheme="minorEastAsia" w:eastAsiaTheme="minorEastAsia"/>
          <w:sz w:val="28"/>
          <w:szCs w:val="28"/>
          <w:lang w:eastAsia="zh-CN"/>
        </w:rPr>
        <w:t>年末公务</w:t>
      </w:r>
      <w:r>
        <w:rPr>
          <w:rFonts w:hint="eastAsia" w:asciiTheme="minorEastAsia" w:hAnsiTheme="minorEastAsia" w:eastAsiaTheme="minorEastAsia"/>
          <w:sz w:val="28"/>
          <w:szCs w:val="28"/>
          <w:lang w:val="en-US" w:eastAsia="zh-CN"/>
        </w:rPr>
        <w:t>接待费</w:t>
      </w:r>
      <w:r>
        <w:rPr>
          <w:rFonts w:hint="eastAsia" w:asciiTheme="minorEastAsia" w:hAnsiTheme="minorEastAsia" w:eastAsiaTheme="minorEastAsia"/>
          <w:sz w:val="28"/>
          <w:szCs w:val="28"/>
          <w:lang w:eastAsia="zh-CN"/>
        </w:rPr>
        <w:t>形成结余。</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十、一般性支出情况说明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2021年本中心开支会议费5万元，用于召开各类环评项目评审会议，人数410人，内容为全省建设项目环评和规划环评及验收项目技术复核；开支培训费10万元，人数100人，用于支付本部门职工业务培训费用。</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firstLine="560" w:firstLineChars="200"/>
        <w:jc w:val="left"/>
        <w:textAlignment w:val="auto"/>
        <w:rPr>
          <w:rFonts w:hint="eastAsia" w:cs="黑体" w:asciiTheme="minorEastAsia" w:hAnsiTheme="minorEastAsia" w:eastAsiaTheme="minorEastAsia"/>
          <w:color w:val="000000"/>
          <w:kern w:val="0"/>
          <w:sz w:val="28"/>
          <w:szCs w:val="28"/>
          <w:lang w:eastAsia="zh-CN"/>
        </w:rPr>
      </w:pPr>
      <w:r>
        <w:rPr>
          <w:rFonts w:hint="eastAsia" w:cs="黑体" w:asciiTheme="minorEastAsia" w:hAnsiTheme="minorEastAsia" w:eastAsiaTheme="minorEastAsia"/>
          <w:color w:val="000000"/>
          <w:kern w:val="0"/>
          <w:sz w:val="28"/>
          <w:szCs w:val="28"/>
          <w:lang w:val="en-US" w:eastAsia="zh-CN" w:bidi="ar-SA"/>
        </w:rPr>
        <w:t>2021年度我</w:t>
      </w:r>
      <w:r>
        <w:rPr>
          <w:rFonts w:hint="eastAsia" w:cs="黑体" w:asciiTheme="minorEastAsia" w:hAnsiTheme="minorEastAsia"/>
          <w:color w:val="000000"/>
          <w:kern w:val="0"/>
          <w:sz w:val="28"/>
          <w:szCs w:val="28"/>
          <w:lang w:val="en-US" w:eastAsia="zh-CN" w:bidi="ar-SA"/>
        </w:rPr>
        <w:t>中心</w:t>
      </w:r>
      <w:r>
        <w:rPr>
          <w:rFonts w:hint="eastAsia" w:cs="黑体" w:asciiTheme="minorEastAsia" w:hAnsiTheme="minorEastAsia" w:eastAsiaTheme="minorEastAsia"/>
          <w:color w:val="000000"/>
          <w:kern w:val="0"/>
          <w:sz w:val="28"/>
          <w:szCs w:val="28"/>
          <w:lang w:val="en-US" w:eastAsia="zh-CN" w:bidi="ar-SA"/>
        </w:rPr>
        <w:t>未举办节庆、</w:t>
      </w:r>
      <w:r>
        <w:rPr>
          <w:rFonts w:hint="eastAsia" w:asciiTheme="minorEastAsia" w:hAnsiTheme="minorEastAsia" w:eastAsiaTheme="minorEastAsia"/>
          <w:sz w:val="28"/>
          <w:szCs w:val="28"/>
        </w:rPr>
        <w:t>晚会、论坛、赛事</w:t>
      </w:r>
      <w:r>
        <w:rPr>
          <w:rFonts w:hint="eastAsia" w:asciiTheme="minorEastAsia" w:hAnsiTheme="minorEastAsia" w:eastAsiaTheme="minorEastAsia"/>
          <w:sz w:val="28"/>
          <w:szCs w:val="28"/>
          <w:lang w:eastAsia="zh-CN"/>
        </w:rPr>
        <w:t>等</w:t>
      </w:r>
      <w:r>
        <w:rPr>
          <w:rFonts w:hint="eastAsia" w:asciiTheme="minorEastAsia" w:hAnsiTheme="minorEastAsia" w:eastAsiaTheme="minorEastAsia"/>
          <w:sz w:val="28"/>
          <w:szCs w:val="28"/>
        </w:rPr>
        <w:t>活动</w:t>
      </w:r>
      <w:r>
        <w:rPr>
          <w:rFonts w:hint="eastAsia" w:asciiTheme="minorEastAsia" w:hAnsiTheme="minorEastAsia"/>
          <w:sz w:val="28"/>
          <w:szCs w:val="28"/>
          <w:lang w:eastAsia="zh-CN"/>
        </w:rPr>
        <w:t>。</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十一、关于政府采购支出说明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28"/>
          <w:szCs w:val="28"/>
        </w:rPr>
        <w:t>本</w:t>
      </w:r>
      <w:r>
        <w:rPr>
          <w:rFonts w:hint="eastAsia" w:asciiTheme="minorEastAsia" w:hAnsiTheme="minorEastAsia" w:eastAsiaTheme="minorEastAsia"/>
          <w:sz w:val="28"/>
          <w:szCs w:val="28"/>
          <w:lang w:val="en-US" w:eastAsia="zh-CN"/>
        </w:rPr>
        <w:t>中心</w:t>
      </w:r>
      <w:r>
        <w:rPr>
          <w:rFonts w:hint="eastAsia" w:asciiTheme="minorEastAsia" w:hAnsiTheme="minorEastAsia" w:eastAsiaTheme="minorEastAsia"/>
          <w:sz w:val="28"/>
          <w:szCs w:val="28"/>
        </w:rPr>
        <w:t>202</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年度政府采购支出总额13</w:t>
      </w:r>
      <w:r>
        <w:rPr>
          <w:rFonts w:hint="eastAsia" w:asciiTheme="minorEastAsia" w:hAnsiTheme="minorEastAsia" w:eastAsiaTheme="minorEastAsia"/>
          <w:sz w:val="28"/>
          <w:szCs w:val="28"/>
          <w:lang w:val="en-US" w:eastAsia="zh-CN"/>
        </w:rPr>
        <w:t>04.43</w:t>
      </w:r>
      <w:r>
        <w:rPr>
          <w:rFonts w:hint="eastAsia" w:asciiTheme="minorEastAsia" w:hAnsiTheme="minorEastAsia" w:eastAsiaTheme="minorEastAsia"/>
          <w:sz w:val="28"/>
          <w:szCs w:val="28"/>
        </w:rPr>
        <w:t>万元，其中：政府采购货物支出</w:t>
      </w:r>
      <w:r>
        <w:rPr>
          <w:rFonts w:hint="eastAsia" w:asciiTheme="minorEastAsia" w:hAnsiTheme="minorEastAsia" w:eastAsiaTheme="minorEastAsia"/>
          <w:sz w:val="28"/>
          <w:szCs w:val="28"/>
          <w:lang w:val="en-US" w:eastAsia="zh-CN"/>
        </w:rPr>
        <w:t>466.87</w:t>
      </w:r>
      <w:r>
        <w:rPr>
          <w:rFonts w:hint="eastAsia" w:asciiTheme="minorEastAsia" w:hAnsiTheme="minorEastAsia" w:eastAsiaTheme="minorEastAsia"/>
          <w:sz w:val="28"/>
          <w:szCs w:val="28"/>
        </w:rPr>
        <w:t>万元、政府采购工程支出0万元、政府采购服务支出</w:t>
      </w:r>
      <w:r>
        <w:rPr>
          <w:rFonts w:hint="eastAsia" w:asciiTheme="minorEastAsia" w:hAnsiTheme="minorEastAsia" w:eastAsiaTheme="minorEastAsia"/>
          <w:sz w:val="28"/>
          <w:szCs w:val="28"/>
          <w:lang w:val="en-US" w:eastAsia="zh-CN"/>
        </w:rPr>
        <w:t>837.56</w:t>
      </w:r>
      <w:r>
        <w:rPr>
          <w:rFonts w:hint="eastAsia" w:asciiTheme="minorEastAsia" w:hAnsiTheme="minorEastAsia" w:eastAsiaTheme="minorEastAsia"/>
          <w:sz w:val="28"/>
          <w:szCs w:val="28"/>
        </w:rPr>
        <w:t>万元。授予中小企业合同金额</w:t>
      </w:r>
      <w:r>
        <w:rPr>
          <w:rFonts w:hint="eastAsia" w:asciiTheme="minorEastAsia" w:hAnsiTheme="minorEastAsia" w:eastAsiaTheme="minorEastAsia"/>
          <w:sz w:val="28"/>
          <w:szCs w:val="28"/>
          <w:lang w:val="en-US" w:eastAsia="zh-CN"/>
        </w:rPr>
        <w:t>1304.43</w:t>
      </w:r>
      <w:r>
        <w:rPr>
          <w:rFonts w:hint="eastAsia" w:asciiTheme="minorEastAsia" w:hAnsiTheme="minorEastAsia" w:eastAsiaTheme="minorEastAsia"/>
          <w:sz w:val="28"/>
          <w:szCs w:val="28"/>
        </w:rPr>
        <w:t>万元，占政府采购支出总额的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%，其中：授予小微企业合同金额</w:t>
      </w:r>
      <w:r>
        <w:rPr>
          <w:rFonts w:hint="eastAsia" w:asciiTheme="minorEastAsia" w:hAnsiTheme="minorEastAsia" w:eastAsiaTheme="minorEastAsia"/>
          <w:sz w:val="28"/>
          <w:szCs w:val="28"/>
          <w:lang w:val="en-US" w:eastAsia="zh-CN"/>
        </w:rPr>
        <w:t>840.54</w:t>
      </w:r>
      <w:r>
        <w:rPr>
          <w:rFonts w:hint="eastAsia" w:asciiTheme="minorEastAsia" w:hAnsiTheme="minorEastAsia" w:eastAsiaTheme="minorEastAsia"/>
          <w:sz w:val="28"/>
          <w:szCs w:val="28"/>
        </w:rPr>
        <w:t>万元，占政府采购支出总额的</w:t>
      </w:r>
      <w:r>
        <w:rPr>
          <w:rFonts w:hint="eastAsia" w:asciiTheme="minorEastAsia" w:hAnsiTheme="minorEastAsia" w:eastAsiaTheme="minorEastAsia"/>
          <w:sz w:val="28"/>
          <w:szCs w:val="28"/>
          <w:lang w:val="en-US" w:eastAsia="zh-CN"/>
        </w:rPr>
        <w:t>64.43</w:t>
      </w:r>
      <w:r>
        <w:rPr>
          <w:rFonts w:hint="eastAsia" w:asciiTheme="minorEastAsia" w:hAnsiTheme="minorEastAsia" w:eastAsiaTheme="minorEastAsia"/>
          <w:sz w:val="28"/>
          <w:szCs w:val="28"/>
        </w:rPr>
        <w:t>%。</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asciiTheme="minorEastAsia" w:hAnsiTheme="minorEastAsia" w:eastAsiaTheme="minorEastAsia"/>
          <w:sz w:val="32"/>
          <w:szCs w:val="32"/>
        </w:rPr>
      </w:pP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十二、关于国有资产占用情况说明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截至202</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年12月31日，本单位共有车辆4辆，其中，主要领导干部用车0辆，机要通信用车0辆、应急保障用车0辆、执法执勤用车0辆、特种专业技术用车0辆、其他用车4辆，其他用车主要是一般业务用车；单位价值50万元以上通用设备0台（套）；单位价值100万元以上专用设备0台（套）。</w:t>
      </w:r>
    </w:p>
    <w:p>
      <w:pPr>
        <w:pStyle w:val="20"/>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Ansi="黑体"/>
          <w:b/>
          <w:sz w:val="32"/>
          <w:szCs w:val="32"/>
        </w:rPr>
      </w:pPr>
      <w:r>
        <w:rPr>
          <w:rFonts w:hint="eastAsia" w:hAnsi="黑体"/>
          <w:b/>
          <w:sz w:val="32"/>
          <w:szCs w:val="32"/>
        </w:rPr>
        <w:t>十三、关于202</w:t>
      </w:r>
      <w:r>
        <w:rPr>
          <w:rFonts w:hint="eastAsia" w:hAnsi="黑体"/>
          <w:b/>
          <w:sz w:val="32"/>
          <w:szCs w:val="32"/>
          <w:lang w:val="en-US" w:eastAsia="zh-CN"/>
        </w:rPr>
        <w:t>1</w:t>
      </w:r>
      <w:r>
        <w:rPr>
          <w:rFonts w:hint="eastAsia" w:hAnsi="黑体"/>
          <w:b/>
          <w:sz w:val="32"/>
          <w:szCs w:val="32"/>
        </w:rPr>
        <w:t>年度预算绩效情况的说明</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hint="eastAsia" w:asciiTheme="minorEastAsia" w:hAnsiTheme="minorEastAsia" w:eastAsiaTheme="minorEastAsia"/>
          <w:sz w:val="28"/>
          <w:szCs w:val="28"/>
        </w:rPr>
      </w:pPr>
      <w:r>
        <w:rPr>
          <w:rFonts w:hint="eastAsia" w:ascii="宋体" w:hAnsi="宋体" w:eastAsia="宋体"/>
          <w:sz w:val="28"/>
          <w:szCs w:val="28"/>
        </w:rPr>
        <w:t>为进一步规范财政资金管理，强化绩效和责任意识，切实提高财政资金使用效益，</w:t>
      </w:r>
      <w:r>
        <w:rPr>
          <w:rFonts w:hint="eastAsia" w:ascii="宋体" w:hAnsi="宋体" w:eastAsia="宋体" w:cs="宋体"/>
          <w:i w:val="0"/>
          <w:iCs w:val="0"/>
          <w:caps w:val="0"/>
          <w:color w:val="000000"/>
          <w:spacing w:val="0"/>
          <w:sz w:val="28"/>
          <w:szCs w:val="28"/>
          <w:shd w:val="clear" w:fill="FFFFFF"/>
          <w:lang w:val="en-US" w:eastAsia="zh-CN"/>
        </w:rPr>
        <w:t>我部门组织对2021年部门整体支出进行绩效自评，涉及财政资金</w:t>
      </w:r>
      <w:r>
        <w:rPr>
          <w:rFonts w:hint="eastAsia" w:ascii="宋体" w:hAnsi="宋体" w:eastAsia="宋体" w:cs="宋体"/>
          <w:kern w:val="0"/>
          <w:sz w:val="28"/>
          <w:szCs w:val="28"/>
          <w:lang w:val="en-US" w:eastAsia="zh-CN"/>
        </w:rPr>
        <w:t>5820.23</w:t>
      </w:r>
      <w:r>
        <w:rPr>
          <w:rFonts w:hint="eastAsia" w:ascii="宋体" w:hAnsi="宋体" w:eastAsia="宋体" w:cs="宋体"/>
          <w:i w:val="0"/>
          <w:iCs w:val="0"/>
          <w:caps w:val="0"/>
          <w:color w:val="000000"/>
          <w:spacing w:val="0"/>
          <w:sz w:val="28"/>
          <w:szCs w:val="28"/>
          <w:shd w:val="clear" w:fill="FFFFFF"/>
          <w:lang w:val="en-US" w:eastAsia="zh-CN"/>
        </w:rPr>
        <w:t>万元，其中：基本支出</w:t>
      </w:r>
      <w:r>
        <w:rPr>
          <w:rFonts w:hint="eastAsia" w:ascii="宋体" w:hAnsi="宋体" w:eastAsia="宋体" w:cs="宋体"/>
          <w:kern w:val="0"/>
          <w:sz w:val="28"/>
          <w:szCs w:val="28"/>
          <w:lang w:val="en-US" w:eastAsia="zh-CN"/>
        </w:rPr>
        <w:t>1453.46</w:t>
      </w:r>
      <w:r>
        <w:rPr>
          <w:rFonts w:hint="eastAsia" w:ascii="宋体" w:hAnsi="宋体" w:eastAsia="宋体" w:cs="宋体"/>
          <w:i w:val="0"/>
          <w:iCs w:val="0"/>
          <w:caps w:val="0"/>
          <w:color w:val="000000"/>
          <w:spacing w:val="0"/>
          <w:sz w:val="28"/>
          <w:szCs w:val="28"/>
          <w:shd w:val="clear" w:fill="FFFFFF"/>
          <w:lang w:val="en-US" w:eastAsia="zh-CN"/>
        </w:rPr>
        <w:t>万元，项目支出</w:t>
      </w:r>
      <w:r>
        <w:rPr>
          <w:rFonts w:hint="eastAsia" w:ascii="宋体" w:hAnsi="宋体" w:eastAsia="宋体" w:cs="宋体"/>
          <w:kern w:val="0"/>
          <w:sz w:val="28"/>
          <w:szCs w:val="28"/>
          <w:lang w:val="en-US" w:eastAsia="zh-CN"/>
        </w:rPr>
        <w:t>4366.77</w:t>
      </w:r>
      <w:r>
        <w:rPr>
          <w:rFonts w:hint="eastAsia" w:ascii="宋体" w:hAnsi="宋体" w:eastAsia="宋体" w:cs="宋体"/>
          <w:i w:val="0"/>
          <w:iCs w:val="0"/>
          <w:caps w:val="0"/>
          <w:color w:val="000000"/>
          <w:spacing w:val="0"/>
          <w:sz w:val="28"/>
          <w:szCs w:val="28"/>
          <w:shd w:val="clear" w:fill="FFFFFF"/>
          <w:lang w:val="en-US" w:eastAsia="zh-CN"/>
        </w:rPr>
        <w:t>万元。从评价结果看，资金使用效益较好，</w:t>
      </w:r>
      <w:r>
        <w:rPr>
          <w:rFonts w:hint="eastAsia" w:ascii="宋体" w:hAnsi="宋体" w:eastAsia="宋体" w:cs="宋体"/>
          <w:i w:val="0"/>
          <w:iCs w:val="0"/>
          <w:caps w:val="0"/>
          <w:color w:val="000000"/>
          <w:spacing w:val="0"/>
          <w:sz w:val="28"/>
          <w:szCs w:val="28"/>
          <w:shd w:val="clear" w:fill="FFFFFF"/>
        </w:rPr>
        <w:t>达到了预期绩效目标。</w:t>
      </w:r>
    </w:p>
    <w:p>
      <w:pPr>
        <w:pStyle w:val="20"/>
        <w:keepNext w:val="0"/>
        <w:keepLines w:val="0"/>
        <w:pageBreakBefore w:val="0"/>
        <w:widowControl w:val="0"/>
        <w:kinsoku/>
        <w:wordWrap/>
        <w:overflowPunct/>
        <w:topLinePunct w:val="0"/>
        <w:bidi w:val="0"/>
        <w:snapToGrid/>
        <w:spacing w:line="600" w:lineRule="exac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本部门预算绩效管理开展情况、绩效目标和绩效评价报告等</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已</w:t>
      </w:r>
      <w:r>
        <w:rPr>
          <w:rFonts w:hint="eastAsia" w:asciiTheme="minorEastAsia" w:hAnsiTheme="minorEastAsia" w:eastAsiaTheme="minorEastAsia"/>
          <w:sz w:val="28"/>
          <w:szCs w:val="28"/>
        </w:rPr>
        <w:t>按照财政绩效部门要求公开</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并</w:t>
      </w:r>
      <w:r>
        <w:rPr>
          <w:rFonts w:hint="eastAsia" w:asciiTheme="minorEastAsia" w:hAnsiTheme="minorEastAsia" w:eastAsiaTheme="minorEastAsia"/>
          <w:sz w:val="28"/>
          <w:szCs w:val="28"/>
        </w:rPr>
        <w:t>作为</w:t>
      </w:r>
      <w:r>
        <w:rPr>
          <w:rFonts w:hint="eastAsia" w:asciiTheme="minorEastAsia" w:hAnsiTheme="minorEastAsia" w:eastAsiaTheme="minorEastAsia"/>
          <w:sz w:val="28"/>
          <w:szCs w:val="28"/>
          <w:lang w:val="en-US" w:eastAsia="zh-CN"/>
        </w:rPr>
        <w:t>此报告的</w:t>
      </w:r>
      <w:r>
        <w:rPr>
          <w:rFonts w:hint="eastAsia" w:asciiTheme="minorEastAsia" w:hAnsiTheme="minorEastAsia" w:eastAsiaTheme="minorEastAsia"/>
          <w:sz w:val="28"/>
          <w:szCs w:val="28"/>
        </w:rPr>
        <w:t>附件公开）</w:t>
      </w:r>
    </w:p>
    <w:p>
      <w:pPr>
        <w:pStyle w:val="14"/>
        <w:rPr>
          <w:rFonts w:hint="eastAsia"/>
          <w:lang w:eastAsia="zh-CN"/>
        </w:rPr>
      </w:pPr>
    </w:p>
    <w:p>
      <w:pPr>
        <w:pStyle w:val="20"/>
        <w:jc w:val="center"/>
        <w:rPr>
          <w:rFonts w:hint="eastAsia" w:eastAsia="黑体"/>
          <w:sz w:val="72"/>
          <w:szCs w:val="72"/>
          <w:lang w:eastAsia="zh-CN"/>
        </w:rPr>
      </w:pPr>
    </w:p>
    <w:p>
      <w:pPr>
        <w:pStyle w:val="20"/>
        <w:jc w:val="center"/>
        <w:rPr>
          <w:sz w:val="72"/>
          <w:szCs w:val="72"/>
        </w:rPr>
      </w:pPr>
    </w:p>
    <w:p>
      <w:pPr>
        <w:pStyle w:val="20"/>
        <w:jc w:val="center"/>
        <w:rPr>
          <w:sz w:val="72"/>
          <w:szCs w:val="72"/>
        </w:rPr>
      </w:pPr>
    </w:p>
    <w:p>
      <w:pPr>
        <w:pStyle w:val="20"/>
        <w:jc w:val="both"/>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hint="eastAsia" w:ascii="仿宋_GB2312" w:hAnsi="仿宋_GB2312" w:eastAsia="仿宋_GB2312"/>
          <w:b/>
          <w:sz w:val="32"/>
          <w:lang w:eastAsia="zh-CN"/>
        </w:rPr>
        <w:t>、</w:t>
      </w:r>
      <w:r>
        <w:rPr>
          <w:rFonts w:ascii="仿宋_GB2312" w:hAnsi="仿宋_GB2312" w:eastAsia="仿宋_GB2312"/>
          <w:b/>
          <w:sz w:val="32"/>
        </w:rPr>
        <w:t>事业收入</w:t>
      </w:r>
      <w:r>
        <w:rPr>
          <w:rFonts w:ascii="仿宋_GB2312" w:hAnsi="仿宋_GB2312" w:eastAsia="仿宋_GB2312"/>
          <w:sz w:val="32"/>
        </w:rPr>
        <w:t>：指事业单位开展专业业务活动及辅助活动所取得的收入。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3、</w:t>
      </w:r>
      <w:r>
        <w:rPr>
          <w:rFonts w:ascii="仿宋_GB2312" w:hAnsi="仿宋_GB2312" w:eastAsia="仿宋_GB2312"/>
          <w:b/>
          <w:sz w:val="32"/>
        </w:rPr>
        <w:t>经营收入</w:t>
      </w:r>
      <w:r>
        <w:rPr>
          <w:rFonts w:ascii="仿宋_GB2312" w:hAnsi="仿宋_GB2312" w:eastAsia="仿宋_GB2312"/>
          <w:sz w:val="32"/>
        </w:rPr>
        <w:t>：指事业单位在专业业务活动及其辅助活动之外开展非独立核算经营活动取得的收入。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5</w:t>
      </w:r>
      <w:r>
        <w:rPr>
          <w:rFonts w:ascii="仿宋_GB2312" w:hAnsi="仿宋_GB2312" w:eastAsia="仿宋_GB2312"/>
          <w:b/>
          <w:sz w:val="32"/>
        </w:rPr>
        <w:t>、用事业基金弥补收支差额</w:t>
      </w:r>
      <w:r>
        <w:rPr>
          <w:rFonts w:ascii="仿宋_GB2312" w:hAnsi="仿宋_GB2312" w:eastAsia="仿宋_GB2312"/>
          <w:sz w:val="32"/>
        </w:rPr>
        <w:t>：指事业单位在当年的</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其他收入</w:t>
      </w:r>
      <w:r>
        <w:rPr>
          <w:rFonts w:ascii="Arial" w:hAnsi="Arial" w:eastAsia="Arial"/>
          <w:sz w:val="32"/>
        </w:rPr>
        <w:t>”</w:t>
      </w:r>
      <w:r>
        <w:rPr>
          <w:rFonts w:ascii="仿宋_GB2312" w:hAnsi="仿宋_GB2312" w:eastAsia="仿宋_GB2312"/>
          <w:sz w:val="32"/>
        </w:rPr>
        <w:t>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6</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7</w:t>
      </w:r>
      <w:r>
        <w:rPr>
          <w:rFonts w:ascii="仿宋_GB2312" w:hAnsi="仿宋_GB2312" w:eastAsia="仿宋_GB2312"/>
          <w:b/>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8</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9</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、经营支出</w:t>
      </w:r>
      <w:r>
        <w:rPr>
          <w:rFonts w:ascii="仿宋_GB2312" w:hAnsi="仿宋_GB2312" w:eastAsia="仿宋_GB2312"/>
          <w:sz w:val="32"/>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12、</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3" w:name="page51"/>
      <w:bookmarkEnd w:id="3"/>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0" w:firstLineChars="200"/>
        <w:jc w:val="both"/>
        <w:textAlignment w:val="auto"/>
        <w:outlineLvl w:val="9"/>
        <w:rPr>
          <w:rFonts w:hint="eastAsia" w:ascii="仿宋_GB2312" w:hAnsi="仿宋_GB2312" w:eastAsia="仿宋_GB2312"/>
          <w:sz w:val="32"/>
          <w:lang w:val="en-US" w:eastAsia="zh-CN"/>
        </w:rPr>
      </w:pPr>
      <w:r>
        <w:rPr>
          <w:rFonts w:hint="eastAsia" w:ascii="仿宋_GB2312" w:hAnsi="仿宋_GB2312" w:eastAsia="仿宋_GB2312"/>
          <w:b/>
          <w:sz w:val="31"/>
          <w:lang w:val="en-US" w:eastAsia="zh-CN"/>
        </w:rPr>
        <w:t>13</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pStyle w:val="14"/>
        <w:rPr>
          <w:rFonts w:ascii="黑体" w:eastAsia="黑体" w:cs="黑体"/>
          <w:color w:val="000000"/>
          <w:kern w:val="0"/>
          <w:sz w:val="70"/>
          <w:szCs w:val="70"/>
        </w:rPr>
      </w:pPr>
    </w:p>
    <w:p>
      <w:pPr>
        <w:pStyle w:val="14"/>
        <w:rPr>
          <w:rFonts w:ascii="黑体" w:eastAsia="黑体" w:cs="黑体"/>
          <w:color w:val="000000"/>
          <w:kern w:val="0"/>
          <w:sz w:val="70"/>
          <w:szCs w:val="70"/>
        </w:rPr>
      </w:pPr>
    </w:p>
    <w:p>
      <w:pPr>
        <w:pStyle w:val="14"/>
        <w:rPr>
          <w:rFonts w:ascii="黑体" w:eastAsia="黑体" w:cs="黑体"/>
          <w:color w:val="000000"/>
          <w:kern w:val="0"/>
          <w:sz w:val="70"/>
          <w:szCs w:val="70"/>
        </w:rPr>
      </w:pPr>
    </w:p>
    <w:p>
      <w:pPr>
        <w:pStyle w:val="14"/>
        <w:rPr>
          <w:rFonts w:ascii="黑体" w:eastAsia="黑体" w:cs="黑体"/>
          <w:color w:val="000000"/>
          <w:kern w:val="0"/>
          <w:sz w:val="70"/>
          <w:szCs w:val="70"/>
        </w:rPr>
      </w:pPr>
    </w:p>
    <w:p>
      <w:pPr>
        <w:pStyle w:val="14"/>
        <w:rPr>
          <w:rFonts w:ascii="黑体" w:eastAsia="黑体" w:cs="黑体"/>
          <w:color w:val="000000"/>
          <w:kern w:val="0"/>
          <w:sz w:val="70"/>
          <w:szCs w:val="70"/>
        </w:rPr>
      </w:pPr>
    </w:p>
    <w:p>
      <w:pPr>
        <w:jc w:val="center"/>
        <w:rPr>
          <w:rFonts w:hint="eastAsia" w:ascii="方正小标宋_GBK" w:eastAsia="方正小标宋_GBK"/>
          <w:sz w:val="48"/>
          <w:szCs w:val="48"/>
        </w:rPr>
      </w:pPr>
      <w:r>
        <w:rPr>
          <w:rFonts w:hint="eastAsia" w:ascii="方正小标宋_GBK" w:eastAsia="方正小标宋_GBK"/>
          <w:sz w:val="48"/>
          <w:szCs w:val="48"/>
          <w:lang w:val="en-US" w:eastAsia="zh-CN"/>
        </w:rPr>
        <w:t>2021</w:t>
      </w:r>
      <w:r>
        <w:rPr>
          <w:rFonts w:hint="eastAsia" w:ascii="方正小标宋_GBK" w:eastAsia="方正小标宋_GBK"/>
          <w:sz w:val="48"/>
          <w:szCs w:val="48"/>
        </w:rPr>
        <w:t>年度</w:t>
      </w:r>
    </w:p>
    <w:p>
      <w:pPr>
        <w:jc w:val="center"/>
        <w:rPr>
          <w:rFonts w:hint="eastAsia" w:eastAsia="方正小标宋_GBK"/>
          <w:sz w:val="48"/>
          <w:szCs w:val="48"/>
          <w:lang w:val="en-US" w:eastAsia="zh-CN"/>
        </w:rPr>
      </w:pPr>
      <w:r>
        <w:rPr>
          <w:rFonts w:hint="eastAsia" w:eastAsia="方正小标宋_GBK"/>
          <w:sz w:val="48"/>
          <w:szCs w:val="48"/>
          <w:lang w:eastAsia="zh-CN"/>
        </w:rPr>
        <w:t>湖南省生态环境</w:t>
      </w:r>
      <w:r>
        <w:rPr>
          <w:rFonts w:hint="eastAsia" w:eastAsia="方正小标宋_GBK"/>
          <w:sz w:val="48"/>
          <w:szCs w:val="48"/>
          <w:lang w:val="en-US" w:eastAsia="zh-CN"/>
        </w:rPr>
        <w:t>事务中心</w:t>
      </w:r>
    </w:p>
    <w:p>
      <w:pPr>
        <w:jc w:val="center"/>
        <w:rPr>
          <w:rFonts w:hint="eastAsia" w:ascii="方正小标宋_GBK" w:eastAsia="方正小标宋_GBK"/>
          <w:sz w:val="48"/>
          <w:szCs w:val="48"/>
        </w:rPr>
      </w:pPr>
      <w:r>
        <w:rPr>
          <w:rFonts w:hint="eastAsia" w:ascii="方正小标宋_GBK" w:eastAsia="方正小标宋_GBK"/>
          <w:sz w:val="48"/>
          <w:szCs w:val="48"/>
        </w:rPr>
        <w:t>部门整体支出绩效自评报告</w:t>
      </w: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both"/>
        <w:rPr>
          <w:rFonts w:hint="eastAsia" w:ascii="黑体" w:eastAsia="黑体"/>
          <w:color w:val="auto"/>
          <w:sz w:val="32"/>
          <w:szCs w:val="32"/>
        </w:rPr>
      </w:pPr>
    </w:p>
    <w:p>
      <w:pPr>
        <w:pStyle w:val="21"/>
        <w:widowControl/>
        <w:numPr>
          <w:ilvl w:val="0"/>
          <w:numId w:val="3"/>
        </w:numPr>
        <w:spacing w:line="600" w:lineRule="exact"/>
        <w:ind w:left="0" w:leftChars="0" w:firstLine="640" w:firstLineChars="200"/>
        <w:rPr>
          <w:rFonts w:hint="eastAsia" w:ascii="黑体" w:hAnsi="黑体" w:eastAsia="黑体"/>
          <w:sz w:val="32"/>
          <w:szCs w:val="32"/>
        </w:rPr>
      </w:pPr>
      <w:r>
        <w:rPr>
          <w:rFonts w:hint="eastAsia" w:ascii="黑体" w:hAnsi="黑体" w:eastAsia="黑体"/>
          <w:sz w:val="32"/>
          <w:szCs w:val="32"/>
        </w:rPr>
        <w:t>单位基本情况</w:t>
      </w:r>
    </w:p>
    <w:p>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cs="仿宋"/>
          <w:b/>
          <w:bCs/>
          <w:color w:val="000000"/>
          <w:sz w:val="32"/>
          <w:szCs w:val="32"/>
        </w:rPr>
        <w:t>机构组成：</w:t>
      </w:r>
      <w:r>
        <w:rPr>
          <w:rFonts w:hint="eastAsia" w:ascii="仿宋" w:hAnsi="仿宋" w:eastAsia="仿宋"/>
          <w:sz w:val="32"/>
          <w:szCs w:val="32"/>
          <w:lang w:eastAsia="zh-CN"/>
        </w:rPr>
        <w:t>湖南省生态环境事务中心是湖南省生态环境厅管理的副厅级公益一类事业单位。</w:t>
      </w:r>
      <w:r>
        <w:rPr>
          <w:rFonts w:hint="eastAsia" w:ascii="仿宋" w:hAnsi="仿宋" w:eastAsia="仿宋" w:cs="仿宋"/>
          <w:color w:val="000000"/>
          <w:sz w:val="32"/>
          <w:szCs w:val="32"/>
        </w:rPr>
        <w:t>内设</w:t>
      </w:r>
      <w:r>
        <w:rPr>
          <w:rFonts w:hint="eastAsia" w:ascii="仿宋" w:hAnsi="仿宋" w:eastAsia="仿宋" w:cs="仿宋"/>
          <w:color w:val="000000"/>
          <w:sz w:val="32"/>
          <w:szCs w:val="32"/>
          <w:lang w:eastAsia="zh-CN"/>
        </w:rPr>
        <w:t>综合部</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研究</w:t>
      </w:r>
      <w:r>
        <w:rPr>
          <w:rFonts w:hint="eastAsia" w:ascii="仿宋" w:hAnsi="仿宋" w:eastAsia="仿宋" w:cs="仿宋"/>
          <w:color w:val="000000"/>
          <w:sz w:val="32"/>
          <w:szCs w:val="32"/>
        </w:rPr>
        <w:t>部、</w:t>
      </w:r>
      <w:r>
        <w:rPr>
          <w:rFonts w:hint="eastAsia" w:ascii="仿宋" w:hAnsi="仿宋" w:eastAsia="仿宋" w:cs="仿宋"/>
          <w:color w:val="000000"/>
          <w:sz w:val="32"/>
          <w:szCs w:val="32"/>
          <w:lang w:eastAsia="zh-CN"/>
        </w:rPr>
        <w:t>技术服务</w:t>
      </w:r>
      <w:r>
        <w:rPr>
          <w:rFonts w:hint="eastAsia" w:ascii="仿宋" w:hAnsi="仿宋" w:eastAsia="仿宋" w:cs="仿宋"/>
          <w:color w:val="000000"/>
          <w:sz w:val="32"/>
          <w:szCs w:val="32"/>
        </w:rPr>
        <w:t>部、</w:t>
      </w:r>
      <w:r>
        <w:rPr>
          <w:rFonts w:hint="eastAsia" w:ascii="仿宋" w:hAnsi="仿宋" w:eastAsia="仿宋" w:cs="仿宋"/>
          <w:color w:val="000000"/>
          <w:sz w:val="32"/>
          <w:szCs w:val="32"/>
          <w:lang w:eastAsia="zh-CN"/>
        </w:rPr>
        <w:t>信息服务</w:t>
      </w:r>
      <w:r>
        <w:rPr>
          <w:rFonts w:hint="eastAsia" w:ascii="仿宋" w:hAnsi="仿宋" w:eastAsia="仿宋" w:cs="仿宋"/>
          <w:color w:val="000000"/>
          <w:sz w:val="32"/>
          <w:szCs w:val="32"/>
        </w:rPr>
        <w:t>部</w:t>
      </w:r>
      <w:r>
        <w:rPr>
          <w:rFonts w:hint="eastAsia" w:ascii="仿宋" w:hAnsi="仿宋" w:eastAsia="仿宋" w:cs="仿宋"/>
          <w:color w:val="000000"/>
          <w:sz w:val="32"/>
          <w:szCs w:val="32"/>
          <w:lang w:eastAsia="zh-CN"/>
        </w:rPr>
        <w:t>、社会宣传部五</w:t>
      </w:r>
      <w:r>
        <w:rPr>
          <w:rFonts w:hint="eastAsia" w:ascii="仿宋" w:hAnsi="仿宋" w:eastAsia="仿宋" w:cs="仿宋"/>
          <w:color w:val="000000"/>
          <w:sz w:val="32"/>
          <w:szCs w:val="32"/>
        </w:rPr>
        <w:t>个</w:t>
      </w:r>
      <w:r>
        <w:rPr>
          <w:rFonts w:hint="eastAsia" w:ascii="仿宋" w:hAnsi="仿宋" w:eastAsia="仿宋" w:cs="仿宋"/>
          <w:color w:val="000000"/>
          <w:sz w:val="32"/>
          <w:szCs w:val="32"/>
          <w:lang w:eastAsia="zh-CN"/>
        </w:rPr>
        <w:t>部门，规格为副处级</w:t>
      </w:r>
      <w:r>
        <w:rPr>
          <w:rFonts w:hint="eastAsia" w:ascii="仿宋" w:hAnsi="仿宋" w:eastAsia="仿宋" w:cs="仿宋"/>
          <w:color w:val="000000"/>
          <w:sz w:val="32"/>
          <w:szCs w:val="32"/>
        </w:rPr>
        <w:t>。</w:t>
      </w:r>
    </w:p>
    <w:p>
      <w:pPr>
        <w:keepNext w:val="0"/>
        <w:keepLines w:val="0"/>
        <w:pageBreakBefore w:val="0"/>
        <w:numPr>
          <w:ilvl w:val="0"/>
          <w:numId w:val="0"/>
        </w:numPr>
        <w:kinsoku/>
        <w:wordWrap/>
        <w:overflowPunct/>
        <w:topLinePunct w:val="0"/>
        <w:bidi w:val="0"/>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cs="仿宋"/>
          <w:b/>
          <w:bCs/>
          <w:sz w:val="32"/>
          <w:szCs w:val="32"/>
        </w:rPr>
        <w:t>机构</w:t>
      </w:r>
      <w:r>
        <w:rPr>
          <w:rFonts w:hint="eastAsia" w:ascii="仿宋" w:hAnsi="仿宋" w:eastAsia="仿宋" w:cs="仿宋"/>
          <w:b/>
          <w:bCs/>
          <w:sz w:val="32"/>
          <w:szCs w:val="32"/>
          <w:lang w:eastAsia="zh-CN"/>
        </w:rPr>
        <w:t>职责</w:t>
      </w:r>
      <w:r>
        <w:rPr>
          <w:rFonts w:hint="eastAsia" w:ascii="仿宋" w:hAnsi="仿宋" w:eastAsia="仿宋" w:cs="仿宋"/>
          <w:b/>
          <w:bCs/>
          <w:sz w:val="32"/>
          <w:szCs w:val="32"/>
        </w:rPr>
        <w:t>：</w:t>
      </w:r>
      <w:r>
        <w:rPr>
          <w:rFonts w:hint="eastAsia" w:ascii="仿宋" w:hAnsi="仿宋" w:eastAsia="仿宋"/>
          <w:sz w:val="32"/>
          <w:szCs w:val="32"/>
          <w:lang w:eastAsia="zh-CN"/>
        </w:rPr>
        <w:t>省生态环境事务中心贯彻落实党中央和省委关于生态环境保护工作的方针政策和决策部署，在履行职责过程中坚持和加强党对生态环境保护工作的集中统一领导。</w:t>
      </w:r>
    </w:p>
    <w:p>
      <w:pPr>
        <w:keepNext w:val="0"/>
        <w:keepLines w:val="0"/>
        <w:pageBreakBefore w:val="0"/>
        <w:numPr>
          <w:ilvl w:val="0"/>
          <w:numId w:val="4"/>
        </w:numPr>
        <w:kinsoku/>
        <w:wordWrap/>
        <w:overflowPunct/>
        <w:topLinePunct w:val="0"/>
        <w:bidi w:val="0"/>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负责为省生态环境厅行使监督管理、行政审批、宏观决策提供服务保障，为构建政府为主导、企业为主体、社会组织和公众共同参与的生态环境治理体系服务。</w:t>
      </w:r>
    </w:p>
    <w:p>
      <w:pPr>
        <w:keepNext w:val="0"/>
        <w:keepLines w:val="0"/>
        <w:pageBreakBefore w:val="0"/>
        <w:numPr>
          <w:ilvl w:val="0"/>
          <w:numId w:val="4"/>
        </w:numPr>
        <w:kinsoku/>
        <w:wordWrap/>
        <w:overflowPunct/>
        <w:topLinePunct w:val="0"/>
        <w:bidi w:val="0"/>
        <w:spacing w:line="60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承担生态环境战略规划、生态文明体制改革、环境政策法规制度等全局性、综合性重大生态环境问题的研究，为生态环境管理提供政策咨询和决策支持。</w:t>
      </w:r>
    </w:p>
    <w:p>
      <w:pPr>
        <w:keepNext w:val="0"/>
        <w:keepLines w:val="0"/>
        <w:pageBreakBefore w:val="0"/>
        <w:numPr>
          <w:ilvl w:val="0"/>
          <w:numId w:val="4"/>
        </w:numPr>
        <w:kinsoku/>
        <w:wordWrap/>
        <w:overflowPunct/>
        <w:topLinePunct w:val="0"/>
        <w:bidi w:val="0"/>
        <w:spacing w:line="60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承担生态环境保护领域地方标准技术归口的技术支持、生物多样性技术服务等工作。</w:t>
      </w:r>
    </w:p>
    <w:p>
      <w:pPr>
        <w:keepNext w:val="0"/>
        <w:keepLines w:val="0"/>
        <w:pageBreakBefore w:val="0"/>
        <w:numPr>
          <w:ilvl w:val="0"/>
          <w:numId w:val="4"/>
        </w:numPr>
        <w:kinsoku/>
        <w:wordWrap/>
        <w:overflowPunct/>
        <w:topLinePunct w:val="0"/>
        <w:bidi w:val="0"/>
        <w:spacing w:line="60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承担主要污染物排污权有偿使用和指标储备相关技术性、事务性工作，为排污权与排污许可管理提供技术支持和服务保障。</w:t>
      </w:r>
    </w:p>
    <w:p>
      <w:pPr>
        <w:keepNext w:val="0"/>
        <w:keepLines w:val="0"/>
        <w:pageBreakBefore w:val="0"/>
        <w:numPr>
          <w:ilvl w:val="0"/>
          <w:numId w:val="4"/>
        </w:numPr>
        <w:kinsoku/>
        <w:wordWrap/>
        <w:overflowPunct/>
        <w:topLinePunct w:val="0"/>
        <w:bidi w:val="0"/>
        <w:spacing w:line="60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承担生态环境数据资源建设、信息系统及基础设施的管理运维工作，提供网络安全与信息化技术支持和服务保障。</w:t>
      </w:r>
    </w:p>
    <w:p>
      <w:pPr>
        <w:keepNext w:val="0"/>
        <w:keepLines w:val="0"/>
        <w:pageBreakBefore w:val="0"/>
        <w:numPr>
          <w:ilvl w:val="0"/>
          <w:numId w:val="4"/>
        </w:numPr>
        <w:kinsoku/>
        <w:wordWrap/>
        <w:overflowPunct/>
        <w:topLinePunct w:val="0"/>
        <w:bidi w:val="0"/>
        <w:spacing w:line="60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承担生态环境宣传活动和全民生态环境保护教育相关工作，引导公众和非政府组织参与生态环境保护，承担环境信用评价相关技术性、事务性工作。</w:t>
      </w:r>
    </w:p>
    <w:p>
      <w:pPr>
        <w:keepNext w:val="0"/>
        <w:keepLines w:val="0"/>
        <w:pageBreakBefore w:val="0"/>
        <w:numPr>
          <w:ilvl w:val="0"/>
          <w:numId w:val="4"/>
        </w:numPr>
        <w:kinsoku/>
        <w:wordWrap/>
        <w:overflowPunct/>
        <w:topLinePunct w:val="0"/>
        <w:bidi w:val="0"/>
        <w:spacing w:line="600" w:lineRule="exact"/>
        <w:ind w:firstLine="640" w:firstLineChars="200"/>
        <w:textAlignment w:val="auto"/>
        <w:rPr>
          <w:rFonts w:hint="default"/>
          <w:sz w:val="32"/>
          <w:szCs w:val="32"/>
          <w:lang w:val="en-US" w:eastAsia="zh-CN"/>
        </w:rPr>
      </w:pPr>
      <w:r>
        <w:rPr>
          <w:rFonts w:hint="eastAsia" w:ascii="仿宋" w:hAnsi="仿宋" w:eastAsia="仿宋"/>
          <w:sz w:val="32"/>
          <w:szCs w:val="32"/>
          <w:lang w:val="en-US" w:eastAsia="zh-CN"/>
        </w:rPr>
        <w:t>承担省生态环境厅交办的其他工作。</w:t>
      </w:r>
    </w:p>
    <w:p>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b/>
          <w:bCs/>
          <w:color w:val="000000"/>
          <w:sz w:val="32"/>
          <w:szCs w:val="32"/>
        </w:rPr>
        <w:t>人员情况：</w:t>
      </w:r>
      <w:r>
        <w:rPr>
          <w:rFonts w:hint="eastAsia" w:ascii="仿宋" w:hAnsi="仿宋" w:eastAsia="仿宋" w:cs="仿宋"/>
          <w:sz w:val="32"/>
          <w:szCs w:val="32"/>
        </w:rPr>
        <w:t>单位编制人数</w:t>
      </w:r>
      <w:r>
        <w:rPr>
          <w:rFonts w:hint="eastAsia" w:ascii="仿宋" w:hAnsi="仿宋" w:eastAsia="仿宋" w:cs="仿宋"/>
          <w:sz w:val="32"/>
          <w:szCs w:val="32"/>
          <w:lang w:val="en-US" w:eastAsia="zh-CN"/>
        </w:rPr>
        <w:t>48</w:t>
      </w:r>
      <w:r>
        <w:rPr>
          <w:rFonts w:hint="eastAsia" w:ascii="仿宋" w:hAnsi="仿宋" w:eastAsia="仿宋" w:cs="仿宋"/>
          <w:sz w:val="32"/>
          <w:szCs w:val="32"/>
        </w:rPr>
        <w:t>人，实有在职人员</w:t>
      </w:r>
      <w:r>
        <w:rPr>
          <w:rFonts w:hint="eastAsia" w:ascii="仿宋" w:hAnsi="仿宋" w:eastAsia="仿宋" w:cs="仿宋"/>
          <w:sz w:val="32"/>
          <w:szCs w:val="32"/>
          <w:lang w:val="en-US" w:eastAsia="zh-CN"/>
        </w:rPr>
        <w:t>45</w:t>
      </w:r>
      <w:r>
        <w:rPr>
          <w:rFonts w:hint="eastAsia" w:ascii="仿宋" w:hAnsi="仿宋" w:eastAsia="仿宋" w:cs="仿宋"/>
          <w:sz w:val="32"/>
          <w:szCs w:val="32"/>
        </w:rPr>
        <w:t>人，退休人员</w:t>
      </w:r>
      <w:r>
        <w:rPr>
          <w:rFonts w:hint="eastAsia" w:ascii="仿宋" w:hAnsi="仿宋" w:eastAsia="仿宋" w:cs="仿宋"/>
          <w:sz w:val="32"/>
          <w:szCs w:val="32"/>
          <w:lang w:val="en-US" w:eastAsia="zh-CN"/>
        </w:rPr>
        <w:t>19</w:t>
      </w:r>
      <w:r>
        <w:rPr>
          <w:rFonts w:hint="eastAsia" w:ascii="仿宋" w:hAnsi="仿宋" w:eastAsia="仿宋" w:cs="仿宋"/>
          <w:sz w:val="32"/>
          <w:szCs w:val="32"/>
        </w:rPr>
        <w:t>人,聘用人员</w:t>
      </w:r>
      <w:r>
        <w:rPr>
          <w:rFonts w:hint="eastAsia" w:ascii="仿宋" w:hAnsi="仿宋" w:eastAsia="仿宋" w:cs="仿宋"/>
          <w:sz w:val="32"/>
          <w:szCs w:val="32"/>
          <w:lang w:val="en-US" w:eastAsia="zh-CN"/>
        </w:rPr>
        <w:t>16</w:t>
      </w:r>
      <w:r>
        <w:rPr>
          <w:rFonts w:hint="eastAsia" w:ascii="仿宋" w:hAnsi="仿宋" w:eastAsia="仿宋" w:cs="仿宋"/>
          <w:sz w:val="32"/>
          <w:szCs w:val="32"/>
        </w:rPr>
        <w:t>人，共计</w:t>
      </w:r>
      <w:r>
        <w:rPr>
          <w:rFonts w:hint="eastAsia" w:ascii="仿宋" w:hAnsi="仿宋" w:eastAsia="仿宋" w:cs="仿宋"/>
          <w:sz w:val="32"/>
          <w:szCs w:val="32"/>
          <w:lang w:val="en-US" w:eastAsia="zh-CN"/>
        </w:rPr>
        <w:t>80</w:t>
      </w:r>
      <w:r>
        <w:rPr>
          <w:rFonts w:hint="eastAsia" w:ascii="仿宋" w:hAnsi="仿宋" w:eastAsia="仿宋" w:cs="仿宋"/>
          <w:sz w:val="32"/>
          <w:szCs w:val="32"/>
        </w:rPr>
        <w:t xml:space="preserve">人。  </w:t>
      </w:r>
    </w:p>
    <w:p>
      <w:pPr>
        <w:pStyle w:val="2"/>
        <w:keepNext w:val="0"/>
        <w:keepLines w:val="0"/>
        <w:pageBreakBefore w:val="0"/>
        <w:kinsoku/>
        <w:wordWrap/>
        <w:overflowPunct/>
        <w:topLinePunct w:val="0"/>
        <w:bidi w:val="0"/>
        <w:spacing w:after="0" w:afterLines="0" w:line="600" w:lineRule="exact"/>
        <w:ind w:firstLine="420" w:firstLineChars="200"/>
        <w:textAlignment w:val="auto"/>
        <w:rPr>
          <w:rFonts w:hint="eastAsia"/>
        </w:rPr>
      </w:pPr>
    </w:p>
    <w:p>
      <w:pPr>
        <w:pStyle w:val="21"/>
        <w:keepNext w:val="0"/>
        <w:keepLines w:val="0"/>
        <w:pageBreakBefore w:val="0"/>
        <w:widowControl/>
        <w:numPr>
          <w:ilvl w:val="0"/>
          <w:numId w:val="3"/>
        </w:numPr>
        <w:kinsoku/>
        <w:wordWrap/>
        <w:overflowPunct/>
        <w:topLinePunct w:val="0"/>
        <w:bidi w:val="0"/>
        <w:spacing w:line="600" w:lineRule="exact"/>
        <w:ind w:left="0" w:leftChars="0" w:firstLine="640" w:firstLineChars="200"/>
        <w:textAlignment w:val="auto"/>
        <w:rPr>
          <w:rFonts w:hint="eastAsia" w:ascii="黑体" w:hAnsi="黑体" w:eastAsia="黑体"/>
          <w:sz w:val="32"/>
          <w:szCs w:val="32"/>
        </w:rPr>
      </w:pPr>
      <w:r>
        <w:rPr>
          <w:rFonts w:hint="eastAsia" w:ascii="黑体" w:hAnsi="黑体" w:eastAsia="黑体"/>
          <w:sz w:val="32"/>
          <w:szCs w:val="32"/>
        </w:rPr>
        <w:t>基本支出情况</w:t>
      </w:r>
    </w:p>
    <w:p>
      <w:pPr>
        <w:pStyle w:val="21"/>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color w:val="000000"/>
          <w:sz w:val="32"/>
          <w:szCs w:val="32"/>
          <w:lang w:val="en-US" w:eastAsia="zh-CN"/>
        </w:rPr>
        <w:t>2021年，事务中心</w:t>
      </w:r>
      <w:r>
        <w:rPr>
          <w:rFonts w:hint="eastAsia" w:ascii="仿宋" w:hAnsi="仿宋" w:eastAsia="仿宋" w:cs="仿宋"/>
          <w:color w:val="000000"/>
          <w:sz w:val="32"/>
          <w:szCs w:val="32"/>
        </w:rPr>
        <w:t>基本支出</w:t>
      </w:r>
      <w:r>
        <w:rPr>
          <w:rFonts w:hint="eastAsia" w:ascii="仿宋" w:hAnsi="仿宋" w:eastAsia="仿宋" w:cs="仿宋"/>
          <w:color w:val="000000"/>
          <w:sz w:val="32"/>
          <w:szCs w:val="32"/>
          <w:lang w:val="en-US" w:eastAsia="zh-CN"/>
        </w:rPr>
        <w:t>1453.46</w:t>
      </w:r>
      <w:r>
        <w:rPr>
          <w:rFonts w:hint="eastAsia" w:ascii="仿宋" w:hAnsi="仿宋" w:eastAsia="仿宋" w:cs="仿宋"/>
          <w:color w:val="000000"/>
          <w:sz w:val="32"/>
          <w:szCs w:val="32"/>
        </w:rPr>
        <w:t>万元，其中人员经费</w:t>
      </w:r>
      <w:r>
        <w:rPr>
          <w:rFonts w:hint="eastAsia" w:ascii="仿宋" w:hAnsi="仿宋" w:eastAsia="仿宋" w:cs="仿宋"/>
          <w:color w:val="000000"/>
          <w:sz w:val="32"/>
          <w:szCs w:val="32"/>
          <w:lang w:val="en-US" w:eastAsia="zh-CN"/>
        </w:rPr>
        <w:t>1075.18</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val="en-US" w:eastAsia="zh-CN"/>
        </w:rPr>
        <w:t>占基本支出的73.97%，</w:t>
      </w:r>
      <w:r>
        <w:rPr>
          <w:rFonts w:hint="eastAsia" w:ascii="仿宋" w:hAnsi="仿宋" w:eastAsia="仿宋" w:cs="仿宋"/>
          <w:color w:val="000000"/>
          <w:sz w:val="32"/>
          <w:szCs w:val="32"/>
        </w:rPr>
        <w:t>主要用于</w:t>
      </w:r>
      <w:r>
        <w:rPr>
          <w:rFonts w:hint="eastAsia" w:ascii="仿宋" w:hAnsi="仿宋" w:eastAsia="仿宋" w:cs="仿宋"/>
          <w:sz w:val="32"/>
          <w:szCs w:val="32"/>
        </w:rPr>
        <w:t>基本工资、绩效工资、</w:t>
      </w:r>
      <w:r>
        <w:rPr>
          <w:rFonts w:hint="eastAsia" w:ascii="仿宋" w:hAnsi="仿宋" w:eastAsia="仿宋" w:cs="仿宋"/>
          <w:sz w:val="32"/>
          <w:szCs w:val="32"/>
          <w:lang w:val="en-US" w:eastAsia="zh-CN"/>
        </w:rPr>
        <w:t>津贴补贴、奖金、其他工资福利支出、</w:t>
      </w:r>
      <w:r>
        <w:rPr>
          <w:rFonts w:hint="eastAsia" w:ascii="仿宋" w:hAnsi="仿宋" w:eastAsia="仿宋" w:cs="仿宋"/>
          <w:sz w:val="32"/>
          <w:szCs w:val="32"/>
        </w:rPr>
        <w:t>社会保障</w:t>
      </w:r>
      <w:r>
        <w:rPr>
          <w:rFonts w:hint="eastAsia" w:ascii="仿宋" w:hAnsi="仿宋" w:eastAsia="仿宋" w:cs="仿宋"/>
          <w:sz w:val="32"/>
          <w:szCs w:val="32"/>
          <w:lang w:eastAsia="zh-CN"/>
        </w:rPr>
        <w:t>缴</w:t>
      </w:r>
      <w:r>
        <w:rPr>
          <w:rFonts w:hint="eastAsia" w:ascii="仿宋" w:hAnsi="仿宋" w:eastAsia="仿宋" w:cs="仿宋"/>
          <w:sz w:val="32"/>
          <w:szCs w:val="32"/>
        </w:rPr>
        <w:t>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住房公积金、对个人和家庭补助</w:t>
      </w:r>
      <w:r>
        <w:rPr>
          <w:rFonts w:hint="eastAsia" w:ascii="仿宋" w:hAnsi="仿宋" w:eastAsia="仿宋" w:cs="仿宋"/>
          <w:color w:val="000000"/>
          <w:sz w:val="32"/>
          <w:szCs w:val="32"/>
        </w:rPr>
        <w:t>等。</w:t>
      </w:r>
      <w:r>
        <w:rPr>
          <w:rFonts w:hint="eastAsia" w:ascii="仿宋" w:hAnsi="仿宋" w:eastAsia="仿宋" w:cs="仿宋"/>
          <w:color w:val="000000"/>
          <w:sz w:val="32"/>
          <w:szCs w:val="32"/>
          <w:lang w:val="en-US" w:eastAsia="zh-CN"/>
        </w:rPr>
        <w:t>公用经费378.28</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val="en-US" w:eastAsia="zh-CN"/>
        </w:rPr>
        <w:t>占基本支出的26.03%，</w:t>
      </w:r>
      <w:r>
        <w:rPr>
          <w:rFonts w:hint="eastAsia" w:ascii="仿宋" w:hAnsi="仿宋" w:eastAsia="仿宋" w:cs="仿宋"/>
          <w:sz w:val="32"/>
          <w:szCs w:val="32"/>
        </w:rPr>
        <w:t>用于办公费、水电费、</w:t>
      </w:r>
      <w:r>
        <w:rPr>
          <w:rFonts w:hint="eastAsia" w:ascii="仿宋" w:hAnsi="仿宋" w:eastAsia="仿宋" w:cs="仿宋"/>
          <w:sz w:val="32"/>
          <w:szCs w:val="32"/>
          <w:lang w:eastAsia="zh-CN"/>
        </w:rPr>
        <w:t>劳务费、</w:t>
      </w:r>
      <w:r>
        <w:rPr>
          <w:rFonts w:hint="eastAsia" w:ascii="仿宋" w:hAnsi="仿宋" w:eastAsia="仿宋" w:cs="仿宋"/>
          <w:sz w:val="32"/>
          <w:szCs w:val="32"/>
        </w:rPr>
        <w:t>差旅费、</w:t>
      </w:r>
      <w:r>
        <w:rPr>
          <w:rFonts w:hint="eastAsia" w:ascii="仿宋" w:hAnsi="仿宋" w:eastAsia="仿宋" w:cs="仿宋"/>
          <w:sz w:val="32"/>
          <w:szCs w:val="32"/>
          <w:lang w:eastAsia="zh-CN"/>
        </w:rPr>
        <w:t>福利费、印刷费、会议费、取暖费、培训费、物业管理费、公务车运行维护</w:t>
      </w:r>
      <w:r>
        <w:rPr>
          <w:rFonts w:hint="eastAsia" w:ascii="仿宋" w:hAnsi="仿宋" w:eastAsia="仿宋" w:cs="仿宋"/>
          <w:sz w:val="32"/>
          <w:szCs w:val="32"/>
        </w:rPr>
        <w:t>费、</w:t>
      </w:r>
      <w:r>
        <w:rPr>
          <w:rFonts w:hint="eastAsia" w:ascii="仿宋" w:hAnsi="仿宋" w:eastAsia="仿宋" w:cs="仿宋"/>
          <w:sz w:val="32"/>
          <w:szCs w:val="32"/>
          <w:lang w:eastAsia="zh-CN"/>
        </w:rPr>
        <w:t>公务接待</w:t>
      </w:r>
      <w:r>
        <w:rPr>
          <w:rFonts w:hint="eastAsia" w:ascii="仿宋" w:hAnsi="仿宋" w:eastAsia="仿宋" w:cs="仿宋"/>
          <w:sz w:val="32"/>
          <w:szCs w:val="32"/>
        </w:rPr>
        <w:t>费</w:t>
      </w:r>
      <w:r>
        <w:rPr>
          <w:rFonts w:hint="eastAsia" w:ascii="仿宋" w:hAnsi="仿宋" w:eastAsia="仿宋" w:cs="仿宋"/>
          <w:sz w:val="32"/>
          <w:szCs w:val="32"/>
          <w:lang w:eastAsia="zh-CN"/>
        </w:rPr>
        <w:t>、其他交通费</w:t>
      </w:r>
      <w:r>
        <w:rPr>
          <w:rFonts w:hint="eastAsia" w:ascii="仿宋" w:hAnsi="仿宋" w:eastAsia="仿宋" w:cs="仿宋"/>
          <w:sz w:val="32"/>
          <w:szCs w:val="32"/>
        </w:rPr>
        <w:t>等日常公用经费。</w:t>
      </w:r>
    </w:p>
    <w:p>
      <w:pPr>
        <w:pStyle w:val="21"/>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 w:hAnsi="仿宋" w:eastAsia="仿宋" w:cs="仿宋"/>
          <w:sz w:val="32"/>
          <w:szCs w:val="32"/>
        </w:rPr>
      </w:pPr>
    </w:p>
    <w:p>
      <w:pPr>
        <w:pStyle w:val="21"/>
        <w:keepNext w:val="0"/>
        <w:keepLines w:val="0"/>
        <w:pageBreakBefore w:val="0"/>
        <w:widowControl/>
        <w:numPr>
          <w:ilvl w:val="0"/>
          <w:numId w:val="3"/>
        </w:numPr>
        <w:kinsoku/>
        <w:wordWrap/>
        <w:overflowPunct/>
        <w:topLinePunct w:val="0"/>
        <w:bidi w:val="0"/>
        <w:spacing w:line="600" w:lineRule="exact"/>
        <w:ind w:left="0" w:leftChars="0" w:firstLine="640" w:firstLineChars="200"/>
        <w:textAlignment w:val="auto"/>
        <w:rPr>
          <w:rFonts w:hint="eastAsia" w:ascii="黑体" w:hAnsi="黑体" w:eastAsia="黑体"/>
          <w:sz w:val="32"/>
          <w:szCs w:val="32"/>
        </w:rPr>
      </w:pPr>
      <w:r>
        <w:rPr>
          <w:rFonts w:hint="eastAsia" w:ascii="黑体" w:hAnsi="黑体" w:eastAsia="黑体"/>
          <w:sz w:val="32"/>
          <w:szCs w:val="32"/>
        </w:rPr>
        <w:t>项目支出情况</w:t>
      </w:r>
    </w:p>
    <w:p>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0" w:firstLineChars="200"/>
        <w:textAlignment w:val="auto"/>
        <w:outlineLvl w:val="9"/>
        <w:rPr>
          <w:rFonts w:hint="default"/>
          <w:lang w:val="en-US" w:eastAsia="zh-CN"/>
        </w:rPr>
      </w:pPr>
      <w:r>
        <w:rPr>
          <w:rFonts w:hint="eastAsia" w:ascii="仿宋" w:hAnsi="仿宋" w:eastAsia="仿宋" w:cs="仿宋"/>
          <w:b w:val="0"/>
          <w:color w:val="auto"/>
          <w:sz w:val="32"/>
          <w:szCs w:val="32"/>
          <w:lang w:val="en-US" w:eastAsia="zh-CN"/>
        </w:rPr>
        <w:t>2021年，事务中心项目支出4366.77</w:t>
      </w:r>
      <w:r>
        <w:rPr>
          <w:rFonts w:hint="eastAsia" w:ascii="仿宋" w:hAnsi="仿宋" w:eastAsia="仿宋" w:cs="仿宋"/>
          <w:b w:val="0"/>
          <w:color w:val="auto"/>
          <w:sz w:val="32"/>
          <w:szCs w:val="32"/>
        </w:rPr>
        <w:t>万元</w:t>
      </w:r>
      <w:r>
        <w:rPr>
          <w:rFonts w:hint="eastAsia" w:ascii="仿宋" w:hAnsi="仿宋" w:eastAsia="仿宋" w:cs="仿宋"/>
          <w:b w:val="0"/>
          <w:color w:val="auto"/>
          <w:sz w:val="32"/>
          <w:szCs w:val="32"/>
          <w:lang w:eastAsia="zh-CN"/>
        </w:rPr>
        <w:t>，</w:t>
      </w:r>
      <w:r>
        <w:rPr>
          <w:rFonts w:hint="eastAsia" w:ascii="仿宋" w:hAnsi="仿宋" w:eastAsia="仿宋" w:cs="仿宋"/>
          <w:b w:val="0"/>
          <w:color w:val="auto"/>
          <w:sz w:val="32"/>
          <w:szCs w:val="32"/>
          <w:lang w:val="en-US" w:eastAsia="zh-CN"/>
        </w:rPr>
        <w:t>主要包括：</w:t>
      </w:r>
      <w:r>
        <w:rPr>
          <w:rFonts w:hint="eastAsia" w:ascii="仿宋" w:hAnsi="仿宋" w:eastAsia="仿宋" w:cs="仿宋"/>
          <w:color w:val="auto"/>
          <w:sz w:val="32"/>
          <w:szCs w:val="32"/>
          <w:lang w:val="en-US" w:eastAsia="zh-CN"/>
        </w:rPr>
        <w:t>排污权指标交易及信用评价项目年初预算3000万元，形成支出2898.6万元，预算执行率96.62%，</w:t>
      </w:r>
      <w:r>
        <w:rPr>
          <w:rFonts w:hint="eastAsia" w:ascii="仿宋" w:hAnsi="仿宋" w:eastAsia="仿宋" w:cs="仿宋"/>
          <w:color w:val="auto"/>
          <w:sz w:val="32"/>
          <w:szCs w:val="32"/>
          <w:u w:val="none"/>
          <w:lang w:val="en-US" w:eastAsia="zh-CN"/>
        </w:rPr>
        <w:t>主要用于开展2021年排污权指标回购工，</w:t>
      </w:r>
      <w:r>
        <w:rPr>
          <w:rFonts w:hint="eastAsia" w:ascii="仿宋" w:hAnsi="仿宋" w:eastAsia="仿宋" w:cs="仿宋"/>
          <w:b w:val="0"/>
          <w:bCs w:val="0"/>
          <w:color w:val="auto"/>
          <w:kern w:val="2"/>
          <w:sz w:val="32"/>
          <w:szCs w:val="24"/>
          <w:lang w:val="en-US" w:eastAsia="zh-CN" w:bidi="ar-SA"/>
        </w:rPr>
        <w:t>用于排污许可质量核查、排污许可技术研究中的业务委托费用支出</w:t>
      </w:r>
      <w:r>
        <w:rPr>
          <w:rFonts w:hint="eastAsia" w:ascii="仿宋" w:hAnsi="仿宋" w:eastAsia="仿宋" w:cs="仿宋"/>
          <w:color w:val="auto"/>
          <w:sz w:val="32"/>
          <w:szCs w:val="32"/>
          <w:u w:val="none"/>
          <w:lang w:val="en-US" w:eastAsia="zh-CN"/>
        </w:rPr>
        <w:t>和信用评价系统日常管理和维护工作</w:t>
      </w:r>
      <w:r>
        <w:rPr>
          <w:rFonts w:hint="eastAsia" w:ascii="仿宋" w:hAnsi="仿宋" w:eastAsia="仿宋" w:cs="仿宋"/>
          <w:color w:val="auto"/>
          <w:sz w:val="32"/>
          <w:szCs w:val="32"/>
          <w:lang w:val="en-US" w:eastAsia="zh-CN"/>
        </w:rPr>
        <w:t>；环境影响技术评估、复核及三线一单项目年初预算300万元，形成支出196.81万元，预算执行率98.41%，主要用于开展</w:t>
      </w:r>
      <w:r>
        <w:rPr>
          <w:rFonts w:hint="eastAsia" w:ascii="仿宋" w:hAnsi="仿宋" w:eastAsia="仿宋" w:cs="仿宋"/>
          <w:b w:val="0"/>
          <w:bCs w:val="0"/>
          <w:color w:val="auto"/>
          <w:kern w:val="2"/>
          <w:sz w:val="32"/>
          <w:szCs w:val="24"/>
          <w:lang w:val="en-US" w:eastAsia="zh-CN" w:bidi="ar-SA"/>
        </w:rPr>
        <w:t>建设项目（含辐射类）环境影响评技术评估、水资金项目评审、环评文件（含辐射类）技术复核中的差旅费、劳务费、会议费支出；</w:t>
      </w:r>
      <w:r>
        <w:rPr>
          <w:rFonts w:hint="eastAsia" w:ascii="仿宋" w:hAnsi="仿宋" w:eastAsia="仿宋" w:cs="仿宋"/>
          <w:color w:val="auto"/>
          <w:sz w:val="32"/>
          <w:szCs w:val="32"/>
          <w:lang w:val="en-US" w:eastAsia="zh-CN"/>
        </w:rPr>
        <w:t>信息化能力建设与运维项目年初预算300万元，形成支出280.04万元，预算执行率93.35%，</w:t>
      </w:r>
      <w:r>
        <w:rPr>
          <w:rFonts w:hint="eastAsia" w:ascii="仿宋" w:hAnsi="仿宋" w:eastAsia="仿宋" w:cs="仿宋"/>
          <w:b w:val="0"/>
          <w:bCs w:val="0"/>
          <w:color w:val="auto"/>
          <w:sz w:val="32"/>
          <w:szCs w:val="30"/>
          <w:lang w:val="en-US" w:eastAsia="zh-CN"/>
        </w:rPr>
        <w:t>全省环保专网视频会议系统运维上年项目预算42.1万元，支出42.1万元，执行率为100%；厅综合办公平台升级与运维结转上年项目预算75.9万元，支出75.9万元，执行率为100%；生态环境事务中心综合办公平台结转上年项目预算25.7万元，支出25.7万元，执行率为100%。信息系统与安全整体运维结转上年项目预算12.6万元，支出12.6万元，执行率为100%。以上信息类项目资金2021年共完成信息化项目13个，其中运维类项目有6个：2020年和2021年整体运维、安全运维、视频会议运维；软件开发升级类项目有2个：厅办公平台升级改造、事务中心办公平台开发；设备采购类项目有5个：BM检查设备、机房精密空调、ups、机房服务器与存储设备、厅综合办公平台。通过前期认真准备，精心实施，所有项目都取得了很好的成效。</w:t>
      </w:r>
      <w:r>
        <w:rPr>
          <w:rFonts w:hint="eastAsia" w:ascii="仿宋" w:hAnsi="仿宋" w:eastAsia="仿宋" w:cs="仿宋"/>
          <w:color w:val="auto"/>
          <w:sz w:val="32"/>
          <w:szCs w:val="32"/>
          <w:lang w:val="en-US" w:eastAsia="zh-CN"/>
        </w:rPr>
        <w:t>湖南省社会宣传行动项目支出200万元，项目年初预算</w:t>
      </w:r>
      <w:r>
        <w:rPr>
          <w:rFonts w:hint="eastAsia" w:ascii="仿宋" w:hAnsi="仿宋" w:eastAsia="仿宋" w:cs="仿宋"/>
          <w:color w:val="auto"/>
          <w:kern w:val="2"/>
          <w:sz w:val="32"/>
          <w:szCs w:val="32"/>
          <w:lang w:val="en-US" w:eastAsia="zh-CN" w:bidi="ar-SA"/>
        </w:rPr>
        <w:t>200万元，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kern w:val="2"/>
          <w:sz w:val="32"/>
          <w:szCs w:val="32"/>
          <w:lang w:val="en-US" w:eastAsia="zh-CN" w:bidi="ar-SA"/>
        </w:rPr>
        <w:t>。主要用于出版《湖南生态环境》杂志，支付舆情监控软件费用，组织省厅双微活动，拍摄省厅宣传片，开展“美丽中国，我是行动者——绿色卫士下三湘”活动，绿色卫士小额资助活动，“潇湘家书˙生态篇章”等主题活动，建设公众参与平台，召开环保设施开放单位、2020年教育基地表彰和授牌大会，召开全省新闻通讯员和绿色卫士培训、绿色卫士联合办工作会议。每一个活动都有前期的审批文件、通知、方案，与第三方机构合作的均签署了合作协议，对活动过程有日常的检查监督，保证活动质量</w:t>
      </w:r>
      <w:r>
        <w:rPr>
          <w:rFonts w:hint="eastAsia" w:ascii="仿宋" w:hAnsi="仿宋" w:eastAsia="仿宋" w:cs="仿宋"/>
          <w:color w:val="auto"/>
          <w:sz w:val="32"/>
          <w:szCs w:val="32"/>
          <w:lang w:val="en-US" w:eastAsia="zh-CN"/>
        </w:rPr>
        <w:t>；湖南省生态环境保护专家委员会及标准委员会项目50万元，</w:t>
      </w:r>
      <w:r>
        <w:rPr>
          <w:rFonts w:hint="eastAsia" w:ascii="仿宋" w:hAnsi="仿宋" w:eastAsia="仿宋" w:cs="仿宋"/>
          <w:color w:val="auto"/>
          <w:sz w:val="32"/>
          <w:szCs w:val="32"/>
          <w:shd w:val="clear" w:color="auto" w:fill="FFFFFF"/>
        </w:rPr>
        <w:t>支出包括差旅费、专家评审论证</w:t>
      </w:r>
      <w:r>
        <w:rPr>
          <w:rFonts w:hint="eastAsia" w:ascii="仿宋" w:hAnsi="仿宋" w:eastAsia="仿宋" w:cs="仿宋"/>
          <w:color w:val="auto"/>
          <w:sz w:val="32"/>
          <w:szCs w:val="32"/>
          <w:shd w:val="clear" w:color="auto" w:fill="FFFFFF"/>
          <w:lang w:val="en-US" w:eastAsia="zh-CN"/>
        </w:rPr>
        <w:t>劳务费</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val="en-US" w:eastAsia="zh-CN"/>
        </w:rPr>
        <w:t>印刷</w:t>
      </w:r>
      <w:r>
        <w:rPr>
          <w:rFonts w:hint="eastAsia" w:ascii="仿宋" w:hAnsi="仿宋" w:eastAsia="仿宋" w:cs="仿宋"/>
          <w:color w:val="auto"/>
          <w:sz w:val="32"/>
          <w:szCs w:val="32"/>
          <w:shd w:val="clear" w:color="auto" w:fill="FFFFFF"/>
        </w:rPr>
        <w:t>费、培训</w:t>
      </w:r>
      <w:r>
        <w:rPr>
          <w:rFonts w:hint="eastAsia" w:ascii="仿宋" w:hAnsi="仿宋" w:eastAsia="仿宋" w:cs="仿宋"/>
          <w:color w:val="auto"/>
          <w:sz w:val="32"/>
          <w:szCs w:val="32"/>
          <w:shd w:val="clear" w:color="auto" w:fill="FFFFFF"/>
          <w:lang w:val="en-US" w:eastAsia="zh-CN"/>
        </w:rPr>
        <w:t>费</w:t>
      </w:r>
      <w:r>
        <w:rPr>
          <w:rFonts w:hint="eastAsia" w:ascii="仿宋" w:hAnsi="仿宋" w:eastAsia="仿宋" w:cs="仿宋"/>
          <w:color w:val="auto"/>
          <w:sz w:val="32"/>
          <w:szCs w:val="32"/>
          <w:shd w:val="clear" w:color="auto" w:fill="FFFFFF"/>
        </w:rPr>
        <w:t>、人员</w:t>
      </w:r>
      <w:r>
        <w:rPr>
          <w:rFonts w:hint="eastAsia" w:ascii="仿宋" w:hAnsi="仿宋" w:eastAsia="仿宋" w:cs="仿宋"/>
          <w:color w:val="auto"/>
          <w:sz w:val="32"/>
          <w:szCs w:val="32"/>
          <w:shd w:val="clear" w:color="auto" w:fill="FFFFFF"/>
          <w:lang w:val="en-US" w:eastAsia="zh-CN"/>
        </w:rPr>
        <w:t>劳务费</w:t>
      </w:r>
      <w:r>
        <w:rPr>
          <w:rFonts w:hint="eastAsia" w:ascii="仿宋" w:hAnsi="仿宋" w:eastAsia="仿宋" w:cs="仿宋"/>
          <w:color w:val="auto"/>
          <w:sz w:val="32"/>
          <w:szCs w:val="32"/>
          <w:shd w:val="clear" w:color="auto" w:fill="FFFFFF"/>
        </w:rPr>
        <w:t>等，共计支</w:t>
      </w:r>
      <w:r>
        <w:rPr>
          <w:rFonts w:hint="eastAsia" w:ascii="仿宋" w:hAnsi="仿宋" w:eastAsia="仿宋" w:cs="仿宋"/>
          <w:color w:val="auto"/>
          <w:sz w:val="32"/>
          <w:szCs w:val="32"/>
          <w:shd w:val="clear" w:color="auto" w:fill="FFFFFF"/>
          <w:lang w:val="en-US" w:eastAsia="zh-CN"/>
        </w:rPr>
        <w:t>出50</w:t>
      </w:r>
      <w:r>
        <w:rPr>
          <w:rFonts w:hint="eastAsia" w:ascii="仿宋" w:hAnsi="仿宋" w:eastAsia="仿宋" w:cs="仿宋"/>
          <w:color w:val="auto"/>
          <w:sz w:val="32"/>
          <w:szCs w:val="32"/>
          <w:shd w:val="clear" w:color="auto" w:fill="FFFFFF"/>
        </w:rPr>
        <w:t>万元，预算执行率达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lang w:val="en-US" w:eastAsia="zh-CN"/>
        </w:rPr>
        <w:t>；标准化专项资金项目年初预算4万元，形成支出4万元，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b w:val="0"/>
          <w:bCs w:val="0"/>
          <w:color w:val="auto"/>
          <w:kern w:val="2"/>
          <w:sz w:val="32"/>
          <w:szCs w:val="24"/>
          <w:lang w:val="en-US" w:eastAsia="zh-CN" w:bidi="ar-SA"/>
        </w:rPr>
        <w:t>主要用于《工业废水铊污染物排放标准》修订中的差旅费、劳务费、会议费支出；</w:t>
      </w:r>
      <w:r>
        <w:rPr>
          <w:rFonts w:hint="eastAsia" w:ascii="仿宋" w:hAnsi="仿宋" w:eastAsia="仿宋" w:cs="仿宋"/>
          <w:color w:val="auto"/>
          <w:sz w:val="32"/>
          <w:szCs w:val="32"/>
          <w:lang w:val="en-US" w:eastAsia="zh-CN"/>
        </w:rPr>
        <w:t>低碳工作经费年初预算25万元，形成支出15.27万元，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到61.06</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lang w:val="en-US" w:eastAsia="zh-CN"/>
        </w:rPr>
        <w:t>主要用于</w:t>
      </w:r>
      <w:r>
        <w:rPr>
          <w:rFonts w:hint="eastAsia" w:ascii="仿宋" w:hAnsi="仿宋" w:eastAsia="仿宋" w:cs="仿宋"/>
          <w:b w:val="0"/>
          <w:bCs w:val="0"/>
          <w:color w:val="auto"/>
          <w:kern w:val="2"/>
          <w:sz w:val="32"/>
          <w:szCs w:val="24"/>
          <w:lang w:val="en-US" w:eastAsia="zh-CN" w:bidi="ar-SA"/>
        </w:rPr>
        <w:t>主要用于钢铁、火电、水泥、有色4大行业低碳技术课题研究中的业务委托费用支出</w:t>
      </w:r>
      <w:r>
        <w:rPr>
          <w:rFonts w:hint="eastAsia" w:ascii="仿宋" w:hAnsi="仿宋" w:eastAsia="仿宋" w:cs="仿宋"/>
          <w:color w:val="auto"/>
          <w:sz w:val="32"/>
          <w:szCs w:val="32"/>
          <w:lang w:val="en-US" w:eastAsia="zh-CN"/>
        </w:rPr>
        <w:t>；固定污染源清理整顿及排污许可证登记项目上年结余148.31万元，形成支出148.31万元，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lang w:val="en-US" w:eastAsia="zh-CN"/>
        </w:rPr>
        <w:t>主要用于</w:t>
      </w:r>
      <w:r>
        <w:rPr>
          <w:rFonts w:hint="eastAsia" w:ascii="仿宋" w:hAnsi="仿宋" w:eastAsia="仿宋" w:cs="仿宋"/>
          <w:b w:val="0"/>
          <w:bCs w:val="0"/>
          <w:color w:val="auto"/>
          <w:kern w:val="2"/>
          <w:sz w:val="32"/>
          <w:szCs w:val="24"/>
          <w:lang w:val="en-US" w:eastAsia="zh-CN" w:bidi="ar-SA"/>
        </w:rPr>
        <w:t>支出2020年未结算项目的尾款费用支出；</w:t>
      </w:r>
      <w:r>
        <w:rPr>
          <w:rFonts w:hint="eastAsia" w:ascii="仿宋" w:hAnsi="仿宋" w:eastAsia="仿宋" w:cs="仿宋"/>
          <w:color w:val="auto"/>
          <w:sz w:val="32"/>
          <w:szCs w:val="32"/>
          <w:lang w:val="en-US" w:eastAsia="zh-CN"/>
        </w:rPr>
        <w:t>环境信用评价项目上年结余68.34万元</w:t>
      </w:r>
      <w:r>
        <w:rPr>
          <w:rFonts w:hint="eastAsia" w:ascii="仿宋" w:hAnsi="仿宋" w:eastAsia="仿宋" w:cs="仿宋"/>
          <w:color w:val="auto"/>
          <w:kern w:val="2"/>
          <w:sz w:val="32"/>
          <w:szCs w:val="32"/>
          <w:lang w:val="en-US" w:eastAsia="zh-CN" w:bidi="ar-SA"/>
        </w:rPr>
        <w:t>，实际支出68.34万元，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kern w:val="2"/>
          <w:sz w:val="32"/>
          <w:szCs w:val="32"/>
          <w:lang w:val="en-US" w:eastAsia="zh-CN" w:bidi="ar-SA"/>
        </w:rPr>
        <w:t>。主要用于湖南省企业环境信用评价系统升级改造建设和劳务费用。项目有前期的审批文件、通知、方案，与第三方机构合作的均签署了合作协议，对建设过程有日常的检查监督，保证质量</w:t>
      </w:r>
      <w:r>
        <w:rPr>
          <w:rFonts w:hint="eastAsia" w:ascii="仿宋" w:hAnsi="仿宋" w:eastAsia="仿宋" w:cs="仿宋"/>
          <w:color w:val="auto"/>
          <w:sz w:val="32"/>
          <w:szCs w:val="32"/>
          <w:lang w:val="en-US" w:eastAsia="zh-CN"/>
        </w:rPr>
        <w:t>；</w:t>
      </w:r>
      <w:r>
        <w:rPr>
          <w:rFonts w:hint="eastAsia" w:ascii="仿宋" w:hAnsi="仿宋" w:eastAsia="仿宋" w:cs="仿宋"/>
          <w:b w:val="0"/>
          <w:bCs w:val="0"/>
          <w:color w:val="auto"/>
          <w:sz w:val="32"/>
          <w:szCs w:val="32"/>
          <w:lang w:val="en-US" w:eastAsia="zh-CN"/>
        </w:rPr>
        <w:t>环境影响技术评估项目上年结余26.53万元，形成支出26.53万元，</w:t>
      </w:r>
      <w:r>
        <w:rPr>
          <w:rFonts w:hint="eastAsia" w:ascii="仿宋" w:hAnsi="仿宋" w:eastAsia="仿宋" w:cs="仿宋"/>
          <w:b w:val="0"/>
          <w:bCs w:val="0"/>
          <w:color w:val="auto"/>
          <w:sz w:val="32"/>
          <w:szCs w:val="32"/>
          <w:shd w:val="clear" w:color="auto" w:fill="FFFFFF"/>
        </w:rPr>
        <w:t>预算执行率达</w:t>
      </w:r>
      <w:r>
        <w:rPr>
          <w:rFonts w:hint="eastAsia" w:ascii="仿宋" w:hAnsi="仿宋" w:eastAsia="仿宋" w:cs="仿宋"/>
          <w:b w:val="0"/>
          <w:bCs w:val="0"/>
          <w:color w:val="auto"/>
          <w:sz w:val="32"/>
          <w:szCs w:val="32"/>
          <w:shd w:val="clear" w:color="auto" w:fill="FFFFFF"/>
          <w:lang w:val="en-US" w:eastAsia="zh-CN"/>
        </w:rPr>
        <w:t>到100</w:t>
      </w:r>
      <w:r>
        <w:rPr>
          <w:rFonts w:hint="eastAsia" w:ascii="仿宋" w:hAnsi="仿宋" w:eastAsia="仿宋" w:cs="仿宋"/>
          <w:b w:val="0"/>
          <w:bCs w:val="0"/>
          <w:color w:val="auto"/>
          <w:sz w:val="32"/>
          <w:szCs w:val="32"/>
          <w:shd w:val="clear" w:color="auto" w:fill="FFFFFF"/>
        </w:rPr>
        <w:t>%</w:t>
      </w:r>
      <w:r>
        <w:rPr>
          <w:rFonts w:hint="eastAsia" w:ascii="仿宋" w:hAnsi="仿宋" w:eastAsia="仿宋" w:cs="仿宋"/>
          <w:b w:val="0"/>
          <w:bCs w:val="0"/>
          <w:color w:val="auto"/>
          <w:sz w:val="32"/>
          <w:szCs w:val="32"/>
          <w:shd w:val="clear" w:color="auto" w:fill="FFFFFF"/>
          <w:lang w:eastAsia="zh-CN"/>
        </w:rPr>
        <w:t>，</w:t>
      </w:r>
      <w:r>
        <w:rPr>
          <w:rFonts w:hint="eastAsia" w:ascii="仿宋" w:hAnsi="仿宋" w:eastAsia="仿宋" w:cs="仿宋"/>
          <w:b w:val="0"/>
          <w:bCs w:val="0"/>
          <w:color w:val="auto"/>
          <w:kern w:val="2"/>
          <w:sz w:val="32"/>
          <w:szCs w:val="32"/>
          <w:lang w:val="en-US" w:eastAsia="zh-CN" w:bidi="ar-SA"/>
        </w:rPr>
        <w:t>主要同于建设项目（含辐射类）环境影响评价报告技术评审中的差旅费、劳务费、会议费支出；</w:t>
      </w:r>
      <w:r>
        <w:rPr>
          <w:rFonts w:hint="eastAsia" w:ascii="仿宋" w:hAnsi="仿宋" w:eastAsia="仿宋" w:cs="仿宋"/>
          <w:color w:val="auto"/>
          <w:sz w:val="32"/>
          <w:szCs w:val="32"/>
          <w:lang w:val="en-US" w:eastAsia="zh-CN"/>
        </w:rPr>
        <w:t>“三线一单”编制与三同时技术评估上年结余22.42万元，形成支出22.42万元，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lang w:val="en-US" w:eastAsia="zh-CN"/>
        </w:rPr>
        <w:t>主要用于</w:t>
      </w:r>
      <w:r>
        <w:rPr>
          <w:rFonts w:hint="eastAsia" w:ascii="仿宋" w:hAnsi="仿宋" w:eastAsia="仿宋" w:cs="仿宋"/>
          <w:b w:val="0"/>
          <w:bCs w:val="0"/>
          <w:color w:val="auto"/>
          <w:kern w:val="2"/>
          <w:sz w:val="32"/>
          <w:szCs w:val="32"/>
          <w:lang w:val="en-US" w:eastAsia="zh-CN" w:bidi="ar-SA"/>
        </w:rPr>
        <w:t>三线一单水环境质量底线（饮用水源）内容动态更新、“三同时”验收技术复核中差旅费、劳务费、会议费支出；</w:t>
      </w:r>
      <w:r>
        <w:rPr>
          <w:rFonts w:hint="eastAsia" w:ascii="仿宋" w:hAnsi="仿宋" w:eastAsia="仿宋" w:cs="仿宋"/>
          <w:color w:val="auto"/>
          <w:sz w:val="32"/>
          <w:szCs w:val="32"/>
          <w:lang w:val="en-US" w:eastAsia="zh-CN"/>
        </w:rPr>
        <w:t>项目风险评估评审、效果评估评审等上年结余160万元，形成支出160万元，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lang w:val="en-US" w:eastAsia="zh-CN"/>
        </w:rPr>
        <w:t>主要用于</w:t>
      </w:r>
      <w:r>
        <w:rPr>
          <w:rFonts w:hint="eastAsia" w:ascii="仿宋" w:hAnsi="仿宋" w:eastAsia="仿宋" w:cs="仿宋"/>
          <w:b w:val="0"/>
          <w:bCs w:val="0"/>
          <w:color w:val="auto"/>
          <w:sz w:val="32"/>
          <w:lang w:val="en-US" w:eastAsia="zh-CN"/>
        </w:rPr>
        <w:t>主要用于土壤风险评估、效果评估技术评审中的差旅费、劳务费、会议费、餐费支出，用于《湖南省场地环境调查技术规范》等4个地方标准项目业务委托费用支出；</w:t>
      </w:r>
      <w:r>
        <w:rPr>
          <w:rFonts w:hint="eastAsia" w:ascii="仿宋" w:hAnsi="仿宋" w:eastAsia="仿宋" w:cs="仿宋"/>
          <w:color w:val="auto"/>
          <w:sz w:val="32"/>
          <w:szCs w:val="32"/>
          <w:lang w:val="en-US" w:eastAsia="zh-CN"/>
        </w:rPr>
        <w:t>湖南省经济高质量发展与生态环境高水平保护的实践研究与探索上年结余10万元，形成支出10万元，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lang w:val="en-US" w:eastAsia="zh-CN"/>
        </w:rPr>
        <w:t>主要用于</w:t>
      </w:r>
      <w:r>
        <w:rPr>
          <w:rFonts w:hint="eastAsia" w:ascii="仿宋" w:hAnsi="仿宋" w:eastAsia="仿宋" w:cs="仿宋"/>
          <w:b w:val="0"/>
          <w:bCs w:val="0"/>
          <w:color w:val="auto"/>
          <w:kern w:val="2"/>
          <w:sz w:val="32"/>
          <w:szCs w:val="24"/>
          <w:lang w:val="en-US" w:eastAsia="zh-CN" w:bidi="ar-SA"/>
        </w:rPr>
        <w:t>主要用于调研中的差旅费、印刷费、劳务费、会议费支出；</w:t>
      </w:r>
      <w:r>
        <w:rPr>
          <w:rFonts w:hint="eastAsia" w:ascii="仿宋" w:hAnsi="仿宋" w:eastAsia="仿宋" w:cs="仿宋"/>
          <w:color w:val="auto"/>
          <w:sz w:val="32"/>
          <w:szCs w:val="32"/>
          <w:u w:val="none"/>
          <w:lang w:val="en-US" w:eastAsia="zh-CN"/>
        </w:rPr>
        <w:t>平台运维及排污权收费稽查与审计项目上年结余52.3</w:t>
      </w:r>
      <w:r>
        <w:rPr>
          <w:rFonts w:hint="eastAsia" w:ascii="仿宋" w:hAnsi="仿宋" w:eastAsia="仿宋" w:cs="仿宋"/>
          <w:color w:val="auto"/>
          <w:sz w:val="32"/>
          <w:szCs w:val="32"/>
          <w:lang w:val="en-US" w:eastAsia="zh-CN"/>
        </w:rPr>
        <w:t>万元，形成支出52.3万元，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lang w:val="en-US" w:eastAsia="zh-CN"/>
        </w:rPr>
        <w:t>主要用于</w:t>
      </w:r>
      <w:r>
        <w:rPr>
          <w:rFonts w:hint="eastAsia" w:ascii="仿宋" w:hAnsi="仿宋" w:eastAsia="仿宋" w:cs="仿宋"/>
          <w:b w:val="0"/>
          <w:bCs w:val="0"/>
          <w:color w:val="auto"/>
          <w:kern w:val="2"/>
          <w:sz w:val="32"/>
          <w:szCs w:val="24"/>
          <w:lang w:val="en-US" w:eastAsia="zh-CN" w:bidi="ar-SA"/>
        </w:rPr>
        <w:t>湖南排污权改革基础信息调查研究项目业务委托费用支出</w:t>
      </w:r>
      <w:r>
        <w:rPr>
          <w:rFonts w:hint="eastAsia" w:ascii="仿宋" w:hAnsi="仿宋" w:eastAsia="仿宋" w:cs="仿宋"/>
          <w:color w:val="auto"/>
          <w:sz w:val="32"/>
          <w:szCs w:val="32"/>
          <w:lang w:val="en-US" w:eastAsia="zh-CN"/>
        </w:rPr>
        <w:t>；湖南省生态环境机构垂直改革成效评估和问题诊断及对策研究上年结余10万元，形成支出10万元，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rPr>
        <w:t>项目支出包括差旅费、专家评审论证</w:t>
      </w:r>
      <w:r>
        <w:rPr>
          <w:rFonts w:hint="eastAsia" w:ascii="仿宋" w:hAnsi="仿宋" w:eastAsia="仿宋" w:cs="仿宋"/>
          <w:color w:val="auto"/>
          <w:sz w:val="32"/>
          <w:szCs w:val="32"/>
          <w:shd w:val="clear" w:color="auto" w:fill="FFFFFF"/>
          <w:lang w:val="en-US" w:eastAsia="zh-CN"/>
        </w:rPr>
        <w:t>劳务费</w:t>
      </w:r>
      <w:r>
        <w:rPr>
          <w:rFonts w:hint="eastAsia" w:ascii="仿宋" w:hAnsi="仿宋" w:eastAsia="仿宋" w:cs="仿宋"/>
          <w:color w:val="auto"/>
          <w:sz w:val="32"/>
          <w:szCs w:val="32"/>
          <w:shd w:val="clear" w:color="auto" w:fill="FFFFFF"/>
        </w:rPr>
        <w:t>、购置</w:t>
      </w:r>
      <w:r>
        <w:rPr>
          <w:rFonts w:hint="eastAsia" w:ascii="仿宋" w:hAnsi="仿宋" w:eastAsia="仿宋" w:cs="仿宋"/>
          <w:color w:val="auto"/>
          <w:sz w:val="32"/>
          <w:szCs w:val="32"/>
          <w:shd w:val="clear" w:color="auto" w:fill="FFFFFF"/>
          <w:lang w:val="en-US" w:eastAsia="zh-CN"/>
        </w:rPr>
        <w:t>专业</w:t>
      </w:r>
      <w:r>
        <w:rPr>
          <w:rFonts w:hint="eastAsia" w:ascii="仿宋" w:hAnsi="仿宋" w:eastAsia="仿宋" w:cs="仿宋"/>
          <w:color w:val="auto"/>
          <w:sz w:val="32"/>
          <w:szCs w:val="32"/>
          <w:shd w:val="clear" w:color="auto" w:fill="FFFFFF"/>
        </w:rPr>
        <w:t>书籍</w:t>
      </w:r>
      <w:r>
        <w:rPr>
          <w:rFonts w:hint="eastAsia" w:ascii="仿宋" w:hAnsi="仿宋" w:eastAsia="仿宋" w:cs="仿宋"/>
          <w:color w:val="auto"/>
          <w:sz w:val="32"/>
          <w:szCs w:val="32"/>
          <w:shd w:val="clear" w:color="auto" w:fill="FFFFFF"/>
          <w:lang w:val="en-US" w:eastAsia="zh-CN"/>
        </w:rPr>
        <w:t>办公费</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val="en-US" w:eastAsia="zh-CN"/>
        </w:rPr>
        <w:t>印刷</w:t>
      </w:r>
      <w:r>
        <w:rPr>
          <w:rFonts w:hint="eastAsia" w:ascii="仿宋" w:hAnsi="仿宋" w:eastAsia="仿宋" w:cs="仿宋"/>
          <w:color w:val="auto"/>
          <w:sz w:val="32"/>
          <w:szCs w:val="32"/>
          <w:shd w:val="clear" w:color="auto" w:fill="FFFFFF"/>
        </w:rPr>
        <w:t>费等，共计支出</w:t>
      </w:r>
      <w:r>
        <w:rPr>
          <w:rFonts w:hint="eastAsia" w:ascii="仿宋" w:hAnsi="仿宋" w:eastAsia="仿宋" w:cs="仿宋"/>
          <w:color w:val="auto"/>
          <w:sz w:val="32"/>
          <w:szCs w:val="32"/>
          <w:shd w:val="clear" w:color="auto" w:fill="FFFFFF"/>
          <w:lang w:val="en-US" w:eastAsia="zh-CN"/>
        </w:rPr>
        <w:t>10</w:t>
      </w:r>
      <w:r>
        <w:rPr>
          <w:rFonts w:hint="eastAsia" w:ascii="仿宋" w:hAnsi="仿宋" w:eastAsia="仿宋" w:cs="仿宋"/>
          <w:color w:val="auto"/>
          <w:sz w:val="32"/>
          <w:szCs w:val="32"/>
          <w:shd w:val="clear" w:color="auto" w:fill="FFFFFF"/>
        </w:rPr>
        <w:t>万元，预算执行率达到</w:t>
      </w:r>
      <w:r>
        <w:rPr>
          <w:rFonts w:hint="eastAsia" w:ascii="仿宋" w:hAnsi="仿宋" w:eastAsia="仿宋" w:cs="仿宋"/>
          <w:color w:val="auto"/>
          <w:sz w:val="32"/>
          <w:szCs w:val="32"/>
          <w:shd w:val="clear" w:color="auto" w:fill="FFFFFF"/>
          <w:lang w:val="en-US" w:eastAsia="zh-CN"/>
        </w:rPr>
        <w:t>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lang w:val="en-US" w:eastAsia="zh-CN"/>
        </w:rPr>
        <w:t>；</w:t>
      </w:r>
      <w:r>
        <w:rPr>
          <w:rFonts w:hint="eastAsia" w:ascii="仿宋" w:hAnsi="仿宋" w:eastAsia="仿宋" w:cs="仿宋"/>
          <w:b w:val="0"/>
          <w:bCs w:val="0"/>
          <w:color w:val="auto"/>
          <w:sz w:val="32"/>
          <w:szCs w:val="32"/>
          <w:lang w:val="en-US" w:eastAsia="zh-CN"/>
        </w:rPr>
        <w:t>湖南省全民环境教育项目（上年结余）39.82万元，</w:t>
      </w:r>
      <w:r>
        <w:rPr>
          <w:rFonts w:hint="eastAsia" w:ascii="仿宋" w:hAnsi="仿宋" w:eastAsia="仿宋" w:cs="仿宋"/>
          <w:color w:val="auto"/>
          <w:kern w:val="2"/>
          <w:sz w:val="32"/>
          <w:szCs w:val="32"/>
          <w:lang w:val="en-US" w:eastAsia="zh-CN" w:bidi="ar-SA"/>
        </w:rPr>
        <w:t>项目实际支出39.8万元，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kern w:val="2"/>
          <w:sz w:val="32"/>
          <w:szCs w:val="32"/>
          <w:lang w:val="en-US" w:eastAsia="zh-CN" w:bidi="ar-SA"/>
        </w:rPr>
        <w:t>。主要用于2020年最后一期《湖南生态环境》出版印刷，开展绿色卫士小额资助项目，完成生态家书汇编，完成生态环境摄影比赛获奖展示作品装潢制作及展览。活动均有审批文件、通知、方案，与第三方机构合作的均签署了合作协议</w:t>
      </w:r>
      <w:r>
        <w:rPr>
          <w:rFonts w:hint="eastAsia" w:ascii="仿宋" w:hAnsi="仿宋" w:eastAsia="仿宋" w:cs="仿宋"/>
          <w:b w:val="0"/>
          <w:bCs w:val="0"/>
          <w:color w:val="auto"/>
          <w:sz w:val="32"/>
          <w:szCs w:val="32"/>
          <w:lang w:val="en-US" w:eastAsia="zh-CN"/>
        </w:rPr>
        <w:t>；环保科技发展项目资金上年结余6万元，</w:t>
      </w:r>
      <w:r>
        <w:rPr>
          <w:rFonts w:hint="eastAsia" w:ascii="仿宋" w:hAnsi="仿宋" w:eastAsia="仿宋" w:cs="仿宋"/>
          <w:color w:val="auto"/>
          <w:kern w:val="2"/>
          <w:sz w:val="32"/>
          <w:szCs w:val="32"/>
          <w:lang w:val="en-US" w:eastAsia="zh-CN" w:bidi="ar-SA"/>
        </w:rPr>
        <w:t>项目形成支出6万元，</w:t>
      </w:r>
      <w:r>
        <w:rPr>
          <w:rFonts w:hint="eastAsia" w:ascii="仿宋" w:hAnsi="仿宋" w:eastAsia="仿宋" w:cs="仿宋"/>
          <w:color w:val="auto"/>
          <w:sz w:val="32"/>
          <w:szCs w:val="32"/>
          <w:shd w:val="clear" w:color="auto" w:fill="FFFFFF"/>
        </w:rPr>
        <w:t>预算执行率达</w:t>
      </w:r>
      <w:r>
        <w:rPr>
          <w:rFonts w:hint="eastAsia" w:ascii="仿宋" w:hAnsi="仿宋" w:eastAsia="仿宋" w:cs="仿宋"/>
          <w:color w:val="auto"/>
          <w:sz w:val="32"/>
          <w:szCs w:val="32"/>
          <w:shd w:val="clear" w:color="auto" w:fill="FFFFFF"/>
          <w:lang w:val="en-US" w:eastAsia="zh-CN"/>
        </w:rPr>
        <w:t>到100</w:t>
      </w:r>
      <w:r>
        <w:rPr>
          <w:rFonts w:hint="eastAsia" w:ascii="仿宋" w:hAnsi="仿宋" w:eastAsia="仿宋" w:cs="仿宋"/>
          <w:color w:val="auto"/>
          <w:sz w:val="32"/>
          <w:szCs w:val="32"/>
          <w:shd w:val="clear" w:color="auto" w:fill="FFFFFF"/>
        </w:rPr>
        <w:t>%</w:t>
      </w:r>
      <w:r>
        <w:rPr>
          <w:rFonts w:hint="eastAsia" w:ascii="仿宋" w:hAnsi="仿宋" w:eastAsia="仿宋" w:cs="仿宋"/>
          <w:color w:val="auto"/>
          <w:kern w:val="2"/>
          <w:sz w:val="32"/>
          <w:szCs w:val="32"/>
          <w:lang w:val="en-US" w:eastAsia="zh-CN" w:bidi="ar-SA"/>
        </w:rPr>
        <w:t>。</w:t>
      </w:r>
      <w:r>
        <w:rPr>
          <w:rFonts w:hint="eastAsia" w:ascii="仿宋_GB2312" w:hAnsi="仿宋_GB2312" w:eastAsia="仿宋_GB2312" w:cs="仿宋_GB2312"/>
          <w:b w:val="0"/>
          <w:bCs w:val="0"/>
          <w:color w:val="auto"/>
          <w:kern w:val="2"/>
          <w:sz w:val="32"/>
          <w:szCs w:val="24"/>
          <w:lang w:val="en-US" w:eastAsia="zh-CN" w:bidi="ar-SA"/>
        </w:rPr>
        <w:t>主要用于《根据企业环境信用等级实施差别化水电价格政策的研究》课题研究中的差旅费、会议费、出版费、软件著作权申请费用支出</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color w:val="auto"/>
          <w:sz w:val="32"/>
          <w:szCs w:val="28"/>
          <w:lang w:val="en-US" w:eastAsia="zh-CN"/>
        </w:rPr>
        <w:t>公车购置费年初预算22</w:t>
      </w:r>
      <w:r>
        <w:rPr>
          <w:rFonts w:hint="eastAsia" w:ascii="仿宋" w:hAnsi="仿宋" w:eastAsia="仿宋" w:cs="仿宋"/>
          <w:b w:val="0"/>
          <w:color w:val="auto"/>
          <w:sz w:val="32"/>
          <w:szCs w:val="28"/>
        </w:rPr>
        <w:t>万元</w:t>
      </w:r>
      <w:r>
        <w:rPr>
          <w:rFonts w:hint="eastAsia" w:ascii="仿宋" w:hAnsi="仿宋" w:eastAsia="仿宋" w:cs="仿宋"/>
          <w:b w:val="0"/>
          <w:color w:val="auto"/>
          <w:sz w:val="32"/>
          <w:szCs w:val="28"/>
          <w:lang w:eastAsia="zh-CN"/>
        </w:rPr>
        <w:t>，</w:t>
      </w:r>
      <w:r>
        <w:rPr>
          <w:rFonts w:hint="eastAsia" w:ascii="仿宋" w:hAnsi="仿宋" w:eastAsia="仿宋" w:cs="仿宋"/>
          <w:color w:val="auto"/>
          <w:sz w:val="32"/>
          <w:szCs w:val="32"/>
          <w:lang w:val="en-US" w:eastAsia="zh-CN"/>
        </w:rPr>
        <w:t>为保障中心运转效率，购置红旗牌轿车一辆，</w:t>
      </w:r>
      <w:r>
        <w:rPr>
          <w:rFonts w:hint="eastAsia" w:ascii="仿宋" w:hAnsi="仿宋" w:eastAsia="仿宋" w:cs="仿宋"/>
          <w:b w:val="0"/>
          <w:color w:val="auto"/>
          <w:sz w:val="32"/>
          <w:szCs w:val="28"/>
          <w:lang w:val="en-US" w:eastAsia="zh-CN"/>
        </w:rPr>
        <w:t>形成支出22万元</w:t>
      </w:r>
      <w:r>
        <w:rPr>
          <w:rFonts w:hint="eastAsia" w:ascii="仿宋" w:hAnsi="仿宋" w:eastAsia="仿宋" w:cs="仿宋"/>
          <w:b w:val="0"/>
          <w:color w:val="auto"/>
          <w:sz w:val="32"/>
          <w:szCs w:val="28"/>
          <w:lang w:eastAsia="zh-CN"/>
        </w:rPr>
        <w:t>，</w:t>
      </w:r>
      <w:r>
        <w:rPr>
          <w:rFonts w:hint="eastAsia" w:ascii="仿宋" w:hAnsi="仿宋" w:eastAsia="仿宋" w:cs="仿宋"/>
          <w:color w:val="auto"/>
          <w:sz w:val="32"/>
          <w:szCs w:val="32"/>
          <w:lang w:val="en-US" w:eastAsia="zh-CN"/>
        </w:rPr>
        <w:t>项目</w:t>
      </w:r>
      <w:r>
        <w:rPr>
          <w:rFonts w:hint="eastAsia" w:ascii="仿宋" w:hAnsi="仿宋" w:eastAsia="仿宋" w:cs="仿宋"/>
          <w:color w:val="auto"/>
          <w:sz w:val="32"/>
          <w:szCs w:val="32"/>
          <w:u w:val="none"/>
          <w:lang w:val="en-US" w:eastAsia="zh-CN"/>
        </w:rPr>
        <w:t>执行率为100%</w:t>
      </w:r>
      <w:r>
        <w:rPr>
          <w:rFonts w:hint="eastAsia" w:ascii="仿宋" w:hAnsi="仿宋" w:eastAsia="仿宋" w:cs="仿宋"/>
          <w:b w:val="0"/>
          <w:color w:val="auto"/>
          <w:sz w:val="32"/>
          <w:szCs w:val="28"/>
          <w:lang w:val="en-US" w:eastAsia="zh-CN"/>
        </w:rPr>
        <w:t>。</w:t>
      </w:r>
    </w:p>
    <w:p>
      <w:pPr>
        <w:pStyle w:val="5"/>
        <w:keepNext w:val="0"/>
        <w:keepLines w:val="0"/>
        <w:pageBreakBefore w:val="0"/>
        <w:kinsoku/>
        <w:wordWrap/>
        <w:overflowPunct/>
        <w:topLinePunct w:val="0"/>
        <w:bidi w:val="0"/>
        <w:spacing w:line="600" w:lineRule="exact"/>
        <w:ind w:firstLine="420" w:firstLineChars="200"/>
        <w:textAlignment w:val="auto"/>
        <w:rPr>
          <w:rFonts w:hint="default"/>
          <w:lang w:val="en-US" w:eastAsia="zh-CN"/>
        </w:rPr>
      </w:pPr>
    </w:p>
    <w:p>
      <w:pPr>
        <w:keepNext w:val="0"/>
        <w:keepLines w:val="0"/>
        <w:pageBreakBefore w:val="0"/>
        <w:widowControl/>
        <w:numPr>
          <w:ilvl w:val="0"/>
          <w:numId w:val="3"/>
        </w:numPr>
        <w:kinsoku/>
        <w:wordWrap/>
        <w:overflowPunct/>
        <w:topLinePunct w:val="0"/>
        <w:bidi w:val="0"/>
        <w:spacing w:line="600" w:lineRule="exact"/>
        <w:ind w:left="0" w:leftChars="0" w:firstLine="640" w:firstLineChars="200"/>
        <w:jc w:val="left"/>
        <w:textAlignment w:val="auto"/>
        <w:rPr>
          <w:rFonts w:hint="eastAsia" w:ascii="黑体" w:hAnsi="黑体" w:eastAsia="黑体"/>
          <w:sz w:val="32"/>
          <w:szCs w:val="32"/>
        </w:rPr>
      </w:pPr>
      <w:r>
        <w:rPr>
          <w:rFonts w:ascii="黑体" w:hAnsi="黑体" w:eastAsia="黑体"/>
          <w:sz w:val="32"/>
          <w:szCs w:val="32"/>
        </w:rPr>
        <w:t>部门</w:t>
      </w:r>
      <w:r>
        <w:rPr>
          <w:rFonts w:hint="eastAsia" w:ascii="黑体" w:hAnsi="黑体" w:eastAsia="黑体"/>
          <w:sz w:val="32"/>
          <w:szCs w:val="32"/>
        </w:rPr>
        <w:t>整体支出绩效情况</w:t>
      </w:r>
    </w:p>
    <w:p>
      <w:pPr>
        <w:keepNext w:val="0"/>
        <w:keepLines w:val="0"/>
        <w:pageBreakBefore w:val="0"/>
        <w:widowControl/>
        <w:numPr>
          <w:ilvl w:val="0"/>
          <w:numId w:val="0"/>
        </w:numPr>
        <w:kinsoku/>
        <w:wordWrap/>
        <w:overflowPunct/>
        <w:topLinePunct w:val="0"/>
        <w:bidi w:val="0"/>
        <w:snapToGrid/>
        <w:spacing w:line="600" w:lineRule="exact"/>
        <w:ind w:leftChars="0"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2021年是具有历史意义的一年，对湖南省生态环境事务中心（以下简称事务中心）来说，是继往开来、砥砺前行的一年，是开拓创新、锐意进取的一年，更是迎接挑战、攻坚克难的一年。一年来，在厅党组的坚强领导下，事务中心始终坚持以习近平新时代中国特色社会主义思想为指导，以党的政治建设为统领，以建设“创新型服务型”一流中心为目标，扎实开展党史学习教育，全面聚焦主责主业，“三线一单”和排污权深化改革、环保垂改研究和大数据建设等一批工作走在全国、全省前列，财政经费预算执行率97.63%，如期完成上级目标要求，在厅直属大单位排名第一，政务信息报送在厅系统三类报送单位排名第一，圆满完成了各项工作任务，为我省生态环境监督管理、行政审批、政策研究等提供了强有力服务保障和技术支撑。</w:t>
      </w:r>
    </w:p>
    <w:p>
      <w:pPr>
        <w:keepNext w:val="0"/>
        <w:keepLines w:val="0"/>
        <w:pageBreakBefore w:val="0"/>
        <w:kinsoku/>
        <w:wordWrap/>
        <w:overflowPunct/>
        <w:topLinePunct w:val="0"/>
        <w:autoSpaceDE w:val="0"/>
        <w:autoSpaceDN w:val="0"/>
        <w:bidi w:val="0"/>
        <w:adjustRightInd w:val="0"/>
        <w:snapToGrid/>
        <w:spacing w:line="60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（一）完善顶层设计，强力推进排污权交易制度建设。</w:t>
      </w:r>
    </w:p>
    <w:p>
      <w:pPr>
        <w:keepNext w:val="0"/>
        <w:keepLines w:val="0"/>
        <w:pageBreakBefore w:val="0"/>
        <w:kinsoku/>
        <w:wordWrap/>
        <w:overflowPunct/>
        <w:topLinePunct w:val="0"/>
        <w:autoSpaceDE w:val="0"/>
        <w:autoSpaceDN w:val="0"/>
        <w:bidi w:val="0"/>
        <w:adjustRightInd w:val="0"/>
        <w:snapToGrid/>
        <w:spacing w:line="60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color w:val="000000"/>
          <w:sz w:val="32"/>
          <w:szCs w:val="32"/>
        </w:rPr>
        <w:t>省厅和事务中心主要领导18次专题调度研究，几易其稿，编制的《湖南省主要污染物排污权深化改革工作方案》得到文浩副省长高度认可并顺利通过专题会；及时修订完善《湖南省主要污染物排污权有偿使用和交易管理办法》，初步构建了排污权交易改革的顶层设计。顺利完成排污权有偿使用费征缴职能税务划转，完成19家火电钢铁企业约3600余万元的排污权有偿使用费额度核定和催缴。升级改造排污权交易平台，实现与省公共资源交易平台的对接和试运行，打通省级和大部分市州排污权网上交易通道。排污权指标回购和交易工作关注重点企业、高新尖项目的建设，积极推进关闭企业的排污权指标出让，注重盘活企业资产，激励节能减排，助力产业转型发展。全年完成27家单位的排污权指标收储合计2650万元，出让省级储备指标交易33笔约194万元，完成跨市州交易64笔约1489万元。</w:t>
      </w:r>
    </w:p>
    <w:p>
      <w:pPr>
        <w:keepNext w:val="0"/>
        <w:keepLines w:val="0"/>
        <w:pageBreakBefore w:val="0"/>
        <w:kinsoku/>
        <w:wordWrap/>
        <w:overflowPunct/>
        <w:topLinePunct w:val="0"/>
        <w:autoSpaceDE w:val="0"/>
        <w:autoSpaceDN w:val="0"/>
        <w:bidi w:val="0"/>
        <w:adjustRightInd w:val="0"/>
        <w:snapToGrid/>
        <w:spacing w:line="60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（二）加强技术服务，领先推广“三线一单”落地应用。</w:t>
      </w:r>
    </w:p>
    <w:p>
      <w:pPr>
        <w:keepNext w:val="0"/>
        <w:keepLines w:val="0"/>
        <w:pageBreakBefore w:val="0"/>
        <w:kinsoku/>
        <w:wordWrap/>
        <w:overflowPunct/>
        <w:topLinePunct w:val="0"/>
        <w:autoSpaceDE w:val="0"/>
        <w:autoSpaceDN w:val="0"/>
        <w:bidi w:val="0"/>
        <w:adjustRightInd w:val="0"/>
        <w:snapToGrid/>
        <w:spacing w:line="600" w:lineRule="exact"/>
        <w:ind w:leftChars="0"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继续保持全国第一梯队水平，构建完成“三线一单”生态环境分区管控体系，多次在全国培训交流会上做典型发言，得到生态环境部高度肯定，长沙、湘潭、湘西三个案例成功入选生态环境部《“三线一单”落地应用案例汇编》；制定《湖南省“三线一单”实施情况跟踪评估机制》，强化宣传引导，100余篇典型案例材料在人民网和中国环境等媒体上发表，位居全国前列；高效完成生态环境部《“三线一单”顶层设计与规划环评管理》《湖南省经济高质量发展与生态环境高水平保护的实践研究与探索》等课题研究。提前介入巴陵石化、黄花机场等30个省重点工程，高效优质完成9类338个评估评审，助推经济高质量发展和生态环境高水平保护；</w:t>
      </w:r>
      <w:r>
        <w:rPr>
          <w:rFonts w:hint="eastAsia" w:ascii="仿宋" w:hAnsi="仿宋" w:eastAsia="仿宋" w:cs="仿宋"/>
          <w:color w:val="000000"/>
          <w:sz w:val="32"/>
          <w:szCs w:val="32"/>
          <w:lang w:bidi="ar"/>
        </w:rPr>
        <w:t>组织完成3批170个建设项目环评文件和2批120个建设项目竣工环保自主验收复查工作，为省厅提升环评文件和竣工验收文件的质量，规范监督管理提供了强有力的技术支撑。</w:t>
      </w:r>
    </w:p>
    <w:p>
      <w:pPr>
        <w:keepNext w:val="0"/>
        <w:keepLines w:val="0"/>
        <w:pageBreakBefore w:val="0"/>
        <w:kinsoku/>
        <w:wordWrap/>
        <w:overflowPunct/>
        <w:topLinePunct w:val="0"/>
        <w:autoSpaceDE w:val="0"/>
        <w:autoSpaceDN w:val="0"/>
        <w:bidi w:val="0"/>
        <w:adjustRightInd w:val="0"/>
        <w:snapToGrid/>
        <w:spacing w:line="60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（三）夯实数据基础，全面提升信息化能力与水平。</w:t>
      </w:r>
    </w:p>
    <w:p>
      <w:pPr>
        <w:keepNext w:val="0"/>
        <w:keepLines w:val="0"/>
        <w:pageBreakBefore w:val="0"/>
        <w:kinsoku/>
        <w:wordWrap/>
        <w:overflowPunct/>
        <w:topLinePunct w:val="0"/>
        <w:autoSpaceDE w:val="0"/>
        <w:autoSpaceDN w:val="0"/>
        <w:bidi w:val="0"/>
        <w:adjustRightInd w:val="0"/>
        <w:snapToGrid/>
        <w:spacing w:line="600" w:lineRule="exact"/>
        <w:ind w:leftChars="0"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建成生态环境大数据资源中心，迈入全国先进行列，我省生态环境信息化建设能力与水平显著提升，数据共享量在省直单位中排名第一，2021年12月入选湖南省委网信办、省政府发展研究中心联合发布的《湖南省大数据白皮书（政务类）》典型案例，同月获评中国通信工业协会“2021智慧环保示范项目奖”；大数据项目（一期）得到生态环境部专家肯定并完成终验，信息化体系逐步完善，为服务经济社会高质量发展和高水平生态环境保护打下良好基础；省部共建《湖南省生态环境保护信息化试点工作方案》通过省部级专家组评审；网络安全工作获评2020年度全省网络安全工作责任制考核优秀单位。</w:t>
      </w:r>
    </w:p>
    <w:p>
      <w:pPr>
        <w:keepNext w:val="0"/>
        <w:keepLines w:val="0"/>
        <w:pageBreakBefore w:val="0"/>
        <w:kinsoku/>
        <w:wordWrap/>
        <w:overflowPunct/>
        <w:topLinePunct w:val="0"/>
        <w:bidi w:val="0"/>
        <w:snapToGrid/>
        <w:spacing w:line="60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（四）服务决策支撑，全面深化重大环境政策研究。</w:t>
      </w:r>
    </w:p>
    <w:p>
      <w:pPr>
        <w:keepNext w:val="0"/>
        <w:keepLines w:val="0"/>
        <w:pageBreakBefore w:val="0"/>
        <w:kinsoku/>
        <w:wordWrap/>
        <w:overflowPunct/>
        <w:topLinePunct w:val="0"/>
        <w:bidi w:val="0"/>
        <w:snapToGrid/>
        <w:spacing w:line="600" w:lineRule="exact"/>
        <w:ind w:leftChars="0" w:firstLine="640" w:firstLineChars="200"/>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sz w:val="32"/>
          <w:szCs w:val="32"/>
        </w:rPr>
        <w:t>借力省生态环境保护专家委员会平台，率先在全国开展生态环保垂改体制研究，组织国务院发展研究中心和生态环境部等单位50余名专家咨询论证，研究报告得到生态环境部专家和厅主要领导充分肯定；高质量完成《“十四五”生态环境保护规划》咨询论证、环保实用技术和宁乡工业园国家级生态工业园评审；创新开展建设用地土壤污染治理行业指导价编制工作；深入研究钢铁冶炼行业铊污染防治、洞庭湖农业面源总磷控制、长株潭PM2.5与臭氧联防联控、低碳和生态环境管理技术等突出生态环境问题。洞庭湖区域农村入河（湖）总磷排放和钢铁冶炼行业铊污染问题研究课题获2022年环保科研立项。</w:t>
      </w:r>
    </w:p>
    <w:p>
      <w:pPr>
        <w:keepNext w:val="0"/>
        <w:keepLines w:val="0"/>
        <w:pageBreakBefore w:val="0"/>
        <w:kinsoku/>
        <w:wordWrap/>
        <w:overflowPunct/>
        <w:topLinePunct w:val="0"/>
        <w:bidi w:val="0"/>
        <w:snapToGrid/>
        <w:spacing w:line="60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（五）筑牢管理基础，不断完善全省生态环境标准体系。</w:t>
      </w:r>
    </w:p>
    <w:p>
      <w:pPr>
        <w:keepNext w:val="0"/>
        <w:keepLines w:val="0"/>
        <w:pageBreakBefore w:val="0"/>
        <w:kinsoku/>
        <w:wordWrap/>
        <w:overflowPunct/>
        <w:topLinePunct w:val="0"/>
        <w:autoSpaceDE w:val="0"/>
        <w:autoSpaceDN w:val="0"/>
        <w:bidi w:val="0"/>
        <w:adjustRightInd w:val="0"/>
        <w:snapToGrid/>
        <w:spacing w:line="600" w:lineRule="exact"/>
        <w:ind w:leftChars="0"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认真学习党章宪法，落实民主集中制，持续加强制度建设，完善运行机制，筑牢履职之基。制定、修订了《事务中心党委工作规则（试行）》《“三重一大”事项决策制度》《固定资产管理制度》《采购管理制度（试行）》《财务管理制度》《网站运行管理办法（试行）》《&lt;湖南生态环境&gt;杂志编辑出版管理办法》等10余项制度，以刚性的制度管人管事成效明显，工作中抓重点、攻难点、出亮点，执行力显著提升，确保高质量完成上级交办的各项任务。充分发挥标委会和创</w:t>
      </w:r>
      <w:r>
        <w:rPr>
          <w:rFonts w:hint="eastAsia" w:ascii="仿宋" w:hAnsi="仿宋" w:eastAsia="仿宋" w:cs="仿宋"/>
          <w:color w:val="000000"/>
          <w:spacing w:val="-11"/>
          <w:sz w:val="32"/>
          <w:szCs w:val="32"/>
        </w:rPr>
        <w:t>新中心（今年正式挂牌）“智囊团”作用，</w:t>
      </w:r>
      <w:r>
        <w:rPr>
          <w:rFonts w:hint="eastAsia" w:ascii="仿宋" w:hAnsi="仿宋" w:eastAsia="仿宋" w:cs="仿宋"/>
          <w:color w:val="000000"/>
          <w:spacing w:val="-11"/>
          <w:sz w:val="32"/>
          <w:szCs w:val="32"/>
          <w:lang w:eastAsia="zh-Hans"/>
        </w:rPr>
        <w:t>积极服务全省生态环境保护。</w:t>
      </w:r>
      <w:r>
        <w:rPr>
          <w:rFonts w:hint="eastAsia" w:ascii="仿宋" w:hAnsi="仿宋" w:eastAsia="仿宋" w:cs="仿宋"/>
          <w:color w:val="000000"/>
          <w:sz w:val="32"/>
          <w:szCs w:val="32"/>
        </w:rPr>
        <w:t>组织开展了《污染源排放废水锰、铅、镉在线监测系统技术规范》等多个标准评估审核，</w:t>
      </w:r>
      <w:r>
        <w:rPr>
          <w:rFonts w:hint="eastAsia" w:ascii="仿宋" w:hAnsi="仿宋" w:eastAsia="仿宋" w:cs="仿宋"/>
          <w:color w:val="000000"/>
          <w:spacing w:val="-11"/>
          <w:sz w:val="32"/>
          <w:szCs w:val="32"/>
        </w:rPr>
        <w:t>编制、修订了《湖南省地方生态环境标准建设发展规划（2021-2025）》</w:t>
      </w:r>
      <w:bookmarkStart w:id="4" w:name="_Hlk90458197"/>
      <w:r>
        <w:rPr>
          <w:rFonts w:hint="eastAsia" w:ascii="仿宋" w:hAnsi="仿宋" w:eastAsia="仿宋" w:cs="仿宋"/>
          <w:color w:val="000000"/>
          <w:sz w:val="32"/>
          <w:szCs w:val="32"/>
        </w:rPr>
        <w:t>《环境空气臭氧监测逐级校准技术规范》（已发布）《湖南省农用地土壤重金属污染修复治理效果评价方法》《工业废水铊</w:t>
      </w:r>
      <w:r>
        <w:rPr>
          <w:rFonts w:hint="eastAsia" w:ascii="仿宋" w:hAnsi="仿宋" w:eastAsia="仿宋" w:cs="仿宋"/>
          <w:color w:val="000000"/>
          <w:spacing w:val="-11"/>
          <w:sz w:val="32"/>
          <w:szCs w:val="32"/>
        </w:rPr>
        <w:t>污染物排放标准》</w:t>
      </w:r>
      <w:bookmarkEnd w:id="4"/>
      <w:r>
        <w:rPr>
          <w:rFonts w:hint="eastAsia" w:ascii="仿宋" w:hAnsi="仿宋" w:eastAsia="仿宋" w:cs="仿宋"/>
          <w:color w:val="000000"/>
          <w:spacing w:val="-11"/>
          <w:sz w:val="32"/>
          <w:szCs w:val="32"/>
        </w:rPr>
        <w:t>，填补了我省地方生态环境标准领域的空白。</w:t>
      </w:r>
    </w:p>
    <w:p>
      <w:pPr>
        <w:keepNext w:val="0"/>
        <w:keepLines w:val="0"/>
        <w:pageBreakBefore w:val="0"/>
        <w:kinsoku/>
        <w:wordWrap/>
        <w:overflowPunct/>
        <w:topLinePunct w:val="0"/>
        <w:autoSpaceDE w:val="0"/>
        <w:autoSpaceDN w:val="0"/>
        <w:bidi w:val="0"/>
        <w:adjustRightInd w:val="0"/>
        <w:snapToGrid/>
        <w:spacing w:line="60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（六）健全监管体系，充分发挥排污许可核心作用。</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color w:val="000000"/>
          <w:sz w:val="32"/>
          <w:szCs w:val="32"/>
        </w:rPr>
        <w:t>编制《湖南省排污许可管理规程》，进一步规范我省核发权限、工作流程及证后管理要求。完成1042家重点管理排污许可证和9000余个年度执行报告的审查，发现的929家排污许可证书问题已基本整改到位。完成证后管理专项检查、中央环保督察铸造企业工业炉窑调查和信访交办件常德市7家企业现场检查，向执法部门移交有关线索，总结水泥等8个重点行业证后管理工作报告，提出切实可行的工作措施。以《排污许可管理条例》为主要宣传内容，通过媒体报道、新闻采访、有奖答题、培训教育等方式不断强化企业排污主体责任意识，加强社会监督管理。</w:t>
      </w:r>
    </w:p>
    <w:p>
      <w:pPr>
        <w:keepNext w:val="0"/>
        <w:keepLines w:val="0"/>
        <w:pageBreakBefore w:val="0"/>
        <w:widowControl/>
        <w:numPr>
          <w:ilvl w:val="0"/>
          <w:numId w:val="5"/>
        </w:numPr>
        <w:kinsoku/>
        <w:wordWrap/>
        <w:overflowPunct/>
        <w:topLinePunct w:val="0"/>
        <w:bidi w:val="0"/>
        <w:spacing w:line="600" w:lineRule="exact"/>
        <w:ind w:firstLine="640" w:firstLineChars="200"/>
        <w:jc w:val="left"/>
        <w:textAlignment w:val="auto"/>
        <w:rPr>
          <w:rFonts w:hint="eastAsia" w:ascii="黑体" w:hAnsi="黑体" w:eastAsia="黑体"/>
          <w:sz w:val="32"/>
          <w:szCs w:val="32"/>
        </w:rPr>
      </w:pPr>
      <w:r>
        <w:rPr>
          <w:rFonts w:hint="eastAsia" w:ascii="黑体" w:hAnsi="黑体" w:eastAsia="黑体"/>
          <w:sz w:val="32"/>
          <w:szCs w:val="32"/>
        </w:rPr>
        <w:t>存在的主要问题及下一步改进措施</w:t>
      </w:r>
    </w:p>
    <w:p>
      <w:pPr>
        <w:keepNext w:val="0"/>
        <w:keepLines w:val="0"/>
        <w:pageBreakBefore w:val="0"/>
        <w:kinsoku/>
        <w:wordWrap/>
        <w:overflowPunct/>
        <w:topLinePunct w:val="0"/>
        <w:bidi w:val="0"/>
        <w:spacing w:line="600" w:lineRule="exact"/>
        <w:ind w:firstLine="640" w:firstLineChars="200"/>
        <w:jc w:val="both"/>
        <w:textAlignment w:val="auto"/>
        <w:outlineLvl w:val="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lang w:eastAsia="zh-CN"/>
        </w:rPr>
        <w:t>（</w:t>
      </w:r>
      <w:r>
        <w:rPr>
          <w:rFonts w:hint="eastAsia" w:ascii="仿宋_GB2312" w:hAnsi="仿宋_GB2312" w:eastAsia="仿宋_GB2312" w:cs="仿宋_GB2312"/>
          <w:b/>
          <w:color w:val="auto"/>
          <w:kern w:val="0"/>
          <w:sz w:val="32"/>
          <w:szCs w:val="32"/>
          <w:lang w:val="en-US" w:eastAsia="zh-CN"/>
        </w:rPr>
        <w:t>一</w:t>
      </w:r>
      <w:r>
        <w:rPr>
          <w:rFonts w:hint="eastAsia" w:ascii="仿宋_GB2312" w:hAnsi="仿宋_GB2312" w:eastAsia="仿宋_GB2312" w:cs="仿宋_GB2312"/>
          <w:b/>
          <w:color w:val="auto"/>
          <w:kern w:val="0"/>
          <w:sz w:val="32"/>
          <w:szCs w:val="32"/>
          <w:lang w:eastAsia="zh-CN"/>
        </w:rPr>
        <w:t>）</w:t>
      </w:r>
      <w:r>
        <w:rPr>
          <w:rFonts w:hint="eastAsia" w:ascii="仿宋_GB2312" w:hAnsi="仿宋_GB2312" w:eastAsia="仿宋_GB2312" w:cs="仿宋_GB2312"/>
          <w:b/>
          <w:color w:val="auto"/>
          <w:kern w:val="0"/>
          <w:sz w:val="32"/>
          <w:szCs w:val="32"/>
        </w:rPr>
        <w:t>存在的问题及原因分析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600" w:lineRule="exact"/>
        <w:ind w:left="0" w:right="0" w:firstLine="732" w:firstLineChars="200"/>
        <w:jc w:val="left"/>
        <w:textAlignment w:val="auto"/>
        <w:outlineLvl w:val="9"/>
        <w:rPr>
          <w:rFonts w:hint="eastAsia" w:ascii="仿宋" w:hAnsi="仿宋" w:eastAsia="仿宋" w:cs="仿宋"/>
          <w:b w:val="0"/>
          <w:i w:val="0"/>
          <w:caps w:val="0"/>
          <w:color w:val="131313"/>
          <w:spacing w:val="23"/>
          <w:sz w:val="32"/>
          <w:szCs w:val="32"/>
        </w:rPr>
      </w:pPr>
      <w:r>
        <w:rPr>
          <w:rFonts w:hint="eastAsia" w:ascii="仿宋" w:hAnsi="仿宋" w:eastAsia="仿宋" w:cs="仿宋"/>
          <w:b w:val="0"/>
          <w:i w:val="0"/>
          <w:caps w:val="0"/>
          <w:color w:val="131313"/>
          <w:spacing w:val="23"/>
          <w:kern w:val="0"/>
          <w:sz w:val="32"/>
          <w:szCs w:val="32"/>
          <w:shd w:val="clear" w:color="auto" w:fill="FFFFFF"/>
          <w:lang w:val="en-US" w:eastAsia="zh-CN" w:bidi="ar"/>
        </w:rPr>
        <w:t>1、预算编制工作有待细化。预算编制不够明确和细化，预算编制的合理性及执行力有待进一步提高，维持预算的严肃性和权威性有待进一步加强。项目专项资金管理和使用有待进一步细化和加强。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600" w:lineRule="exact"/>
        <w:ind w:left="0" w:right="0" w:firstLine="732" w:firstLineChars="200"/>
        <w:jc w:val="left"/>
        <w:textAlignment w:val="auto"/>
        <w:outlineLvl w:val="9"/>
        <w:rPr>
          <w:rFonts w:hint="eastAsia" w:ascii="仿宋" w:hAnsi="仿宋" w:eastAsia="仿宋" w:cs="仿宋"/>
          <w:b w:val="0"/>
          <w:i w:val="0"/>
          <w:caps w:val="0"/>
          <w:color w:val="131313"/>
          <w:spacing w:val="23"/>
          <w:sz w:val="32"/>
          <w:szCs w:val="32"/>
        </w:rPr>
      </w:pPr>
      <w:r>
        <w:rPr>
          <w:rFonts w:hint="eastAsia" w:ascii="仿宋" w:hAnsi="仿宋" w:eastAsia="仿宋" w:cs="仿宋"/>
          <w:b w:val="0"/>
          <w:i w:val="0"/>
          <w:caps w:val="0"/>
          <w:color w:val="131313"/>
          <w:spacing w:val="23"/>
          <w:kern w:val="0"/>
          <w:sz w:val="32"/>
          <w:szCs w:val="32"/>
          <w:shd w:val="clear" w:color="auto" w:fill="FFFFFF"/>
          <w:lang w:val="en-US" w:eastAsia="zh-CN" w:bidi="ar"/>
        </w:rPr>
        <w:t>2、绩效考核指标有待标准化。缺乏完善的绩效评价体系，预算绩效问责与激励制度还没完全建立，绩效评价对于优化、促进预算管理的作用还没有得到充分体现。</w:t>
      </w:r>
    </w:p>
    <w:p>
      <w:pPr>
        <w:keepNext w:val="0"/>
        <w:keepLines w:val="0"/>
        <w:pageBreakBefore w:val="0"/>
        <w:widowControl/>
        <w:kinsoku/>
        <w:wordWrap/>
        <w:overflowPunct/>
        <w:topLinePunct w:val="0"/>
        <w:autoSpaceDE/>
        <w:autoSpaceDN/>
        <w:bidi w:val="0"/>
        <w:adjustRightInd/>
        <w:snapToGrid/>
        <w:spacing w:line="600" w:lineRule="exact"/>
        <w:ind w:firstLine="732" w:firstLineChars="200"/>
        <w:jc w:val="left"/>
        <w:textAlignment w:val="auto"/>
        <w:outlineLvl w:val="9"/>
        <w:rPr>
          <w:rFonts w:hint="default" w:ascii="仿宋_GB2312" w:hAnsi="仿宋_GB2312" w:eastAsia="仿宋_GB2312" w:cs="仿宋_GB2312"/>
          <w:color w:val="auto"/>
          <w:sz w:val="32"/>
          <w:szCs w:val="32"/>
          <w:lang w:val="en-US" w:eastAsia="zh-CN"/>
        </w:rPr>
      </w:pPr>
      <w:r>
        <w:rPr>
          <w:rFonts w:hint="eastAsia" w:ascii="仿宋" w:hAnsi="仿宋" w:eastAsia="仿宋" w:cs="仿宋"/>
          <w:b w:val="0"/>
          <w:i w:val="0"/>
          <w:caps w:val="0"/>
          <w:color w:val="131313"/>
          <w:spacing w:val="23"/>
          <w:kern w:val="0"/>
          <w:sz w:val="32"/>
          <w:szCs w:val="32"/>
          <w:shd w:val="clear" w:color="auto" w:fill="FFFFFF"/>
          <w:lang w:val="en-US" w:eastAsia="zh-CN" w:bidi="ar"/>
        </w:rPr>
        <w:t>3、制度建设有待进一步完善。需进一步完善中心财务制度体系和绩效评价体系，使各项财务工作有章可循，为提升财务服务质量提供制度保障。</w:t>
      </w:r>
    </w:p>
    <w:p>
      <w:pPr>
        <w:keepNext w:val="0"/>
        <w:keepLines w:val="0"/>
        <w:pageBreakBefore w:val="0"/>
        <w:kinsoku/>
        <w:wordWrap/>
        <w:overflowPunct/>
        <w:topLinePunct w:val="0"/>
        <w:bidi w:val="0"/>
        <w:spacing w:line="600" w:lineRule="exact"/>
        <w:ind w:left="0" w:leftChars="0" w:firstLine="640" w:firstLineChars="200"/>
        <w:jc w:val="both"/>
        <w:textAlignment w:val="auto"/>
        <w:outlineLvl w:val="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lang w:eastAsia="zh-CN"/>
        </w:rPr>
        <w:t>（</w:t>
      </w:r>
      <w:r>
        <w:rPr>
          <w:rFonts w:hint="eastAsia" w:ascii="仿宋_GB2312" w:hAnsi="仿宋_GB2312" w:eastAsia="仿宋_GB2312" w:cs="仿宋_GB2312"/>
          <w:b/>
          <w:color w:val="auto"/>
          <w:kern w:val="0"/>
          <w:sz w:val="32"/>
          <w:szCs w:val="32"/>
          <w:lang w:val="en-US" w:eastAsia="zh-CN"/>
        </w:rPr>
        <w:t>二</w:t>
      </w:r>
      <w:r>
        <w:rPr>
          <w:rFonts w:hint="eastAsia" w:ascii="仿宋_GB2312" w:hAnsi="仿宋_GB2312" w:eastAsia="仿宋_GB2312" w:cs="仿宋_GB2312"/>
          <w:b/>
          <w:color w:val="auto"/>
          <w:kern w:val="0"/>
          <w:sz w:val="32"/>
          <w:szCs w:val="32"/>
          <w:lang w:eastAsia="zh-CN"/>
        </w:rPr>
        <w:t>）</w:t>
      </w:r>
      <w:r>
        <w:rPr>
          <w:rFonts w:hint="eastAsia" w:ascii="仿宋_GB2312" w:hAnsi="仿宋_GB2312" w:eastAsia="仿宋_GB2312" w:cs="仿宋_GB2312"/>
          <w:b/>
          <w:color w:val="auto"/>
          <w:kern w:val="0"/>
          <w:sz w:val="32"/>
          <w:szCs w:val="32"/>
        </w:rPr>
        <w:t>下一步改进措施</w:t>
      </w:r>
    </w:p>
    <w:p>
      <w:pPr>
        <w:pStyle w:val="14"/>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jc w:val="both"/>
        <w:textAlignment w:val="auto"/>
        <w:outlineLvl w:val="9"/>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shd w:val="clear" w:color="auto" w:fill="auto"/>
          <w:lang w:val="en-US" w:eastAsia="zh-CN"/>
        </w:rPr>
        <w:t>1、加快预算执行力度。20</w:t>
      </w:r>
      <w:r>
        <w:rPr>
          <w:rFonts w:hint="eastAsia" w:ascii="仿宋_GB2312" w:hAnsi="仿宋_GB2312" w:cs="仿宋_GB2312"/>
          <w:color w:val="auto"/>
          <w:sz w:val="32"/>
          <w:szCs w:val="32"/>
          <w:shd w:val="clear" w:color="auto" w:fill="auto"/>
          <w:lang w:val="en-US" w:eastAsia="zh-CN"/>
        </w:rPr>
        <w:t>22</w:t>
      </w:r>
      <w:r>
        <w:rPr>
          <w:rFonts w:hint="eastAsia" w:ascii="仿宋_GB2312" w:hAnsi="仿宋_GB2312" w:eastAsia="仿宋_GB2312" w:cs="仿宋_GB2312"/>
          <w:color w:val="auto"/>
          <w:sz w:val="32"/>
          <w:szCs w:val="32"/>
          <w:shd w:val="clear" w:color="auto" w:fill="auto"/>
          <w:lang w:val="en-US" w:eastAsia="zh-CN"/>
        </w:rPr>
        <w:t>年将继续加强资金支付管理，同时，加强部门之间的沟通与协调，提高资金支付执行率。</w:t>
      </w:r>
    </w:p>
    <w:p>
      <w:pPr>
        <w:pStyle w:val="25"/>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outlineLvl w:val="9"/>
        <w:rPr>
          <w:rFonts w:hint="eastAsia" w:ascii="仿宋_GB2312" w:hAnsi="仿宋_GB2312" w:eastAsia="仿宋_GB2312" w:cs="仿宋_GB2312"/>
          <w:color w:val="auto"/>
          <w:shd w:val="clear" w:color="auto" w:fill="auto"/>
        </w:rPr>
      </w:pPr>
      <w:r>
        <w:rPr>
          <w:rFonts w:hint="eastAsia" w:ascii="仿宋_GB2312" w:hAnsi="仿宋_GB2312" w:eastAsia="仿宋_GB2312" w:cs="仿宋_GB2312"/>
          <w:color w:val="auto"/>
          <w:sz w:val="32"/>
          <w:szCs w:val="32"/>
          <w:shd w:val="clear" w:color="auto" w:fill="auto"/>
          <w:lang w:val="en-US" w:eastAsia="zh-CN"/>
        </w:rPr>
        <w:t>2、针对本</w:t>
      </w:r>
      <w:r>
        <w:rPr>
          <w:rFonts w:hint="eastAsia" w:ascii="仿宋_GB2312" w:hAnsi="仿宋_GB2312" w:cs="仿宋_GB2312"/>
          <w:color w:val="auto"/>
          <w:sz w:val="32"/>
          <w:szCs w:val="32"/>
          <w:shd w:val="clear" w:color="auto" w:fill="auto"/>
          <w:lang w:val="en-US" w:eastAsia="zh-CN"/>
        </w:rPr>
        <w:t>中心</w:t>
      </w:r>
      <w:r>
        <w:rPr>
          <w:rFonts w:hint="eastAsia" w:ascii="仿宋_GB2312" w:hAnsi="仿宋_GB2312" w:eastAsia="仿宋_GB2312" w:cs="仿宋_GB2312"/>
          <w:color w:val="auto"/>
          <w:sz w:val="32"/>
          <w:szCs w:val="32"/>
          <w:shd w:val="clear" w:color="auto" w:fill="auto"/>
          <w:lang w:val="en-US" w:eastAsia="zh-CN"/>
        </w:rPr>
        <w:t>项目执行过程长而存在跨年支付现象，对预算项目制定项目执行进度表，进行月资金调度，并在月例会上通报，</w:t>
      </w:r>
      <w:r>
        <w:rPr>
          <w:rFonts w:hint="eastAsia" w:ascii="仿宋_GB2312" w:hAnsi="仿宋_GB2312" w:eastAsia="仿宋_GB2312" w:cs="仿宋_GB2312"/>
          <w:color w:val="auto"/>
          <w:szCs w:val="32"/>
          <w:shd w:val="clear" w:color="auto" w:fill="auto"/>
          <w:lang w:val="en-US" w:eastAsia="zh-CN"/>
        </w:rPr>
        <w:t>对预算执行率低的项目进行专题讨论，并提出相应的解决办法。对因客观原因确实无法使用的项目资金，及时</w:t>
      </w:r>
      <w:r>
        <w:rPr>
          <w:rFonts w:hint="eastAsia" w:ascii="仿宋_GB2312" w:hAnsi="仿宋_GB2312" w:eastAsia="仿宋_GB2312" w:cs="仿宋_GB2312"/>
          <w:color w:val="auto"/>
          <w:szCs w:val="32"/>
          <w:shd w:val="clear" w:color="auto" w:fill="auto"/>
          <w:lang w:eastAsia="zh-CN"/>
        </w:rPr>
        <w:t>向</w:t>
      </w:r>
      <w:r>
        <w:rPr>
          <w:rFonts w:hint="eastAsia" w:ascii="仿宋_GB2312" w:hAnsi="仿宋_GB2312" w:cs="仿宋_GB2312"/>
          <w:color w:val="auto"/>
          <w:szCs w:val="32"/>
          <w:shd w:val="clear" w:color="auto" w:fill="auto"/>
          <w:lang w:val="en-US" w:eastAsia="zh-CN"/>
        </w:rPr>
        <w:t>中心</w:t>
      </w:r>
      <w:r>
        <w:rPr>
          <w:rFonts w:hint="eastAsia" w:ascii="仿宋_GB2312" w:hAnsi="仿宋_GB2312" w:eastAsia="仿宋_GB2312" w:cs="仿宋_GB2312"/>
          <w:color w:val="auto"/>
          <w:szCs w:val="32"/>
          <w:shd w:val="clear" w:color="auto" w:fill="auto"/>
          <w:lang w:eastAsia="zh-CN"/>
        </w:rPr>
        <w:t>领导和</w:t>
      </w:r>
      <w:r>
        <w:rPr>
          <w:rFonts w:hint="eastAsia" w:ascii="仿宋_GB2312" w:hAnsi="仿宋_GB2312" w:cs="仿宋_GB2312"/>
          <w:color w:val="auto"/>
          <w:szCs w:val="32"/>
          <w:shd w:val="clear" w:color="auto" w:fill="auto"/>
          <w:lang w:val="en-US" w:eastAsia="zh-CN"/>
        </w:rPr>
        <w:t>厅科</w:t>
      </w:r>
      <w:r>
        <w:rPr>
          <w:rFonts w:hint="eastAsia" w:ascii="仿宋_GB2312" w:hAnsi="仿宋_GB2312" w:eastAsia="仿宋_GB2312" w:cs="仿宋_GB2312"/>
          <w:color w:val="auto"/>
          <w:szCs w:val="32"/>
          <w:shd w:val="clear" w:color="auto" w:fill="auto"/>
          <w:lang w:eastAsia="zh-CN"/>
        </w:rPr>
        <w:t>财进行报告，以便及时调整预算，更好地盘活资金。</w:t>
      </w:r>
    </w:p>
    <w:p>
      <w:pPr>
        <w:keepNext w:val="0"/>
        <w:keepLines w:val="0"/>
        <w:pageBreakBefore w:val="0"/>
        <w:widowControl/>
        <w:numPr>
          <w:ilvl w:val="0"/>
          <w:numId w:val="6"/>
        </w:numPr>
        <w:kinsoku/>
        <w:wordWrap/>
        <w:overflowPunct/>
        <w:topLinePunct w:val="0"/>
        <w:bidi w:val="0"/>
        <w:spacing w:line="600" w:lineRule="exact"/>
        <w:ind w:left="0" w:leftChars="0" w:firstLine="640" w:firstLineChars="200"/>
        <w:jc w:val="both"/>
        <w:textAlignment w:val="auto"/>
        <w:rPr>
          <w:rFonts w:hint="eastAsia" w:ascii="黑体" w:hAnsi="黑体" w:eastAsia="黑体"/>
          <w:color w:val="auto"/>
          <w:sz w:val="32"/>
          <w:szCs w:val="32"/>
        </w:rPr>
      </w:pPr>
      <w:r>
        <w:rPr>
          <w:rFonts w:hint="eastAsia" w:ascii="黑体" w:hAnsi="黑体" w:eastAsia="黑体"/>
          <w:color w:val="auto"/>
          <w:sz w:val="32"/>
          <w:szCs w:val="32"/>
        </w:rPr>
        <w:t>绩效自评结果拟应用和公开情况</w:t>
      </w:r>
    </w:p>
    <w:p>
      <w:pPr>
        <w:keepNext w:val="0"/>
        <w:keepLines w:val="0"/>
        <w:pageBreakBefore w:val="0"/>
        <w:kinsoku/>
        <w:wordWrap/>
        <w:overflowPunct/>
        <w:topLinePunct w:val="0"/>
        <w:bidi w:val="0"/>
        <w:spacing w:line="600" w:lineRule="exact"/>
        <w:ind w:left="0" w:leftChars="0" w:firstLine="640" w:firstLineChars="200"/>
        <w:jc w:val="both"/>
        <w:textAlignment w:val="auto"/>
        <w:rPr>
          <w:rFonts w:hint="eastAsia" w:ascii="仿宋" w:hAnsi="仿宋" w:eastAsia="仿宋"/>
          <w:color w:val="auto"/>
          <w:sz w:val="32"/>
          <w:szCs w:val="32"/>
        </w:rPr>
      </w:pPr>
      <w:r>
        <w:rPr>
          <w:rFonts w:hint="eastAsia" w:ascii="仿宋" w:hAnsi="仿宋" w:eastAsia="仿宋"/>
          <w:color w:val="auto"/>
          <w:sz w:val="32"/>
          <w:szCs w:val="32"/>
        </w:rPr>
        <w:t>根据绩效自评结果，合理编制下一年度预算，保障各项工作正常开展，严格执行相关规定和制度。</w:t>
      </w:r>
    </w:p>
    <w:p>
      <w:pPr>
        <w:keepNext w:val="0"/>
        <w:keepLines w:val="0"/>
        <w:pageBreakBefore w:val="0"/>
        <w:kinsoku/>
        <w:wordWrap/>
        <w:overflowPunct/>
        <w:topLinePunct w:val="0"/>
        <w:bidi w:val="0"/>
        <w:spacing w:line="600" w:lineRule="exact"/>
        <w:ind w:left="0" w:leftChars="0" w:firstLine="640" w:firstLineChars="200"/>
        <w:jc w:val="both"/>
        <w:textAlignment w:val="auto"/>
        <w:rPr>
          <w:rFonts w:hint="eastAsia"/>
          <w:color w:val="auto"/>
        </w:rPr>
      </w:pPr>
      <w:r>
        <w:rPr>
          <w:rFonts w:hint="eastAsia" w:ascii="仿宋" w:hAnsi="仿宋" w:eastAsia="仿宋"/>
          <w:color w:val="auto"/>
          <w:sz w:val="32"/>
          <w:szCs w:val="32"/>
        </w:rPr>
        <w:t>绩效自评结果将在</w:t>
      </w:r>
      <w:r>
        <w:rPr>
          <w:rFonts w:hint="eastAsia" w:ascii="仿宋" w:hAnsi="仿宋" w:eastAsia="仿宋"/>
          <w:color w:val="auto"/>
          <w:sz w:val="32"/>
          <w:szCs w:val="32"/>
          <w:lang w:val="en-US" w:eastAsia="zh-CN"/>
        </w:rPr>
        <w:t>事务中心</w:t>
      </w:r>
      <w:r>
        <w:rPr>
          <w:rFonts w:hint="eastAsia" w:ascii="仿宋" w:hAnsi="仿宋" w:eastAsia="仿宋"/>
          <w:color w:val="auto"/>
          <w:sz w:val="32"/>
          <w:szCs w:val="32"/>
        </w:rPr>
        <w:t>网</w:t>
      </w:r>
      <w:r>
        <w:rPr>
          <w:rFonts w:hint="eastAsia" w:ascii="仿宋" w:hAnsi="仿宋" w:eastAsia="仿宋"/>
          <w:color w:val="auto"/>
          <w:sz w:val="32"/>
          <w:szCs w:val="32"/>
          <w:lang w:val="en-US" w:eastAsia="zh-CN"/>
        </w:rPr>
        <w:t>站</w:t>
      </w:r>
      <w:r>
        <w:rPr>
          <w:rFonts w:hint="eastAsia" w:ascii="仿宋" w:hAnsi="仿宋" w:eastAsia="仿宋"/>
          <w:color w:val="auto"/>
          <w:sz w:val="32"/>
          <w:szCs w:val="32"/>
        </w:rPr>
        <w:t>进行公开。</w:t>
      </w:r>
    </w:p>
    <w:p>
      <w:pPr>
        <w:keepNext w:val="0"/>
        <w:keepLines w:val="0"/>
        <w:pageBreakBefore w:val="0"/>
        <w:widowControl/>
        <w:kinsoku/>
        <w:wordWrap/>
        <w:overflowPunct/>
        <w:topLinePunct w:val="0"/>
        <w:bidi w:val="0"/>
        <w:spacing w:line="600" w:lineRule="exact"/>
        <w:ind w:left="0" w:leftChars="0" w:firstLine="640" w:firstLineChars="200"/>
        <w:jc w:val="both"/>
        <w:textAlignment w:val="auto"/>
        <w:rPr>
          <w:rFonts w:hint="eastAsia" w:ascii="黑体" w:hAnsi="黑体" w:eastAsia="黑体"/>
          <w:color w:val="auto"/>
          <w:sz w:val="32"/>
          <w:szCs w:val="32"/>
        </w:rPr>
      </w:pPr>
      <w:r>
        <w:rPr>
          <w:rFonts w:hint="eastAsia" w:ascii="黑体" w:hAnsi="黑体" w:eastAsia="黑体"/>
          <w:color w:val="auto"/>
          <w:sz w:val="32"/>
          <w:szCs w:val="32"/>
        </w:rPr>
        <w:t>七、其他需要说明的情况</w:t>
      </w:r>
    </w:p>
    <w:p>
      <w:pPr>
        <w:keepNext w:val="0"/>
        <w:keepLines w:val="0"/>
        <w:pageBreakBefore w:val="0"/>
        <w:widowControl/>
        <w:kinsoku/>
        <w:wordWrap/>
        <w:overflowPunct/>
        <w:topLinePunct w:val="0"/>
        <w:bidi w:val="0"/>
        <w:spacing w:line="600" w:lineRule="exact"/>
        <w:ind w:left="0" w:leftChars="0" w:firstLine="640" w:firstLineChars="200"/>
        <w:jc w:val="both"/>
        <w:textAlignment w:val="auto"/>
        <w:rPr>
          <w:rFonts w:hint="eastAsia" w:eastAsia="黑体"/>
          <w:color w:val="auto"/>
          <w:sz w:val="32"/>
          <w:szCs w:val="32"/>
          <w:lang w:eastAsia="zh-CN"/>
        </w:rPr>
      </w:pPr>
      <w:r>
        <w:rPr>
          <w:rFonts w:hint="eastAsia" w:eastAsia="黑体"/>
          <w:color w:val="auto"/>
          <w:sz w:val="32"/>
          <w:szCs w:val="32"/>
          <w:lang w:eastAsia="zh-CN"/>
        </w:rPr>
        <w:t>无。</w:t>
      </w:r>
    </w:p>
    <w:p>
      <w:pPr>
        <w:pStyle w:val="14"/>
        <w:keepNext w:val="0"/>
        <w:keepLines w:val="0"/>
        <w:pageBreakBefore w:val="0"/>
        <w:kinsoku/>
        <w:wordWrap/>
        <w:overflowPunct/>
        <w:topLinePunct w:val="0"/>
        <w:bidi w:val="0"/>
        <w:spacing w:line="560" w:lineRule="exact"/>
        <w:ind w:left="0" w:leftChars="0" w:firstLine="640" w:firstLineChars="200"/>
        <w:jc w:val="both"/>
        <w:rPr>
          <w:rFonts w:hint="eastAsia" w:eastAsia="黑体"/>
          <w:color w:val="auto"/>
          <w:sz w:val="32"/>
          <w:szCs w:val="32"/>
          <w:lang w:eastAsia="zh-CN"/>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1B82C9"/>
    <w:multiLevelType w:val="singleLevel"/>
    <w:tmpl w:val="B31B82C9"/>
    <w:lvl w:ilvl="0" w:tentative="0">
      <w:start w:val="1"/>
      <w:numFmt w:val="decimal"/>
      <w:suff w:val="nothing"/>
      <w:lvlText w:val="%1、"/>
      <w:lvlJc w:val="left"/>
    </w:lvl>
  </w:abstractNum>
  <w:abstractNum w:abstractNumId="1">
    <w:nsid w:val="161FD79D"/>
    <w:multiLevelType w:val="singleLevel"/>
    <w:tmpl w:val="161FD79D"/>
    <w:lvl w:ilvl="0" w:tentative="0">
      <w:start w:val="1"/>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9F530F9"/>
    <w:multiLevelType w:val="singleLevel"/>
    <w:tmpl w:val="39F530F9"/>
    <w:lvl w:ilvl="0" w:tentative="0">
      <w:start w:val="6"/>
      <w:numFmt w:val="chineseCounting"/>
      <w:suff w:val="nothing"/>
      <w:lvlText w:val="%1、"/>
      <w:lvlJc w:val="left"/>
      <w:rPr>
        <w:rFonts w:hint="eastAsia"/>
      </w:rPr>
    </w:lvl>
  </w:abstractNum>
  <w:abstractNum w:abstractNumId="4">
    <w:nsid w:val="45290A3A"/>
    <w:multiLevelType w:val="singleLevel"/>
    <w:tmpl w:val="45290A3A"/>
    <w:lvl w:ilvl="0" w:tentative="0">
      <w:start w:val="1"/>
      <w:numFmt w:val="chineseCounting"/>
      <w:suff w:val="nothing"/>
      <w:lvlText w:val="（%1）"/>
      <w:lvlJc w:val="left"/>
      <w:rPr>
        <w:rFonts w:hint="eastAsia"/>
      </w:rPr>
    </w:lvl>
  </w:abstractNum>
  <w:abstractNum w:abstractNumId="5">
    <w:nsid w:val="68ED02C8"/>
    <w:multiLevelType w:val="singleLevel"/>
    <w:tmpl w:val="68ED02C8"/>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revisionView w:markup="0"/>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94A48"/>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A3294"/>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34E4398"/>
    <w:rsid w:val="05F11A75"/>
    <w:rsid w:val="067E6E0D"/>
    <w:rsid w:val="06AB60C8"/>
    <w:rsid w:val="078E60A4"/>
    <w:rsid w:val="089F4725"/>
    <w:rsid w:val="09E40B62"/>
    <w:rsid w:val="0A982E07"/>
    <w:rsid w:val="0B1C57E6"/>
    <w:rsid w:val="0B7229D9"/>
    <w:rsid w:val="0B7A075E"/>
    <w:rsid w:val="0BFB0491"/>
    <w:rsid w:val="0DB717F6"/>
    <w:rsid w:val="0E161D3D"/>
    <w:rsid w:val="10060813"/>
    <w:rsid w:val="10AB0BF6"/>
    <w:rsid w:val="11D64215"/>
    <w:rsid w:val="1336719B"/>
    <w:rsid w:val="13E54D2C"/>
    <w:rsid w:val="15565D98"/>
    <w:rsid w:val="159C6CB3"/>
    <w:rsid w:val="15B622BA"/>
    <w:rsid w:val="17063530"/>
    <w:rsid w:val="18254C83"/>
    <w:rsid w:val="18DD0191"/>
    <w:rsid w:val="19272AC9"/>
    <w:rsid w:val="19BE0AF1"/>
    <w:rsid w:val="1DE9592E"/>
    <w:rsid w:val="1FCC3023"/>
    <w:rsid w:val="1FFF619C"/>
    <w:rsid w:val="20825C93"/>
    <w:rsid w:val="208569AA"/>
    <w:rsid w:val="215057DB"/>
    <w:rsid w:val="21B076BF"/>
    <w:rsid w:val="23294AEC"/>
    <w:rsid w:val="233D21DC"/>
    <w:rsid w:val="23755B02"/>
    <w:rsid w:val="25A246E2"/>
    <w:rsid w:val="266D0804"/>
    <w:rsid w:val="26D44D6F"/>
    <w:rsid w:val="26DD1E76"/>
    <w:rsid w:val="27C11D40"/>
    <w:rsid w:val="2AA809EC"/>
    <w:rsid w:val="2AD4533E"/>
    <w:rsid w:val="2AF7FC9B"/>
    <w:rsid w:val="2BD80E5D"/>
    <w:rsid w:val="2BF75AFD"/>
    <w:rsid w:val="2D306343"/>
    <w:rsid w:val="2D796670"/>
    <w:rsid w:val="2FD858D0"/>
    <w:rsid w:val="2FFE4C0B"/>
    <w:rsid w:val="312A029A"/>
    <w:rsid w:val="33093AB3"/>
    <w:rsid w:val="346B318D"/>
    <w:rsid w:val="3489688B"/>
    <w:rsid w:val="34B15F7F"/>
    <w:rsid w:val="37BF5664"/>
    <w:rsid w:val="37D247BE"/>
    <w:rsid w:val="388B3CF7"/>
    <w:rsid w:val="398E3221"/>
    <w:rsid w:val="3AFDF94A"/>
    <w:rsid w:val="3B565228"/>
    <w:rsid w:val="3B90386B"/>
    <w:rsid w:val="3CDE18FF"/>
    <w:rsid w:val="3CE031F3"/>
    <w:rsid w:val="3D814904"/>
    <w:rsid w:val="3D82034D"/>
    <w:rsid w:val="3F592CC2"/>
    <w:rsid w:val="3F767DD9"/>
    <w:rsid w:val="3FB744F1"/>
    <w:rsid w:val="405D597D"/>
    <w:rsid w:val="41D82CD2"/>
    <w:rsid w:val="43C31672"/>
    <w:rsid w:val="443D1D4E"/>
    <w:rsid w:val="451F7F28"/>
    <w:rsid w:val="45294080"/>
    <w:rsid w:val="45A06D8F"/>
    <w:rsid w:val="47B10A89"/>
    <w:rsid w:val="47DD11F5"/>
    <w:rsid w:val="49AC3F59"/>
    <w:rsid w:val="4AE33BE2"/>
    <w:rsid w:val="4B4F5EC7"/>
    <w:rsid w:val="4B747763"/>
    <w:rsid w:val="4C2F6420"/>
    <w:rsid w:val="4C7C42A3"/>
    <w:rsid w:val="4DFF1C03"/>
    <w:rsid w:val="4EB57F95"/>
    <w:rsid w:val="4FFB2329"/>
    <w:rsid w:val="501B4AAD"/>
    <w:rsid w:val="502556BE"/>
    <w:rsid w:val="50DB4D13"/>
    <w:rsid w:val="52B25F30"/>
    <w:rsid w:val="53205999"/>
    <w:rsid w:val="53824DBD"/>
    <w:rsid w:val="545253A1"/>
    <w:rsid w:val="55D342C0"/>
    <w:rsid w:val="56E79ADC"/>
    <w:rsid w:val="59091D47"/>
    <w:rsid w:val="59480B21"/>
    <w:rsid w:val="5A0103BC"/>
    <w:rsid w:val="5A0B527A"/>
    <w:rsid w:val="5A222D39"/>
    <w:rsid w:val="5B5419FF"/>
    <w:rsid w:val="5C7C5BB4"/>
    <w:rsid w:val="5D330320"/>
    <w:rsid w:val="5E523005"/>
    <w:rsid w:val="5F3F4774"/>
    <w:rsid w:val="60937ED8"/>
    <w:rsid w:val="613204E4"/>
    <w:rsid w:val="618C0941"/>
    <w:rsid w:val="61ED4596"/>
    <w:rsid w:val="64281C7B"/>
    <w:rsid w:val="647924D6"/>
    <w:rsid w:val="66220900"/>
    <w:rsid w:val="66CA7652"/>
    <w:rsid w:val="66FF49B2"/>
    <w:rsid w:val="677D22DE"/>
    <w:rsid w:val="67AE1C1C"/>
    <w:rsid w:val="68694610"/>
    <w:rsid w:val="6960587F"/>
    <w:rsid w:val="69DB1F9C"/>
    <w:rsid w:val="6A4C5F97"/>
    <w:rsid w:val="6B343AAA"/>
    <w:rsid w:val="6B560B28"/>
    <w:rsid w:val="6BF30DC0"/>
    <w:rsid w:val="6CAA502D"/>
    <w:rsid w:val="6D23169A"/>
    <w:rsid w:val="6D3A3079"/>
    <w:rsid w:val="6DE37EAE"/>
    <w:rsid w:val="6DFD7326"/>
    <w:rsid w:val="6E193B7B"/>
    <w:rsid w:val="6EFA997D"/>
    <w:rsid w:val="71730D27"/>
    <w:rsid w:val="71982259"/>
    <w:rsid w:val="72F13B79"/>
    <w:rsid w:val="737FD255"/>
    <w:rsid w:val="73EFB9B8"/>
    <w:rsid w:val="75E85761"/>
    <w:rsid w:val="76674885"/>
    <w:rsid w:val="76756A4D"/>
    <w:rsid w:val="777A831D"/>
    <w:rsid w:val="7A701E5F"/>
    <w:rsid w:val="7AFB3682"/>
    <w:rsid w:val="7B315461"/>
    <w:rsid w:val="7B3E38E9"/>
    <w:rsid w:val="7B5D9F68"/>
    <w:rsid w:val="7D097764"/>
    <w:rsid w:val="7D3F24C7"/>
    <w:rsid w:val="7D411BA3"/>
    <w:rsid w:val="7DDA495E"/>
    <w:rsid w:val="7DF31959"/>
    <w:rsid w:val="7DF5C6C3"/>
    <w:rsid w:val="7EC76488"/>
    <w:rsid w:val="7EF6F6DF"/>
    <w:rsid w:val="7F4D17C5"/>
    <w:rsid w:val="7F4DB262"/>
    <w:rsid w:val="7F7D221D"/>
    <w:rsid w:val="7F7DB828"/>
    <w:rsid w:val="7F934714"/>
    <w:rsid w:val="7FEFAB4F"/>
    <w:rsid w:val="7FFFD0B0"/>
    <w:rsid w:val="877BAB1A"/>
    <w:rsid w:val="93F0AC19"/>
    <w:rsid w:val="9EFB04E6"/>
    <w:rsid w:val="A7766709"/>
    <w:rsid w:val="ADE27834"/>
    <w:rsid w:val="AEFF0B62"/>
    <w:rsid w:val="B59631FF"/>
    <w:rsid w:val="B7F9FA6C"/>
    <w:rsid w:val="BA7B23C6"/>
    <w:rsid w:val="BF5FE8A8"/>
    <w:rsid w:val="CEFF17D7"/>
    <w:rsid w:val="D53BC9F8"/>
    <w:rsid w:val="DAE37B86"/>
    <w:rsid w:val="DAF6CAC3"/>
    <w:rsid w:val="DBF7BC86"/>
    <w:rsid w:val="DCDFE1B6"/>
    <w:rsid w:val="DE77B586"/>
    <w:rsid w:val="E6BAC63A"/>
    <w:rsid w:val="E7FCB38C"/>
    <w:rsid w:val="EBBF4171"/>
    <w:rsid w:val="ED5FD28A"/>
    <w:rsid w:val="EDDD8478"/>
    <w:rsid w:val="EF8F02D3"/>
    <w:rsid w:val="EFD5CDF5"/>
    <w:rsid w:val="EFFA6300"/>
    <w:rsid w:val="EFFB5350"/>
    <w:rsid w:val="EFFF7F45"/>
    <w:rsid w:val="EFFF896C"/>
    <w:rsid w:val="F7DBBADD"/>
    <w:rsid w:val="F7FBAC45"/>
    <w:rsid w:val="F8E3D7EA"/>
    <w:rsid w:val="F99AAC0E"/>
    <w:rsid w:val="F9F54359"/>
    <w:rsid w:val="FABC67EA"/>
    <w:rsid w:val="FBD78F59"/>
    <w:rsid w:val="FFAF3D1E"/>
    <w:rsid w:val="FFFBB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tabs>
        <w:tab w:val="left" w:pos="4154"/>
      </w:tabs>
      <w:outlineLvl w:val="0"/>
    </w:pPr>
    <w:rPr>
      <w:rFonts w:eastAsia="黑体"/>
      <w:b/>
      <w:bCs/>
      <w:kern w:val="44"/>
      <w:szCs w:val="44"/>
    </w:rPr>
  </w:style>
  <w:style w:type="paragraph" w:styleId="4">
    <w:name w:val="heading 2"/>
    <w:basedOn w:val="1"/>
    <w:next w:val="1"/>
    <w:qFormat/>
    <w:uiPriority w:val="0"/>
    <w:pPr>
      <w:tabs>
        <w:tab w:val="left" w:pos="4154"/>
      </w:tabs>
      <w:outlineLvl w:val="1"/>
    </w:pPr>
    <w:rPr>
      <w:rFonts w:ascii="Cambria" w:hAnsi="Cambria" w:eastAsia="楷体"/>
      <w:b/>
      <w:bCs/>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kern w:val="2"/>
      <w:sz w:val="21"/>
      <w:szCs w:val="24"/>
    </w:rPr>
  </w:style>
  <w:style w:type="paragraph" w:styleId="5">
    <w:name w:val="Normal Indent"/>
    <w:basedOn w:val="1"/>
    <w:qFormat/>
    <w:uiPriority w:val="0"/>
    <w:pPr>
      <w:ind w:firstLine="200" w:firstLineChars="200"/>
    </w:pPr>
    <w:rPr>
      <w:rFonts w:ascii="Calibri" w:hAnsi="Calibri" w:eastAsia="宋体" w:cs="宋体"/>
      <w:kern w:val="2"/>
      <w:sz w:val="21"/>
      <w:szCs w:val="24"/>
    </w:rPr>
  </w:style>
  <w:style w:type="paragraph" w:styleId="6">
    <w:name w:val="Body Text Indent"/>
    <w:basedOn w:val="1"/>
    <w:unhideWhenUsed/>
    <w:qFormat/>
    <w:uiPriority w:val="99"/>
    <w:pPr>
      <w:ind w:left="420" w:leftChars="200"/>
    </w:pPr>
  </w:style>
  <w:style w:type="paragraph" w:styleId="7">
    <w:name w:val="Balloon Text"/>
    <w:basedOn w:val="1"/>
    <w:link w:val="22"/>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left" w:pos="4154"/>
      </w:tabs>
    </w:p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paragraph" w:styleId="13">
    <w:name w:val="Body Text First Indent"/>
    <w:basedOn w:val="2"/>
    <w:qFormat/>
    <w:uiPriority w:val="0"/>
    <w:pPr>
      <w:overflowPunct w:val="0"/>
      <w:autoSpaceDE w:val="0"/>
      <w:autoSpaceDN w:val="0"/>
      <w:adjustRightInd w:val="0"/>
      <w:spacing w:line="360" w:lineRule="auto"/>
      <w:ind w:firstLine="539"/>
      <w:textAlignment w:val="baseline"/>
    </w:pPr>
    <w:rPr>
      <w:sz w:val="28"/>
    </w:rPr>
  </w:style>
  <w:style w:type="paragraph" w:styleId="14">
    <w:name w:val="Body Text First Indent 2"/>
    <w:basedOn w:val="6"/>
    <w:unhideWhenUsed/>
    <w:qFormat/>
    <w:uiPriority w:val="99"/>
    <w:pPr>
      <w:autoSpaceDE w:val="0"/>
      <w:autoSpaceDN w:val="0"/>
      <w:adjustRightInd w:val="0"/>
      <w:ind w:firstLine="420"/>
      <w:jc w:val="left"/>
    </w:pPr>
    <w:rPr>
      <w:rFonts w:ascii="Calibri" w:hAnsi="Calibri" w:eastAsia="仿宋_GB2312"/>
      <w:kern w:val="0"/>
    </w:rPr>
  </w:style>
  <w:style w:type="character" w:styleId="17">
    <w:name w:val="Strong"/>
    <w:basedOn w:val="16"/>
    <w:qFormat/>
    <w:uiPriority w:val="22"/>
    <w:rPr>
      <w:b/>
    </w:rPr>
  </w:style>
  <w:style w:type="character" w:customStyle="1" w:styleId="18">
    <w:name w:val="页眉 Char"/>
    <w:basedOn w:val="16"/>
    <w:link w:val="9"/>
    <w:qFormat/>
    <w:uiPriority w:val="99"/>
    <w:rPr>
      <w:sz w:val="18"/>
      <w:szCs w:val="18"/>
    </w:rPr>
  </w:style>
  <w:style w:type="character" w:customStyle="1" w:styleId="19">
    <w:name w:val="页脚 Char"/>
    <w:basedOn w:val="16"/>
    <w:link w:val="8"/>
    <w:qFormat/>
    <w:uiPriority w:val="99"/>
    <w:rPr>
      <w:sz w:val="18"/>
      <w:szCs w:val="18"/>
    </w:rPr>
  </w:style>
  <w:style w:type="paragraph" w:customStyle="1" w:styleId="2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21">
    <w:name w:val="List Paragraph"/>
    <w:basedOn w:val="1"/>
    <w:qFormat/>
    <w:uiPriority w:val="34"/>
    <w:pPr>
      <w:ind w:firstLine="420" w:firstLineChars="200"/>
    </w:pPr>
  </w:style>
  <w:style w:type="character" w:customStyle="1" w:styleId="22">
    <w:name w:val="批注框文本 Char"/>
    <w:basedOn w:val="16"/>
    <w:link w:val="7"/>
    <w:semiHidden/>
    <w:qFormat/>
    <w:uiPriority w:val="99"/>
    <w:rPr>
      <w:sz w:val="18"/>
      <w:szCs w:val="18"/>
    </w:rPr>
  </w:style>
  <w:style w:type="paragraph" w:customStyle="1" w:styleId="23">
    <w:name w:val="BodyText1I2"/>
    <w:basedOn w:val="24"/>
    <w:qFormat/>
    <w:uiPriority w:val="0"/>
    <w:pPr>
      <w:ind w:firstLine="420" w:firstLineChars="200"/>
    </w:pPr>
    <w:rPr>
      <w:rFonts w:cs="宋体"/>
    </w:rPr>
  </w:style>
  <w:style w:type="paragraph" w:customStyle="1" w:styleId="24">
    <w:name w:val="BodyTextIndent"/>
    <w:basedOn w:val="1"/>
    <w:qFormat/>
    <w:uiPriority w:val="0"/>
    <w:pPr>
      <w:spacing w:after="120"/>
      <w:ind w:left="420" w:leftChars="200"/>
      <w:textAlignment w:val="baseline"/>
    </w:pPr>
  </w:style>
  <w:style w:type="paragraph" w:customStyle="1" w:styleId="25">
    <w:name w:val="正文缩进 + 首行缩进:  2 字符"/>
    <w:basedOn w:val="1"/>
    <w:qFormat/>
    <w:uiPriority w:val="0"/>
    <w:pPr>
      <w:spacing w:line="560" w:lineRule="exact"/>
      <w:ind w:firstLine="640"/>
    </w:pPr>
    <w:rPr>
      <w:rFonts w:eastAsia="仿宋_GB2312" w:cs="宋体"/>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43</Pages>
  <Words>14413</Words>
  <Characters>16849</Characters>
  <Lines>69</Lines>
  <Paragraphs>19</Paragraphs>
  <TotalTime>23</TotalTime>
  <ScaleCrop>false</ScaleCrop>
  <LinksUpToDate>false</LinksUpToDate>
  <CharactersWithSpaces>18118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rani</cp:lastModifiedBy>
  <cp:lastPrinted>2022-07-30T04:55:00Z</cp:lastPrinted>
  <dcterms:modified xsi:type="dcterms:W3CDTF">2023-09-24T10:37:37Z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BA0777C9D3D84E9B80B05DB32F5B1ADF</vt:lpwstr>
  </property>
</Properties>
</file>