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jc w:val="center"/>
        <w:rPr>
          <w:rFonts w:hint="eastAsia"/>
          <w:sz w:val="56"/>
          <w:szCs w:val="56"/>
        </w:rPr>
      </w:pPr>
    </w:p>
    <w:p>
      <w:pPr>
        <w:pStyle w:val="15"/>
        <w:jc w:val="center"/>
        <w:rPr>
          <w:sz w:val="56"/>
          <w:szCs w:val="56"/>
        </w:rPr>
      </w:pPr>
    </w:p>
    <w:p>
      <w:pPr>
        <w:pStyle w:val="15"/>
        <w:jc w:val="center"/>
        <w:rPr>
          <w:sz w:val="84"/>
          <w:szCs w:val="84"/>
        </w:rPr>
      </w:pPr>
    </w:p>
    <w:p>
      <w:pPr>
        <w:pStyle w:val="15"/>
        <w:jc w:val="center"/>
        <w:rPr>
          <w:sz w:val="84"/>
          <w:szCs w:val="84"/>
        </w:rPr>
      </w:pPr>
    </w:p>
    <w:p>
      <w:pPr>
        <w:pStyle w:val="15"/>
        <w:jc w:val="center"/>
        <w:rPr>
          <w:sz w:val="84"/>
          <w:szCs w:val="84"/>
        </w:rPr>
      </w:pPr>
      <w:r>
        <w:rPr>
          <w:rFonts w:hint="eastAsia"/>
          <w:sz w:val="84"/>
          <w:szCs w:val="84"/>
        </w:rPr>
        <w:t>2021年度</w:t>
      </w:r>
    </w:p>
    <w:p>
      <w:pPr>
        <w:pStyle w:val="15"/>
        <w:jc w:val="center"/>
        <w:rPr>
          <w:rFonts w:hint="eastAsia"/>
          <w:sz w:val="84"/>
          <w:szCs w:val="84"/>
          <w:lang w:eastAsia="zh-CN"/>
        </w:rPr>
      </w:pPr>
      <w:r>
        <w:rPr>
          <w:rFonts w:hint="eastAsia"/>
          <w:sz w:val="84"/>
          <w:szCs w:val="84"/>
          <w:lang w:eastAsia="zh-CN"/>
        </w:rPr>
        <w:t>湖南省固体废物管理站</w:t>
      </w:r>
    </w:p>
    <w:p>
      <w:pPr>
        <w:pStyle w:val="15"/>
        <w:jc w:val="center"/>
        <w:rPr>
          <w:sz w:val="84"/>
          <w:szCs w:val="84"/>
        </w:rPr>
      </w:pPr>
      <w:r>
        <w:rPr>
          <w:rFonts w:hint="eastAsia"/>
          <w:sz w:val="84"/>
          <w:szCs w:val="84"/>
        </w:rPr>
        <w:t>部门（单位）部门决算</w:t>
      </w:r>
    </w:p>
    <w:p>
      <w:pPr>
        <w:pStyle w:val="15"/>
        <w:jc w:val="center"/>
        <w:rPr>
          <w:sz w:val="56"/>
          <w:szCs w:val="56"/>
        </w:rPr>
      </w:pPr>
    </w:p>
    <w:p>
      <w:pPr>
        <w:pStyle w:val="15"/>
        <w:jc w:val="center"/>
        <w:rPr>
          <w:sz w:val="56"/>
          <w:szCs w:val="56"/>
        </w:rPr>
      </w:pPr>
    </w:p>
    <w:p>
      <w:pPr>
        <w:pStyle w:val="15"/>
        <w:jc w:val="center"/>
        <w:rPr>
          <w:sz w:val="56"/>
          <w:szCs w:val="56"/>
        </w:rPr>
      </w:pPr>
    </w:p>
    <w:p>
      <w:pPr>
        <w:pStyle w:val="15"/>
        <w:jc w:val="center"/>
        <w:rPr>
          <w:sz w:val="56"/>
          <w:szCs w:val="56"/>
        </w:rPr>
      </w:pPr>
    </w:p>
    <w:p>
      <w:pPr>
        <w:pStyle w:val="15"/>
        <w:jc w:val="center"/>
        <w:rPr>
          <w:sz w:val="32"/>
          <w:szCs w:val="32"/>
        </w:rPr>
      </w:pPr>
    </w:p>
    <w:p>
      <w:pPr>
        <w:pStyle w:val="15"/>
        <w:jc w:val="center"/>
        <w:rPr>
          <w:sz w:val="32"/>
          <w:szCs w:val="32"/>
        </w:rPr>
      </w:pPr>
    </w:p>
    <w:p>
      <w:pPr>
        <w:pStyle w:val="15"/>
        <w:jc w:val="center"/>
        <w:rPr>
          <w:sz w:val="32"/>
          <w:szCs w:val="32"/>
        </w:rPr>
      </w:pPr>
    </w:p>
    <w:p>
      <w:pPr>
        <w:pStyle w:val="15"/>
        <w:jc w:val="center"/>
        <w:rPr>
          <w:sz w:val="32"/>
          <w:szCs w:val="32"/>
        </w:rPr>
      </w:pPr>
    </w:p>
    <w:p>
      <w:pPr>
        <w:pStyle w:val="15"/>
        <w:spacing w:line="500" w:lineRule="exact"/>
        <w:jc w:val="both"/>
        <w:rPr>
          <w:b/>
          <w:sz w:val="36"/>
          <w:szCs w:val="28"/>
        </w:rPr>
      </w:pPr>
    </w:p>
    <w:p>
      <w:pPr>
        <w:pStyle w:val="15"/>
        <w:spacing w:line="500" w:lineRule="exact"/>
        <w:jc w:val="both"/>
        <w:rPr>
          <w:b/>
          <w:sz w:val="36"/>
          <w:szCs w:val="28"/>
        </w:rPr>
      </w:pPr>
    </w:p>
    <w:p>
      <w:pPr>
        <w:pStyle w:val="15"/>
        <w:spacing w:line="500" w:lineRule="exact"/>
        <w:jc w:val="center"/>
        <w:rPr>
          <w:b/>
          <w:sz w:val="36"/>
          <w:szCs w:val="28"/>
        </w:rPr>
      </w:pPr>
      <w:r>
        <w:rPr>
          <w:rFonts w:hint="eastAsia"/>
          <w:b/>
          <w:sz w:val="36"/>
          <w:szCs w:val="28"/>
        </w:rPr>
        <w:t>目录</w:t>
      </w:r>
    </w:p>
    <w:p>
      <w:pPr>
        <w:pStyle w:val="15"/>
        <w:spacing w:line="500" w:lineRule="exact"/>
        <w:ind w:firstLine="562" w:firstLineChars="200"/>
        <w:rPr>
          <w:rFonts w:ascii="仿宋_GB2312" w:hAnsi="仿宋_GB2312" w:cs="仿宋_GB2312"/>
          <w:b/>
          <w:sz w:val="28"/>
          <w:szCs w:val="28"/>
        </w:rPr>
      </w:pPr>
      <w:r>
        <w:rPr>
          <w:rFonts w:hint="eastAsia"/>
          <w:b/>
          <w:sz w:val="28"/>
          <w:szCs w:val="28"/>
        </w:rPr>
        <w:t>第一部分XX单位概况</w:t>
      </w:r>
    </w:p>
    <w:p>
      <w:pPr>
        <w:pStyle w:val="15"/>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15"/>
        <w:spacing w:line="500" w:lineRule="exact"/>
        <w:ind w:firstLine="700" w:firstLineChars="250"/>
        <w:rPr>
          <w:rFonts w:hint="default" w:cs="仿宋_GB2312" w:asciiTheme="minorEastAsia" w:hAnsiTheme="minorEastAsia" w:eastAsiaTheme="minorEastAsia"/>
          <w:sz w:val="28"/>
          <w:szCs w:val="28"/>
          <w:lang w:val="en-US" w:eastAsia="zh-CN"/>
        </w:rPr>
      </w:pPr>
      <w:r>
        <w:rPr>
          <w:rFonts w:cs="仿宋_GB2312" w:asciiTheme="minorEastAsia" w:hAnsiTheme="minorEastAsia" w:eastAsiaTheme="minorEastAsia"/>
          <w:sz w:val="28"/>
          <w:szCs w:val="28"/>
        </w:rPr>
        <w:t>二、机构设置</w:t>
      </w:r>
      <w:r>
        <w:rPr>
          <w:rFonts w:hint="eastAsia" w:cs="仿宋_GB2312" w:asciiTheme="minorEastAsia" w:hAnsiTheme="minorEastAsia" w:eastAsiaTheme="minorEastAsia"/>
          <w:sz w:val="28"/>
          <w:szCs w:val="28"/>
          <w:lang w:val="en-US" w:eastAsia="zh-CN"/>
        </w:rPr>
        <w:t>及决算单位构成</w:t>
      </w:r>
    </w:p>
    <w:p>
      <w:pPr>
        <w:pStyle w:val="15"/>
        <w:spacing w:line="500" w:lineRule="exact"/>
        <w:ind w:firstLine="562" w:firstLineChars="200"/>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21年度部门决算表</w:t>
      </w:r>
    </w:p>
    <w:p>
      <w:pPr>
        <w:pStyle w:val="15"/>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15"/>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15"/>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15"/>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15"/>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15"/>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rPr>
        <w:t>明细</w:t>
      </w:r>
      <w:r>
        <w:rPr>
          <w:rFonts w:cs="仿宋_GB2312" w:asciiTheme="minorEastAsia" w:hAnsiTheme="minorEastAsia" w:eastAsiaTheme="minorEastAsia"/>
          <w:sz w:val="28"/>
          <w:szCs w:val="28"/>
        </w:rPr>
        <w:t>表</w:t>
      </w:r>
    </w:p>
    <w:p>
      <w:pPr>
        <w:pStyle w:val="15"/>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15"/>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15"/>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15"/>
        <w:spacing w:line="500" w:lineRule="exact"/>
        <w:ind w:firstLine="562" w:firstLineChars="200"/>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21年度部门决算情况说明</w:t>
      </w:r>
    </w:p>
    <w:p>
      <w:pPr>
        <w:pStyle w:val="15"/>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三公</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十一、政府采购支出说明</w:t>
      </w:r>
    </w:p>
    <w:p>
      <w:pPr>
        <w:pStyle w:val="15"/>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十二、国有资产占用情况说明</w:t>
      </w:r>
    </w:p>
    <w:p>
      <w:pPr>
        <w:pStyle w:val="15"/>
        <w:ind w:firstLine="560" w:firstLineChars="200"/>
        <w:rPr>
          <w:rFonts w:hint="eastAsia" w:ascii="仿宋_GB2312" w:hAnsi="仿宋_GB2312" w:cs="仿宋_GB2312" w:eastAsiaTheme="minorEastAsia"/>
          <w:color w:val="000000"/>
          <w:sz w:val="28"/>
          <w:szCs w:val="28"/>
        </w:rPr>
      </w:pPr>
      <w:r>
        <w:rPr>
          <w:rFonts w:hint="eastAsia" w:ascii="仿宋_GB2312" w:hAnsi="仿宋_GB2312" w:cs="仿宋_GB2312" w:eastAsiaTheme="minorEastAsia"/>
          <w:sz w:val="28"/>
          <w:szCs w:val="28"/>
        </w:rPr>
        <w:t>十三、</w:t>
      </w:r>
      <w:r>
        <w:rPr>
          <w:rFonts w:hint="eastAsia" w:ascii="仿宋_GB2312" w:hAnsi="仿宋_GB2312" w:cs="仿宋_GB2312" w:eastAsiaTheme="minorEastAsia"/>
          <w:color w:val="000000"/>
          <w:sz w:val="28"/>
          <w:szCs w:val="28"/>
        </w:rPr>
        <w:t>关于部门整体支出、单位项目支出、重点（专项）项目支出绩效自评情况说明</w:t>
      </w:r>
    </w:p>
    <w:p>
      <w:pPr>
        <w:pStyle w:val="15"/>
        <w:spacing w:line="500" w:lineRule="exact"/>
        <w:ind w:firstLine="700" w:firstLineChars="250"/>
        <w:rPr>
          <w:rFonts w:ascii="仿宋_GB2312" w:hAnsi="仿宋_GB2312" w:cs="仿宋_GB2312" w:eastAsiaTheme="minorEastAsia"/>
          <w:sz w:val="28"/>
          <w:szCs w:val="28"/>
        </w:rPr>
      </w:pPr>
    </w:p>
    <w:p>
      <w:pPr>
        <w:autoSpaceDE w:val="0"/>
        <w:autoSpaceDN w:val="0"/>
        <w:adjustRightInd w:val="0"/>
        <w:spacing w:line="500" w:lineRule="exact"/>
        <w:ind w:firstLine="562" w:firstLineChars="200"/>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ind w:firstLine="562" w:firstLineChars="200"/>
        <w:jc w:val="left"/>
        <w:rPr>
          <w:rFonts w:hint="eastAsia" w:ascii="黑体" w:hAnsi="黑体" w:eastAsia="黑体" w:cs="黑体"/>
          <w:b/>
          <w:color w:val="000000"/>
          <w:kern w:val="0"/>
          <w:sz w:val="28"/>
          <w:szCs w:val="28"/>
        </w:rPr>
      </w:pPr>
      <w:r>
        <w:rPr>
          <w:rFonts w:hint="eastAsia" w:ascii="黑体" w:hAnsi="黑体" w:eastAsia="黑体" w:cs="黑体"/>
          <w:b/>
          <w:color w:val="000000"/>
          <w:kern w:val="0"/>
          <w:sz w:val="28"/>
          <w:szCs w:val="28"/>
        </w:rPr>
        <w:t>第五部分附件</w:t>
      </w:r>
    </w:p>
    <w:p>
      <w:pPr>
        <w:pStyle w:val="2"/>
        <w:rPr>
          <w:rFonts w:hint="eastAsia" w:ascii="黑体" w:hAnsi="黑体" w:eastAsia="黑体" w:cs="黑体"/>
          <w:b/>
          <w:color w:val="000000"/>
          <w:kern w:val="0"/>
          <w:sz w:val="28"/>
          <w:szCs w:val="28"/>
        </w:rPr>
      </w:pPr>
    </w:p>
    <w:p>
      <w:pPr>
        <w:pStyle w:val="2"/>
        <w:rPr>
          <w:rFonts w:hint="eastAsia" w:ascii="黑体" w:hAnsi="黑体" w:eastAsia="黑体" w:cs="黑体"/>
          <w:b/>
          <w:color w:val="000000"/>
          <w:kern w:val="0"/>
          <w:sz w:val="28"/>
          <w:szCs w:val="28"/>
        </w:rPr>
      </w:pPr>
    </w:p>
    <w:p>
      <w:pPr>
        <w:pStyle w:val="2"/>
        <w:rPr>
          <w:rFonts w:hint="eastAsia" w:ascii="黑体" w:hAnsi="黑体" w:eastAsia="黑体" w:cs="黑体"/>
          <w:b/>
          <w:color w:val="000000"/>
          <w:kern w:val="0"/>
          <w:sz w:val="28"/>
          <w:szCs w:val="28"/>
        </w:rPr>
      </w:pPr>
    </w:p>
    <w:p>
      <w:pPr>
        <w:rPr>
          <w:sz w:val="72"/>
          <w:szCs w:val="72"/>
        </w:rPr>
      </w:pPr>
    </w:p>
    <w:p>
      <w:pPr>
        <w:pStyle w:val="15"/>
        <w:jc w:val="center"/>
        <w:rPr>
          <w:sz w:val="84"/>
          <w:szCs w:val="84"/>
        </w:rPr>
      </w:pPr>
      <w:r>
        <w:rPr>
          <w:rFonts w:hint="eastAsia"/>
          <w:sz w:val="84"/>
          <w:szCs w:val="84"/>
        </w:rPr>
        <w:t>第一部分</w:t>
      </w:r>
      <w:r>
        <w:rPr>
          <w:sz w:val="84"/>
          <w:szCs w:val="84"/>
        </w:rPr>
        <w:t xml:space="preserve"> </w:t>
      </w:r>
    </w:p>
    <w:p>
      <w:pPr>
        <w:pStyle w:val="15"/>
        <w:jc w:val="center"/>
        <w:rPr>
          <w:sz w:val="84"/>
          <w:szCs w:val="84"/>
        </w:rPr>
      </w:pPr>
    </w:p>
    <w:p>
      <w:pPr>
        <w:pStyle w:val="15"/>
        <w:jc w:val="center"/>
        <w:rPr>
          <w:rFonts w:hint="eastAsia"/>
          <w:sz w:val="84"/>
          <w:szCs w:val="84"/>
          <w:lang w:eastAsia="zh-CN"/>
        </w:rPr>
      </w:pPr>
      <w:r>
        <w:rPr>
          <w:rFonts w:hint="eastAsia"/>
          <w:sz w:val="84"/>
          <w:szCs w:val="84"/>
          <w:lang w:eastAsia="zh-CN"/>
        </w:rPr>
        <w:t>湖南省固体废物管理站</w:t>
      </w:r>
    </w:p>
    <w:p>
      <w:pPr>
        <w:pStyle w:val="15"/>
        <w:jc w:val="center"/>
        <w:rPr>
          <w:sz w:val="84"/>
          <w:szCs w:val="84"/>
        </w:rPr>
      </w:pPr>
      <w:r>
        <w:rPr>
          <w:rFonts w:hint="eastAsia"/>
          <w:sz w:val="84"/>
          <w:szCs w:val="84"/>
        </w:rPr>
        <w:t>单位概况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6"/>
        <w:ind w:left="720" w:firstLine="0" w:firstLineChars="0"/>
        <w:jc w:val="left"/>
        <w:rPr>
          <w:rFonts w:ascii="黑体" w:hAnsi="黑体" w:eastAsia="黑体"/>
          <w:sz w:val="32"/>
          <w:szCs w:val="32"/>
        </w:rPr>
      </w:pPr>
    </w:p>
    <w:p>
      <w:pPr>
        <w:pStyle w:val="16"/>
        <w:ind w:left="720" w:firstLine="0" w:firstLineChars="0"/>
        <w:jc w:val="left"/>
        <w:rPr>
          <w:rFonts w:ascii="黑体" w:hAnsi="黑体" w:eastAsia="黑体"/>
          <w:sz w:val="32"/>
          <w:szCs w:val="32"/>
        </w:rPr>
      </w:pPr>
    </w:p>
    <w:p>
      <w:pPr>
        <w:pStyle w:val="16"/>
        <w:ind w:left="720" w:firstLine="0" w:firstLineChars="0"/>
        <w:jc w:val="left"/>
        <w:rPr>
          <w:rFonts w:ascii="黑体" w:hAnsi="黑体" w:eastAsia="黑体"/>
          <w:sz w:val="32"/>
          <w:szCs w:val="32"/>
        </w:rPr>
      </w:pPr>
    </w:p>
    <w:p>
      <w:pPr>
        <w:pStyle w:val="16"/>
        <w:ind w:left="720" w:firstLine="0" w:firstLineChars="0"/>
        <w:jc w:val="left"/>
        <w:rPr>
          <w:rFonts w:ascii="黑体" w:hAnsi="黑体" w:eastAsia="黑体"/>
          <w:sz w:val="32"/>
          <w:szCs w:val="32"/>
        </w:rPr>
      </w:pPr>
    </w:p>
    <w:p>
      <w:pPr>
        <w:pStyle w:val="16"/>
        <w:numPr>
          <w:ilvl w:val="0"/>
          <w:numId w:val="0"/>
        </w:numPr>
        <w:ind w:leftChars="0" w:firstLine="640" w:firstLineChars="200"/>
        <w:jc w:val="left"/>
        <w:rPr>
          <w:rFonts w:ascii="黑体" w:hAnsi="黑体" w:eastAsia="黑体"/>
          <w:sz w:val="32"/>
          <w:szCs w:val="32"/>
        </w:rPr>
      </w:pPr>
      <w:r>
        <w:rPr>
          <w:rFonts w:hint="eastAsia" w:ascii="黑体" w:hAnsi="黑体" w:eastAsia="黑体"/>
          <w:sz w:val="32"/>
          <w:szCs w:val="32"/>
          <w:lang w:eastAsia="zh-CN"/>
        </w:rPr>
        <w:t>一、</w:t>
      </w:r>
      <w:r>
        <w:rPr>
          <w:rFonts w:ascii="黑体" w:hAnsi="黑体" w:eastAsia="黑体"/>
          <w:sz w:val="32"/>
          <w:szCs w:val="32"/>
        </w:rPr>
        <w:t>部门职责</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default" w:ascii="仿宋_GB2312" w:hAnsi="仿宋_GB2312" w:eastAsia="仿宋_GB2312" w:cs="仿宋_GB2312"/>
          <w:sz w:val="32"/>
          <w:szCs w:val="32"/>
          <w:lang w:val="en-US" w:eastAsia="zh-CN"/>
        </w:rPr>
      </w:pPr>
      <w:r>
        <w:rPr>
          <w:rFonts w:hint="eastAsia" w:asciiTheme="minorEastAsia" w:hAnsiTheme="minorEastAsia"/>
          <w:sz w:val="32"/>
          <w:szCs w:val="32"/>
        </w:rPr>
        <w:t>（一）</w:t>
      </w:r>
      <w:r>
        <w:rPr>
          <w:rFonts w:hint="eastAsia" w:ascii="仿宋_GB2312" w:hAnsi="仿宋_GB2312" w:eastAsia="仿宋_GB2312" w:cs="仿宋_GB2312"/>
          <w:sz w:val="32"/>
          <w:szCs w:val="32"/>
          <w:lang w:val="en-US" w:eastAsia="zh-CN"/>
        </w:rPr>
        <w:t>提供固体废物、化学品等环境管理方面的相关技术服务；参与制订固体废物、化学品等环境管理地方性法规、政策、标准、技术规范及规划、计划；组织对废弃电器电子产品处理企业拆解处理基金补贴的技术评审；承担电子废物环境管理其他相关技术支持工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default" w:ascii="仿宋_GB2312" w:hAnsi="仿宋_GB2312" w:eastAsia="仿宋_GB2312" w:cs="仿宋_GB2312"/>
          <w:sz w:val="32"/>
          <w:szCs w:val="32"/>
          <w:lang w:val="en-US" w:eastAsia="zh-CN"/>
        </w:rPr>
      </w:pPr>
      <w:r>
        <w:rPr>
          <w:rFonts w:hint="eastAsia" w:asciiTheme="minorEastAsia" w:hAnsiTheme="minorEastAsia"/>
          <w:sz w:val="32"/>
          <w:szCs w:val="32"/>
        </w:rPr>
        <w:t>（二）</w:t>
      </w:r>
      <w:r>
        <w:rPr>
          <w:rFonts w:hint="eastAsia" w:ascii="仿宋_GB2312" w:hAnsi="仿宋_GB2312" w:eastAsia="仿宋_GB2312" w:cs="仿宋_GB2312"/>
          <w:sz w:val="32"/>
          <w:szCs w:val="32"/>
          <w:lang w:val="en-US" w:eastAsia="zh-CN"/>
        </w:rPr>
        <w:t>承担固体废物、化学品等污染防治工作的监督检查的技术服务工作，承担相关行政审批的技术审核；</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Theme="minorEastAsia" w:hAnsiTheme="minorEastAsia"/>
          <w:sz w:val="32"/>
          <w:szCs w:val="32"/>
          <w:lang w:eastAsia="zh-CN"/>
        </w:rPr>
        <w:t>（三）</w:t>
      </w:r>
      <w:r>
        <w:rPr>
          <w:rFonts w:hint="eastAsia" w:ascii="仿宋_GB2312" w:hAnsi="仿宋_GB2312" w:eastAsia="仿宋_GB2312" w:cs="仿宋_GB2312"/>
          <w:sz w:val="32"/>
          <w:szCs w:val="32"/>
          <w:lang w:val="en-US" w:eastAsia="zh-CN"/>
        </w:rPr>
        <w:t>指导企事业单位开展固体废物申报登记；协助处理固体废物污染环境事故；协助查处固体废物、化学品等方面的环境违法违规行为等工作；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Theme="minorEastAsia" w:hAnsiTheme="minorEastAsia"/>
          <w:sz w:val="32"/>
          <w:szCs w:val="32"/>
          <w:lang w:val="en-US" w:eastAsia="zh-CN"/>
        </w:rPr>
        <w:t>（四）</w:t>
      </w:r>
      <w:r>
        <w:rPr>
          <w:rFonts w:hint="eastAsia" w:ascii="仿宋_GB2312" w:hAnsi="仿宋_GB2312" w:eastAsia="仿宋_GB2312" w:cs="仿宋_GB2312"/>
          <w:sz w:val="32"/>
          <w:szCs w:val="32"/>
          <w:lang w:val="en-US" w:eastAsia="zh-CN"/>
        </w:rPr>
        <w:t>建立完善全省固体废物和化学品环境管理信息系统工作；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Theme="minorEastAsia" w:hAnsiTheme="minorEastAsia"/>
          <w:sz w:val="32"/>
          <w:szCs w:val="32"/>
          <w:lang w:val="en-US" w:eastAsia="zh-CN"/>
        </w:rPr>
        <w:t>（五）</w:t>
      </w:r>
      <w:r>
        <w:rPr>
          <w:rFonts w:hint="eastAsia" w:ascii="仿宋_GB2312" w:hAnsi="仿宋_GB2312" w:eastAsia="仿宋_GB2312" w:cs="仿宋_GB2312"/>
          <w:sz w:val="32"/>
          <w:szCs w:val="32"/>
          <w:lang w:val="en-US" w:eastAsia="zh-CN"/>
        </w:rPr>
        <w:t>协助承担新化学物质、危险化学品、有毒化学品进出口、易制毒化学品及毒品销毁信息报送；持久性有机污染物、POPs国际项目合作履约；侵权与假冒伪劣、走私毒品无害化处理信息报送工作；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asciiTheme="minorEastAsia" w:hAnsiTheme="minorEastAsia"/>
          <w:sz w:val="32"/>
          <w:szCs w:val="32"/>
        </w:rPr>
      </w:pPr>
      <w:r>
        <w:rPr>
          <w:rFonts w:hint="eastAsia" w:asciiTheme="minorEastAsia" w:hAnsiTheme="minorEastAsia"/>
          <w:sz w:val="32"/>
          <w:szCs w:val="32"/>
          <w:lang w:val="en-US" w:eastAsia="zh-CN"/>
        </w:rPr>
        <w:t>（六）</w:t>
      </w:r>
      <w:r>
        <w:rPr>
          <w:rFonts w:hint="eastAsia" w:ascii="仿宋_GB2312" w:hAnsi="仿宋_GB2312" w:eastAsia="仿宋_GB2312" w:cs="仿宋_GB2312"/>
          <w:sz w:val="32"/>
          <w:szCs w:val="32"/>
          <w:lang w:val="en-US" w:eastAsia="zh-CN"/>
        </w:rPr>
        <w:t>承办厅党组及领导交办的其他事项。</w:t>
      </w:r>
    </w:p>
    <w:p>
      <w:pPr>
        <w:widowControl/>
        <w:spacing w:line="600" w:lineRule="exact"/>
        <w:ind w:firstLine="640" w:firstLineChars="200"/>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ind w:firstLine="640" w:firstLineChars="200"/>
        <w:rPr>
          <w:rFonts w:hint="eastAsia" w:eastAsia="仿宋_GB2312"/>
          <w:color w:val="000000" w:themeColor="text1"/>
          <w:sz w:val="32"/>
          <w:szCs w:val="32"/>
          <w:lang w:eastAsia="zh-CN"/>
          <w14:textFill>
            <w14:solidFill>
              <w14:schemeClr w14:val="tx1"/>
            </w14:solidFill>
          </w14:textFill>
        </w:rPr>
      </w:pPr>
      <w:r>
        <w:rPr>
          <w:rFonts w:hint="eastAsia" w:asciiTheme="minorEastAsia" w:hAnsiTheme="minorEastAsia"/>
          <w:bCs/>
          <w:kern w:val="0"/>
          <w:sz w:val="32"/>
          <w:szCs w:val="32"/>
        </w:rPr>
        <w:t>（一）内设机构设置。</w:t>
      </w:r>
      <w:r>
        <w:rPr>
          <w:rFonts w:hint="eastAsia" w:eastAsia="仿宋_GB2312"/>
          <w:color w:val="000000" w:themeColor="text1"/>
          <w:sz w:val="32"/>
          <w:szCs w:val="32"/>
          <w:lang w:eastAsia="zh-CN"/>
          <w14:textFill>
            <w14:solidFill>
              <w14:schemeClr w14:val="tx1"/>
            </w14:solidFill>
          </w14:textFill>
        </w:rPr>
        <w:t>未设置内设科室。</w:t>
      </w:r>
    </w:p>
    <w:p>
      <w:pPr>
        <w:ind w:firstLine="640" w:firstLineChars="200"/>
        <w:jc w:val="left"/>
        <w:rPr>
          <w:rFonts w:ascii="黑体" w:hAnsi="黑体" w:eastAsia="黑体"/>
          <w:sz w:val="28"/>
          <w:szCs w:val="28"/>
        </w:rPr>
      </w:pPr>
      <w:r>
        <w:rPr>
          <w:rFonts w:hint="eastAsia" w:asciiTheme="minorEastAsia" w:hAnsiTheme="minorEastAsia"/>
          <w:bCs/>
          <w:kern w:val="0"/>
          <w:sz w:val="32"/>
          <w:szCs w:val="32"/>
        </w:rPr>
        <w:t>（二）决算单位构成。</w:t>
      </w:r>
      <w:r>
        <w:rPr>
          <w:rFonts w:eastAsia="仿宋_GB2312"/>
          <w:color w:val="000000" w:themeColor="text1"/>
          <w:sz w:val="32"/>
          <w:szCs w:val="32"/>
          <w14:textFill>
            <w14:solidFill>
              <w14:schemeClr w14:val="tx1"/>
            </w14:solidFill>
          </w14:textFill>
        </w:rPr>
        <w:t>本部门</w:t>
      </w:r>
      <w:r>
        <w:rPr>
          <w:rFonts w:hint="eastAsia" w:eastAsia="仿宋_GB2312"/>
          <w:color w:val="000000" w:themeColor="text1"/>
          <w:sz w:val="32"/>
          <w:szCs w:val="32"/>
          <w:lang w:val="en-US" w:eastAsia="zh-CN"/>
          <w14:textFill>
            <w14:solidFill>
              <w14:schemeClr w14:val="tx1"/>
            </w14:solidFill>
          </w14:textFill>
        </w:rPr>
        <w:t>决算</w:t>
      </w:r>
      <w:r>
        <w:rPr>
          <w:rFonts w:eastAsia="仿宋_GB2312"/>
          <w:color w:val="000000" w:themeColor="text1"/>
          <w:sz w:val="32"/>
          <w:szCs w:val="32"/>
          <w14:textFill>
            <w14:solidFill>
              <w14:schemeClr w14:val="tx1"/>
            </w14:solidFill>
          </w14:textFill>
        </w:rPr>
        <w:t>为</w:t>
      </w:r>
      <w:r>
        <w:rPr>
          <w:rFonts w:hint="eastAsia" w:eastAsia="仿宋_GB2312"/>
          <w:color w:val="000000" w:themeColor="text1"/>
          <w:sz w:val="32"/>
          <w:szCs w:val="32"/>
          <w:lang w:eastAsia="zh-CN"/>
          <w14:textFill>
            <w14:solidFill>
              <w14:schemeClr w14:val="tx1"/>
            </w14:solidFill>
          </w14:textFill>
        </w:rPr>
        <w:t>湖南省固体废物管理站</w:t>
      </w:r>
      <w:r>
        <w:rPr>
          <w:rFonts w:hint="eastAsia" w:eastAsia="仿宋_GB2312"/>
          <w:color w:val="000000" w:themeColor="text1"/>
          <w:sz w:val="32"/>
          <w:szCs w:val="32"/>
          <w:lang w:val="en-US" w:eastAsia="zh-CN"/>
          <w14:textFill>
            <w14:solidFill>
              <w14:schemeClr w14:val="tx1"/>
            </w14:solidFill>
          </w14:textFill>
        </w:rPr>
        <w:t>2021年度</w:t>
      </w:r>
      <w:r>
        <w:rPr>
          <w:rFonts w:eastAsia="仿宋_GB2312"/>
          <w:color w:val="000000" w:themeColor="text1"/>
          <w:sz w:val="32"/>
          <w:szCs w:val="32"/>
          <w14:textFill>
            <w14:solidFill>
              <w14:schemeClr w14:val="tx1"/>
            </w14:solidFill>
          </w14:textFill>
        </w:rPr>
        <w:t>本级</w:t>
      </w:r>
      <w:r>
        <w:rPr>
          <w:rFonts w:hint="eastAsia" w:eastAsia="仿宋_GB2312"/>
          <w:color w:val="000000" w:themeColor="text1"/>
          <w:sz w:val="32"/>
          <w:szCs w:val="32"/>
          <w:lang w:val="en-US" w:eastAsia="zh-CN"/>
          <w14:textFill>
            <w14:solidFill>
              <w14:schemeClr w14:val="tx1"/>
            </w14:solidFill>
          </w14:textFill>
        </w:rPr>
        <w:t>决算</w:t>
      </w:r>
      <w:r>
        <w:rPr>
          <w:rFonts w:eastAsia="仿宋_GB2312"/>
          <w:color w:val="000000" w:themeColor="text1"/>
          <w:sz w:val="32"/>
          <w:szCs w:val="32"/>
          <w14:textFill>
            <w14:solidFill>
              <w14:schemeClr w14:val="tx1"/>
            </w14:solidFill>
          </w14:textFill>
        </w:rPr>
        <w:t>，纳入编制范围的</w:t>
      </w:r>
      <w:r>
        <w:rPr>
          <w:rFonts w:hint="eastAsia" w:eastAsia="仿宋_GB2312"/>
          <w:color w:val="000000" w:themeColor="text1"/>
          <w:sz w:val="32"/>
          <w:szCs w:val="32"/>
          <w:lang w:val="en-US" w:eastAsia="zh-CN"/>
          <w14:textFill>
            <w14:solidFill>
              <w14:schemeClr w14:val="tx1"/>
            </w14:solidFill>
          </w14:textFill>
        </w:rPr>
        <w:t>决</w:t>
      </w:r>
      <w:r>
        <w:rPr>
          <w:rFonts w:eastAsia="仿宋_GB2312"/>
          <w:color w:val="000000" w:themeColor="text1"/>
          <w:sz w:val="32"/>
          <w:szCs w:val="32"/>
          <w14:textFill>
            <w14:solidFill>
              <w14:schemeClr w14:val="tx1"/>
            </w14:solidFill>
          </w14:textFill>
        </w:rPr>
        <w:t>算单位包括：</w:t>
      </w:r>
      <w:r>
        <w:rPr>
          <w:rFonts w:hint="eastAsia" w:eastAsia="仿宋_GB2312"/>
          <w:color w:val="000000" w:themeColor="text1"/>
          <w:sz w:val="32"/>
          <w:szCs w:val="32"/>
          <w:lang w:eastAsia="zh-CN"/>
          <w14:textFill>
            <w14:solidFill>
              <w14:schemeClr w14:val="tx1"/>
            </w14:solidFill>
          </w14:textFill>
        </w:rPr>
        <w:t>湖南省固体废物管理站</w:t>
      </w:r>
      <w:r>
        <w:rPr>
          <w:rFonts w:eastAsia="仿宋_GB2312"/>
          <w:color w:val="000000" w:themeColor="text1"/>
          <w:sz w:val="32"/>
          <w:szCs w:val="32"/>
          <w14:textFill>
            <w14:solidFill>
              <w14:schemeClr w14:val="tx1"/>
            </w14:solidFill>
          </w14:textFill>
        </w:rPr>
        <w:t>本级</w:t>
      </w:r>
      <w:r>
        <w:rPr>
          <w:rFonts w:hint="eastAsia" w:eastAsia="仿宋_GB2312"/>
          <w:color w:val="000000" w:themeColor="text1"/>
          <w:sz w:val="32"/>
          <w:szCs w:val="32"/>
          <w:lang w:eastAsia="zh-CN"/>
          <w14:textFill>
            <w14:solidFill>
              <w14:schemeClr w14:val="tx1"/>
            </w14:solidFill>
          </w14:textFill>
        </w:rPr>
        <w:t>（仅含本级</w:t>
      </w:r>
      <w:r>
        <w:rPr>
          <w:rFonts w:hint="eastAsia" w:eastAsia="仿宋_GB2312"/>
          <w:color w:val="000000" w:themeColor="text1"/>
          <w:sz w:val="32"/>
          <w:szCs w:val="32"/>
          <w:lang w:val="en-US" w:eastAsia="zh-CN"/>
          <w14:textFill>
            <w14:solidFill>
              <w14:schemeClr w14:val="tx1"/>
            </w14:solidFill>
          </w14:textFill>
        </w:rPr>
        <w:t>决</w:t>
      </w:r>
      <w:r>
        <w:rPr>
          <w:rFonts w:hint="eastAsia" w:eastAsia="仿宋_GB2312"/>
          <w:color w:val="000000" w:themeColor="text1"/>
          <w:sz w:val="32"/>
          <w:szCs w:val="32"/>
          <w:lang w:eastAsia="zh-CN"/>
          <w14:textFill>
            <w14:solidFill>
              <w14:schemeClr w14:val="tx1"/>
            </w14:solidFill>
          </w14:textFill>
        </w:rPr>
        <w:t>算）。</w:t>
      </w: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ind w:firstLine="3600" w:firstLineChars="500"/>
        <w:jc w:val="both"/>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tbl>
      <w:tblPr>
        <w:tblStyle w:val="11"/>
        <w:tblW w:w="14081" w:type="dxa"/>
        <w:tblInd w:w="93" w:type="dxa"/>
        <w:tblLayout w:type="autofit"/>
        <w:tblCellMar>
          <w:top w:w="0" w:type="dxa"/>
          <w:left w:w="108" w:type="dxa"/>
          <w:bottom w:w="0" w:type="dxa"/>
          <w:right w:w="108" w:type="dxa"/>
        </w:tblCellMar>
      </w:tblPr>
      <w:tblGrid>
        <w:gridCol w:w="4126"/>
        <w:gridCol w:w="449"/>
        <w:gridCol w:w="631"/>
        <w:gridCol w:w="599"/>
        <w:gridCol w:w="98"/>
        <w:gridCol w:w="232"/>
        <w:gridCol w:w="3468"/>
        <w:gridCol w:w="845"/>
        <w:gridCol w:w="1460"/>
        <w:gridCol w:w="657"/>
        <w:gridCol w:w="1516"/>
      </w:tblGrid>
      <w:tr>
        <w:tblPrEx>
          <w:tblCellMar>
            <w:top w:w="0" w:type="dxa"/>
            <w:left w:w="108" w:type="dxa"/>
            <w:bottom w:w="0" w:type="dxa"/>
            <w:right w:w="108" w:type="dxa"/>
          </w:tblCellMar>
        </w:tblPrEx>
        <w:trPr>
          <w:trHeight w:val="360" w:hRule="atLeast"/>
        </w:trPr>
        <w:tc>
          <w:tcPr>
            <w:tcW w:w="14081" w:type="dxa"/>
            <w:gridSpan w:val="11"/>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收入支出决算总表</w:t>
            </w:r>
          </w:p>
        </w:tc>
      </w:tr>
      <w:tr>
        <w:tblPrEx>
          <w:tblCellMar>
            <w:top w:w="0" w:type="dxa"/>
            <w:left w:w="108" w:type="dxa"/>
            <w:bottom w:w="0" w:type="dxa"/>
            <w:right w:w="108" w:type="dxa"/>
          </w:tblCellMar>
        </w:tblPrEx>
        <w:trPr>
          <w:trHeight w:val="199" w:hRule="atLeast"/>
        </w:trPr>
        <w:tc>
          <w:tcPr>
            <w:tcW w:w="5206"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97"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77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5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16"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公开01表</w:t>
            </w:r>
          </w:p>
        </w:tc>
      </w:tr>
      <w:tr>
        <w:tblPrEx>
          <w:tblCellMar>
            <w:top w:w="0" w:type="dxa"/>
            <w:left w:w="108" w:type="dxa"/>
            <w:bottom w:w="0" w:type="dxa"/>
            <w:right w:w="108" w:type="dxa"/>
          </w:tblCellMar>
        </w:tblPrEx>
        <w:trPr>
          <w:trHeight w:val="300" w:hRule="atLeast"/>
        </w:trPr>
        <w:tc>
          <w:tcPr>
            <w:tcW w:w="5206" w:type="dxa"/>
            <w:gridSpan w:val="3"/>
            <w:tcBorders>
              <w:top w:val="nil"/>
              <w:left w:val="nil"/>
              <w:bottom w:val="nil"/>
              <w:right w:val="nil"/>
            </w:tcBorders>
            <w:shd w:val="clear" w:color="000000" w:fill="FFFFFF"/>
            <w:noWrap/>
            <w:vAlign w:val="center"/>
          </w:tcPr>
          <w:p>
            <w:pPr>
              <w:widowControl/>
              <w:jc w:val="left"/>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rPr>
              <w:t>部门：</w:t>
            </w:r>
            <w:r>
              <w:rPr>
                <w:rFonts w:ascii="宋体" w:hAnsi="宋体" w:eastAsia="宋体" w:cs="宋体"/>
                <w:color w:val="000000"/>
                <w:kern w:val="0"/>
                <w:sz w:val="20"/>
                <w:szCs w:val="20"/>
              </w:rPr>
              <w:t xml:space="preserve"> </w:t>
            </w:r>
            <w:r>
              <w:rPr>
                <w:rFonts w:hint="eastAsia" w:ascii="宋体" w:hAnsi="宋体" w:eastAsia="宋体" w:cs="宋体"/>
                <w:color w:val="000000"/>
                <w:kern w:val="0"/>
                <w:sz w:val="20"/>
                <w:szCs w:val="20"/>
                <w:lang w:eastAsia="zh-CN"/>
              </w:rPr>
              <w:t>湖南省固体废物管理站</w:t>
            </w:r>
          </w:p>
        </w:tc>
        <w:tc>
          <w:tcPr>
            <w:tcW w:w="697"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77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5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16"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340" w:hRule="atLeast"/>
        </w:trPr>
        <w:tc>
          <w:tcPr>
            <w:tcW w:w="5805"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8276" w:type="dxa"/>
            <w:gridSpan w:val="7"/>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230"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决算数</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3633"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决算数</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230"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633"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r>
      <w:tr>
        <w:tblPrEx>
          <w:tblCellMar>
            <w:top w:w="0" w:type="dxa"/>
            <w:left w:w="108" w:type="dxa"/>
            <w:bottom w:w="0" w:type="dxa"/>
            <w:right w:w="108" w:type="dxa"/>
          </w:tblCellMar>
        </w:tblPrEx>
        <w:trPr>
          <w:trHeight w:val="281"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一、一般公共预算财政拨款收入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679.58</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一、一般公共服务支出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14</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eastAsia="zh-CN"/>
              </w:rPr>
            </w:pP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二、政府性基金预算财政拨款收入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二、外交支出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15</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三、国有资本经营预算财政拨款收入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三、国防支出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16</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四、上级补助收入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四、公共安全支出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17</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五、事业收入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5</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五、教育支出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18</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六、经营收入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6</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六、科学技术支出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19</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七、附属单位上缴收入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7</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2"/>
                <w:lang w:eastAsia="zh-CN"/>
              </w:rPr>
              <w:t>七、社会保障和就业支出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20</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21.54</w:t>
            </w:r>
          </w:p>
        </w:tc>
      </w:tr>
      <w:tr>
        <w:tblPrEx>
          <w:tblCellMar>
            <w:top w:w="0" w:type="dxa"/>
            <w:left w:w="108" w:type="dxa"/>
            <w:bottom w:w="0" w:type="dxa"/>
            <w:right w:w="108" w:type="dxa"/>
          </w:tblCellMar>
        </w:tblPrEx>
        <w:trPr>
          <w:trHeight w:val="9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八、其他收入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8</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lang w:eastAsia="zh-CN"/>
              </w:rPr>
            </w:pPr>
            <w:r>
              <w:rPr>
                <w:rFonts w:hint="eastAsia" w:ascii="宋体" w:hAnsi="宋体" w:eastAsia="宋体" w:cs="宋体"/>
                <w:kern w:val="0"/>
                <w:sz w:val="22"/>
              </w:rPr>
              <w:t>　</w:t>
            </w:r>
            <w:r>
              <w:rPr>
                <w:rFonts w:hint="eastAsia" w:ascii="宋体" w:hAnsi="宋体" w:eastAsia="宋体" w:cs="宋体"/>
                <w:kern w:val="0"/>
                <w:sz w:val="22"/>
                <w:lang w:eastAsia="zh-CN"/>
              </w:rPr>
              <w:t>八、节能环保支出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21</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628.18</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9</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22</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本年收入合计</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10</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679.58</w:t>
            </w: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本年支出合计</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23</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649.72</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使用非财政拨款结余</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11</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结余分配</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24</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年初结转和结余</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12</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年末结转和结余</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25</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29.86</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13</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679.58</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26</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679.58</w:t>
            </w:r>
          </w:p>
        </w:tc>
      </w:tr>
      <w:tr>
        <w:tblPrEx>
          <w:tblCellMar>
            <w:top w:w="0" w:type="dxa"/>
            <w:left w:w="108" w:type="dxa"/>
            <w:bottom w:w="0" w:type="dxa"/>
            <w:right w:w="108" w:type="dxa"/>
          </w:tblCellMar>
        </w:tblPrEx>
        <w:trPr>
          <w:trHeight w:val="1020" w:hRule="atLeast"/>
        </w:trPr>
        <w:tc>
          <w:tcPr>
            <w:tcW w:w="14081" w:type="dxa"/>
            <w:gridSpan w:val="11"/>
            <w:tcBorders>
              <w:top w:val="nil"/>
              <w:left w:val="nil"/>
              <w:bottom w:val="nil"/>
              <w:right w:val="nil"/>
            </w:tcBorders>
            <w:shd w:val="clear" w:color="auto" w:fill="auto"/>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rPr>
              <w:t>注：1.本表反映部门本年度的总收支和年末结转结余情况。</w:t>
            </w:r>
          </w:p>
          <w:p>
            <w:pPr>
              <w:widowControl/>
              <w:jc w:val="left"/>
              <w:rPr>
                <w:rFonts w:ascii="宋体" w:hAnsi="宋体" w:eastAsia="宋体" w:cs="宋体"/>
                <w:kern w:val="0"/>
                <w:sz w:val="24"/>
                <w:szCs w:val="24"/>
              </w:rPr>
            </w:pPr>
            <w:r>
              <w:rPr>
                <w:rFonts w:hint="eastAsia" w:ascii="宋体" w:hAnsi="宋体" w:eastAsia="宋体" w:cs="宋体"/>
                <w:kern w:val="0"/>
                <w:sz w:val="24"/>
                <w:szCs w:val="24"/>
              </w:rPr>
              <w:t xml:space="preserve"> 2.本套报表金额单位转换时可能存在尾数误差。</w:t>
            </w:r>
          </w:p>
        </w:tc>
      </w:tr>
    </w:tbl>
    <w:p>
      <w:pPr>
        <w:jc w:val="center"/>
        <w:rPr>
          <w:rFonts w:ascii="黑体" w:hAnsi="黑体" w:eastAsia="黑体"/>
          <w:sz w:val="28"/>
          <w:szCs w:val="28"/>
        </w:rPr>
        <w:sectPr>
          <w:pgSz w:w="16838" w:h="11906" w:orient="landscape"/>
          <w:pgMar w:top="1797" w:right="1440" w:bottom="1797" w:left="1440" w:header="851" w:footer="992" w:gutter="0"/>
          <w:cols w:space="425" w:num="1"/>
          <w:docGrid w:type="linesAndChars" w:linePitch="312" w:charSpace="0"/>
        </w:sectPr>
      </w:pPr>
    </w:p>
    <w:tbl>
      <w:tblPr>
        <w:tblStyle w:val="11"/>
        <w:tblW w:w="14538" w:type="dxa"/>
        <w:tblInd w:w="0" w:type="dxa"/>
        <w:tblLayout w:type="fixed"/>
        <w:tblCellMar>
          <w:top w:w="0" w:type="dxa"/>
          <w:left w:w="0" w:type="dxa"/>
          <w:bottom w:w="0" w:type="dxa"/>
          <w:right w:w="0" w:type="dxa"/>
        </w:tblCellMar>
      </w:tblPr>
      <w:tblGrid>
        <w:gridCol w:w="458"/>
        <w:gridCol w:w="792"/>
        <w:gridCol w:w="3897"/>
        <w:gridCol w:w="1875"/>
        <w:gridCol w:w="1402"/>
        <w:gridCol w:w="1253"/>
        <w:gridCol w:w="1282"/>
        <w:gridCol w:w="1088"/>
        <w:gridCol w:w="1258"/>
        <w:gridCol w:w="1233"/>
      </w:tblGrid>
      <w:tr>
        <w:tblPrEx>
          <w:tblCellMar>
            <w:top w:w="0" w:type="dxa"/>
            <w:left w:w="0" w:type="dxa"/>
            <w:bottom w:w="0" w:type="dxa"/>
            <w:right w:w="0" w:type="dxa"/>
          </w:tblCellMar>
        </w:tblPrEx>
        <w:trPr>
          <w:trHeight w:val="435" w:hRule="atLeast"/>
        </w:trPr>
        <w:tc>
          <w:tcPr>
            <w:tcW w:w="14538" w:type="dxa"/>
            <w:gridSpan w:val="10"/>
            <w:tcBorders>
              <w:top w:val="nil"/>
              <w:left w:val="nil"/>
              <w:bottom w:val="nil"/>
              <w:right w:val="nil"/>
            </w:tcBorders>
            <w:shd w:val="clear" w:color="auto" w:fill="auto"/>
            <w:noWrap/>
            <w:tcMar>
              <w:top w:w="15" w:type="dxa"/>
              <w:left w:w="15" w:type="dxa"/>
              <w:bottom w:w="0" w:type="dxa"/>
              <w:right w:w="15" w:type="dxa"/>
            </w:tcMar>
            <w:vAlign w:val="center"/>
          </w:tcPr>
          <w:p>
            <w:pPr>
              <w:jc w:val="center"/>
              <w:rPr>
                <w:rFonts w:ascii="华文中宋" w:hAnsi="华文中宋" w:eastAsia="华文中宋" w:cs="宋体"/>
                <w:color w:val="000000"/>
                <w:sz w:val="32"/>
                <w:szCs w:val="32"/>
              </w:rPr>
            </w:pPr>
            <w:r>
              <w:rPr>
                <w:rFonts w:hint="eastAsia" w:ascii="华文中宋" w:hAnsi="华文中宋" w:eastAsia="华文中宋"/>
                <w:color w:val="000000"/>
                <w:sz w:val="32"/>
                <w:szCs w:val="32"/>
              </w:rPr>
              <w:t>收入决算表</w:t>
            </w:r>
          </w:p>
        </w:tc>
      </w:tr>
      <w:tr>
        <w:tblPrEx>
          <w:tblCellMar>
            <w:top w:w="0" w:type="dxa"/>
            <w:left w:w="0" w:type="dxa"/>
            <w:bottom w:w="0" w:type="dxa"/>
            <w:right w:w="0" w:type="dxa"/>
          </w:tblCellMar>
        </w:tblPrEx>
        <w:trPr>
          <w:trHeight w:val="285" w:hRule="atLeast"/>
        </w:trPr>
        <w:tc>
          <w:tcPr>
            <w:tcW w:w="458"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792"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3897"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87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402"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53"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82"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088"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58"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33"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公开02表</w:t>
            </w:r>
          </w:p>
        </w:tc>
      </w:tr>
      <w:tr>
        <w:tblPrEx>
          <w:tblCellMar>
            <w:top w:w="0" w:type="dxa"/>
            <w:left w:w="0" w:type="dxa"/>
            <w:bottom w:w="0" w:type="dxa"/>
            <w:right w:w="0" w:type="dxa"/>
          </w:tblCellMar>
        </w:tblPrEx>
        <w:trPr>
          <w:trHeight w:val="285" w:hRule="atLeast"/>
        </w:trPr>
        <w:tc>
          <w:tcPr>
            <w:tcW w:w="1250"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rPr>
                <w:rFonts w:ascii="宋体" w:hAnsi="宋体" w:eastAsia="宋体" w:cs="宋体"/>
                <w:color w:val="000000"/>
                <w:sz w:val="20"/>
                <w:szCs w:val="20"/>
              </w:rPr>
            </w:pPr>
            <w:r>
              <w:rPr>
                <w:rFonts w:hint="eastAsia"/>
                <w:color w:val="000000"/>
                <w:sz w:val="20"/>
                <w:szCs w:val="20"/>
              </w:rPr>
              <w:t>部门：</w:t>
            </w:r>
          </w:p>
        </w:tc>
        <w:tc>
          <w:tcPr>
            <w:tcW w:w="7174" w:type="dxa"/>
            <w:gridSpan w:val="3"/>
            <w:tcBorders>
              <w:top w:val="nil"/>
              <w:left w:val="nil"/>
              <w:bottom w:val="nil"/>
              <w:right w:val="nil"/>
            </w:tcBorders>
            <w:shd w:val="clear" w:color="000000" w:fill="FFFFFF"/>
            <w:noWrap/>
            <w:tcMar>
              <w:top w:w="15" w:type="dxa"/>
              <w:left w:w="15" w:type="dxa"/>
              <w:bottom w:w="0" w:type="dxa"/>
              <w:right w:w="15" w:type="dxa"/>
            </w:tcMar>
            <w:vAlign w:val="center"/>
          </w:tcPr>
          <w:p>
            <w:pPr>
              <w:jc w:val="both"/>
              <w:rPr>
                <w:rFonts w:ascii="宋体" w:hAnsi="宋体" w:eastAsia="宋体" w:cs="宋体"/>
                <w:sz w:val="24"/>
                <w:szCs w:val="24"/>
              </w:rPr>
            </w:pPr>
            <w:r>
              <w:rPr>
                <w:rFonts w:hint="eastAsia"/>
                <w:lang w:eastAsia="zh-CN"/>
              </w:rPr>
              <w:t>湖南省固体废物管理站</w:t>
            </w:r>
            <w:r>
              <w:rPr>
                <w:rFonts w:hint="eastAsia"/>
              </w:rPr>
              <w:t>　</w:t>
            </w:r>
          </w:p>
        </w:tc>
        <w:tc>
          <w:tcPr>
            <w:tcW w:w="1253" w:type="dxa"/>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1282"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088"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58"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33"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单位：万元</w:t>
            </w:r>
          </w:p>
        </w:tc>
      </w:tr>
      <w:tr>
        <w:tblPrEx>
          <w:tblCellMar>
            <w:top w:w="0" w:type="dxa"/>
            <w:left w:w="0" w:type="dxa"/>
            <w:bottom w:w="0" w:type="dxa"/>
            <w:right w:w="0" w:type="dxa"/>
          </w:tblCellMar>
        </w:tblPrEx>
        <w:trPr>
          <w:trHeight w:val="450" w:hRule="atLeast"/>
        </w:trPr>
        <w:tc>
          <w:tcPr>
            <w:tcW w:w="5147" w:type="dxa"/>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项    目</w:t>
            </w:r>
          </w:p>
        </w:tc>
        <w:tc>
          <w:tcPr>
            <w:tcW w:w="1875"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本年收入合计</w:t>
            </w:r>
          </w:p>
        </w:tc>
        <w:tc>
          <w:tcPr>
            <w:tcW w:w="1402"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财政拨款收入</w:t>
            </w:r>
          </w:p>
        </w:tc>
        <w:tc>
          <w:tcPr>
            <w:tcW w:w="1253"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上级补助收入</w:t>
            </w:r>
          </w:p>
        </w:tc>
        <w:tc>
          <w:tcPr>
            <w:tcW w:w="1282"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事业收入</w:t>
            </w:r>
          </w:p>
        </w:tc>
        <w:tc>
          <w:tcPr>
            <w:tcW w:w="1088"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经营收入</w:t>
            </w:r>
          </w:p>
        </w:tc>
        <w:tc>
          <w:tcPr>
            <w:tcW w:w="1258"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附属单位上缴收入</w:t>
            </w:r>
          </w:p>
        </w:tc>
        <w:tc>
          <w:tcPr>
            <w:tcW w:w="1233"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其他收入</w:t>
            </w:r>
          </w:p>
        </w:tc>
      </w:tr>
      <w:tr>
        <w:tblPrEx>
          <w:tblCellMar>
            <w:top w:w="0" w:type="dxa"/>
            <w:left w:w="0" w:type="dxa"/>
            <w:bottom w:w="0" w:type="dxa"/>
            <w:right w:w="0" w:type="dxa"/>
          </w:tblCellMar>
        </w:tblPrEx>
        <w:trPr>
          <w:trHeight w:val="450" w:hRule="atLeast"/>
        </w:trPr>
        <w:tc>
          <w:tcPr>
            <w:tcW w:w="1250"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功能分类科目编码</w:t>
            </w:r>
          </w:p>
        </w:tc>
        <w:tc>
          <w:tcPr>
            <w:tcW w:w="3897" w:type="dxa"/>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科目名称</w:t>
            </w:r>
          </w:p>
        </w:tc>
        <w:tc>
          <w:tcPr>
            <w:tcW w:w="187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402"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253"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282"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088"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258"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233"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CellMar>
            <w:top w:w="0" w:type="dxa"/>
            <w:left w:w="0" w:type="dxa"/>
            <w:bottom w:w="0" w:type="dxa"/>
            <w:right w:w="0" w:type="dxa"/>
          </w:tblCellMar>
        </w:tblPrEx>
        <w:trPr>
          <w:trHeight w:val="450" w:hRule="atLeast"/>
        </w:trPr>
        <w:tc>
          <w:tcPr>
            <w:tcW w:w="1250"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3897"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87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402"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253"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282"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088"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258"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233"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CellMar>
            <w:top w:w="0" w:type="dxa"/>
            <w:left w:w="0" w:type="dxa"/>
            <w:bottom w:w="0" w:type="dxa"/>
            <w:right w:w="0" w:type="dxa"/>
          </w:tblCellMar>
        </w:tblPrEx>
        <w:trPr>
          <w:trHeight w:val="450" w:hRule="atLeast"/>
        </w:trPr>
        <w:tc>
          <w:tcPr>
            <w:tcW w:w="514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栏次</w:t>
            </w:r>
          </w:p>
        </w:tc>
        <w:tc>
          <w:tcPr>
            <w:tcW w:w="187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1</w:t>
            </w:r>
          </w:p>
        </w:tc>
        <w:tc>
          <w:tcPr>
            <w:tcW w:w="140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2</w:t>
            </w:r>
          </w:p>
        </w:tc>
        <w:tc>
          <w:tcPr>
            <w:tcW w:w="125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3</w:t>
            </w:r>
          </w:p>
        </w:tc>
        <w:tc>
          <w:tcPr>
            <w:tcW w:w="128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4</w:t>
            </w:r>
          </w:p>
        </w:tc>
        <w:tc>
          <w:tcPr>
            <w:tcW w:w="108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5</w:t>
            </w:r>
          </w:p>
        </w:tc>
        <w:tc>
          <w:tcPr>
            <w:tcW w:w="125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6</w:t>
            </w:r>
          </w:p>
        </w:tc>
        <w:tc>
          <w:tcPr>
            <w:tcW w:w="123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7</w:t>
            </w:r>
          </w:p>
        </w:tc>
      </w:tr>
      <w:tr>
        <w:tblPrEx>
          <w:tblCellMar>
            <w:top w:w="0" w:type="dxa"/>
            <w:left w:w="0" w:type="dxa"/>
            <w:bottom w:w="0" w:type="dxa"/>
            <w:right w:w="0" w:type="dxa"/>
          </w:tblCellMar>
        </w:tblPrEx>
        <w:trPr>
          <w:trHeight w:val="450" w:hRule="atLeast"/>
        </w:trPr>
        <w:tc>
          <w:tcPr>
            <w:tcW w:w="514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合计</w:t>
            </w:r>
          </w:p>
        </w:tc>
        <w:tc>
          <w:tcPr>
            <w:tcW w:w="18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679.58</w:t>
            </w:r>
          </w:p>
        </w:tc>
        <w:tc>
          <w:tcPr>
            <w:tcW w:w="140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679.58</w:t>
            </w:r>
          </w:p>
        </w:tc>
        <w:tc>
          <w:tcPr>
            <w:tcW w:w="125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08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5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center"/>
              <w:rPr>
                <w:rFonts w:hint="eastAsia" w:eastAsiaTheme="minorEastAsia"/>
                <w:lang w:val="en-US" w:eastAsia="zh-CN"/>
              </w:rPr>
            </w:pPr>
            <w:r>
              <w:rPr>
                <w:rFonts w:hint="eastAsia" w:asciiTheme="minorHAnsi" w:hAnsiTheme="minorHAnsi" w:eastAsiaTheme="minorEastAsia" w:cstheme="minorBidi"/>
                <w:kern w:val="2"/>
                <w:sz w:val="21"/>
                <w:szCs w:val="22"/>
                <w:lang w:val="en-US" w:eastAsia="zh-CN"/>
              </w:rPr>
              <w:t>208</w:t>
            </w:r>
            <w:r>
              <w:rPr>
                <w:rFonts w:hint="eastAsia" w:asciiTheme="minorHAnsi" w:hAnsiTheme="minorHAnsi" w:eastAsiaTheme="minorEastAsia" w:cstheme="minorBidi"/>
                <w:kern w:val="2"/>
                <w:sz w:val="21"/>
                <w:szCs w:val="22"/>
              </w:rPr>
              <w:t>　</w:t>
            </w:r>
          </w:p>
        </w:tc>
        <w:tc>
          <w:tcPr>
            <w:tcW w:w="3897"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center"/>
              <w:rPr>
                <w:rFonts w:hint="eastAsia"/>
              </w:rPr>
            </w:pPr>
            <w:r>
              <w:rPr>
                <w:rFonts w:hint="eastAsia" w:asciiTheme="minorHAnsi" w:hAnsiTheme="minorHAnsi" w:eastAsiaTheme="minorEastAsia" w:cstheme="minorBidi"/>
                <w:kern w:val="2"/>
                <w:sz w:val="21"/>
                <w:szCs w:val="22"/>
              </w:rPr>
              <w:t>　社会保障和就业支出</w:t>
            </w:r>
          </w:p>
        </w:tc>
        <w:tc>
          <w:tcPr>
            <w:tcW w:w="18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21.54</w:t>
            </w:r>
          </w:p>
        </w:tc>
        <w:tc>
          <w:tcPr>
            <w:tcW w:w="140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21.54</w:t>
            </w:r>
          </w:p>
        </w:tc>
        <w:tc>
          <w:tcPr>
            <w:tcW w:w="125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2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08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25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2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center"/>
              <w:rPr>
                <w:rFonts w:hint="eastAsia" w:eastAsiaTheme="minorEastAsia"/>
                <w:lang w:val="en-US" w:eastAsia="zh-CN"/>
              </w:rPr>
            </w:pPr>
            <w:r>
              <w:rPr>
                <w:rFonts w:hint="eastAsia" w:asciiTheme="minorHAnsi" w:hAnsiTheme="minorHAnsi" w:eastAsiaTheme="minorEastAsia" w:cstheme="minorBidi"/>
                <w:kern w:val="2"/>
                <w:sz w:val="21"/>
                <w:szCs w:val="22"/>
                <w:lang w:val="en-US" w:eastAsia="zh-CN"/>
              </w:rPr>
              <w:t>20805</w:t>
            </w:r>
          </w:p>
        </w:tc>
        <w:tc>
          <w:tcPr>
            <w:tcW w:w="3897"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center"/>
              <w:rPr>
                <w:rFonts w:hint="eastAsia"/>
              </w:rPr>
            </w:pPr>
            <w:r>
              <w:rPr>
                <w:rFonts w:hint="eastAsia" w:asciiTheme="minorHAnsi" w:hAnsiTheme="minorHAnsi" w:eastAsiaTheme="minorEastAsia" w:cstheme="minorBidi"/>
                <w:kern w:val="2"/>
                <w:sz w:val="21"/>
                <w:szCs w:val="22"/>
              </w:rPr>
              <w:t>　行政事业单位养老支出</w:t>
            </w:r>
          </w:p>
        </w:tc>
        <w:tc>
          <w:tcPr>
            <w:tcW w:w="18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21.54</w:t>
            </w:r>
          </w:p>
        </w:tc>
        <w:tc>
          <w:tcPr>
            <w:tcW w:w="140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21.54</w:t>
            </w:r>
          </w:p>
        </w:tc>
        <w:tc>
          <w:tcPr>
            <w:tcW w:w="125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2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08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25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2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hint="eastAsia" w:asciiTheme="minorHAnsi" w:hAnsiTheme="minorHAnsi" w:eastAsiaTheme="minorEastAsia" w:cstheme="minorBidi"/>
                <w:kern w:val="2"/>
                <w:sz w:val="21"/>
                <w:szCs w:val="22"/>
                <w:lang w:val="en-US" w:eastAsia="zh-CN" w:bidi="ar-SA"/>
              </w:rPr>
            </w:pPr>
            <w:r>
              <w:rPr>
                <w:rFonts w:hint="eastAsia" w:eastAsiaTheme="minorEastAsia"/>
                <w:lang w:val="en-US" w:eastAsia="zh-CN"/>
              </w:rPr>
              <w:t>2080505</w:t>
            </w:r>
          </w:p>
        </w:tc>
        <w:tc>
          <w:tcPr>
            <w:tcW w:w="3897"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hint="eastAsia" w:asciiTheme="minorHAnsi" w:hAnsiTheme="minorHAnsi" w:eastAsiaTheme="minorEastAsia" w:cstheme="minorBidi"/>
                <w:kern w:val="2"/>
                <w:sz w:val="21"/>
                <w:szCs w:val="22"/>
                <w:lang w:val="en-US" w:eastAsia="zh-CN" w:bidi="ar-SA"/>
              </w:rPr>
            </w:pPr>
            <w:r>
              <w:rPr>
                <w:rFonts w:hint="eastAsia"/>
              </w:rPr>
              <w:t>机关事业单位基本养老保险缴费支出</w:t>
            </w:r>
          </w:p>
        </w:tc>
        <w:tc>
          <w:tcPr>
            <w:tcW w:w="18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21.54</w:t>
            </w:r>
          </w:p>
        </w:tc>
        <w:tc>
          <w:tcPr>
            <w:tcW w:w="140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21.54</w:t>
            </w:r>
          </w:p>
        </w:tc>
        <w:tc>
          <w:tcPr>
            <w:tcW w:w="125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08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5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center"/>
              <w:rPr>
                <w:rFonts w:hint="eastAsia"/>
              </w:rPr>
            </w:pPr>
            <w:r>
              <w:rPr>
                <w:rFonts w:hint="eastAsia" w:asciiTheme="minorHAnsi" w:hAnsiTheme="minorHAnsi" w:eastAsiaTheme="minorEastAsia" w:cstheme="minorBidi"/>
                <w:kern w:val="2"/>
                <w:szCs w:val="22"/>
                <w:lang w:val="en-US" w:eastAsia="zh-CN"/>
              </w:rPr>
              <w:t>211</w:t>
            </w:r>
          </w:p>
        </w:tc>
        <w:tc>
          <w:tcPr>
            <w:tcW w:w="3897"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center"/>
              <w:rPr>
                <w:rFonts w:hint="eastAsia"/>
              </w:rPr>
            </w:pPr>
            <w:r>
              <w:rPr>
                <w:rFonts w:hint="eastAsia" w:asciiTheme="minorHAnsi" w:hAnsiTheme="minorHAnsi" w:eastAsiaTheme="minorEastAsia" w:cstheme="minorBidi"/>
                <w:kern w:val="2"/>
                <w:szCs w:val="22"/>
                <w:lang w:val="en-US" w:eastAsia="zh-CN"/>
              </w:rPr>
              <w:t>节能环保支出</w:t>
            </w:r>
          </w:p>
        </w:tc>
        <w:tc>
          <w:tcPr>
            <w:tcW w:w="18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658.04</w:t>
            </w:r>
          </w:p>
        </w:tc>
        <w:tc>
          <w:tcPr>
            <w:tcW w:w="140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658.04</w:t>
            </w:r>
          </w:p>
        </w:tc>
        <w:tc>
          <w:tcPr>
            <w:tcW w:w="125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2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08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25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2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center"/>
              <w:rPr>
                <w:rFonts w:hint="eastAsia"/>
              </w:rPr>
            </w:pPr>
            <w:r>
              <w:rPr>
                <w:rFonts w:hint="eastAsia" w:asciiTheme="minorHAnsi" w:hAnsiTheme="minorHAnsi" w:eastAsiaTheme="minorEastAsia" w:cstheme="minorBidi"/>
                <w:kern w:val="2"/>
                <w:szCs w:val="22"/>
                <w:lang w:val="en-US" w:eastAsia="zh-CN"/>
              </w:rPr>
              <w:t>21101</w:t>
            </w:r>
          </w:p>
        </w:tc>
        <w:tc>
          <w:tcPr>
            <w:tcW w:w="3897"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center"/>
              <w:rPr>
                <w:rFonts w:hint="eastAsia"/>
              </w:rPr>
            </w:pPr>
            <w:r>
              <w:rPr>
                <w:rFonts w:hint="eastAsia" w:asciiTheme="minorHAnsi" w:hAnsiTheme="minorHAnsi" w:eastAsiaTheme="minorEastAsia" w:cstheme="minorBidi"/>
                <w:kern w:val="2"/>
                <w:szCs w:val="22"/>
                <w:lang w:val="en-US" w:eastAsia="zh-CN"/>
              </w:rPr>
              <w:t>环境保护管理事务</w:t>
            </w:r>
          </w:p>
        </w:tc>
        <w:tc>
          <w:tcPr>
            <w:tcW w:w="18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228.04</w:t>
            </w:r>
          </w:p>
        </w:tc>
        <w:tc>
          <w:tcPr>
            <w:tcW w:w="140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228.04</w:t>
            </w:r>
          </w:p>
        </w:tc>
        <w:tc>
          <w:tcPr>
            <w:tcW w:w="125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2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08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25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2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hint="eastAsia" w:asciiTheme="minorHAnsi" w:hAnsiTheme="minorHAnsi" w:eastAsiaTheme="minorEastAsia" w:cstheme="minorBidi"/>
                <w:sz w:val="21"/>
                <w:szCs w:val="22"/>
              </w:rPr>
            </w:pPr>
            <w:r>
              <w:rPr>
                <w:rFonts w:hint="eastAsia"/>
              </w:rPr>
              <w:t>2110101</w:t>
            </w:r>
          </w:p>
        </w:tc>
        <w:tc>
          <w:tcPr>
            <w:tcW w:w="3897"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hint="eastAsia" w:asciiTheme="minorHAnsi" w:hAnsiTheme="minorHAnsi" w:eastAsiaTheme="minorEastAsia" w:cstheme="minorBidi"/>
                <w:sz w:val="21"/>
                <w:szCs w:val="22"/>
              </w:rPr>
            </w:pPr>
            <w:r>
              <w:rPr>
                <w:rFonts w:hint="eastAsia"/>
              </w:rPr>
              <w:t>行政运行</w:t>
            </w:r>
          </w:p>
        </w:tc>
        <w:tc>
          <w:tcPr>
            <w:tcW w:w="18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228.04</w:t>
            </w:r>
          </w:p>
        </w:tc>
        <w:tc>
          <w:tcPr>
            <w:tcW w:w="140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228.04</w:t>
            </w:r>
          </w:p>
        </w:tc>
        <w:tc>
          <w:tcPr>
            <w:tcW w:w="125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08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5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center"/>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rPr>
              <w:t>21103</w:t>
            </w:r>
          </w:p>
        </w:tc>
        <w:tc>
          <w:tcPr>
            <w:tcW w:w="3897"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center"/>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rPr>
              <w:t>污染防治</w:t>
            </w:r>
          </w:p>
        </w:tc>
        <w:tc>
          <w:tcPr>
            <w:tcW w:w="18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430.00</w:t>
            </w:r>
          </w:p>
        </w:tc>
        <w:tc>
          <w:tcPr>
            <w:tcW w:w="140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430.00</w:t>
            </w:r>
          </w:p>
        </w:tc>
        <w:tc>
          <w:tcPr>
            <w:tcW w:w="125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2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08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25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2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hint="eastAsia" w:asciiTheme="minorHAnsi" w:hAnsiTheme="minorHAnsi" w:eastAsiaTheme="minorEastAsia" w:cstheme="minorBidi"/>
                <w:sz w:val="21"/>
                <w:szCs w:val="22"/>
              </w:rPr>
            </w:pPr>
            <w:r>
              <w:rPr>
                <w:rFonts w:hint="eastAsia"/>
              </w:rPr>
              <w:t>2110304</w:t>
            </w:r>
          </w:p>
        </w:tc>
        <w:tc>
          <w:tcPr>
            <w:tcW w:w="3897"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hint="eastAsia" w:asciiTheme="minorHAnsi" w:hAnsiTheme="minorHAnsi" w:eastAsiaTheme="minorEastAsia" w:cstheme="minorBidi"/>
                <w:sz w:val="21"/>
                <w:szCs w:val="22"/>
              </w:rPr>
            </w:pPr>
            <w:r>
              <w:rPr>
                <w:rFonts w:hint="eastAsia"/>
              </w:rPr>
              <w:t>固体废弃物与化学品</w:t>
            </w:r>
          </w:p>
        </w:tc>
        <w:tc>
          <w:tcPr>
            <w:tcW w:w="18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180.00</w:t>
            </w:r>
          </w:p>
        </w:tc>
        <w:tc>
          <w:tcPr>
            <w:tcW w:w="140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180.00</w:t>
            </w:r>
          </w:p>
        </w:tc>
        <w:tc>
          <w:tcPr>
            <w:tcW w:w="125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08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5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hint="eastAsia" w:asciiTheme="minorHAnsi" w:hAnsiTheme="minorHAnsi" w:eastAsiaTheme="minorEastAsia" w:cstheme="minorBidi"/>
                <w:sz w:val="21"/>
                <w:szCs w:val="22"/>
              </w:rPr>
            </w:pPr>
            <w:r>
              <w:rPr>
                <w:rFonts w:hint="eastAsia"/>
              </w:rPr>
              <w:t>2110305</w:t>
            </w:r>
          </w:p>
        </w:tc>
        <w:tc>
          <w:tcPr>
            <w:tcW w:w="3897"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hint="eastAsia" w:asciiTheme="minorHAnsi" w:hAnsiTheme="minorHAnsi" w:eastAsiaTheme="minorEastAsia" w:cstheme="minorBidi"/>
                <w:sz w:val="21"/>
                <w:szCs w:val="22"/>
              </w:rPr>
            </w:pPr>
            <w:r>
              <w:rPr>
                <w:rFonts w:hint="eastAsia"/>
              </w:rPr>
              <w:t>放射源和放射性废物监管</w:t>
            </w:r>
          </w:p>
        </w:tc>
        <w:tc>
          <w:tcPr>
            <w:tcW w:w="18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250.00</w:t>
            </w:r>
          </w:p>
        </w:tc>
        <w:tc>
          <w:tcPr>
            <w:tcW w:w="140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250.00</w:t>
            </w:r>
          </w:p>
        </w:tc>
        <w:tc>
          <w:tcPr>
            <w:tcW w:w="125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08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5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w:t>
            </w:r>
          </w:p>
        </w:tc>
        <w:tc>
          <w:tcPr>
            <w:tcW w:w="3897"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w:t>
            </w:r>
          </w:p>
        </w:tc>
        <w:tc>
          <w:tcPr>
            <w:tcW w:w="18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40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5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08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5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w:t>
            </w:r>
          </w:p>
        </w:tc>
        <w:tc>
          <w:tcPr>
            <w:tcW w:w="3897"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w:t>
            </w:r>
          </w:p>
        </w:tc>
        <w:tc>
          <w:tcPr>
            <w:tcW w:w="18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40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5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08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5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615" w:hRule="atLeast"/>
        </w:trPr>
        <w:tc>
          <w:tcPr>
            <w:tcW w:w="14538" w:type="dxa"/>
            <w:gridSpan w:val="10"/>
            <w:tcBorders>
              <w:top w:val="nil"/>
              <w:left w:val="nil"/>
              <w:bottom w:val="nil"/>
              <w:right w:val="nil"/>
            </w:tcBorders>
            <w:shd w:val="clear" w:color="auto" w:fill="auto"/>
            <w:tcMar>
              <w:top w:w="15" w:type="dxa"/>
              <w:left w:w="15" w:type="dxa"/>
              <w:bottom w:w="0" w:type="dxa"/>
              <w:right w:w="15" w:type="dxa"/>
            </w:tcMar>
            <w:vAlign w:val="center"/>
          </w:tcPr>
          <w:p>
            <w:pPr>
              <w:rPr>
                <w:rFonts w:ascii="宋体" w:hAnsi="宋体" w:eastAsia="宋体" w:cs="宋体"/>
                <w:sz w:val="24"/>
                <w:szCs w:val="24"/>
              </w:rPr>
            </w:pPr>
            <w:r>
              <w:rPr>
                <w:rFonts w:hint="eastAsia"/>
              </w:rPr>
              <w:t>注：本表反映部门本年度取得的各项收入情况。</w:t>
            </w:r>
          </w:p>
        </w:tc>
      </w:tr>
    </w:tbl>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p>
    <w:p>
      <w:pPr>
        <w:widowControl/>
        <w:rPr>
          <w:rFonts w:ascii="Times New Roman" w:hAnsi="Times New Roman" w:eastAsia="方正小标宋_GBK" w:cs="Times New Roman"/>
          <w:color w:val="000000"/>
          <w:kern w:val="0"/>
          <w:sz w:val="36"/>
          <w:szCs w:val="36"/>
        </w:rPr>
      </w:pPr>
    </w:p>
    <w:tbl>
      <w:tblPr>
        <w:tblStyle w:val="11"/>
        <w:tblW w:w="15032" w:type="dxa"/>
        <w:tblInd w:w="93" w:type="dxa"/>
        <w:tblLayout w:type="fixed"/>
        <w:tblCellMar>
          <w:top w:w="0" w:type="dxa"/>
          <w:left w:w="108" w:type="dxa"/>
          <w:bottom w:w="0" w:type="dxa"/>
          <w:right w:w="108" w:type="dxa"/>
        </w:tblCellMar>
      </w:tblPr>
      <w:tblGrid>
        <w:gridCol w:w="1042"/>
        <w:gridCol w:w="222"/>
        <w:gridCol w:w="3493"/>
        <w:gridCol w:w="1627"/>
        <w:gridCol w:w="1545"/>
        <w:gridCol w:w="1620"/>
        <w:gridCol w:w="1733"/>
        <w:gridCol w:w="1762"/>
        <w:gridCol w:w="1988"/>
        <w:tblGridChange w:id="0">
          <w:tblGrid>
            <w:gridCol w:w="1042"/>
            <w:gridCol w:w="222"/>
            <w:gridCol w:w="1823"/>
            <w:gridCol w:w="1290"/>
            <w:gridCol w:w="380"/>
            <w:gridCol w:w="1081"/>
            <w:gridCol w:w="546"/>
            <w:gridCol w:w="1133"/>
            <w:gridCol w:w="412"/>
            <w:gridCol w:w="1620"/>
            <w:gridCol w:w="1733"/>
            <w:gridCol w:w="1762"/>
            <w:gridCol w:w="1988"/>
          </w:tblGrid>
        </w:tblGridChange>
      </w:tblGrid>
      <w:tr>
        <w:tblPrEx>
          <w:tblCellMar>
            <w:top w:w="0" w:type="dxa"/>
            <w:left w:w="108" w:type="dxa"/>
            <w:bottom w:w="0" w:type="dxa"/>
            <w:right w:w="108" w:type="dxa"/>
          </w:tblCellMar>
        </w:tblPrEx>
        <w:trPr>
          <w:wAfter w:w="0" w:type="auto"/>
          <w:trHeight w:val="435" w:hRule="atLeast"/>
        </w:trPr>
        <w:tc>
          <w:tcPr>
            <w:tcW w:w="15032" w:type="dxa"/>
            <w:gridSpan w:val="9"/>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支出决算表</w:t>
            </w:r>
          </w:p>
        </w:tc>
      </w:tr>
      <w:tr>
        <w:tblPrEx>
          <w:tblCellMar>
            <w:top w:w="0" w:type="dxa"/>
            <w:left w:w="108" w:type="dxa"/>
            <w:bottom w:w="0" w:type="dxa"/>
            <w:right w:w="108" w:type="dxa"/>
          </w:tblCellMar>
        </w:tblPrEx>
        <w:trPr>
          <w:wAfter w:w="0" w:type="auto"/>
          <w:trHeight w:val="285" w:hRule="atLeast"/>
        </w:trPr>
        <w:tc>
          <w:tcPr>
            <w:tcW w:w="104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2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349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2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4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2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3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6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88"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公开03表</w:t>
            </w:r>
          </w:p>
        </w:tc>
      </w:tr>
      <w:tr>
        <w:tblPrEx>
          <w:tblCellMar>
            <w:top w:w="0" w:type="dxa"/>
            <w:left w:w="108" w:type="dxa"/>
            <w:bottom w:w="0" w:type="dxa"/>
            <w:right w:w="108" w:type="dxa"/>
          </w:tblCellMar>
        </w:tblPrEx>
        <w:trPr>
          <w:wAfter w:w="0" w:type="auto"/>
          <w:trHeight w:val="285" w:hRule="atLeast"/>
        </w:trPr>
        <w:tc>
          <w:tcPr>
            <w:tcW w:w="1042" w:type="dxa"/>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p>
        </w:tc>
        <w:tc>
          <w:tcPr>
            <w:tcW w:w="6887" w:type="dxa"/>
            <w:gridSpan w:val="4"/>
            <w:tcBorders>
              <w:top w:val="nil"/>
              <w:left w:val="nil"/>
              <w:bottom w:val="nil"/>
              <w:right w:val="nil"/>
            </w:tcBorders>
            <w:shd w:val="clear" w:color="000000" w:fill="FFFFFF"/>
            <w:noWrap/>
            <w:vAlign w:val="center"/>
          </w:tcPr>
          <w:p>
            <w:pPr>
              <w:widowControl/>
              <w:jc w:val="both"/>
              <w:rPr>
                <w:rFonts w:ascii="宋体" w:hAnsi="宋体" w:eastAsia="宋体" w:cs="宋体"/>
                <w:kern w:val="0"/>
                <w:sz w:val="24"/>
                <w:szCs w:val="24"/>
              </w:rPr>
            </w:pPr>
            <w:r>
              <w:rPr>
                <w:rFonts w:hint="eastAsia" w:ascii="宋体" w:hAnsi="宋体" w:eastAsia="宋体" w:cs="宋体"/>
                <w:kern w:val="0"/>
                <w:sz w:val="24"/>
                <w:szCs w:val="24"/>
                <w:lang w:eastAsia="zh-CN"/>
              </w:rPr>
              <w:t>湖南省固体废物管理站</w:t>
            </w:r>
            <w:r>
              <w:rPr>
                <w:rFonts w:hint="eastAsia" w:ascii="宋体" w:hAnsi="宋体" w:eastAsia="宋体" w:cs="宋体"/>
                <w:kern w:val="0"/>
                <w:sz w:val="24"/>
                <w:szCs w:val="24"/>
              </w:rPr>
              <w:t>　　</w:t>
            </w:r>
          </w:p>
        </w:tc>
        <w:tc>
          <w:tcPr>
            <w:tcW w:w="1620" w:type="dxa"/>
            <w:tcBorders>
              <w:top w:val="nil"/>
              <w:left w:val="nil"/>
              <w:bottom w:val="nil"/>
              <w:right w:val="nil"/>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73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6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88"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wAfter w:w="0" w:type="auto"/>
          <w:trHeight w:val="450" w:hRule="atLeast"/>
        </w:trPr>
        <w:tc>
          <w:tcPr>
            <w:tcW w:w="4757" w:type="dxa"/>
            <w:gridSpan w:val="3"/>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627"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本年支出合计</w:t>
            </w:r>
          </w:p>
        </w:tc>
        <w:tc>
          <w:tcPr>
            <w:tcW w:w="1545"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基本支出</w:t>
            </w:r>
          </w:p>
        </w:tc>
        <w:tc>
          <w:tcPr>
            <w:tcW w:w="162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c>
          <w:tcPr>
            <w:tcW w:w="1733"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上缴上级支出</w:t>
            </w:r>
          </w:p>
        </w:tc>
        <w:tc>
          <w:tcPr>
            <w:tcW w:w="1762"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经营支出</w:t>
            </w:r>
          </w:p>
        </w:tc>
        <w:tc>
          <w:tcPr>
            <w:tcW w:w="1988"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对附属单位补助支出</w:t>
            </w:r>
          </w:p>
        </w:tc>
      </w:tr>
      <w:tr>
        <w:tblPrEx>
          <w:tblCellMar>
            <w:top w:w="0" w:type="dxa"/>
            <w:left w:w="108" w:type="dxa"/>
            <w:bottom w:w="0" w:type="dxa"/>
            <w:right w:w="108" w:type="dxa"/>
          </w:tblCellMar>
        </w:tblPrEx>
        <w:trPr>
          <w:wAfter w:w="0" w:type="auto"/>
          <w:trHeight w:val="450" w:hRule="atLeast"/>
        </w:trPr>
        <w:tc>
          <w:tcPr>
            <w:tcW w:w="1264"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3493"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162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5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3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8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wAfter w:w="0" w:type="auto"/>
          <w:trHeight w:val="450" w:hRule="atLeast"/>
        </w:trPr>
        <w:tc>
          <w:tcPr>
            <w:tcW w:w="126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4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62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5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3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8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wAfter w:w="0" w:type="auto"/>
          <w:trHeight w:val="450" w:hRule="atLeast"/>
        </w:trPr>
        <w:tc>
          <w:tcPr>
            <w:tcW w:w="4757"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1627"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5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62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73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762"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1988"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w:t>
            </w:r>
          </w:p>
        </w:tc>
      </w:tr>
      <w:tr>
        <w:tblPrEx>
          <w:tblCellMar>
            <w:top w:w="0" w:type="dxa"/>
            <w:left w:w="108" w:type="dxa"/>
            <w:bottom w:w="0" w:type="dxa"/>
            <w:right w:w="108" w:type="dxa"/>
          </w:tblCellMar>
        </w:tblPrEx>
        <w:trPr>
          <w:wAfter w:w="0" w:type="auto"/>
          <w:trHeight w:val="450" w:hRule="atLeast"/>
        </w:trPr>
        <w:tc>
          <w:tcPr>
            <w:tcW w:w="4757"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62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649.72</w:t>
            </w:r>
          </w:p>
        </w:tc>
        <w:tc>
          <w:tcPr>
            <w:tcW w:w="154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248.98</w:t>
            </w:r>
          </w:p>
        </w:tc>
        <w:tc>
          <w:tcPr>
            <w:tcW w:w="162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400.74</w:t>
            </w:r>
          </w:p>
        </w:tc>
        <w:tc>
          <w:tcPr>
            <w:tcW w:w="173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6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8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hint="eastAsia" w:ascii="宋体" w:hAnsi="宋体" w:eastAsia="宋体" w:cs="宋体"/>
                <w:kern w:val="0"/>
                <w:sz w:val="24"/>
                <w:szCs w:val="24"/>
              </w:rPr>
            </w:pPr>
            <w:r>
              <w:rPr>
                <w:rFonts w:hint="eastAsia" w:asciiTheme="minorHAnsi" w:hAnsiTheme="minorHAnsi" w:eastAsiaTheme="minorEastAsia" w:cstheme="minorBidi"/>
                <w:kern w:val="2"/>
                <w:sz w:val="21"/>
                <w:szCs w:val="22"/>
                <w:lang w:val="en-US" w:eastAsia="zh-CN"/>
              </w:rPr>
              <w:t>208</w:t>
            </w:r>
            <w:r>
              <w:rPr>
                <w:rFonts w:hint="eastAsia" w:asciiTheme="minorHAnsi" w:hAnsiTheme="minorHAnsi" w:eastAsiaTheme="minorEastAsia" w:cstheme="minorBidi"/>
                <w:kern w:val="2"/>
                <w:sz w:val="21"/>
                <w:szCs w:val="22"/>
              </w:rPr>
              <w:t>　</w:t>
            </w:r>
          </w:p>
        </w:tc>
        <w:tc>
          <w:tcPr>
            <w:tcW w:w="3493"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eastAsia="宋体" w:cs="宋体"/>
                <w:kern w:val="0"/>
                <w:sz w:val="24"/>
                <w:szCs w:val="24"/>
              </w:rPr>
            </w:pPr>
            <w:r>
              <w:rPr>
                <w:rFonts w:hint="eastAsia" w:asciiTheme="minorHAnsi" w:hAnsiTheme="minorHAnsi" w:eastAsiaTheme="minorEastAsia" w:cstheme="minorBidi"/>
                <w:kern w:val="2"/>
                <w:sz w:val="21"/>
                <w:szCs w:val="22"/>
              </w:rPr>
              <w:t>　社会保障和就业支出</w:t>
            </w:r>
          </w:p>
        </w:tc>
        <w:tc>
          <w:tcPr>
            <w:tcW w:w="162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21.54</w:t>
            </w:r>
          </w:p>
        </w:tc>
        <w:tc>
          <w:tcPr>
            <w:tcW w:w="154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21.54</w:t>
            </w:r>
          </w:p>
        </w:tc>
        <w:tc>
          <w:tcPr>
            <w:tcW w:w="16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3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176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198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hint="eastAsia" w:ascii="宋体" w:hAnsi="宋体" w:eastAsia="宋体" w:cs="宋体"/>
                <w:kern w:val="0"/>
                <w:sz w:val="24"/>
                <w:szCs w:val="24"/>
              </w:rPr>
            </w:pPr>
            <w:r>
              <w:rPr>
                <w:rFonts w:hint="eastAsia" w:asciiTheme="minorHAnsi" w:hAnsiTheme="minorHAnsi" w:eastAsiaTheme="minorEastAsia" w:cstheme="minorBidi"/>
                <w:kern w:val="2"/>
                <w:sz w:val="21"/>
                <w:szCs w:val="22"/>
                <w:lang w:val="en-US" w:eastAsia="zh-CN"/>
              </w:rPr>
              <w:t>20805</w:t>
            </w:r>
          </w:p>
        </w:tc>
        <w:tc>
          <w:tcPr>
            <w:tcW w:w="3493"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eastAsia="宋体" w:cs="宋体"/>
                <w:kern w:val="0"/>
                <w:sz w:val="24"/>
                <w:szCs w:val="24"/>
              </w:rPr>
            </w:pPr>
            <w:r>
              <w:rPr>
                <w:rFonts w:hint="eastAsia" w:asciiTheme="minorHAnsi" w:hAnsiTheme="minorHAnsi" w:eastAsiaTheme="minorEastAsia" w:cstheme="minorBidi"/>
                <w:kern w:val="2"/>
                <w:sz w:val="21"/>
                <w:szCs w:val="22"/>
              </w:rPr>
              <w:t>　行政事业单位养老支出</w:t>
            </w:r>
          </w:p>
        </w:tc>
        <w:tc>
          <w:tcPr>
            <w:tcW w:w="162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21.54</w:t>
            </w:r>
          </w:p>
        </w:tc>
        <w:tc>
          <w:tcPr>
            <w:tcW w:w="154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21.54</w:t>
            </w:r>
          </w:p>
        </w:tc>
        <w:tc>
          <w:tcPr>
            <w:tcW w:w="16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3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176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198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r>
      <w:tr>
        <w:tblPrEx>
          <w:tblCellMar>
            <w:top w:w="0" w:type="dxa"/>
            <w:left w:w="108" w:type="dxa"/>
            <w:bottom w:w="0" w:type="dxa"/>
            <w:right w:w="108" w:type="dxa"/>
          </w:tblCellMar>
        </w:tblPrEx>
        <w:trPr>
          <w:wAfter w:w="0" w:type="auto"/>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center"/>
              <w:rPr>
                <w:rFonts w:ascii="宋体" w:hAnsi="宋体" w:eastAsia="宋体" w:cs="宋体"/>
                <w:kern w:val="0"/>
                <w:sz w:val="24"/>
                <w:szCs w:val="24"/>
              </w:rPr>
            </w:pPr>
            <w:r>
              <w:rPr>
                <w:rFonts w:hint="eastAsia" w:eastAsiaTheme="minorEastAsia"/>
                <w:lang w:val="en-US" w:eastAsia="zh-CN"/>
              </w:rPr>
              <w:t>2080505</w:t>
            </w:r>
          </w:p>
        </w:tc>
        <w:tc>
          <w:tcPr>
            <w:tcW w:w="3493"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kern w:val="0"/>
                <w:sz w:val="24"/>
                <w:szCs w:val="24"/>
              </w:rPr>
            </w:pPr>
            <w:r>
              <w:rPr>
                <w:rFonts w:hint="eastAsia"/>
              </w:rPr>
              <w:t>机关事业单位基本养老保险缴费支出</w:t>
            </w:r>
          </w:p>
        </w:tc>
        <w:tc>
          <w:tcPr>
            <w:tcW w:w="162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21.54</w:t>
            </w:r>
          </w:p>
        </w:tc>
        <w:tc>
          <w:tcPr>
            <w:tcW w:w="154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21.54</w:t>
            </w:r>
          </w:p>
        </w:tc>
        <w:tc>
          <w:tcPr>
            <w:tcW w:w="16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3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6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8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hint="eastAsia"/>
              </w:rPr>
            </w:pPr>
            <w:r>
              <w:rPr>
                <w:rFonts w:hint="eastAsia" w:asciiTheme="minorHAnsi" w:hAnsiTheme="minorHAnsi" w:eastAsiaTheme="minorEastAsia" w:cstheme="minorBidi"/>
                <w:kern w:val="2"/>
                <w:szCs w:val="22"/>
                <w:lang w:val="en-US" w:eastAsia="zh-CN"/>
              </w:rPr>
              <w:t>211</w:t>
            </w:r>
          </w:p>
        </w:tc>
        <w:tc>
          <w:tcPr>
            <w:tcW w:w="3493"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rPr>
            </w:pPr>
            <w:r>
              <w:rPr>
                <w:rFonts w:hint="eastAsia" w:asciiTheme="minorHAnsi" w:hAnsiTheme="minorHAnsi" w:eastAsiaTheme="minorEastAsia" w:cstheme="minorBidi"/>
                <w:kern w:val="2"/>
                <w:szCs w:val="22"/>
                <w:lang w:val="en-US" w:eastAsia="zh-CN"/>
              </w:rPr>
              <w:t>节能环保支出</w:t>
            </w:r>
          </w:p>
        </w:tc>
        <w:tc>
          <w:tcPr>
            <w:tcW w:w="162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628.18</w:t>
            </w:r>
          </w:p>
        </w:tc>
        <w:tc>
          <w:tcPr>
            <w:tcW w:w="154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227.44</w:t>
            </w:r>
          </w:p>
        </w:tc>
        <w:tc>
          <w:tcPr>
            <w:tcW w:w="16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400.74</w:t>
            </w:r>
          </w:p>
        </w:tc>
        <w:tc>
          <w:tcPr>
            <w:tcW w:w="173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176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198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hint="eastAsia"/>
              </w:rPr>
            </w:pPr>
            <w:r>
              <w:rPr>
                <w:rFonts w:hint="eastAsia" w:asciiTheme="minorHAnsi" w:hAnsiTheme="minorHAnsi" w:eastAsiaTheme="minorEastAsia" w:cstheme="minorBidi"/>
                <w:kern w:val="2"/>
                <w:szCs w:val="22"/>
                <w:lang w:val="en-US" w:eastAsia="zh-CN"/>
              </w:rPr>
              <w:t>21101</w:t>
            </w:r>
          </w:p>
        </w:tc>
        <w:tc>
          <w:tcPr>
            <w:tcW w:w="3493"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rPr>
            </w:pPr>
            <w:r>
              <w:rPr>
                <w:rFonts w:hint="eastAsia" w:asciiTheme="minorHAnsi" w:hAnsiTheme="minorHAnsi" w:eastAsiaTheme="minorEastAsia" w:cstheme="minorBidi"/>
                <w:kern w:val="2"/>
                <w:szCs w:val="22"/>
                <w:lang w:val="en-US" w:eastAsia="zh-CN"/>
              </w:rPr>
              <w:t>环境保护管理事务</w:t>
            </w:r>
          </w:p>
        </w:tc>
        <w:tc>
          <w:tcPr>
            <w:tcW w:w="162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227.44</w:t>
            </w:r>
          </w:p>
        </w:tc>
        <w:tc>
          <w:tcPr>
            <w:tcW w:w="154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227.44</w:t>
            </w:r>
          </w:p>
        </w:tc>
        <w:tc>
          <w:tcPr>
            <w:tcW w:w="16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3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176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198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r>
      <w:tr>
        <w:tblPrEx>
          <w:tblCellMar>
            <w:top w:w="0" w:type="dxa"/>
            <w:left w:w="108" w:type="dxa"/>
            <w:bottom w:w="0" w:type="dxa"/>
            <w:right w:w="108" w:type="dxa"/>
          </w:tblCellMar>
        </w:tblPrEx>
        <w:trPr>
          <w:wAfter w:w="0" w:type="auto"/>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center"/>
              <w:rPr>
                <w:rFonts w:ascii="宋体" w:hAnsi="宋体" w:eastAsia="宋体" w:cs="宋体"/>
                <w:kern w:val="2"/>
                <w:sz w:val="24"/>
                <w:szCs w:val="24"/>
                <w:lang w:val="en-US" w:eastAsia="zh-CN" w:bidi="ar-SA"/>
              </w:rPr>
            </w:pPr>
            <w:r>
              <w:rPr>
                <w:rFonts w:hint="eastAsia"/>
              </w:rPr>
              <w:t>2110101</w:t>
            </w:r>
          </w:p>
        </w:tc>
        <w:tc>
          <w:tcPr>
            <w:tcW w:w="3493"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kern w:val="2"/>
                <w:sz w:val="24"/>
                <w:szCs w:val="24"/>
                <w:lang w:val="en-US" w:eastAsia="zh-CN" w:bidi="ar-SA"/>
              </w:rPr>
            </w:pPr>
            <w:r>
              <w:rPr>
                <w:rFonts w:hint="eastAsia"/>
              </w:rPr>
              <w:t>行政运行</w:t>
            </w:r>
          </w:p>
        </w:tc>
        <w:tc>
          <w:tcPr>
            <w:tcW w:w="162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227.44</w:t>
            </w:r>
          </w:p>
        </w:tc>
        <w:tc>
          <w:tcPr>
            <w:tcW w:w="154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227.44</w:t>
            </w:r>
          </w:p>
        </w:tc>
        <w:tc>
          <w:tcPr>
            <w:tcW w:w="16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3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6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8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hint="eastAsia"/>
              </w:rPr>
            </w:pPr>
            <w:r>
              <w:rPr>
                <w:rFonts w:hint="eastAsia" w:asciiTheme="minorHAnsi" w:hAnsiTheme="minorHAnsi" w:eastAsiaTheme="minorEastAsia" w:cstheme="minorBidi"/>
                <w:kern w:val="2"/>
                <w:sz w:val="21"/>
                <w:szCs w:val="22"/>
              </w:rPr>
              <w:t>21103</w:t>
            </w:r>
          </w:p>
        </w:tc>
        <w:tc>
          <w:tcPr>
            <w:tcW w:w="3493"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rPr>
            </w:pPr>
            <w:r>
              <w:rPr>
                <w:rFonts w:hint="eastAsia" w:asciiTheme="minorHAnsi" w:hAnsiTheme="minorHAnsi" w:eastAsiaTheme="minorEastAsia" w:cstheme="minorBidi"/>
                <w:kern w:val="2"/>
                <w:sz w:val="21"/>
                <w:szCs w:val="22"/>
              </w:rPr>
              <w:t>污染防治</w:t>
            </w:r>
          </w:p>
        </w:tc>
        <w:tc>
          <w:tcPr>
            <w:tcW w:w="162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400.74</w:t>
            </w:r>
          </w:p>
        </w:tc>
        <w:tc>
          <w:tcPr>
            <w:tcW w:w="154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62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400.74</w:t>
            </w:r>
          </w:p>
        </w:tc>
        <w:tc>
          <w:tcPr>
            <w:tcW w:w="173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176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198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r>
      <w:tr>
        <w:tblPrEx>
          <w:tblCellMar>
            <w:top w:w="0" w:type="dxa"/>
            <w:left w:w="108" w:type="dxa"/>
            <w:bottom w:w="0" w:type="dxa"/>
            <w:right w:w="108" w:type="dxa"/>
          </w:tblCellMar>
        </w:tblPrEx>
        <w:trPr>
          <w:wAfter w:w="0" w:type="auto"/>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center"/>
              <w:rPr>
                <w:rFonts w:ascii="宋体" w:hAnsi="宋体" w:eastAsia="宋体" w:cs="宋体"/>
                <w:kern w:val="2"/>
                <w:sz w:val="24"/>
                <w:szCs w:val="24"/>
                <w:lang w:val="en-US" w:eastAsia="zh-CN" w:bidi="ar-SA"/>
              </w:rPr>
            </w:pPr>
            <w:r>
              <w:rPr>
                <w:rFonts w:hint="eastAsia"/>
              </w:rPr>
              <w:t>2110304</w:t>
            </w:r>
          </w:p>
        </w:tc>
        <w:tc>
          <w:tcPr>
            <w:tcW w:w="3493"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kern w:val="2"/>
                <w:sz w:val="24"/>
                <w:szCs w:val="24"/>
                <w:lang w:val="en-US" w:eastAsia="zh-CN" w:bidi="ar-SA"/>
              </w:rPr>
            </w:pPr>
            <w:r>
              <w:rPr>
                <w:rFonts w:hint="eastAsia"/>
              </w:rPr>
              <w:t>固体废弃物与化学品</w:t>
            </w:r>
          </w:p>
        </w:tc>
        <w:tc>
          <w:tcPr>
            <w:tcW w:w="162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rPr>
              <w:t>180</w:t>
            </w: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00</w:t>
            </w:r>
          </w:p>
        </w:tc>
        <w:tc>
          <w:tcPr>
            <w:tcW w:w="154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62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rPr>
            </w:pPr>
            <w:r>
              <w:rPr>
                <w:rFonts w:hint="eastAsia" w:ascii="宋体" w:hAnsi="宋体" w:eastAsia="宋体" w:cs="宋体"/>
                <w:kern w:val="0"/>
                <w:sz w:val="24"/>
                <w:szCs w:val="24"/>
                <w:lang w:val="en-US" w:eastAsia="zh-CN"/>
              </w:rPr>
              <w:t>180.00</w:t>
            </w:r>
          </w:p>
        </w:tc>
        <w:tc>
          <w:tcPr>
            <w:tcW w:w="173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6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8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wAfter w:w="0" w:type="auto"/>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center"/>
              <w:rPr>
                <w:rFonts w:ascii="宋体" w:hAnsi="宋体" w:eastAsia="宋体" w:cs="宋体"/>
                <w:kern w:val="2"/>
                <w:sz w:val="24"/>
                <w:szCs w:val="24"/>
                <w:lang w:val="en-US" w:eastAsia="zh-CN" w:bidi="ar-SA"/>
              </w:rPr>
            </w:pPr>
            <w:r>
              <w:rPr>
                <w:rFonts w:hint="eastAsia"/>
              </w:rPr>
              <w:t>2110305</w:t>
            </w:r>
          </w:p>
        </w:tc>
        <w:tc>
          <w:tcPr>
            <w:tcW w:w="3493"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kern w:val="2"/>
                <w:sz w:val="24"/>
                <w:szCs w:val="24"/>
                <w:lang w:val="en-US" w:eastAsia="zh-CN" w:bidi="ar-SA"/>
              </w:rPr>
            </w:pPr>
            <w:r>
              <w:rPr>
                <w:rFonts w:hint="eastAsia"/>
              </w:rPr>
              <w:t>放射源和放射性废物监管</w:t>
            </w:r>
          </w:p>
        </w:tc>
        <w:tc>
          <w:tcPr>
            <w:tcW w:w="162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220.74</w:t>
            </w:r>
          </w:p>
        </w:tc>
        <w:tc>
          <w:tcPr>
            <w:tcW w:w="154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6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220.74</w:t>
            </w:r>
          </w:p>
        </w:tc>
        <w:tc>
          <w:tcPr>
            <w:tcW w:w="173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6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8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wAfter w:w="0" w:type="auto"/>
          <w:trHeight w:val="630" w:hRule="atLeast"/>
        </w:trPr>
        <w:tc>
          <w:tcPr>
            <w:tcW w:w="15032" w:type="dxa"/>
            <w:gridSpan w:val="9"/>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注：本表反映部门本年度各项支出情况。</w:t>
            </w:r>
          </w:p>
        </w:tc>
      </w:tr>
    </w:tbl>
    <w:p>
      <w:pPr>
        <w:widowControl/>
        <w:jc w:val="both"/>
        <w:rPr>
          <w:rFonts w:ascii="Times New Roman" w:hAnsi="Times New Roman" w:eastAsia="方正小标宋_GBK" w:cs="Times New Roman"/>
          <w:color w:val="000000"/>
          <w:kern w:val="0"/>
          <w:sz w:val="36"/>
          <w:szCs w:val="21"/>
        </w:rPr>
      </w:pPr>
    </w:p>
    <w:p>
      <w:pPr>
        <w:pStyle w:val="10"/>
        <w:ind w:left="0" w:leftChars="0" w:firstLine="0" w:firstLineChars="0"/>
        <w:rPr>
          <w:rFonts w:ascii="Times New Roman" w:hAnsi="Times New Roman" w:eastAsia="方正小标宋_GBK" w:cs="Times New Roman"/>
          <w:color w:val="000000"/>
          <w:kern w:val="0"/>
          <w:sz w:val="36"/>
          <w:szCs w:val="21"/>
        </w:rPr>
      </w:pPr>
    </w:p>
    <w:tbl>
      <w:tblPr>
        <w:tblStyle w:val="11"/>
        <w:tblW w:w="15521" w:type="dxa"/>
        <w:tblInd w:w="93" w:type="dxa"/>
        <w:tblLayout w:type="autofit"/>
        <w:tblCellMar>
          <w:top w:w="0" w:type="dxa"/>
          <w:left w:w="108" w:type="dxa"/>
          <w:bottom w:w="0" w:type="dxa"/>
          <w:right w:w="108" w:type="dxa"/>
        </w:tblCellMar>
      </w:tblPr>
      <w:tblGrid>
        <w:gridCol w:w="3595"/>
        <w:gridCol w:w="436"/>
        <w:gridCol w:w="1078"/>
        <w:gridCol w:w="496"/>
        <w:gridCol w:w="2915"/>
        <w:gridCol w:w="632"/>
        <w:gridCol w:w="435"/>
        <w:gridCol w:w="1573"/>
        <w:gridCol w:w="1394"/>
        <w:gridCol w:w="1394"/>
        <w:gridCol w:w="1573"/>
      </w:tblGrid>
      <w:tr>
        <w:tblPrEx>
          <w:tblCellMar>
            <w:top w:w="0" w:type="dxa"/>
            <w:left w:w="108" w:type="dxa"/>
            <w:bottom w:w="0" w:type="dxa"/>
            <w:right w:w="108" w:type="dxa"/>
          </w:tblCellMar>
        </w:tblPrEx>
        <w:trPr>
          <w:trHeight w:val="285" w:hRule="atLeast"/>
        </w:trPr>
        <w:tc>
          <w:tcPr>
            <w:tcW w:w="3595" w:type="dxa"/>
            <w:tcBorders>
              <w:top w:val="nil"/>
              <w:left w:val="nil"/>
              <w:bottom w:val="nil"/>
              <w:right w:val="nil"/>
            </w:tcBorders>
            <w:shd w:val="clear" w:color="auto" w:fill="auto"/>
            <w:noWrap/>
            <w:vAlign w:val="center"/>
          </w:tcPr>
          <w:p>
            <w:pPr>
              <w:widowControl/>
              <w:jc w:val="left"/>
              <w:rPr>
                <w:rFonts w:ascii="黑体" w:hAnsi="黑体" w:eastAsia="黑体" w:cs="宋体"/>
                <w:kern w:val="0"/>
                <w:sz w:val="24"/>
                <w:szCs w:val="24"/>
              </w:rPr>
            </w:pPr>
            <w:bookmarkStart w:id="0" w:name="RANGE!A1:I22"/>
            <w:bookmarkEnd w:id="0"/>
            <w:bookmarkStart w:id="1" w:name="RANGE!A1:F16"/>
          </w:p>
        </w:tc>
        <w:tc>
          <w:tcPr>
            <w:tcW w:w="436"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4"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3547"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435"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3"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394"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394"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3"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r>
      <w:tr>
        <w:tblPrEx>
          <w:tblCellMar>
            <w:top w:w="0" w:type="dxa"/>
            <w:left w:w="108" w:type="dxa"/>
            <w:bottom w:w="0" w:type="dxa"/>
            <w:right w:w="108" w:type="dxa"/>
          </w:tblCellMar>
        </w:tblPrEx>
        <w:trPr>
          <w:trHeight w:val="360" w:hRule="atLeast"/>
        </w:trPr>
        <w:tc>
          <w:tcPr>
            <w:tcW w:w="15521" w:type="dxa"/>
            <w:gridSpan w:val="11"/>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财政拨款收入支出决算总表</w:t>
            </w:r>
          </w:p>
        </w:tc>
      </w:tr>
      <w:tr>
        <w:tblPrEx>
          <w:tblCellMar>
            <w:top w:w="0" w:type="dxa"/>
            <w:left w:w="108" w:type="dxa"/>
            <w:bottom w:w="0" w:type="dxa"/>
            <w:right w:w="108" w:type="dxa"/>
          </w:tblCellMar>
        </w:tblPrEx>
        <w:trPr>
          <w:trHeight w:val="199" w:hRule="atLeast"/>
        </w:trPr>
        <w:tc>
          <w:tcPr>
            <w:tcW w:w="359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公开04表</w:t>
            </w:r>
          </w:p>
        </w:tc>
      </w:tr>
      <w:tr>
        <w:tblPrEx>
          <w:tblCellMar>
            <w:top w:w="0" w:type="dxa"/>
            <w:left w:w="108" w:type="dxa"/>
            <w:bottom w:w="0" w:type="dxa"/>
            <w:right w:w="108" w:type="dxa"/>
          </w:tblCellMar>
        </w:tblPrEx>
        <w:trPr>
          <w:trHeight w:val="300" w:hRule="atLeast"/>
        </w:trPr>
        <w:tc>
          <w:tcPr>
            <w:tcW w:w="3595" w:type="dxa"/>
            <w:tcBorders>
              <w:top w:val="nil"/>
              <w:left w:val="nil"/>
              <w:bottom w:val="nil"/>
              <w:right w:val="nil"/>
            </w:tcBorders>
            <w:shd w:val="clear" w:color="000000" w:fill="FFFFFF"/>
            <w:noWrap/>
            <w:vAlign w:val="center"/>
          </w:tcPr>
          <w:p>
            <w:pPr>
              <w:widowControl/>
              <w:jc w:val="left"/>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rPr>
              <w:t>部门：</w:t>
            </w:r>
            <w:r>
              <w:rPr>
                <w:rFonts w:hint="eastAsia" w:ascii="宋体" w:hAnsi="宋体" w:eastAsia="宋体" w:cs="宋体"/>
                <w:color w:val="000000"/>
                <w:kern w:val="0"/>
                <w:sz w:val="20"/>
                <w:szCs w:val="20"/>
                <w:lang w:eastAsia="zh-CN"/>
              </w:rPr>
              <w:t>湖南省固体废物管理站</w:t>
            </w:r>
          </w:p>
        </w:tc>
        <w:tc>
          <w:tcPr>
            <w:tcW w:w="4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402" w:hRule="atLeast"/>
        </w:trPr>
        <w:tc>
          <w:tcPr>
            <w:tcW w:w="510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10412" w:type="dxa"/>
            <w:gridSpan w:val="8"/>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tblPrEx>
          <w:tblCellMar>
            <w:top w:w="0" w:type="dxa"/>
            <w:left w:w="108" w:type="dxa"/>
            <w:bottom w:w="0" w:type="dxa"/>
            <w:right w:w="108" w:type="dxa"/>
          </w:tblCellMar>
        </w:tblPrEx>
        <w:trPr>
          <w:trHeight w:val="63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金额</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一般公共预算财政拨款</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政府性基金预算财政拨款</w:t>
            </w:r>
          </w:p>
        </w:tc>
        <w:tc>
          <w:tcPr>
            <w:tcW w:w="15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国有资本经营预算财政拨款</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679.58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一、一般公共服务支出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15</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二、外交支出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16</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三、国防支出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17</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四、公共安全支出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18</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5</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五、教育支出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19</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6</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六、科学技术支出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7</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2"/>
                <w:lang w:eastAsia="zh-CN"/>
              </w:rPr>
              <w:t>七、社会保障和就业支出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21</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21.54</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lang w:val="en-US" w:eastAsia="zh-CN"/>
              </w:rPr>
              <w:t>21.54</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8</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both"/>
              <w:rPr>
                <w:rFonts w:ascii="宋体" w:hAnsi="宋体" w:eastAsia="宋体" w:cs="宋体"/>
                <w:kern w:val="0"/>
                <w:sz w:val="22"/>
              </w:rPr>
            </w:pPr>
            <w:r>
              <w:rPr>
                <w:rFonts w:hint="eastAsia" w:ascii="宋体" w:hAnsi="宋体" w:eastAsia="宋体" w:cs="宋体"/>
                <w:kern w:val="0"/>
                <w:sz w:val="22"/>
                <w:lang w:eastAsia="zh-CN"/>
              </w:rPr>
              <w:t>八、节能环保支出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22</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628.18</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lang w:val="en-US" w:eastAsia="zh-CN"/>
              </w:rPr>
              <w:t>628.18</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本年收入合计</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9</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679.58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本年支出合计</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23</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649.72</w:t>
            </w: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lang w:val="en-US" w:eastAsia="zh-CN"/>
              </w:rPr>
              <w:t>649.72</w:t>
            </w: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b/>
                <w:bCs/>
                <w:kern w:val="0"/>
                <w:sz w:val="22"/>
              </w:rPr>
            </w:pPr>
            <w:r>
              <w:rPr>
                <w:rFonts w:hint="eastAsia" w:ascii="宋体" w:hAnsi="宋体" w:eastAsia="宋体" w:cs="宋体"/>
                <w:b/>
                <w:bCs/>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年初财政拨款结转和结余</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10</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年末财政拨款结转和结余</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rPr>
              <w:t>29.86</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rPr>
              <w:t>29.86</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11</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25</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szCs w:val="22"/>
                <w:lang w:val="en-US" w:eastAsia="zh-CN" w:bidi="ar-SA"/>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12</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26</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13</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27</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4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14</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679.58</w:t>
            </w: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1067"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28</w:t>
            </w:r>
          </w:p>
        </w:tc>
        <w:tc>
          <w:tcPr>
            <w:tcW w:w="157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r>
              <w:rPr>
                <w:rFonts w:hint="eastAsia" w:ascii="宋体" w:hAnsi="宋体" w:eastAsia="宋体" w:cs="宋体"/>
                <w:kern w:val="0"/>
                <w:sz w:val="22"/>
                <w:lang w:val="en-US" w:eastAsia="zh-CN"/>
              </w:rPr>
              <w:t>679.58</w:t>
            </w: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679.58</w:t>
            </w: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b/>
                <w:bCs/>
                <w:kern w:val="0"/>
                <w:sz w:val="22"/>
              </w:rPr>
            </w:pPr>
            <w:r>
              <w:rPr>
                <w:rFonts w:hint="eastAsia" w:ascii="宋体" w:hAnsi="宋体" w:eastAsia="宋体" w:cs="宋体"/>
                <w:b/>
                <w:bCs/>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b/>
                <w:bCs/>
                <w:kern w:val="0"/>
                <w:sz w:val="22"/>
              </w:rPr>
            </w:pPr>
            <w:r>
              <w:rPr>
                <w:rFonts w:hint="eastAsia" w:ascii="宋体" w:hAnsi="宋体" w:eastAsia="宋体" w:cs="宋体"/>
                <w:b/>
                <w:bCs/>
                <w:kern w:val="0"/>
                <w:sz w:val="22"/>
              </w:rPr>
              <w:t>　</w:t>
            </w:r>
          </w:p>
        </w:tc>
      </w:tr>
      <w:tr>
        <w:tblPrEx>
          <w:tblCellMar>
            <w:top w:w="0" w:type="dxa"/>
            <w:left w:w="108" w:type="dxa"/>
            <w:bottom w:w="0" w:type="dxa"/>
            <w:right w:w="108" w:type="dxa"/>
          </w:tblCellMar>
        </w:tblPrEx>
        <w:trPr>
          <w:trHeight w:val="585" w:hRule="atLeast"/>
        </w:trPr>
        <w:tc>
          <w:tcPr>
            <w:tcW w:w="15521" w:type="dxa"/>
            <w:gridSpan w:val="11"/>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注：本表反映部门本年度一般公共预算财政拨款、政府性基金预算财政拨款和国有资本经营预算财政拨款的总收支和年末结转结余情况。</w:t>
            </w:r>
          </w:p>
        </w:tc>
      </w:tr>
    </w:tbl>
    <w:p>
      <w:pPr>
        <w:widowControl/>
        <w:jc w:val="center"/>
        <w:rPr>
          <w:rFonts w:ascii="Times New Roman" w:hAnsi="Times New Roman" w:eastAsia="方正小标宋_GBK" w:cs="Times New Roman"/>
          <w:kern w:val="0"/>
          <w:sz w:val="36"/>
          <w:szCs w:val="36"/>
        </w:rPr>
      </w:pPr>
    </w:p>
    <w:p>
      <w:pPr>
        <w:pStyle w:val="10"/>
        <w:ind w:left="0" w:leftChars="0" w:firstLine="0" w:firstLineChars="0"/>
        <w:rPr>
          <w:rFonts w:ascii="Times New Roman" w:hAnsi="Times New Roman" w:eastAsia="方正小标宋_GBK" w:cs="Times New Roman"/>
          <w:kern w:val="0"/>
          <w:sz w:val="36"/>
          <w:szCs w:val="36"/>
        </w:rPr>
      </w:pPr>
    </w:p>
    <w:p>
      <w:pPr>
        <w:widowControl/>
        <w:ind w:firstLine="3960" w:firstLineChars="1100"/>
        <w:jc w:val="both"/>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一般公共预算财政拨款支出决算表</w:t>
      </w:r>
      <w:bookmarkEnd w:id="1"/>
    </w:p>
    <w:p>
      <w:pPr>
        <w:widowControl/>
        <w:spacing w:before="156" w:beforeLines="50"/>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lang w:eastAsia="zh-CN"/>
        </w:rPr>
        <w:t>湖南省固体废物管理站</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单位：万元</w:t>
      </w:r>
    </w:p>
    <w:tbl>
      <w:tblPr>
        <w:tblStyle w:val="11"/>
        <w:tblW w:w="14219" w:type="dxa"/>
        <w:jc w:val="center"/>
        <w:tblLayout w:type="autofit"/>
        <w:tblCellMar>
          <w:top w:w="0" w:type="dxa"/>
          <w:left w:w="108" w:type="dxa"/>
          <w:bottom w:w="0" w:type="dxa"/>
          <w:right w:w="108" w:type="dxa"/>
        </w:tblCellMar>
      </w:tblPr>
      <w:tblGrid>
        <w:gridCol w:w="1200"/>
        <w:gridCol w:w="3905"/>
        <w:gridCol w:w="2622"/>
        <w:gridCol w:w="3492"/>
        <w:gridCol w:w="3000"/>
        <w:tblGridChange w:id="1">
          <w:tblGrid>
            <w:gridCol w:w="1200"/>
            <w:gridCol w:w="3905"/>
            <w:gridCol w:w="2622"/>
            <w:gridCol w:w="3492"/>
            <w:gridCol w:w="3000"/>
          </w:tblGrid>
        </w:tblGridChange>
      </w:tblGrid>
      <w:tr>
        <w:tblPrEx>
          <w:tblCellMar>
            <w:top w:w="0" w:type="dxa"/>
            <w:left w:w="108" w:type="dxa"/>
            <w:bottom w:w="0" w:type="dxa"/>
            <w:right w:w="108" w:type="dxa"/>
          </w:tblCellMar>
        </w:tblPrEx>
        <w:trPr>
          <w:trHeight w:val="405" w:hRule="atLeast"/>
          <w:jc w:val="center"/>
        </w:trPr>
        <w:tc>
          <w:tcPr>
            <w:tcW w:w="5105" w:type="dxa"/>
            <w:gridSpan w:val="2"/>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9114" w:type="dxa"/>
            <w:gridSpan w:val="3"/>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r>
      <w:tr>
        <w:tblPrEx>
          <w:tblCellMar>
            <w:top w:w="0" w:type="dxa"/>
            <w:left w:w="108" w:type="dxa"/>
            <w:bottom w:w="0" w:type="dxa"/>
            <w:right w:w="108" w:type="dxa"/>
          </w:tblCellMar>
        </w:tblPrEx>
        <w:trPr>
          <w:trHeight w:val="495" w:hRule="atLeast"/>
          <w:jc w:val="center"/>
        </w:trPr>
        <w:tc>
          <w:tcPr>
            <w:tcW w:w="120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390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262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349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基本支出</w:t>
            </w:r>
          </w:p>
        </w:tc>
        <w:tc>
          <w:tcPr>
            <w:tcW w:w="300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r>
      <w:tr>
        <w:tblPrEx>
          <w:tblCellMar>
            <w:top w:w="0" w:type="dxa"/>
            <w:left w:w="108" w:type="dxa"/>
            <w:bottom w:w="0" w:type="dxa"/>
            <w:right w:w="108" w:type="dxa"/>
          </w:tblCellMar>
        </w:tblPrEx>
        <w:trPr>
          <w:trHeight w:val="36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905"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262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45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905"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262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450" w:hRule="atLeast"/>
          <w:jc w:val="center"/>
        </w:trPr>
        <w:tc>
          <w:tcPr>
            <w:tcW w:w="5105"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262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r>
      <w:tr>
        <w:tblPrEx>
          <w:tblCellMar>
            <w:top w:w="0" w:type="dxa"/>
            <w:left w:w="108" w:type="dxa"/>
            <w:bottom w:w="0" w:type="dxa"/>
            <w:right w:w="108" w:type="dxa"/>
          </w:tblCellMar>
        </w:tblPrEx>
        <w:trPr>
          <w:trHeight w:val="450" w:hRule="atLeast"/>
          <w:jc w:val="center"/>
        </w:trPr>
        <w:tc>
          <w:tcPr>
            <w:tcW w:w="5105"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262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649.72</w:t>
            </w:r>
            <w:r>
              <w:rPr>
                <w:rFonts w:ascii="Times New Roman" w:hAnsi="Times New Roman" w:eastAsia="仿宋_GB2312" w:cs="Times New Roman"/>
                <w:kern w:val="0"/>
                <w:szCs w:val="21"/>
              </w:rPr>
              <w:t>　</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248.98</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400.74</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rPr>
                <w:rFonts w:hint="eastAsia" w:ascii="Times New Roman" w:hAnsi="Times New Roman" w:eastAsia="仿宋_GB2312" w:cs="Times New Roman"/>
                <w:kern w:val="0"/>
                <w:sz w:val="20"/>
                <w:szCs w:val="20"/>
                <w:lang w:val="en-US" w:eastAsia="zh-CN" w:bidi="ar-SA"/>
              </w:rPr>
            </w:pPr>
            <w:r>
              <w:rPr>
                <w:rFonts w:hint="eastAsia" w:ascii="Times New Roman" w:hAnsi="Times New Roman" w:eastAsia="仿宋_GB2312" w:cs="Times New Roman"/>
                <w:kern w:val="0"/>
                <w:sz w:val="20"/>
                <w:szCs w:val="20"/>
                <w:lang w:val="en-US" w:eastAsia="zh-CN"/>
              </w:rPr>
              <w:t>208</w:t>
            </w:r>
            <w:r>
              <w:rPr>
                <w:rFonts w:ascii="Times New Roman" w:hAnsi="Times New Roman" w:eastAsia="仿宋_GB2312" w:cs="Times New Roman"/>
                <w:kern w:val="0"/>
                <w:sz w:val="20"/>
                <w:szCs w:val="20"/>
              </w:rPr>
              <w:t>　</w:t>
            </w:r>
          </w:p>
        </w:tc>
        <w:tc>
          <w:tcPr>
            <w:tcW w:w="3905" w:type="dxa"/>
            <w:tcBorders>
              <w:top w:val="nil"/>
              <w:left w:val="nil"/>
              <w:bottom w:val="single" w:color="auto" w:sz="4" w:space="0"/>
              <w:right w:val="single" w:color="auto" w:sz="4" w:space="0"/>
            </w:tcBorders>
            <w:shd w:val="clear" w:color="auto" w:fill="auto"/>
            <w:vAlign w:val="center"/>
          </w:tcPr>
          <w:p>
            <w:pPr>
              <w:widowControl/>
              <w:jc w:val="left"/>
              <w:rPr>
                <w:rFonts w:hint="eastAsia" w:ascii="Times New Roman" w:hAnsi="Times New Roman" w:eastAsia="仿宋_GB2312" w:cs="Times New Roman"/>
                <w:kern w:val="0"/>
                <w:sz w:val="20"/>
                <w:szCs w:val="20"/>
                <w:lang w:val="en-US" w:eastAsia="zh-CN" w:bidi="ar-SA"/>
              </w:rPr>
            </w:pPr>
            <w:r>
              <w:rPr>
                <w:rFonts w:ascii="Times New Roman" w:hAnsi="Times New Roman" w:eastAsia="仿宋_GB2312" w:cs="Times New Roman"/>
                <w:kern w:val="0"/>
                <w:sz w:val="20"/>
                <w:szCs w:val="20"/>
              </w:rPr>
              <w:t>　</w:t>
            </w:r>
            <w:r>
              <w:rPr>
                <w:rFonts w:hint="eastAsia" w:ascii="Times New Roman" w:hAnsi="Times New Roman" w:eastAsia="仿宋_GB2312" w:cs="Times New Roman"/>
                <w:kern w:val="0"/>
                <w:sz w:val="20"/>
                <w:szCs w:val="20"/>
              </w:rPr>
              <w:t>社会保障和就业支出</w:t>
            </w:r>
          </w:p>
        </w:tc>
        <w:tc>
          <w:tcPr>
            <w:tcW w:w="2622"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Cs w:val="21"/>
                <w:lang w:val="en-US" w:eastAsia="zh-CN"/>
              </w:rPr>
              <w:t>21.54</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Cs w:val="21"/>
                <w:lang w:val="en-US" w:eastAsia="zh-CN"/>
              </w:rPr>
              <w:t>21.54</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rPr>
                <w:rFonts w:hint="eastAsia" w:ascii="Times New Roman" w:hAnsi="Times New Roman" w:eastAsia="仿宋_GB2312" w:cs="Times New Roman"/>
                <w:kern w:val="0"/>
                <w:sz w:val="20"/>
                <w:szCs w:val="20"/>
                <w:lang w:val="en-US" w:eastAsia="zh-CN" w:bidi="ar-SA"/>
              </w:rPr>
            </w:pPr>
            <w:r>
              <w:rPr>
                <w:rFonts w:hint="eastAsia" w:ascii="Times New Roman" w:hAnsi="Times New Roman" w:eastAsia="仿宋_GB2312" w:cs="Times New Roman"/>
                <w:kern w:val="0"/>
                <w:sz w:val="20"/>
                <w:szCs w:val="20"/>
                <w:lang w:val="en-US" w:eastAsia="zh-CN"/>
              </w:rPr>
              <w:t>20805</w:t>
            </w:r>
          </w:p>
        </w:tc>
        <w:tc>
          <w:tcPr>
            <w:tcW w:w="3905" w:type="dxa"/>
            <w:tcBorders>
              <w:top w:val="nil"/>
              <w:left w:val="nil"/>
              <w:bottom w:val="single" w:color="auto" w:sz="4" w:space="0"/>
              <w:right w:val="single" w:color="auto" w:sz="4" w:space="0"/>
            </w:tcBorders>
            <w:shd w:val="clear" w:color="auto" w:fill="auto"/>
            <w:vAlign w:val="center"/>
          </w:tcPr>
          <w:p>
            <w:pPr>
              <w:widowControl/>
              <w:jc w:val="left"/>
              <w:rPr>
                <w:rFonts w:hint="eastAsia" w:ascii="Times New Roman" w:hAnsi="Times New Roman" w:eastAsia="仿宋_GB2312" w:cs="Times New Roman"/>
                <w:kern w:val="0"/>
                <w:sz w:val="20"/>
                <w:szCs w:val="20"/>
                <w:lang w:val="en-US" w:eastAsia="zh-CN" w:bidi="ar-SA"/>
              </w:rPr>
            </w:pPr>
            <w:r>
              <w:rPr>
                <w:rFonts w:ascii="Times New Roman" w:hAnsi="Times New Roman" w:eastAsia="仿宋_GB2312" w:cs="Times New Roman"/>
                <w:kern w:val="0"/>
                <w:sz w:val="20"/>
                <w:szCs w:val="20"/>
              </w:rPr>
              <w:t>　</w:t>
            </w:r>
            <w:r>
              <w:rPr>
                <w:rFonts w:hint="eastAsia" w:ascii="Times New Roman" w:hAnsi="Times New Roman" w:eastAsia="仿宋_GB2312" w:cs="Times New Roman"/>
                <w:kern w:val="0"/>
                <w:sz w:val="20"/>
                <w:szCs w:val="20"/>
              </w:rPr>
              <w:t>行政事业单位养老支出</w:t>
            </w:r>
          </w:p>
        </w:tc>
        <w:tc>
          <w:tcPr>
            <w:tcW w:w="2622"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Cs w:val="21"/>
                <w:lang w:val="en-US" w:eastAsia="zh-CN"/>
              </w:rPr>
              <w:t>21.54</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Cs w:val="21"/>
                <w:lang w:val="en-US" w:eastAsia="zh-CN"/>
              </w:rPr>
              <w:t>21.54</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Cs w:val="21"/>
              </w:rPr>
              <w:t>2080505</w:t>
            </w:r>
            <w:r>
              <w:rPr>
                <w:rFonts w:ascii="Times New Roman" w:hAnsi="Times New Roman" w:eastAsia="仿宋_GB2312" w:cs="Times New Roman"/>
                <w:kern w:val="0"/>
                <w:szCs w:val="21"/>
              </w:rPr>
              <w:t>　</w:t>
            </w:r>
          </w:p>
        </w:tc>
        <w:tc>
          <w:tcPr>
            <w:tcW w:w="3905"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Cs w:val="21"/>
              </w:rPr>
              <w:t>机关事业单位基本养老保险缴费支出</w:t>
            </w:r>
          </w:p>
        </w:tc>
        <w:tc>
          <w:tcPr>
            <w:tcW w:w="2622"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Cs w:val="21"/>
                <w:lang w:val="en-US" w:eastAsia="zh-CN"/>
              </w:rPr>
              <w:t>21.54</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Cs w:val="21"/>
                <w:lang w:val="en-US" w:eastAsia="zh-CN"/>
              </w:rPr>
              <w:t>21.54</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default" w:ascii="Times New Roman" w:hAnsi="Times New Roman" w:eastAsia="仿宋_GB2312" w:cs="Times New Roman"/>
                <w:kern w:val="0"/>
                <w:sz w:val="21"/>
                <w:szCs w:val="21"/>
                <w:lang w:val="en-US" w:eastAsia="zh-CN" w:bidi="ar-SA"/>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211</w:t>
            </w:r>
          </w:p>
        </w:tc>
        <w:tc>
          <w:tcPr>
            <w:tcW w:w="3905"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节能环保支出</w:t>
            </w:r>
          </w:p>
        </w:tc>
        <w:tc>
          <w:tcPr>
            <w:tcW w:w="2622"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Cs w:val="21"/>
                <w:lang w:val="en-US" w:eastAsia="zh-CN"/>
              </w:rPr>
              <w:t>628.18</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Cs w:val="21"/>
                <w:lang w:val="en-US" w:eastAsia="zh-CN"/>
              </w:rPr>
              <w:t>227.44</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default"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Cs w:val="21"/>
                <w:lang w:val="en-US" w:eastAsia="zh-CN"/>
              </w:rPr>
              <w:fldChar w:fldCharType="begin"/>
            </w:r>
            <w:r>
              <w:rPr>
                <w:rFonts w:hint="eastAsia" w:ascii="Times New Roman" w:hAnsi="Times New Roman" w:eastAsia="仿宋_GB2312" w:cs="Times New Roman"/>
                <w:kern w:val="0"/>
                <w:szCs w:val="21"/>
                <w:lang w:val="en-US" w:eastAsia="zh-CN"/>
              </w:rPr>
              <w:instrText xml:space="preserve"> = sum(C14:C15) \* MERGEFORMAT </w:instrText>
            </w:r>
            <w:r>
              <w:rPr>
                <w:rFonts w:hint="eastAsia" w:ascii="Times New Roman" w:hAnsi="Times New Roman" w:eastAsia="仿宋_GB2312" w:cs="Times New Roman"/>
                <w:kern w:val="0"/>
                <w:szCs w:val="21"/>
                <w:lang w:val="en-US" w:eastAsia="zh-CN"/>
              </w:rPr>
              <w:fldChar w:fldCharType="separate"/>
            </w:r>
            <w:r>
              <w:rPr>
                <w:rFonts w:hint="eastAsia" w:ascii="Times New Roman" w:hAnsi="Times New Roman" w:eastAsia="仿宋_GB2312" w:cs="Times New Roman"/>
                <w:kern w:val="0"/>
                <w:szCs w:val="21"/>
                <w:lang w:val="en-US" w:eastAsia="zh-CN"/>
              </w:rPr>
              <w:t>400.74</w:t>
            </w:r>
            <w:r>
              <w:rPr>
                <w:rFonts w:hint="eastAsia" w:ascii="Times New Roman" w:hAnsi="Times New Roman" w:eastAsia="仿宋_GB2312" w:cs="Times New Roman"/>
                <w:kern w:val="0"/>
                <w:szCs w:val="21"/>
                <w:lang w:val="en-US" w:eastAsia="zh-CN"/>
              </w:rPr>
              <w:fldChar w:fldCharType="end"/>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21101</w:t>
            </w:r>
          </w:p>
        </w:tc>
        <w:tc>
          <w:tcPr>
            <w:tcW w:w="3905"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环境保护管理事务</w:t>
            </w:r>
          </w:p>
        </w:tc>
        <w:tc>
          <w:tcPr>
            <w:tcW w:w="2622"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Cs w:val="21"/>
                <w:lang w:val="en-US" w:eastAsia="zh-CN"/>
              </w:rPr>
              <w:t>227.44</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Cs w:val="21"/>
                <w:lang w:val="en-US" w:eastAsia="zh-CN"/>
              </w:rPr>
              <w:t>227.44</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default" w:ascii="Times New Roman" w:hAnsi="Times New Roman" w:eastAsia="仿宋_GB2312" w:cs="Times New Roman"/>
                <w:kern w:val="0"/>
                <w:sz w:val="21"/>
                <w:szCs w:val="21"/>
                <w:lang w:val="en-US" w:eastAsia="zh-CN" w:bidi="ar-SA"/>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2110101</w:t>
            </w:r>
            <w:r>
              <w:rPr>
                <w:rFonts w:ascii="Times New Roman" w:hAnsi="Times New Roman" w:eastAsia="仿宋_GB2312" w:cs="Times New Roman"/>
                <w:kern w:val="0"/>
                <w:szCs w:val="21"/>
              </w:rPr>
              <w:t>　</w:t>
            </w:r>
          </w:p>
        </w:tc>
        <w:tc>
          <w:tcPr>
            <w:tcW w:w="390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行政运行</w:t>
            </w:r>
          </w:p>
        </w:tc>
        <w:tc>
          <w:tcPr>
            <w:tcW w:w="2622"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227.44</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227.44</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rPr>
                <w:rFonts w:hint="eastAsia" w:ascii="Times New Roman" w:hAnsi="Times New Roman" w:eastAsia="仿宋_GB2312" w:cs="Times New Roman"/>
                <w:kern w:val="0"/>
                <w:sz w:val="20"/>
                <w:szCs w:val="20"/>
                <w:lang w:val="en-US" w:eastAsia="zh-CN" w:bidi="ar-SA"/>
              </w:rPr>
            </w:pPr>
            <w:r>
              <w:rPr>
                <w:rFonts w:hint="eastAsia" w:ascii="Times New Roman" w:hAnsi="Times New Roman" w:eastAsia="仿宋_GB2312" w:cs="Times New Roman"/>
                <w:kern w:val="0"/>
                <w:sz w:val="20"/>
                <w:szCs w:val="20"/>
              </w:rPr>
              <w:t>21103</w:t>
            </w:r>
          </w:p>
        </w:tc>
        <w:tc>
          <w:tcPr>
            <w:tcW w:w="3905" w:type="dxa"/>
            <w:tcBorders>
              <w:top w:val="nil"/>
              <w:left w:val="nil"/>
              <w:bottom w:val="single" w:color="auto" w:sz="4" w:space="0"/>
              <w:right w:val="single" w:color="auto" w:sz="4" w:space="0"/>
            </w:tcBorders>
            <w:shd w:val="clear" w:color="auto" w:fill="auto"/>
            <w:vAlign w:val="center"/>
          </w:tcPr>
          <w:p>
            <w:pPr>
              <w:widowControl/>
              <w:jc w:val="left"/>
              <w:rPr>
                <w:rFonts w:hint="eastAsia" w:ascii="Times New Roman" w:hAnsi="Times New Roman" w:eastAsia="仿宋_GB2312" w:cs="Times New Roman"/>
                <w:kern w:val="0"/>
                <w:sz w:val="20"/>
                <w:szCs w:val="20"/>
                <w:lang w:val="en-US" w:eastAsia="zh-CN" w:bidi="ar-SA"/>
              </w:rPr>
            </w:pPr>
            <w:r>
              <w:rPr>
                <w:rFonts w:hint="eastAsia" w:ascii="Times New Roman" w:hAnsi="Times New Roman" w:eastAsia="仿宋_GB2312" w:cs="Times New Roman"/>
                <w:kern w:val="0"/>
                <w:sz w:val="20"/>
                <w:szCs w:val="20"/>
              </w:rPr>
              <w:t>污染防治</w:t>
            </w:r>
          </w:p>
        </w:tc>
        <w:tc>
          <w:tcPr>
            <w:tcW w:w="2622"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fldChar w:fldCharType="begin"/>
            </w:r>
            <w:r>
              <w:rPr>
                <w:rFonts w:hint="eastAsia" w:ascii="Times New Roman" w:hAnsi="Times New Roman" w:eastAsia="仿宋_GB2312" w:cs="Times New Roman"/>
                <w:kern w:val="0"/>
                <w:szCs w:val="21"/>
                <w:lang w:val="en-US" w:eastAsia="zh-CN"/>
              </w:rPr>
              <w:instrText xml:space="preserve"> = sum(C14:C15) \* MERGEFORMAT </w:instrText>
            </w:r>
            <w:r>
              <w:rPr>
                <w:rFonts w:hint="eastAsia" w:ascii="Times New Roman" w:hAnsi="Times New Roman" w:eastAsia="仿宋_GB2312" w:cs="Times New Roman"/>
                <w:kern w:val="0"/>
                <w:szCs w:val="21"/>
                <w:lang w:val="en-US" w:eastAsia="zh-CN"/>
              </w:rPr>
              <w:fldChar w:fldCharType="separate"/>
            </w:r>
            <w:r>
              <w:rPr>
                <w:rFonts w:hint="eastAsia" w:ascii="Times New Roman" w:hAnsi="Times New Roman" w:eastAsia="仿宋_GB2312" w:cs="Times New Roman"/>
                <w:kern w:val="0"/>
                <w:szCs w:val="21"/>
                <w:lang w:val="en-US" w:eastAsia="zh-CN"/>
              </w:rPr>
              <w:t>400.74</w:t>
            </w:r>
            <w:r>
              <w:rPr>
                <w:rFonts w:hint="eastAsia" w:ascii="Times New Roman" w:hAnsi="Times New Roman" w:eastAsia="仿宋_GB2312" w:cs="Times New Roman"/>
                <w:kern w:val="0"/>
                <w:szCs w:val="21"/>
                <w:lang w:val="en-US" w:eastAsia="zh-CN"/>
              </w:rPr>
              <w:fldChar w:fldCharType="end"/>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Cs w:val="21"/>
                <w:lang w:val="en-US" w:eastAsia="zh-CN"/>
              </w:rPr>
            </w:pP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fldChar w:fldCharType="begin"/>
            </w:r>
            <w:r>
              <w:rPr>
                <w:rFonts w:hint="eastAsia" w:ascii="Times New Roman" w:hAnsi="Times New Roman" w:eastAsia="仿宋_GB2312" w:cs="Times New Roman"/>
                <w:kern w:val="0"/>
                <w:szCs w:val="21"/>
                <w:lang w:val="en-US" w:eastAsia="zh-CN"/>
              </w:rPr>
              <w:instrText xml:space="preserve"> = sum(C14:C15) \* MERGEFORMAT </w:instrText>
            </w:r>
            <w:r>
              <w:rPr>
                <w:rFonts w:hint="eastAsia" w:ascii="Times New Roman" w:hAnsi="Times New Roman" w:eastAsia="仿宋_GB2312" w:cs="Times New Roman"/>
                <w:kern w:val="0"/>
                <w:szCs w:val="21"/>
                <w:lang w:val="en-US" w:eastAsia="zh-CN"/>
              </w:rPr>
              <w:fldChar w:fldCharType="separate"/>
            </w:r>
            <w:r>
              <w:rPr>
                <w:rFonts w:hint="eastAsia" w:ascii="Times New Roman" w:hAnsi="Times New Roman" w:eastAsia="仿宋_GB2312" w:cs="Times New Roman"/>
                <w:kern w:val="0"/>
                <w:szCs w:val="21"/>
                <w:lang w:val="en-US" w:eastAsia="zh-CN"/>
              </w:rPr>
              <w:t>400.74</w:t>
            </w:r>
            <w:r>
              <w:rPr>
                <w:rFonts w:hint="eastAsia" w:ascii="Times New Roman" w:hAnsi="Times New Roman" w:eastAsia="仿宋_GB2312" w:cs="Times New Roman"/>
                <w:kern w:val="0"/>
                <w:szCs w:val="21"/>
                <w:lang w:val="en-US" w:eastAsia="zh-CN"/>
              </w:rPr>
              <w:fldChar w:fldCharType="end"/>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2110304</w:t>
            </w:r>
            <w:r>
              <w:rPr>
                <w:rFonts w:ascii="Times New Roman" w:hAnsi="Times New Roman" w:eastAsia="仿宋_GB2312" w:cs="Times New Roman"/>
                <w:kern w:val="0"/>
                <w:szCs w:val="21"/>
              </w:rPr>
              <w:t>　</w:t>
            </w:r>
          </w:p>
        </w:tc>
        <w:tc>
          <w:tcPr>
            <w:tcW w:w="390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 xml:space="preserve">  固体废弃物与化学品</w:t>
            </w:r>
          </w:p>
        </w:tc>
        <w:tc>
          <w:tcPr>
            <w:tcW w:w="2622"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180</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180</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2110305</w:t>
            </w:r>
            <w:r>
              <w:rPr>
                <w:rFonts w:ascii="Times New Roman" w:hAnsi="Times New Roman" w:eastAsia="仿宋_GB2312" w:cs="Times New Roman"/>
                <w:kern w:val="0"/>
                <w:szCs w:val="21"/>
              </w:rPr>
              <w:t>　</w:t>
            </w:r>
          </w:p>
        </w:tc>
        <w:tc>
          <w:tcPr>
            <w:tcW w:w="390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 xml:space="preserve">  放射源和放射性废物监管</w:t>
            </w:r>
          </w:p>
        </w:tc>
        <w:tc>
          <w:tcPr>
            <w:tcW w:w="2622"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220.74</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220.74</w:t>
            </w:r>
          </w:p>
        </w:tc>
      </w:tr>
      <w:tr>
        <w:tblPrEx>
          <w:tblCellMar>
            <w:top w:w="0" w:type="dxa"/>
            <w:left w:w="108" w:type="dxa"/>
            <w:bottom w:w="0" w:type="dxa"/>
            <w:right w:w="108" w:type="dxa"/>
          </w:tblCellMar>
        </w:tblPrEx>
        <w:trPr>
          <w:trHeight w:val="645" w:hRule="atLeast"/>
          <w:jc w:val="center"/>
        </w:trPr>
        <w:tc>
          <w:tcPr>
            <w:tcW w:w="14219" w:type="dxa"/>
            <w:gridSpan w:val="5"/>
            <w:tcBorders>
              <w:top w:val="nil"/>
              <w:left w:val="nil"/>
              <w:bottom w:val="nil"/>
              <w:right w:val="nil"/>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tc>
      </w:tr>
    </w:tbl>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tbl>
      <w:tblPr>
        <w:tblStyle w:val="11"/>
        <w:tblW w:w="0" w:type="auto"/>
        <w:tblInd w:w="0" w:type="dxa"/>
        <w:tblLayout w:type="fixed"/>
        <w:tblCellMar>
          <w:top w:w="0" w:type="dxa"/>
          <w:left w:w="108" w:type="dxa"/>
          <w:bottom w:w="0" w:type="dxa"/>
          <w:right w:w="108" w:type="dxa"/>
        </w:tblCellMar>
      </w:tblPr>
      <w:tblGrid>
        <w:gridCol w:w="1335"/>
        <w:gridCol w:w="3357"/>
        <w:gridCol w:w="844"/>
        <w:gridCol w:w="976"/>
        <w:gridCol w:w="2310"/>
        <w:gridCol w:w="825"/>
        <w:gridCol w:w="976"/>
        <w:gridCol w:w="3825"/>
        <w:gridCol w:w="1189"/>
      </w:tblGrid>
      <w:tr>
        <w:tblPrEx>
          <w:tblCellMar>
            <w:top w:w="0" w:type="dxa"/>
            <w:left w:w="108" w:type="dxa"/>
            <w:bottom w:w="0" w:type="dxa"/>
            <w:right w:w="108" w:type="dxa"/>
          </w:tblCellMar>
        </w:tblPrEx>
        <w:trPr>
          <w:trHeight w:val="113" w:hRule="atLeast"/>
        </w:trPr>
        <w:tc>
          <w:tcPr>
            <w:tcW w:w="15614" w:type="dxa"/>
            <w:gridSpan w:val="9"/>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Cs w:val="32"/>
              </w:rPr>
            </w:pPr>
            <w:bookmarkStart w:id="2" w:name="RANGE!A1:I34"/>
            <w:r>
              <w:rPr>
                <w:rFonts w:hint="eastAsia" w:ascii="华文中宋" w:hAnsi="华文中宋" w:eastAsia="华文中宋" w:cs="宋体"/>
                <w:color w:val="000000"/>
                <w:kern w:val="0"/>
                <w:szCs w:val="32"/>
              </w:rPr>
              <w:t>一般公共预算财政拨款基本支出决算明细表</w:t>
            </w:r>
            <w:bookmarkEnd w:id="2"/>
          </w:p>
          <w:p>
            <w:pPr>
              <w:widowControl/>
              <w:wordWrap w:val="0"/>
              <w:jc w:val="righ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部门： </w:t>
            </w:r>
            <w:r>
              <w:rPr>
                <w:rFonts w:hint="eastAsia" w:ascii="Times New Roman" w:hAnsi="Times New Roman" w:eastAsia="仿宋_GB2312" w:cs="Times New Roman"/>
                <w:color w:val="000000"/>
                <w:kern w:val="0"/>
                <w:szCs w:val="21"/>
                <w:lang w:eastAsia="zh-CN"/>
              </w:rPr>
              <w:t>湖南省固体废物管理站</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公开06表</w:t>
            </w:r>
          </w:p>
          <w:p>
            <w:pPr>
              <w:widowControl/>
              <w:jc w:val="right"/>
              <w:rPr>
                <w:rFonts w:ascii="华文中宋" w:hAnsi="华文中宋" w:eastAsia="华文中宋" w:cs="宋体"/>
                <w:color w:val="000000"/>
                <w:kern w:val="0"/>
                <w:szCs w:val="32"/>
              </w:rPr>
            </w:pPr>
            <w:r>
              <w:rPr>
                <w:rFonts w:hint="eastAsia" w:ascii="Times New Roman" w:hAnsi="Times New Roman" w:eastAsia="仿宋_GB2312" w:cs="Times New Roman"/>
                <w:color w:val="000000"/>
                <w:kern w:val="0"/>
                <w:szCs w:val="21"/>
              </w:rPr>
              <w:t>单位：万元</w:t>
            </w:r>
          </w:p>
        </w:tc>
      </w:tr>
      <w:tr>
        <w:tblPrEx>
          <w:tblCellMar>
            <w:top w:w="0" w:type="dxa"/>
            <w:left w:w="108" w:type="dxa"/>
            <w:bottom w:w="0" w:type="dxa"/>
            <w:right w:w="108" w:type="dxa"/>
          </w:tblCellMar>
        </w:tblPrEx>
        <w:trPr>
          <w:trHeight w:val="113" w:hRule="atLeast"/>
        </w:trPr>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 w:val="20"/>
                <w:szCs w:val="20"/>
              </w:rPr>
              <w:t>经济分类科目编码</w:t>
            </w:r>
          </w:p>
        </w:tc>
        <w:tc>
          <w:tcPr>
            <w:tcW w:w="335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84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23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82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382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118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w:t>
            </w:r>
          </w:p>
        </w:tc>
        <w:tc>
          <w:tcPr>
            <w:tcW w:w="33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工资福利支出</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167.62</w:t>
            </w: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w:t>
            </w:r>
          </w:p>
        </w:tc>
        <w:tc>
          <w:tcPr>
            <w:tcW w:w="23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商品和服务支出</w:t>
            </w:r>
          </w:p>
        </w:tc>
        <w:tc>
          <w:tcPr>
            <w:tcW w:w="82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81.36</w:t>
            </w: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w:t>
            </w:r>
          </w:p>
        </w:tc>
        <w:tc>
          <w:tcPr>
            <w:tcW w:w="3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债务利息及费用支出</w:t>
            </w:r>
          </w:p>
        </w:tc>
        <w:tc>
          <w:tcPr>
            <w:tcW w:w="11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30101</w:t>
            </w:r>
          </w:p>
        </w:tc>
        <w:tc>
          <w:tcPr>
            <w:tcW w:w="33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基本工资</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44.33</w:t>
            </w: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30201</w:t>
            </w:r>
          </w:p>
        </w:tc>
        <w:tc>
          <w:tcPr>
            <w:tcW w:w="23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办公费</w:t>
            </w:r>
          </w:p>
        </w:tc>
        <w:tc>
          <w:tcPr>
            <w:tcW w:w="8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3.00</w:t>
            </w: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30701</w:t>
            </w:r>
          </w:p>
        </w:tc>
        <w:tc>
          <w:tcPr>
            <w:tcW w:w="3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国内债务付息</w:t>
            </w:r>
          </w:p>
        </w:tc>
        <w:tc>
          <w:tcPr>
            <w:tcW w:w="11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30102</w:t>
            </w:r>
          </w:p>
        </w:tc>
        <w:tc>
          <w:tcPr>
            <w:tcW w:w="33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津贴补贴</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53.21</w:t>
            </w: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30202</w:t>
            </w:r>
          </w:p>
        </w:tc>
        <w:tc>
          <w:tcPr>
            <w:tcW w:w="23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印刷费</w:t>
            </w:r>
          </w:p>
        </w:tc>
        <w:tc>
          <w:tcPr>
            <w:tcW w:w="8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5.00</w:t>
            </w: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30702</w:t>
            </w:r>
          </w:p>
        </w:tc>
        <w:tc>
          <w:tcPr>
            <w:tcW w:w="3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国外债务付息</w:t>
            </w:r>
          </w:p>
        </w:tc>
        <w:tc>
          <w:tcPr>
            <w:tcW w:w="11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30103</w:t>
            </w:r>
          </w:p>
        </w:tc>
        <w:tc>
          <w:tcPr>
            <w:tcW w:w="33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奖金</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30203</w:t>
            </w:r>
          </w:p>
        </w:tc>
        <w:tc>
          <w:tcPr>
            <w:tcW w:w="23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咨询费</w:t>
            </w:r>
          </w:p>
        </w:tc>
        <w:tc>
          <w:tcPr>
            <w:tcW w:w="82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w:t>
            </w:r>
          </w:p>
        </w:tc>
        <w:tc>
          <w:tcPr>
            <w:tcW w:w="3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资本性支出</w:t>
            </w:r>
          </w:p>
        </w:tc>
        <w:tc>
          <w:tcPr>
            <w:tcW w:w="11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30106</w:t>
            </w:r>
          </w:p>
        </w:tc>
        <w:tc>
          <w:tcPr>
            <w:tcW w:w="33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伙食补助费</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5.28</w:t>
            </w: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30204</w:t>
            </w:r>
          </w:p>
        </w:tc>
        <w:tc>
          <w:tcPr>
            <w:tcW w:w="23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手续费</w:t>
            </w:r>
          </w:p>
        </w:tc>
        <w:tc>
          <w:tcPr>
            <w:tcW w:w="82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31001</w:t>
            </w:r>
          </w:p>
        </w:tc>
        <w:tc>
          <w:tcPr>
            <w:tcW w:w="3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房屋建筑物购建</w:t>
            </w:r>
          </w:p>
        </w:tc>
        <w:tc>
          <w:tcPr>
            <w:tcW w:w="11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30107</w:t>
            </w:r>
          </w:p>
        </w:tc>
        <w:tc>
          <w:tcPr>
            <w:tcW w:w="33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绩效工资</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30205</w:t>
            </w:r>
          </w:p>
        </w:tc>
        <w:tc>
          <w:tcPr>
            <w:tcW w:w="23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水费</w:t>
            </w:r>
          </w:p>
        </w:tc>
        <w:tc>
          <w:tcPr>
            <w:tcW w:w="82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31002</w:t>
            </w:r>
          </w:p>
        </w:tc>
        <w:tc>
          <w:tcPr>
            <w:tcW w:w="3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办公设备购置</w:t>
            </w:r>
          </w:p>
        </w:tc>
        <w:tc>
          <w:tcPr>
            <w:tcW w:w="11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30108</w:t>
            </w:r>
          </w:p>
        </w:tc>
        <w:tc>
          <w:tcPr>
            <w:tcW w:w="33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机关事业单位基本养老保险缴费</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21.54</w:t>
            </w: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30206</w:t>
            </w:r>
          </w:p>
        </w:tc>
        <w:tc>
          <w:tcPr>
            <w:tcW w:w="23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电费</w:t>
            </w:r>
          </w:p>
        </w:tc>
        <w:tc>
          <w:tcPr>
            <w:tcW w:w="82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31003</w:t>
            </w:r>
          </w:p>
        </w:tc>
        <w:tc>
          <w:tcPr>
            <w:tcW w:w="3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专用设备购置</w:t>
            </w:r>
          </w:p>
        </w:tc>
        <w:tc>
          <w:tcPr>
            <w:tcW w:w="11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30109</w:t>
            </w:r>
          </w:p>
        </w:tc>
        <w:tc>
          <w:tcPr>
            <w:tcW w:w="33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职业年金缴费</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30207</w:t>
            </w:r>
          </w:p>
        </w:tc>
        <w:tc>
          <w:tcPr>
            <w:tcW w:w="23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邮电费</w:t>
            </w:r>
          </w:p>
        </w:tc>
        <w:tc>
          <w:tcPr>
            <w:tcW w:w="8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0.30</w:t>
            </w: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31005</w:t>
            </w:r>
          </w:p>
        </w:tc>
        <w:tc>
          <w:tcPr>
            <w:tcW w:w="3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基础设施建设</w:t>
            </w:r>
          </w:p>
        </w:tc>
        <w:tc>
          <w:tcPr>
            <w:tcW w:w="11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30110</w:t>
            </w:r>
          </w:p>
        </w:tc>
        <w:tc>
          <w:tcPr>
            <w:tcW w:w="33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职工基本医疗保险缴费</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19.16</w:t>
            </w: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30208</w:t>
            </w:r>
          </w:p>
        </w:tc>
        <w:tc>
          <w:tcPr>
            <w:tcW w:w="23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取暖费</w:t>
            </w:r>
          </w:p>
        </w:tc>
        <w:tc>
          <w:tcPr>
            <w:tcW w:w="82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31006</w:t>
            </w:r>
          </w:p>
        </w:tc>
        <w:tc>
          <w:tcPr>
            <w:tcW w:w="3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大型修缮</w:t>
            </w:r>
          </w:p>
        </w:tc>
        <w:tc>
          <w:tcPr>
            <w:tcW w:w="11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30111</w:t>
            </w:r>
          </w:p>
        </w:tc>
        <w:tc>
          <w:tcPr>
            <w:tcW w:w="33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公务员医疗补助缴费</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30209</w:t>
            </w:r>
          </w:p>
        </w:tc>
        <w:tc>
          <w:tcPr>
            <w:tcW w:w="23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物业管理费</w:t>
            </w:r>
          </w:p>
        </w:tc>
        <w:tc>
          <w:tcPr>
            <w:tcW w:w="8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2.10</w:t>
            </w: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31007</w:t>
            </w:r>
          </w:p>
        </w:tc>
        <w:tc>
          <w:tcPr>
            <w:tcW w:w="3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信息网络及软件购置更新</w:t>
            </w:r>
          </w:p>
        </w:tc>
        <w:tc>
          <w:tcPr>
            <w:tcW w:w="11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30112</w:t>
            </w:r>
          </w:p>
        </w:tc>
        <w:tc>
          <w:tcPr>
            <w:tcW w:w="33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其他社会保障缴费</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30211</w:t>
            </w:r>
          </w:p>
        </w:tc>
        <w:tc>
          <w:tcPr>
            <w:tcW w:w="23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差旅费</w:t>
            </w:r>
          </w:p>
        </w:tc>
        <w:tc>
          <w:tcPr>
            <w:tcW w:w="8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18.00</w:t>
            </w: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31008</w:t>
            </w:r>
          </w:p>
        </w:tc>
        <w:tc>
          <w:tcPr>
            <w:tcW w:w="3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物资储备</w:t>
            </w:r>
          </w:p>
        </w:tc>
        <w:tc>
          <w:tcPr>
            <w:tcW w:w="11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30113</w:t>
            </w:r>
          </w:p>
        </w:tc>
        <w:tc>
          <w:tcPr>
            <w:tcW w:w="33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住房公积金</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16.1</w:t>
            </w:r>
            <w:r>
              <w:rPr>
                <w:rFonts w:hint="eastAsia" w:ascii="宋体" w:hAnsi="宋体" w:eastAsia="宋体" w:cs="宋体"/>
                <w:color w:val="000000"/>
                <w:kern w:val="0"/>
                <w:szCs w:val="20"/>
                <w:lang w:val="en-US" w:eastAsia="zh-CN"/>
              </w:rPr>
              <w:t>0</w:t>
            </w: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30212</w:t>
            </w:r>
          </w:p>
        </w:tc>
        <w:tc>
          <w:tcPr>
            <w:tcW w:w="23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因公出国（境）费用</w:t>
            </w:r>
          </w:p>
        </w:tc>
        <w:tc>
          <w:tcPr>
            <w:tcW w:w="82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31009</w:t>
            </w:r>
          </w:p>
        </w:tc>
        <w:tc>
          <w:tcPr>
            <w:tcW w:w="3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土地补偿</w:t>
            </w:r>
          </w:p>
        </w:tc>
        <w:tc>
          <w:tcPr>
            <w:tcW w:w="11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30114</w:t>
            </w:r>
          </w:p>
        </w:tc>
        <w:tc>
          <w:tcPr>
            <w:tcW w:w="33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30213</w:t>
            </w:r>
          </w:p>
        </w:tc>
        <w:tc>
          <w:tcPr>
            <w:tcW w:w="23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维修（护）费</w:t>
            </w:r>
          </w:p>
        </w:tc>
        <w:tc>
          <w:tcPr>
            <w:tcW w:w="82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31010</w:t>
            </w:r>
          </w:p>
        </w:tc>
        <w:tc>
          <w:tcPr>
            <w:tcW w:w="3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安置补助</w:t>
            </w:r>
          </w:p>
        </w:tc>
        <w:tc>
          <w:tcPr>
            <w:tcW w:w="11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30199</w:t>
            </w:r>
          </w:p>
        </w:tc>
        <w:tc>
          <w:tcPr>
            <w:tcW w:w="33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其他工资福利支出</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8</w:t>
            </w:r>
            <w:r>
              <w:rPr>
                <w:rFonts w:hint="eastAsia" w:ascii="宋体" w:hAnsi="宋体" w:eastAsia="宋体" w:cs="宋体"/>
                <w:color w:val="000000"/>
                <w:kern w:val="0"/>
                <w:szCs w:val="20"/>
                <w:lang w:val="en-US" w:eastAsia="zh-CN"/>
              </w:rPr>
              <w:t>.00</w:t>
            </w: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30214</w:t>
            </w:r>
          </w:p>
        </w:tc>
        <w:tc>
          <w:tcPr>
            <w:tcW w:w="23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租赁费</w:t>
            </w:r>
          </w:p>
        </w:tc>
        <w:tc>
          <w:tcPr>
            <w:tcW w:w="8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10.00</w:t>
            </w: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31011</w:t>
            </w:r>
          </w:p>
        </w:tc>
        <w:tc>
          <w:tcPr>
            <w:tcW w:w="3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地上附着物和青苗补偿</w:t>
            </w:r>
          </w:p>
        </w:tc>
        <w:tc>
          <w:tcPr>
            <w:tcW w:w="11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w:t>
            </w:r>
          </w:p>
        </w:tc>
        <w:tc>
          <w:tcPr>
            <w:tcW w:w="33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对个人和家庭的补助</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30215</w:t>
            </w:r>
          </w:p>
        </w:tc>
        <w:tc>
          <w:tcPr>
            <w:tcW w:w="23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会议费</w:t>
            </w:r>
          </w:p>
        </w:tc>
        <w:tc>
          <w:tcPr>
            <w:tcW w:w="8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2.00</w:t>
            </w: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31012</w:t>
            </w:r>
          </w:p>
        </w:tc>
        <w:tc>
          <w:tcPr>
            <w:tcW w:w="3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拆迁补偿</w:t>
            </w:r>
          </w:p>
        </w:tc>
        <w:tc>
          <w:tcPr>
            <w:tcW w:w="11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30301</w:t>
            </w:r>
          </w:p>
        </w:tc>
        <w:tc>
          <w:tcPr>
            <w:tcW w:w="33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离休费</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30216</w:t>
            </w:r>
          </w:p>
        </w:tc>
        <w:tc>
          <w:tcPr>
            <w:tcW w:w="23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培训费</w:t>
            </w:r>
          </w:p>
        </w:tc>
        <w:tc>
          <w:tcPr>
            <w:tcW w:w="8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8.00</w:t>
            </w: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31013</w:t>
            </w:r>
          </w:p>
        </w:tc>
        <w:tc>
          <w:tcPr>
            <w:tcW w:w="3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公务用车购置</w:t>
            </w:r>
          </w:p>
        </w:tc>
        <w:tc>
          <w:tcPr>
            <w:tcW w:w="11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30302</w:t>
            </w:r>
          </w:p>
        </w:tc>
        <w:tc>
          <w:tcPr>
            <w:tcW w:w="33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退休费</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30217</w:t>
            </w:r>
          </w:p>
        </w:tc>
        <w:tc>
          <w:tcPr>
            <w:tcW w:w="23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公务接待费</w:t>
            </w:r>
          </w:p>
        </w:tc>
        <w:tc>
          <w:tcPr>
            <w:tcW w:w="8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1.40</w:t>
            </w: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31019</w:t>
            </w:r>
          </w:p>
        </w:tc>
        <w:tc>
          <w:tcPr>
            <w:tcW w:w="3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其他交通工具购置</w:t>
            </w:r>
          </w:p>
        </w:tc>
        <w:tc>
          <w:tcPr>
            <w:tcW w:w="11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30303</w:t>
            </w:r>
          </w:p>
        </w:tc>
        <w:tc>
          <w:tcPr>
            <w:tcW w:w="33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退职（役）费</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30218</w:t>
            </w:r>
          </w:p>
        </w:tc>
        <w:tc>
          <w:tcPr>
            <w:tcW w:w="23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专用材料费</w:t>
            </w:r>
          </w:p>
        </w:tc>
        <w:tc>
          <w:tcPr>
            <w:tcW w:w="82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31021</w:t>
            </w:r>
          </w:p>
        </w:tc>
        <w:tc>
          <w:tcPr>
            <w:tcW w:w="3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文物和陈列品购置</w:t>
            </w:r>
          </w:p>
        </w:tc>
        <w:tc>
          <w:tcPr>
            <w:tcW w:w="11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30304</w:t>
            </w:r>
          </w:p>
        </w:tc>
        <w:tc>
          <w:tcPr>
            <w:tcW w:w="33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抚恤金</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30224</w:t>
            </w:r>
          </w:p>
        </w:tc>
        <w:tc>
          <w:tcPr>
            <w:tcW w:w="23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被装购置费</w:t>
            </w:r>
          </w:p>
        </w:tc>
        <w:tc>
          <w:tcPr>
            <w:tcW w:w="82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31022</w:t>
            </w:r>
          </w:p>
        </w:tc>
        <w:tc>
          <w:tcPr>
            <w:tcW w:w="3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无形资产购置</w:t>
            </w:r>
          </w:p>
        </w:tc>
        <w:tc>
          <w:tcPr>
            <w:tcW w:w="11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30305</w:t>
            </w:r>
          </w:p>
        </w:tc>
        <w:tc>
          <w:tcPr>
            <w:tcW w:w="33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生活补助</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30225</w:t>
            </w:r>
          </w:p>
        </w:tc>
        <w:tc>
          <w:tcPr>
            <w:tcW w:w="23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专用燃料费</w:t>
            </w:r>
          </w:p>
        </w:tc>
        <w:tc>
          <w:tcPr>
            <w:tcW w:w="82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31099</w:t>
            </w:r>
          </w:p>
        </w:tc>
        <w:tc>
          <w:tcPr>
            <w:tcW w:w="3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其他资本性支出</w:t>
            </w:r>
          </w:p>
        </w:tc>
        <w:tc>
          <w:tcPr>
            <w:tcW w:w="11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30306</w:t>
            </w:r>
          </w:p>
        </w:tc>
        <w:tc>
          <w:tcPr>
            <w:tcW w:w="33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救济费</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30226</w:t>
            </w:r>
          </w:p>
        </w:tc>
        <w:tc>
          <w:tcPr>
            <w:tcW w:w="23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劳务费</w:t>
            </w:r>
          </w:p>
        </w:tc>
        <w:tc>
          <w:tcPr>
            <w:tcW w:w="82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w:t>
            </w:r>
          </w:p>
        </w:tc>
        <w:tc>
          <w:tcPr>
            <w:tcW w:w="3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其他支出</w:t>
            </w:r>
          </w:p>
        </w:tc>
        <w:tc>
          <w:tcPr>
            <w:tcW w:w="11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30307</w:t>
            </w:r>
          </w:p>
        </w:tc>
        <w:tc>
          <w:tcPr>
            <w:tcW w:w="33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医疗费补助</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30227</w:t>
            </w:r>
          </w:p>
        </w:tc>
        <w:tc>
          <w:tcPr>
            <w:tcW w:w="23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委托业务费</w:t>
            </w:r>
          </w:p>
        </w:tc>
        <w:tc>
          <w:tcPr>
            <w:tcW w:w="82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39906</w:t>
            </w:r>
          </w:p>
        </w:tc>
        <w:tc>
          <w:tcPr>
            <w:tcW w:w="3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赠与</w:t>
            </w:r>
          </w:p>
        </w:tc>
        <w:tc>
          <w:tcPr>
            <w:tcW w:w="11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30308</w:t>
            </w:r>
          </w:p>
        </w:tc>
        <w:tc>
          <w:tcPr>
            <w:tcW w:w="33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助学金</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30228</w:t>
            </w:r>
          </w:p>
        </w:tc>
        <w:tc>
          <w:tcPr>
            <w:tcW w:w="23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工会经费</w:t>
            </w:r>
          </w:p>
        </w:tc>
        <w:tc>
          <w:tcPr>
            <w:tcW w:w="8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0.80</w:t>
            </w: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39907</w:t>
            </w:r>
          </w:p>
        </w:tc>
        <w:tc>
          <w:tcPr>
            <w:tcW w:w="3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国家赔偿费用支出</w:t>
            </w:r>
          </w:p>
        </w:tc>
        <w:tc>
          <w:tcPr>
            <w:tcW w:w="11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30309</w:t>
            </w:r>
          </w:p>
        </w:tc>
        <w:tc>
          <w:tcPr>
            <w:tcW w:w="33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奖励金</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30229</w:t>
            </w:r>
          </w:p>
        </w:tc>
        <w:tc>
          <w:tcPr>
            <w:tcW w:w="23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福利费</w:t>
            </w:r>
          </w:p>
        </w:tc>
        <w:tc>
          <w:tcPr>
            <w:tcW w:w="8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1.90</w:t>
            </w: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39908</w:t>
            </w:r>
          </w:p>
        </w:tc>
        <w:tc>
          <w:tcPr>
            <w:tcW w:w="3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对民间非营利组织和群众性自治组织补贴</w:t>
            </w:r>
          </w:p>
        </w:tc>
        <w:tc>
          <w:tcPr>
            <w:tcW w:w="11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30310</w:t>
            </w:r>
          </w:p>
        </w:tc>
        <w:tc>
          <w:tcPr>
            <w:tcW w:w="33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个人农业生产补贴</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30231</w:t>
            </w:r>
          </w:p>
        </w:tc>
        <w:tc>
          <w:tcPr>
            <w:tcW w:w="23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公务用车运行维护费</w:t>
            </w:r>
          </w:p>
        </w:tc>
        <w:tc>
          <w:tcPr>
            <w:tcW w:w="8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4.50</w:t>
            </w: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39999</w:t>
            </w:r>
          </w:p>
        </w:tc>
        <w:tc>
          <w:tcPr>
            <w:tcW w:w="3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其他支出</w:t>
            </w:r>
          </w:p>
        </w:tc>
        <w:tc>
          <w:tcPr>
            <w:tcW w:w="11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30311</w:t>
            </w:r>
          </w:p>
        </w:tc>
        <w:tc>
          <w:tcPr>
            <w:tcW w:w="33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代缴社会保险费</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30239</w:t>
            </w:r>
          </w:p>
        </w:tc>
        <w:tc>
          <w:tcPr>
            <w:tcW w:w="23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其他交通费用</w:t>
            </w:r>
          </w:p>
        </w:tc>
        <w:tc>
          <w:tcPr>
            <w:tcW w:w="8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9.36</w:t>
            </w: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3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11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30399</w:t>
            </w:r>
          </w:p>
        </w:tc>
        <w:tc>
          <w:tcPr>
            <w:tcW w:w="33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其他对个人和家庭的补助</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30240</w:t>
            </w:r>
          </w:p>
        </w:tc>
        <w:tc>
          <w:tcPr>
            <w:tcW w:w="23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税金及附加费用</w:t>
            </w:r>
          </w:p>
        </w:tc>
        <w:tc>
          <w:tcPr>
            <w:tcW w:w="82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3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11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335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30299</w:t>
            </w:r>
          </w:p>
        </w:tc>
        <w:tc>
          <w:tcPr>
            <w:tcW w:w="23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其他商品和服务支出</w:t>
            </w:r>
          </w:p>
        </w:tc>
        <w:tc>
          <w:tcPr>
            <w:tcW w:w="8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15.00</w:t>
            </w:r>
          </w:p>
        </w:tc>
        <w:tc>
          <w:tcPr>
            <w:tcW w:w="9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3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11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468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人员经费合计</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167.62</w:t>
            </w:r>
          </w:p>
        </w:tc>
        <w:tc>
          <w:tcPr>
            <w:tcW w:w="8889"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公用经费合计</w:t>
            </w:r>
          </w:p>
        </w:tc>
        <w:tc>
          <w:tcPr>
            <w:tcW w:w="1189"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18"/>
                <w:lang w:val="en-US" w:eastAsia="zh-CN"/>
              </w:rPr>
            </w:pPr>
            <w:r>
              <w:rPr>
                <w:rFonts w:hint="eastAsia" w:ascii="宋体" w:hAnsi="宋体" w:eastAsia="宋体" w:cs="宋体"/>
                <w:color w:val="000000"/>
                <w:kern w:val="0"/>
                <w:szCs w:val="18"/>
                <w:lang w:val="en-US" w:eastAsia="zh-CN"/>
              </w:rPr>
              <w:t>81.36</w:t>
            </w:r>
          </w:p>
        </w:tc>
      </w:tr>
      <w:tr>
        <w:tblPrEx>
          <w:tblCellMar>
            <w:top w:w="0" w:type="dxa"/>
            <w:left w:w="108" w:type="dxa"/>
            <w:bottom w:w="0" w:type="dxa"/>
            <w:right w:w="108" w:type="dxa"/>
          </w:tblCellMar>
        </w:tblPrEx>
        <w:trPr>
          <w:trHeight w:val="284" w:hRule="exact"/>
        </w:trPr>
        <w:tc>
          <w:tcPr>
            <w:tcW w:w="15614" w:type="dxa"/>
            <w:gridSpan w:val="9"/>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bl>
    <w:p>
      <w:pPr>
        <w:widowControl/>
        <w:jc w:val="center"/>
        <w:rPr>
          <w:rFonts w:ascii="Times New Roman" w:hAnsi="Times New Roman" w:eastAsia="方正小标宋_GBK" w:cs="Times New Roman"/>
          <w:color w:val="000000"/>
          <w:kern w:val="0"/>
          <w:sz w:val="36"/>
          <w:szCs w:val="36"/>
        </w:rPr>
      </w:pPr>
      <w:r>
        <w:rPr>
          <w:rFonts w:hint="eastAsia" w:ascii="Times New Roman" w:hAnsi="Times New Roman" w:eastAsia="方正小标宋_GBK" w:cs="Times New Roman"/>
          <w:color w:val="000000"/>
          <w:kern w:val="0"/>
          <w:sz w:val="36"/>
          <w:szCs w:val="36"/>
        </w:rPr>
        <w:t>一般公共预算财政拨款“三公”经费支出决算表</w:t>
      </w:r>
    </w:p>
    <w:p>
      <w:pPr>
        <w:widowControl/>
        <w:ind w:firstLine="630" w:firstLineChars="30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部门： </w:t>
      </w:r>
      <w:r>
        <w:rPr>
          <w:rFonts w:hint="eastAsia" w:ascii="Times New Roman" w:hAnsi="Times New Roman" w:eastAsia="仿宋_GB2312" w:cs="Times New Roman"/>
          <w:color w:val="000000"/>
          <w:kern w:val="0"/>
          <w:szCs w:val="21"/>
          <w:lang w:eastAsia="zh-CN"/>
        </w:rPr>
        <w:t>湖南省固体废物管理站</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公开0</w:t>
      </w:r>
      <w:r>
        <w:rPr>
          <w:rFonts w:hint="eastAsia" w:ascii="Times New Roman" w:hAnsi="Times New Roman" w:eastAsia="仿宋_GB2312" w:cs="Times New Roman"/>
          <w:color w:val="000000"/>
          <w:kern w:val="0"/>
          <w:szCs w:val="21"/>
        </w:rPr>
        <w:t>7</w:t>
      </w:r>
      <w:r>
        <w:rPr>
          <w:rFonts w:ascii="Times New Roman" w:hAnsi="Times New Roman" w:eastAsia="仿宋_GB2312" w:cs="Times New Roman"/>
          <w:color w:val="000000"/>
          <w:kern w:val="0"/>
          <w:szCs w:val="21"/>
        </w:rPr>
        <w:t>表</w:t>
      </w:r>
    </w:p>
    <w:p>
      <w:pPr>
        <w:widowControl/>
        <w:ind w:right="420"/>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单位：万元</w:t>
      </w:r>
    </w:p>
    <w:tbl>
      <w:tblPr>
        <w:tblStyle w:val="11"/>
        <w:tblW w:w="14640" w:type="dxa"/>
        <w:jc w:val="center"/>
        <w:tblLayout w:type="autofit"/>
        <w:tblCellMar>
          <w:top w:w="0" w:type="dxa"/>
          <w:left w:w="108" w:type="dxa"/>
          <w:bottom w:w="0" w:type="dxa"/>
          <w:right w:w="108" w:type="dxa"/>
        </w:tblCellMar>
      </w:tblPr>
      <w:tblGrid>
        <w:gridCol w:w="1220"/>
        <w:gridCol w:w="1220"/>
        <w:gridCol w:w="1220"/>
        <w:gridCol w:w="1220"/>
        <w:gridCol w:w="1220"/>
        <w:gridCol w:w="1220"/>
        <w:gridCol w:w="1220"/>
        <w:gridCol w:w="1220"/>
        <w:gridCol w:w="1220"/>
        <w:gridCol w:w="1220"/>
        <w:gridCol w:w="1220"/>
        <w:gridCol w:w="1220"/>
      </w:tblGrid>
      <w:tr>
        <w:tblPrEx>
          <w:tblCellMar>
            <w:top w:w="0" w:type="dxa"/>
            <w:left w:w="108" w:type="dxa"/>
            <w:bottom w:w="0" w:type="dxa"/>
            <w:right w:w="108" w:type="dxa"/>
          </w:tblCellMar>
        </w:tblPrEx>
        <w:trPr>
          <w:trHeight w:val="397" w:hRule="atLeast"/>
          <w:jc w:val="center"/>
        </w:trPr>
        <w:tc>
          <w:tcPr>
            <w:tcW w:w="7320" w:type="dxa"/>
            <w:gridSpan w:val="6"/>
            <w:tcBorders>
              <w:top w:val="single" w:color="auto" w:sz="8" w:space="0"/>
              <w:left w:val="single" w:color="auto" w:sz="8" w:space="0"/>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预算数</w:t>
            </w:r>
          </w:p>
        </w:tc>
        <w:tc>
          <w:tcPr>
            <w:tcW w:w="7320" w:type="dxa"/>
            <w:gridSpan w:val="6"/>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决算数</w:t>
            </w:r>
          </w:p>
        </w:tc>
      </w:tr>
      <w:tr>
        <w:tblPrEx>
          <w:tblCellMar>
            <w:top w:w="0" w:type="dxa"/>
            <w:left w:w="108" w:type="dxa"/>
            <w:bottom w:w="0" w:type="dxa"/>
            <w:right w:w="108" w:type="dxa"/>
          </w:tblCellMar>
        </w:tblPrEx>
        <w:trPr>
          <w:trHeight w:val="397" w:hRule="atLeast"/>
          <w:jc w:val="center"/>
        </w:trPr>
        <w:tc>
          <w:tcPr>
            <w:tcW w:w="1220" w:type="dxa"/>
            <w:vMerge w:val="restart"/>
            <w:tcBorders>
              <w:top w:val="nil"/>
              <w:left w:val="single" w:color="auto" w:sz="8"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公务用车购置及运行费</w:t>
            </w:r>
          </w:p>
        </w:tc>
        <w:tc>
          <w:tcPr>
            <w:tcW w:w="12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接待费</w:t>
            </w:r>
          </w:p>
        </w:tc>
        <w:tc>
          <w:tcPr>
            <w:tcW w:w="1220" w:type="dxa"/>
            <w:vMerge w:val="restart"/>
            <w:tcBorders>
              <w:top w:val="nil"/>
              <w:left w:val="nil"/>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公务用车购置及运行费</w:t>
            </w:r>
          </w:p>
        </w:tc>
        <w:tc>
          <w:tcPr>
            <w:tcW w:w="122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接待费</w:t>
            </w:r>
          </w:p>
        </w:tc>
      </w:tr>
      <w:tr>
        <w:tblPrEx>
          <w:tblCellMar>
            <w:top w:w="0" w:type="dxa"/>
            <w:left w:w="108" w:type="dxa"/>
            <w:bottom w:w="0" w:type="dxa"/>
            <w:right w:w="108" w:type="dxa"/>
          </w:tblCellMar>
        </w:tblPrEx>
        <w:trPr>
          <w:trHeight w:val="397" w:hRule="atLeast"/>
          <w:jc w:val="center"/>
        </w:trPr>
        <w:tc>
          <w:tcPr>
            <w:tcW w:w="1220" w:type="dxa"/>
            <w:vMerge w:val="continue"/>
            <w:tcBorders>
              <w:top w:val="nil"/>
              <w:left w:val="single" w:color="auto" w:sz="8"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Cs w:val="21"/>
                <w:lang w:eastAsia="zh-CN"/>
              </w:rPr>
            </w:pPr>
            <w:r>
              <w:rPr>
                <w:rFonts w:ascii="Times New Roman" w:hAnsi="Times New Roman" w:eastAsia="仿宋_GB2312" w:cs="Times New Roman"/>
                <w:kern w:val="0"/>
                <w:szCs w:val="21"/>
              </w:rPr>
              <w:t>公务用车</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Cs w:val="21"/>
                <w:lang w:eastAsia="zh-CN"/>
              </w:rPr>
            </w:pPr>
            <w:r>
              <w:rPr>
                <w:rFonts w:ascii="Times New Roman" w:hAnsi="Times New Roman" w:eastAsia="仿宋_GB2312" w:cs="Times New Roman"/>
                <w:kern w:val="0"/>
                <w:szCs w:val="21"/>
              </w:rPr>
              <w:t>公务用车</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运行费</w:t>
            </w:r>
          </w:p>
        </w:tc>
        <w:tc>
          <w:tcPr>
            <w:tcW w:w="122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Cs w:val="21"/>
                <w:lang w:eastAsia="zh-CN"/>
              </w:rPr>
            </w:pPr>
            <w:r>
              <w:rPr>
                <w:rFonts w:ascii="Times New Roman" w:hAnsi="Times New Roman" w:eastAsia="仿宋_GB2312" w:cs="Times New Roman"/>
                <w:kern w:val="0"/>
                <w:szCs w:val="21"/>
              </w:rPr>
              <w:t>公务用车</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Cs w:val="21"/>
                <w:lang w:eastAsia="zh-CN"/>
              </w:rPr>
            </w:pPr>
            <w:r>
              <w:rPr>
                <w:rFonts w:ascii="Times New Roman" w:hAnsi="Times New Roman" w:eastAsia="仿宋_GB2312" w:cs="Times New Roman"/>
                <w:kern w:val="0"/>
                <w:szCs w:val="21"/>
              </w:rPr>
              <w:t>公务用车</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运行费</w:t>
            </w:r>
          </w:p>
        </w:tc>
        <w:tc>
          <w:tcPr>
            <w:tcW w:w="122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7</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8</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9</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10</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11</w:t>
            </w:r>
          </w:p>
        </w:tc>
        <w:tc>
          <w:tcPr>
            <w:tcW w:w="122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12</w:t>
            </w: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6.50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4.50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4.50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2.00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5.90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4.50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220" w:type="dxa"/>
            <w:tcBorders>
              <w:top w:val="nil"/>
              <w:left w:val="nil"/>
              <w:bottom w:val="single" w:color="auto" w:sz="8" w:space="0"/>
              <w:right w:val="nil"/>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4.50</w:t>
            </w:r>
          </w:p>
        </w:tc>
        <w:tc>
          <w:tcPr>
            <w:tcW w:w="1220" w:type="dxa"/>
            <w:tcBorders>
              <w:top w:val="nil"/>
              <w:left w:val="single" w:color="auto" w:sz="4" w:space="0"/>
              <w:bottom w:val="single" w:color="auto" w:sz="8" w:space="0"/>
              <w:right w:val="single" w:color="auto" w:sz="8" w:space="0"/>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1.40</w:t>
            </w:r>
          </w:p>
        </w:tc>
      </w:tr>
    </w:tbl>
    <w:p>
      <w:pPr>
        <w:widowControl/>
        <w:jc w:val="left"/>
        <w:rPr>
          <w:rFonts w:ascii="宋体" w:eastAsia="宋体" w:cs="宋体"/>
          <w:kern w:val="0"/>
          <w:sz w:val="24"/>
          <w:szCs w:val="24"/>
        </w:rPr>
      </w:pPr>
      <w:r>
        <w:rPr>
          <w:rFonts w:hint="eastAsia" w:ascii="宋体" w:eastAsia="宋体" w:cs="宋体"/>
          <w:kern w:val="0"/>
          <w:sz w:val="24"/>
          <w:szCs w:val="24"/>
        </w:rPr>
        <w:t>注：本表反映部门本年度“三公”经费支出预决算情况。其中，预算数为“三公”经费全年预算数，反映按规定程序调整后的预算数；决算数是包括当年一般公共预算财政拨款和以前年度结转资金安排的实际支出。</w:t>
      </w:r>
      <w:r>
        <w:rPr>
          <w:rFonts w:ascii="宋体" w:eastAsia="宋体" w:cs="宋体"/>
          <w:kern w:val="0"/>
          <w:sz w:val="24"/>
          <w:szCs w:val="24"/>
        </w:rPr>
        <w:br w:type="page"/>
      </w:r>
    </w:p>
    <w:p>
      <w:pPr>
        <w:autoSpaceDE w:val="0"/>
        <w:autoSpaceDN w:val="0"/>
        <w:adjustRightInd w:val="0"/>
        <w:ind w:left="315" w:leftChars="150"/>
        <w:jc w:val="left"/>
        <w:rPr>
          <w:rFonts w:ascii="宋体" w:eastAsia="宋体" w:cs="宋体"/>
          <w:kern w:val="0"/>
          <w:sz w:val="24"/>
          <w:szCs w:val="24"/>
        </w:rPr>
      </w:pPr>
    </w:p>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政府性基金预算财政拨款收入支出决算表</w:t>
      </w:r>
    </w:p>
    <w:p>
      <w:pPr>
        <w:widowControl/>
        <w:wordWrap w:val="0"/>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部门： </w:t>
      </w:r>
      <w:r>
        <w:rPr>
          <w:rFonts w:hint="eastAsia" w:ascii="Times New Roman" w:hAnsi="Times New Roman" w:eastAsia="仿宋_GB2312" w:cs="Times New Roman"/>
          <w:color w:val="000000"/>
          <w:kern w:val="0"/>
          <w:szCs w:val="21"/>
          <w:lang w:eastAsia="zh-CN"/>
        </w:rPr>
        <w:t>湖南省固体废物管理站</w:t>
      </w:r>
      <w:r>
        <w:rPr>
          <w:rFonts w:ascii="Times New Roman" w:hAnsi="Times New Roman" w:eastAsia="仿宋_GB2312" w:cs="Times New Roman"/>
          <w:color w:val="000000"/>
          <w:kern w:val="0"/>
          <w:szCs w:val="21"/>
        </w:rPr>
        <w:t xml:space="preserve">                                                                                                          公开08表</w:t>
      </w:r>
    </w:p>
    <w:p>
      <w:pPr>
        <w:widowControl/>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单位：万元</w:t>
      </w:r>
    </w:p>
    <w:tbl>
      <w:tblPr>
        <w:tblStyle w:val="11"/>
        <w:tblW w:w="1444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120"/>
        <w:gridCol w:w="1320"/>
        <w:gridCol w:w="2000"/>
        <w:gridCol w:w="2000"/>
        <w:gridCol w:w="2000"/>
        <w:gridCol w:w="2000"/>
        <w:gridCol w:w="2000"/>
        <w:gridCol w:w="20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年初结转和结余</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本年收入</w:t>
            </w:r>
          </w:p>
        </w:tc>
        <w:tc>
          <w:tcPr>
            <w:tcW w:w="6000" w:type="dxa"/>
            <w:gridSpan w:val="3"/>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年末结转和结余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132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2000" w:type="dxa"/>
            <w:vMerge w:val="continue"/>
            <w:vAlign w:val="center"/>
          </w:tcPr>
          <w:p>
            <w:pPr>
              <w:widowControl/>
              <w:jc w:val="left"/>
              <w:rPr>
                <w:rFonts w:ascii="Times New Roman" w:hAnsi="Times New Roman" w:eastAsia="仿宋_GB2312" w:cs="Times New Roman"/>
                <w:b/>
                <w:kern w:val="0"/>
                <w:szCs w:val="21"/>
              </w:rPr>
            </w:pPr>
          </w:p>
        </w:tc>
        <w:tc>
          <w:tcPr>
            <w:tcW w:w="2000" w:type="dxa"/>
            <w:vMerge w:val="continue"/>
            <w:vAlign w:val="center"/>
          </w:tcPr>
          <w:p>
            <w:pPr>
              <w:widowControl/>
              <w:jc w:val="left"/>
              <w:rPr>
                <w:rFonts w:ascii="Times New Roman" w:hAnsi="Times New Roman" w:eastAsia="仿宋_GB2312" w:cs="Times New Roman"/>
                <w:b/>
                <w:kern w:val="0"/>
                <w:szCs w:val="21"/>
              </w:rPr>
            </w:pP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基本支出  </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c>
          <w:tcPr>
            <w:tcW w:w="2000" w:type="dxa"/>
            <w:vMerge w:val="continue"/>
            <w:vAlign w:val="center"/>
          </w:tcPr>
          <w:p>
            <w:pPr>
              <w:widowControl/>
              <w:jc w:val="left"/>
              <w:rPr>
                <w:rFonts w:ascii="Times New Roman" w:hAnsi="Times New Roman" w:eastAsia="仿宋_GB2312" w:cs="Times New Roman"/>
                <w:b/>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bl>
    <w:p>
      <w:pPr>
        <w:widowControl/>
        <w:ind w:firstLine="420" w:firstLineChars="20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注：本表反映部门本年度政府性基金预算财政拨款收入、支出及结转和结余情况</w:t>
      </w:r>
    </w:p>
    <w:p>
      <w:pPr>
        <w:widowControl/>
        <w:ind w:firstLine="420" w:firstLineChars="20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(本</w:t>
      </w:r>
      <w:r>
        <w:rPr>
          <w:rFonts w:hint="eastAsia" w:ascii="Times New Roman" w:hAnsi="Times New Roman" w:eastAsia="仿宋_GB2312" w:cs="Times New Roman"/>
          <w:kern w:val="0"/>
          <w:szCs w:val="21"/>
        </w:rPr>
        <w:t>单位没有政府性基金收入，也没有使用政府性基金安排的支出，故本表无数据</w:t>
      </w:r>
      <w:r>
        <w:rPr>
          <w:rFonts w:ascii="Times New Roman" w:hAnsi="Times New Roman" w:eastAsia="仿宋_GB2312" w:cs="Times New Roman"/>
          <w:kern w:val="0"/>
          <w:szCs w:val="21"/>
        </w:rPr>
        <w:t>)。</w:t>
      </w:r>
    </w:p>
    <w:p>
      <w:pPr>
        <w:widowControl/>
        <w:jc w:val="left"/>
        <w:rPr>
          <w:rFonts w:ascii="黑体" w:hAnsi="黑体" w:eastAsia="黑体"/>
          <w:szCs w:val="21"/>
        </w:rPr>
      </w:pPr>
      <w:r>
        <w:rPr>
          <w:rFonts w:ascii="黑体" w:hAnsi="黑体" w:eastAsia="黑体"/>
          <w:szCs w:val="21"/>
        </w:rPr>
        <w:br w:type="page"/>
      </w:r>
    </w:p>
    <w:tbl>
      <w:tblPr>
        <w:tblStyle w:val="11"/>
        <w:tblW w:w="14190" w:type="dxa"/>
        <w:tblInd w:w="93" w:type="dxa"/>
        <w:tblLayout w:type="autofit"/>
        <w:tblCellMar>
          <w:top w:w="0" w:type="dxa"/>
          <w:left w:w="108" w:type="dxa"/>
          <w:bottom w:w="0" w:type="dxa"/>
          <w:right w:w="108" w:type="dxa"/>
        </w:tblCellMar>
      </w:tblPr>
      <w:tblGrid>
        <w:gridCol w:w="1060"/>
        <w:gridCol w:w="560"/>
        <w:gridCol w:w="1089"/>
        <w:gridCol w:w="2126"/>
        <w:gridCol w:w="1225"/>
        <w:gridCol w:w="1326"/>
        <w:gridCol w:w="1294"/>
        <w:gridCol w:w="1683"/>
        <w:gridCol w:w="3827"/>
      </w:tblGrid>
      <w:tr>
        <w:tblPrEx>
          <w:tblCellMar>
            <w:top w:w="0" w:type="dxa"/>
            <w:left w:w="108" w:type="dxa"/>
            <w:bottom w:w="0" w:type="dxa"/>
            <w:right w:w="108" w:type="dxa"/>
          </w:tblCellMar>
        </w:tblPrEx>
        <w:trPr>
          <w:trHeight w:val="720" w:hRule="atLeast"/>
        </w:trPr>
        <w:tc>
          <w:tcPr>
            <w:tcW w:w="14190" w:type="dxa"/>
            <w:gridSpan w:val="9"/>
            <w:tcBorders>
              <w:top w:val="nil"/>
              <w:left w:val="nil"/>
              <w:bottom w:val="nil"/>
              <w:right w:val="nil"/>
            </w:tcBorders>
            <w:shd w:val="clear" w:color="000000" w:fill="FFFFFF"/>
            <w:vAlign w:val="center"/>
          </w:tcPr>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国有资本经营预算财政拨款支出决算表</w:t>
            </w:r>
          </w:p>
        </w:tc>
      </w:tr>
      <w:tr>
        <w:tblPrEx>
          <w:tblCellMar>
            <w:top w:w="0" w:type="dxa"/>
            <w:left w:w="108" w:type="dxa"/>
            <w:bottom w:w="0" w:type="dxa"/>
            <w:right w:w="108" w:type="dxa"/>
          </w:tblCellMar>
        </w:tblPrEx>
        <w:trPr>
          <w:trHeight w:val="285" w:hRule="atLeast"/>
        </w:trPr>
        <w:tc>
          <w:tcPr>
            <w:tcW w:w="106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56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3215" w:type="dxa"/>
            <w:gridSpan w:val="2"/>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225" w:type="dxa"/>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51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公开09表</w:t>
            </w:r>
          </w:p>
        </w:tc>
      </w:tr>
      <w:tr>
        <w:tblPrEx>
          <w:tblCellMar>
            <w:top w:w="0" w:type="dxa"/>
            <w:left w:w="108" w:type="dxa"/>
            <w:bottom w:w="0" w:type="dxa"/>
            <w:right w:w="108" w:type="dxa"/>
          </w:tblCellMar>
        </w:tblPrEx>
        <w:trPr>
          <w:trHeight w:val="285" w:hRule="atLeast"/>
        </w:trPr>
        <w:tc>
          <w:tcPr>
            <w:tcW w:w="1060" w:type="dxa"/>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p>
        </w:tc>
        <w:tc>
          <w:tcPr>
            <w:tcW w:w="3775" w:type="dxa"/>
            <w:gridSpan w:val="3"/>
            <w:tcBorders>
              <w:top w:val="nil"/>
              <w:left w:val="nil"/>
              <w:bottom w:val="nil"/>
              <w:right w:val="nil"/>
            </w:tcBorders>
            <w:shd w:val="clear" w:color="000000" w:fill="FFFFFF"/>
            <w:vAlign w:val="center"/>
          </w:tcPr>
          <w:p>
            <w:pPr>
              <w:widowControl/>
              <w:jc w:val="both"/>
              <w:rPr>
                <w:rFonts w:hint="eastAsia" w:ascii="宋体" w:hAnsi="宋体" w:eastAsia="宋体" w:cs="宋体"/>
                <w:kern w:val="0"/>
                <w:sz w:val="20"/>
                <w:szCs w:val="20"/>
                <w:lang w:eastAsia="zh-CN"/>
              </w:rPr>
            </w:pPr>
            <w:r>
              <w:rPr>
                <w:rFonts w:hint="eastAsia" w:ascii="宋体" w:hAnsi="宋体" w:eastAsia="宋体" w:cs="宋体"/>
                <w:kern w:val="0"/>
                <w:sz w:val="20"/>
                <w:szCs w:val="20"/>
                <w:lang w:eastAsia="zh-CN"/>
              </w:rPr>
              <w:t>湖南省固体废物管理站</w:t>
            </w:r>
          </w:p>
        </w:tc>
        <w:tc>
          <w:tcPr>
            <w:tcW w:w="1225" w:type="dxa"/>
            <w:tcBorders>
              <w:top w:val="nil"/>
              <w:left w:val="nil"/>
              <w:bottom w:val="single" w:color="auto" w:sz="8" w:space="0"/>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single" w:color="auto" w:sz="8" w:space="0"/>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51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402" w:hRule="atLeast"/>
        </w:trPr>
        <w:tc>
          <w:tcPr>
            <w:tcW w:w="4835" w:type="dxa"/>
            <w:gridSpan w:val="4"/>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项 </w:t>
            </w:r>
            <w:r>
              <w:rPr>
                <w:rFonts w:hint="eastAsia" w:ascii="宋体" w:hAnsi="宋体" w:eastAsia="宋体" w:cs="宋体"/>
                <w:color w:val="000000"/>
                <w:kern w:val="0"/>
                <w:sz w:val="22"/>
              </w:rPr>
              <w:t xml:space="preserve">   </w:t>
            </w:r>
            <w:r>
              <w:rPr>
                <w:rFonts w:hint="eastAsia" w:ascii="宋体" w:hAnsi="宋体" w:eastAsia="宋体" w:cs="宋体"/>
                <w:kern w:val="0"/>
                <w:sz w:val="24"/>
                <w:szCs w:val="24"/>
              </w:rPr>
              <w:t>目</w:t>
            </w:r>
          </w:p>
        </w:tc>
        <w:tc>
          <w:tcPr>
            <w:tcW w:w="9355" w:type="dxa"/>
            <w:gridSpan w:val="5"/>
            <w:tcBorders>
              <w:top w:val="single" w:color="auto" w:sz="8"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w:t>
            </w:r>
          </w:p>
        </w:tc>
      </w:tr>
      <w:tr>
        <w:tblPrEx>
          <w:tblCellMar>
            <w:top w:w="0" w:type="dxa"/>
            <w:left w:w="108" w:type="dxa"/>
            <w:bottom w:w="0" w:type="dxa"/>
            <w:right w:w="108" w:type="dxa"/>
          </w:tblCellMar>
        </w:tblPrEx>
        <w:trPr>
          <w:trHeight w:val="402" w:hRule="atLeast"/>
        </w:trPr>
        <w:tc>
          <w:tcPr>
            <w:tcW w:w="2709" w:type="dxa"/>
            <w:gridSpan w:val="3"/>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212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2551"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977"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基本支出  </w:t>
            </w:r>
          </w:p>
        </w:tc>
        <w:tc>
          <w:tcPr>
            <w:tcW w:w="382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r>
      <w:tr>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4835" w:type="dxa"/>
            <w:gridSpan w:val="4"/>
            <w:tcBorders>
              <w:top w:val="single" w:color="auto" w:sz="4" w:space="0"/>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r>
      <w:tr>
        <w:tblPrEx>
          <w:tblCellMar>
            <w:top w:w="0" w:type="dxa"/>
            <w:left w:w="108" w:type="dxa"/>
            <w:bottom w:w="0" w:type="dxa"/>
            <w:right w:w="108" w:type="dxa"/>
          </w:tblCellMar>
        </w:tblPrEx>
        <w:trPr>
          <w:trHeight w:val="402" w:hRule="atLeast"/>
        </w:trPr>
        <w:tc>
          <w:tcPr>
            <w:tcW w:w="4835" w:type="dxa"/>
            <w:gridSpan w:val="4"/>
            <w:tcBorders>
              <w:top w:val="nil"/>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720" w:hRule="atLeast"/>
        </w:trPr>
        <w:tc>
          <w:tcPr>
            <w:tcW w:w="14190" w:type="dxa"/>
            <w:gridSpan w:val="9"/>
            <w:tcBorders>
              <w:top w:val="single" w:color="auto" w:sz="8" w:space="0"/>
              <w:left w:val="nil"/>
              <w:bottom w:val="nil"/>
              <w:right w:val="nil"/>
            </w:tcBorders>
            <w:shd w:val="clear" w:color="auto" w:fill="auto"/>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注：本表反映部门本年度国有资本经营预算财政拨款支出情况。</w:t>
            </w:r>
          </w:p>
          <w:p>
            <w:pPr>
              <w:pStyle w:val="2"/>
            </w:pPr>
            <w:r>
              <w:rPr>
                <w:rFonts w:ascii="Times New Roman" w:hAnsi="Times New Roman" w:eastAsia="仿宋_GB2312" w:cs="Times New Roman"/>
                <w:kern w:val="0"/>
                <w:szCs w:val="21"/>
              </w:rPr>
              <w:t>(</w:t>
            </w:r>
            <w:r>
              <w:rPr>
                <w:rFonts w:hint="eastAsia" w:ascii="宋体" w:hAnsi="宋体" w:eastAsia="宋体" w:cs="宋体"/>
                <w:kern w:val="0"/>
                <w:sz w:val="24"/>
                <w:szCs w:val="24"/>
              </w:rPr>
              <w:t>本单位没有国有资本经营预算收入，也没有使用国有资本经营预算安排的支出，故本表无数据)</w:t>
            </w:r>
          </w:p>
        </w:tc>
      </w:tr>
    </w:tbl>
    <w:p>
      <w:pPr>
        <w:pStyle w:val="15"/>
        <w:rPr>
          <w:sz w:val="72"/>
          <w:szCs w:val="72"/>
        </w:rPr>
        <w:sectPr>
          <w:pgSz w:w="16838" w:h="11906" w:orient="landscape"/>
          <w:pgMar w:top="720" w:right="720" w:bottom="720" w:left="720" w:header="851" w:footer="992" w:gutter="0"/>
          <w:cols w:space="425" w:num="1"/>
          <w:docGrid w:type="lines" w:linePitch="312" w:charSpace="0"/>
        </w:sectPr>
      </w:pPr>
    </w:p>
    <w:p>
      <w:pPr>
        <w:pStyle w:val="15"/>
        <w:rPr>
          <w:sz w:val="72"/>
          <w:szCs w:val="72"/>
        </w:rPr>
      </w:pPr>
    </w:p>
    <w:p>
      <w:pPr>
        <w:pStyle w:val="15"/>
        <w:rPr>
          <w:sz w:val="72"/>
          <w:szCs w:val="72"/>
        </w:rPr>
      </w:pPr>
    </w:p>
    <w:p>
      <w:pPr>
        <w:pStyle w:val="15"/>
        <w:rPr>
          <w:sz w:val="72"/>
          <w:szCs w:val="72"/>
        </w:rPr>
      </w:pPr>
    </w:p>
    <w:p>
      <w:pPr>
        <w:pStyle w:val="15"/>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r>
        <w:rPr>
          <w:rFonts w:hint="eastAsia"/>
          <w:sz w:val="72"/>
          <w:szCs w:val="72"/>
        </w:rPr>
        <w:t>第三部分</w:t>
      </w:r>
    </w:p>
    <w:p>
      <w:pPr>
        <w:pStyle w:val="15"/>
        <w:jc w:val="center"/>
        <w:rPr>
          <w:sz w:val="70"/>
          <w:szCs w:val="70"/>
        </w:rPr>
      </w:pPr>
    </w:p>
    <w:p>
      <w:pPr>
        <w:pStyle w:val="15"/>
        <w:jc w:val="center"/>
        <w:rPr>
          <w:sz w:val="70"/>
          <w:szCs w:val="70"/>
        </w:rPr>
      </w:pPr>
      <w:r>
        <w:rPr>
          <w:sz w:val="70"/>
          <w:szCs w:val="70"/>
        </w:rPr>
        <w:t>20</w:t>
      </w:r>
      <w:r>
        <w:rPr>
          <w:rFonts w:hint="eastAsia"/>
          <w:sz w:val="70"/>
          <w:szCs w:val="70"/>
        </w:rPr>
        <w:t>21年度部门决算情况说明</w:t>
      </w:r>
    </w:p>
    <w:p>
      <w:pPr>
        <w:widowControl/>
        <w:jc w:val="left"/>
        <w:rPr>
          <w:rFonts w:ascii="黑体" w:eastAsia="黑体" w:cs="黑体"/>
          <w:color w:val="000000"/>
          <w:kern w:val="0"/>
          <w:sz w:val="70"/>
          <w:szCs w:val="70"/>
        </w:rPr>
      </w:pPr>
      <w:r>
        <w:rPr>
          <w:sz w:val="70"/>
          <w:szCs w:val="70"/>
        </w:rPr>
        <w:br w:type="page"/>
      </w:r>
    </w:p>
    <w:p>
      <w:pPr>
        <w:pStyle w:val="15"/>
        <w:rPr>
          <w:rFonts w:asciiTheme="minorEastAsia" w:hAnsiTheme="minorEastAsia" w:eastAsiaTheme="minorEastAsia"/>
          <w:sz w:val="32"/>
          <w:szCs w:val="32"/>
        </w:rPr>
      </w:pP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2021年度收</w:t>
      </w:r>
      <w:r>
        <w:rPr>
          <w:rFonts w:hint="eastAsia" w:ascii="仿宋_GB2312" w:hAnsi="仿宋_GB2312" w:eastAsia="仿宋_GB2312" w:cs="仿宋_GB2312"/>
          <w:sz w:val="32"/>
          <w:szCs w:val="32"/>
          <w:lang w:val="en-US" w:eastAsia="zh-CN"/>
        </w:rPr>
        <w:t>入</w:t>
      </w:r>
      <w:r>
        <w:rPr>
          <w:rFonts w:hint="eastAsia" w:ascii="仿宋_GB2312" w:hAnsi="仿宋_GB2312" w:eastAsia="仿宋_GB2312" w:cs="仿宋_GB2312"/>
          <w:sz w:val="32"/>
          <w:szCs w:val="32"/>
        </w:rPr>
        <w:t>总计</w:t>
      </w:r>
      <w:r>
        <w:rPr>
          <w:rFonts w:hint="eastAsia" w:ascii="仿宋_GB2312" w:hAnsi="仿宋_GB2312" w:eastAsia="仿宋_GB2312" w:cs="仿宋_GB2312"/>
          <w:sz w:val="32"/>
          <w:szCs w:val="32"/>
          <w:lang w:val="en-US" w:eastAsia="zh-CN"/>
        </w:rPr>
        <w:t>679.58</w:t>
      </w:r>
      <w:r>
        <w:rPr>
          <w:rFonts w:hint="eastAsia" w:ascii="仿宋_GB2312" w:hAnsi="仿宋_GB2312" w:eastAsia="仿宋_GB2312" w:cs="仿宋_GB2312"/>
          <w:sz w:val="32"/>
          <w:szCs w:val="32"/>
        </w:rPr>
        <w:t>万元。与上年相比，增</w:t>
      </w:r>
      <w:r>
        <w:rPr>
          <w:rFonts w:hint="eastAsia" w:ascii="仿宋_GB2312" w:hAnsi="仿宋_GB2312" w:eastAsia="仿宋_GB2312" w:cs="仿宋_GB2312"/>
          <w:sz w:val="32"/>
          <w:szCs w:val="32"/>
          <w:lang w:eastAsia="zh-CN"/>
        </w:rPr>
        <w:t>加</w:t>
      </w:r>
      <w:r>
        <w:rPr>
          <w:rFonts w:hint="eastAsia" w:ascii="仿宋_GB2312" w:hAnsi="仿宋_GB2312" w:eastAsia="仿宋_GB2312" w:cs="仿宋_GB2312"/>
          <w:sz w:val="32"/>
          <w:szCs w:val="32"/>
          <w:lang w:val="en-US" w:eastAsia="zh-CN"/>
        </w:rPr>
        <w:t>273.00</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67.47</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项目经费增加。</w:t>
      </w: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2021年度</w:t>
      </w:r>
      <w:r>
        <w:rPr>
          <w:rFonts w:hint="eastAsia" w:ascii="仿宋_GB2312" w:hAnsi="仿宋_GB2312" w:eastAsia="仿宋_GB2312" w:cs="仿宋_GB2312"/>
          <w:sz w:val="32"/>
          <w:szCs w:val="32"/>
          <w:lang w:val="en-US" w:eastAsia="zh-CN"/>
        </w:rPr>
        <w:t>支出</w:t>
      </w:r>
      <w:r>
        <w:rPr>
          <w:rFonts w:hint="eastAsia" w:ascii="仿宋_GB2312" w:hAnsi="仿宋_GB2312" w:eastAsia="仿宋_GB2312" w:cs="仿宋_GB2312"/>
          <w:sz w:val="32"/>
          <w:szCs w:val="32"/>
        </w:rPr>
        <w:t>总计</w:t>
      </w:r>
      <w:r>
        <w:rPr>
          <w:rFonts w:hint="eastAsia" w:ascii="仿宋_GB2312" w:hAnsi="仿宋_GB2312" w:eastAsia="仿宋_GB2312" w:cs="仿宋_GB2312"/>
          <w:sz w:val="32"/>
          <w:szCs w:val="32"/>
          <w:lang w:val="en-US" w:eastAsia="zh-CN"/>
        </w:rPr>
        <w:t>679.58</w:t>
      </w:r>
      <w:r>
        <w:rPr>
          <w:rFonts w:hint="eastAsia" w:ascii="仿宋_GB2312" w:hAnsi="仿宋_GB2312" w:eastAsia="仿宋_GB2312" w:cs="仿宋_GB2312"/>
          <w:sz w:val="32"/>
          <w:szCs w:val="32"/>
        </w:rPr>
        <w:t>万元</w:t>
      </w:r>
      <w:r>
        <w:rPr>
          <w:rFonts w:hint="eastAsia" w:ascii="宋体" w:hAnsi="宋体" w:eastAsia="宋体"/>
          <w:sz w:val="32"/>
          <w:szCs w:val="32"/>
        </w:rPr>
        <w:t>（</w:t>
      </w:r>
      <w:r>
        <w:rPr>
          <w:rFonts w:hint="eastAsia" w:ascii="宋体" w:hAnsi="宋体" w:eastAsia="宋体"/>
          <w:sz w:val="32"/>
          <w:szCs w:val="32"/>
          <w:highlight w:val="none"/>
        </w:rPr>
        <w:t>含年</w:t>
      </w:r>
      <w:r>
        <w:rPr>
          <w:rFonts w:hint="eastAsia" w:ascii="宋体" w:hAnsi="宋体" w:eastAsia="宋体"/>
          <w:sz w:val="32"/>
          <w:szCs w:val="32"/>
          <w:highlight w:val="none"/>
          <w:lang w:val="en-US" w:eastAsia="zh-CN"/>
        </w:rPr>
        <w:t>末</w:t>
      </w:r>
      <w:r>
        <w:rPr>
          <w:rFonts w:hint="eastAsia" w:ascii="宋体" w:hAnsi="宋体" w:eastAsia="宋体"/>
          <w:sz w:val="32"/>
          <w:szCs w:val="32"/>
        </w:rPr>
        <w:t>结转和结余资金</w:t>
      </w:r>
      <w:r>
        <w:rPr>
          <w:rFonts w:hint="eastAsia" w:ascii="仿宋_GB2312" w:hAnsi="仿宋_GB2312" w:eastAsia="仿宋_GB2312" w:cs="仿宋_GB2312"/>
          <w:kern w:val="0"/>
          <w:sz w:val="32"/>
          <w:szCs w:val="32"/>
        </w:rPr>
        <w:t>29.86</w:t>
      </w:r>
      <w:r>
        <w:rPr>
          <w:rFonts w:hint="eastAsia" w:ascii="宋体" w:hAnsi="宋体" w:eastAsia="宋体"/>
          <w:sz w:val="32"/>
          <w:szCs w:val="32"/>
        </w:rPr>
        <w:t>万元）</w:t>
      </w:r>
      <w:r>
        <w:rPr>
          <w:rFonts w:hint="eastAsia" w:ascii="仿宋_GB2312" w:hAnsi="仿宋_GB2312" w:eastAsia="仿宋_GB2312" w:cs="仿宋_GB2312"/>
          <w:sz w:val="32"/>
          <w:szCs w:val="32"/>
        </w:rPr>
        <w:t>。与上年相比，增</w:t>
      </w:r>
      <w:r>
        <w:rPr>
          <w:rFonts w:hint="eastAsia" w:ascii="仿宋_GB2312" w:hAnsi="仿宋_GB2312" w:eastAsia="仿宋_GB2312" w:cs="仿宋_GB2312"/>
          <w:sz w:val="32"/>
          <w:szCs w:val="32"/>
          <w:lang w:eastAsia="zh-CN"/>
        </w:rPr>
        <w:t>加</w:t>
      </w:r>
      <w:r>
        <w:rPr>
          <w:rFonts w:hint="eastAsia" w:ascii="仿宋_GB2312" w:hAnsi="仿宋_GB2312" w:eastAsia="仿宋_GB2312" w:cs="仿宋_GB2312"/>
          <w:sz w:val="32"/>
          <w:szCs w:val="32"/>
          <w:lang w:val="en-US" w:eastAsia="zh-CN"/>
        </w:rPr>
        <w:t>273.00</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67.47</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项目经费增加。</w:t>
      </w: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2021年度收入合计</w:t>
      </w:r>
      <w:r>
        <w:rPr>
          <w:rFonts w:hint="eastAsia" w:ascii="仿宋_GB2312" w:hAnsi="仿宋_GB2312" w:eastAsia="仿宋_GB2312" w:cs="仿宋_GB2312"/>
          <w:sz w:val="32"/>
          <w:szCs w:val="32"/>
          <w:lang w:val="en-US" w:eastAsia="zh-CN"/>
        </w:rPr>
        <w:t>679.58</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679.58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2021年度支出合计</w:t>
      </w:r>
      <w:r>
        <w:rPr>
          <w:rFonts w:hint="eastAsia" w:ascii="仿宋_GB2312" w:hAnsi="仿宋_GB2312" w:eastAsia="仿宋_GB2312" w:cs="仿宋_GB2312"/>
          <w:sz w:val="32"/>
          <w:szCs w:val="32"/>
          <w:lang w:val="en-US" w:eastAsia="zh-CN"/>
        </w:rPr>
        <w:t>649.72</w:t>
      </w:r>
      <w:r>
        <w:rPr>
          <w:rFonts w:hint="eastAsia" w:ascii="仿宋_GB2312" w:hAnsi="仿宋_GB2312" w:eastAsia="仿宋_GB2312" w:cs="仿宋_GB2312"/>
          <w:sz w:val="32"/>
          <w:szCs w:val="32"/>
        </w:rPr>
        <w:t>万元</w:t>
      </w:r>
      <w:r>
        <w:rPr>
          <w:rFonts w:hint="eastAsia" w:ascii="宋体" w:hAnsi="宋体" w:eastAsia="宋体"/>
          <w:sz w:val="32"/>
          <w:szCs w:val="32"/>
        </w:rPr>
        <w:t>（</w:t>
      </w:r>
      <w:r>
        <w:rPr>
          <w:rFonts w:hint="eastAsia" w:ascii="宋体" w:hAnsi="宋体" w:eastAsia="宋体"/>
          <w:sz w:val="32"/>
          <w:szCs w:val="32"/>
          <w:highlight w:val="none"/>
        </w:rPr>
        <w:t>不含</w:t>
      </w:r>
      <w:r>
        <w:rPr>
          <w:rFonts w:hint="eastAsia" w:ascii="宋体" w:hAnsi="宋体" w:eastAsia="宋体"/>
          <w:sz w:val="32"/>
          <w:szCs w:val="32"/>
        </w:rPr>
        <w:t>年</w:t>
      </w:r>
      <w:r>
        <w:rPr>
          <w:rFonts w:hint="eastAsia" w:ascii="宋体" w:hAnsi="宋体" w:eastAsia="宋体"/>
          <w:sz w:val="32"/>
          <w:szCs w:val="32"/>
          <w:lang w:val="en-US" w:eastAsia="zh-CN"/>
        </w:rPr>
        <w:t>末</w:t>
      </w:r>
      <w:r>
        <w:rPr>
          <w:rFonts w:hint="eastAsia" w:ascii="宋体" w:hAnsi="宋体" w:eastAsia="宋体"/>
          <w:sz w:val="32"/>
          <w:szCs w:val="32"/>
        </w:rPr>
        <w:t>结转和结余资金）</w:t>
      </w:r>
      <w:r>
        <w:rPr>
          <w:rFonts w:hint="eastAsia" w:ascii="仿宋_GB2312" w:hAnsi="仿宋_GB2312" w:eastAsia="仿宋_GB2312" w:cs="仿宋_GB2312"/>
          <w:sz w:val="32"/>
          <w:szCs w:val="32"/>
        </w:rPr>
        <w:t>，其中：基本支出</w:t>
      </w:r>
      <w:r>
        <w:rPr>
          <w:rFonts w:hint="eastAsia" w:ascii="仿宋_GB2312" w:hAnsi="仿宋_GB2312" w:eastAsia="仿宋_GB2312" w:cs="仿宋_GB2312"/>
          <w:sz w:val="32"/>
          <w:szCs w:val="32"/>
          <w:lang w:val="en-US" w:eastAsia="zh-CN"/>
        </w:rPr>
        <w:t>248.98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38.32</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400.74</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61.68</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keepNext w:val="0"/>
        <w:keepLines w:val="0"/>
        <w:pageBreakBefore w:val="0"/>
        <w:widowControl w:val="0"/>
        <w:kinsoku/>
        <w:wordWrap/>
        <w:overflowPunct/>
        <w:topLinePunct w:val="0"/>
        <w:bidi w:val="0"/>
        <w:snapToGrid w:val="0"/>
        <w:spacing w:line="620" w:lineRule="exact"/>
        <w:ind w:firstLine="640" w:firstLineChars="200"/>
        <w:contextualSpacing/>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 2021年度财政拨款收入合计679.58万元，与上年相比，增加284.50万元,增长72.01%，</w:t>
      </w:r>
      <w:r>
        <w:rPr>
          <w:rFonts w:hint="eastAsia" w:ascii="仿宋_GB2312" w:hAnsi="仿宋_GB2312" w:eastAsia="仿宋_GB2312" w:cs="仿宋_GB2312"/>
          <w:sz w:val="32"/>
          <w:szCs w:val="32"/>
        </w:rPr>
        <w:t>主要是</w:t>
      </w:r>
      <w:r>
        <w:rPr>
          <w:rFonts w:hint="eastAsia" w:ascii="仿宋_GB2312" w:hAnsi="仿宋_GB2312" w:eastAsia="仿宋_GB2312" w:cs="仿宋_GB2312"/>
          <w:sz w:val="32"/>
          <w:szCs w:val="32"/>
          <w:lang w:eastAsia="zh-CN"/>
        </w:rPr>
        <w:t>为了</w:t>
      </w:r>
      <w:r>
        <w:rPr>
          <w:rFonts w:hint="eastAsia" w:ascii="仿宋_GB2312" w:hAnsi="仿宋_GB2312" w:eastAsia="仿宋_GB2312" w:cs="仿宋_GB2312"/>
          <w:sz w:val="32"/>
          <w:szCs w:val="32"/>
        </w:rPr>
        <w:t>推动我省典型涉铊固体废物的分类和科学管理提供技术支撑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组织对我省钢铁冶炼行业的机头灰、瓦斯灰、高炉渣、钢铁冶炼和铅锌冶炼等行业企业与工业园污水处理站含铊污泥、次氧化锌回转窑水淬渣、富锰冶炼行业产生的烧结灰3大行业6类别废渣进行危险特性鉴别</w:t>
      </w:r>
      <w:r>
        <w:rPr>
          <w:rFonts w:hint="eastAsia" w:ascii="仿宋_GB2312" w:hAnsi="仿宋_GB2312" w:eastAsia="仿宋_GB2312" w:cs="仿宋_GB2312"/>
          <w:sz w:val="32"/>
          <w:szCs w:val="32"/>
          <w:lang w:eastAsia="zh-CN"/>
        </w:rPr>
        <w:t>工作</w:t>
      </w:r>
      <w:r>
        <w:rPr>
          <w:rFonts w:hint="eastAsia" w:ascii="仿宋_GB2312" w:hAnsi="仿宋_GB2312" w:eastAsia="仿宋_GB2312" w:cs="仿宋_GB2312"/>
          <w:sz w:val="32"/>
          <w:szCs w:val="32"/>
          <w:lang w:val="en-US" w:eastAsia="zh-CN"/>
        </w:rPr>
        <w:t>的经费拨款增加</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val="0"/>
        <w:spacing w:line="620" w:lineRule="exact"/>
        <w:ind w:firstLine="640" w:firstLineChars="200"/>
        <w:contextualSpacing/>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 2021年度财政拨款支出合计</w:t>
      </w:r>
      <w:r>
        <w:rPr>
          <w:rFonts w:hint="eastAsia" w:ascii="仿宋_GB2312" w:hAnsi="仿宋_GB2312" w:eastAsia="仿宋_GB2312" w:cs="仿宋_GB2312"/>
          <w:kern w:val="2"/>
          <w:sz w:val="32"/>
          <w:szCs w:val="32"/>
          <w:lang w:val="en-US" w:eastAsia="zh-CN"/>
        </w:rPr>
        <w:t>649.72</w:t>
      </w:r>
      <w:r>
        <w:rPr>
          <w:rFonts w:hint="eastAsia" w:ascii="仿宋_GB2312" w:hAnsi="仿宋_GB2312" w:eastAsia="仿宋_GB2312" w:cs="仿宋_GB2312"/>
          <w:sz w:val="32"/>
          <w:szCs w:val="32"/>
          <w:lang w:val="en-US" w:eastAsia="zh-CN"/>
        </w:rPr>
        <w:t>万元</w:t>
      </w:r>
      <w:r>
        <w:rPr>
          <w:rFonts w:hint="eastAsia" w:ascii="宋体" w:hAnsi="宋体" w:eastAsia="宋体"/>
          <w:sz w:val="32"/>
          <w:szCs w:val="32"/>
          <w:highlight w:val="none"/>
        </w:rPr>
        <w:t>（不含</w:t>
      </w:r>
      <w:r>
        <w:rPr>
          <w:rFonts w:hint="eastAsia" w:ascii="宋体" w:hAnsi="宋体" w:eastAsia="宋体"/>
          <w:sz w:val="32"/>
          <w:szCs w:val="32"/>
        </w:rPr>
        <w:t>年</w:t>
      </w:r>
      <w:r>
        <w:rPr>
          <w:rFonts w:hint="eastAsia" w:ascii="宋体" w:hAnsi="宋体" w:eastAsia="宋体"/>
          <w:sz w:val="32"/>
          <w:szCs w:val="32"/>
          <w:lang w:val="en-US" w:eastAsia="zh-CN"/>
        </w:rPr>
        <w:t>末</w:t>
      </w:r>
      <w:r>
        <w:rPr>
          <w:rFonts w:hint="eastAsia" w:ascii="宋体" w:hAnsi="宋体" w:eastAsia="宋体"/>
          <w:sz w:val="32"/>
          <w:szCs w:val="32"/>
        </w:rPr>
        <w:t>结转和结余资金）</w:t>
      </w:r>
      <w:r>
        <w:rPr>
          <w:rFonts w:hint="eastAsia" w:ascii="仿宋_GB2312" w:hAnsi="仿宋_GB2312" w:eastAsia="仿宋_GB2312" w:cs="仿宋_GB2312"/>
          <w:sz w:val="32"/>
          <w:szCs w:val="32"/>
          <w:lang w:val="en-US" w:eastAsia="zh-CN"/>
        </w:rPr>
        <w:t>，与上年相比，增加243.94万元,增长60.11%，</w:t>
      </w:r>
      <w:r>
        <w:rPr>
          <w:rFonts w:hint="eastAsia" w:ascii="仿宋_GB2312" w:hAnsi="仿宋_GB2312" w:eastAsia="仿宋_GB2312" w:cs="仿宋_GB2312"/>
          <w:sz w:val="32"/>
          <w:szCs w:val="32"/>
        </w:rPr>
        <w:t>主要是</w:t>
      </w:r>
      <w:r>
        <w:rPr>
          <w:rFonts w:hint="eastAsia" w:ascii="仿宋_GB2312" w:hAnsi="仿宋_GB2312" w:eastAsia="仿宋_GB2312" w:cs="仿宋_GB2312"/>
          <w:sz w:val="32"/>
          <w:szCs w:val="32"/>
          <w:lang w:eastAsia="zh-CN"/>
        </w:rPr>
        <w:t>为了</w:t>
      </w:r>
      <w:r>
        <w:rPr>
          <w:rFonts w:hint="eastAsia" w:ascii="仿宋_GB2312" w:hAnsi="仿宋_GB2312" w:eastAsia="仿宋_GB2312" w:cs="仿宋_GB2312"/>
          <w:sz w:val="32"/>
          <w:szCs w:val="32"/>
        </w:rPr>
        <w:t>推动我省典型涉铊固体废物的分类和科学管理提供技术支撑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组织对我省钢铁冶炼行业的机头灰、瓦斯灰、高炉渣、钢铁冶炼和铅锌冶炼等行业企业与工业园污水处理站含铊污泥、次氧化锌回转窑水淬渣、富锰冶炼行业产生的烧结灰3大行业6类别废渣进行危险特性鉴别</w:t>
      </w:r>
      <w:r>
        <w:rPr>
          <w:rFonts w:hint="eastAsia" w:ascii="仿宋_GB2312" w:hAnsi="仿宋_GB2312" w:eastAsia="仿宋_GB2312" w:cs="仿宋_GB2312"/>
          <w:sz w:val="32"/>
          <w:szCs w:val="32"/>
          <w:lang w:eastAsia="zh-CN"/>
        </w:rPr>
        <w:t>工作</w:t>
      </w:r>
      <w:r>
        <w:rPr>
          <w:rFonts w:hint="eastAsia" w:ascii="仿宋_GB2312" w:hAnsi="仿宋_GB2312" w:eastAsia="仿宋_GB2312" w:cs="仿宋_GB2312"/>
          <w:sz w:val="32"/>
          <w:szCs w:val="32"/>
          <w:lang w:val="en-US" w:eastAsia="zh-CN"/>
        </w:rPr>
        <w:t>的经费支出增加</w:t>
      </w:r>
      <w:r>
        <w:rPr>
          <w:rFonts w:hint="eastAsia" w:ascii="仿宋_GB2312" w:hAnsi="仿宋_GB2312" w:eastAsia="仿宋_GB2312" w:cs="仿宋_GB2312"/>
          <w:sz w:val="32"/>
          <w:szCs w:val="32"/>
          <w:lang w:eastAsia="zh-CN"/>
        </w:rPr>
        <w:t>。</w:t>
      </w:r>
    </w:p>
    <w:p>
      <w:pPr>
        <w:pStyle w:val="2"/>
        <w:rPr>
          <w:rFonts w:hint="eastAsia"/>
          <w:lang w:eastAsia="zh-CN"/>
        </w:rPr>
      </w:pP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（一）财政拨款支出决算总体情况</w:t>
      </w:r>
    </w:p>
    <w:p>
      <w:pPr>
        <w:keepNext w:val="0"/>
        <w:keepLines w:val="0"/>
        <w:pageBreakBefore w:val="0"/>
        <w:widowControl w:val="0"/>
        <w:kinsoku/>
        <w:wordWrap/>
        <w:overflowPunct/>
        <w:topLinePunct w:val="0"/>
        <w:bidi w:val="0"/>
        <w:snapToGrid w:val="0"/>
        <w:spacing w:line="620" w:lineRule="exact"/>
        <w:ind w:firstLine="640" w:firstLineChars="200"/>
        <w:contextualSpacing/>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2021年度财政拨款支出</w:t>
      </w:r>
      <w:r>
        <w:rPr>
          <w:rFonts w:hint="eastAsia" w:ascii="仿宋_GB2312" w:hAnsi="仿宋_GB2312" w:eastAsia="仿宋_GB2312" w:cs="仿宋_GB2312"/>
          <w:sz w:val="32"/>
          <w:szCs w:val="32"/>
          <w:lang w:val="en-US" w:eastAsia="zh-CN"/>
        </w:rPr>
        <w:t>649.72</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%，与上年相比，财政拨款支出增加</w:t>
      </w:r>
      <w:r>
        <w:rPr>
          <w:rFonts w:hint="eastAsia" w:ascii="仿宋_GB2312" w:hAnsi="仿宋_GB2312" w:eastAsia="仿宋_GB2312" w:cs="仿宋_GB2312"/>
          <w:sz w:val="32"/>
          <w:szCs w:val="32"/>
          <w:lang w:val="en-US" w:eastAsia="zh-CN"/>
        </w:rPr>
        <w:t>243.94</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60.11</w:t>
      </w:r>
      <w:r>
        <w:rPr>
          <w:rFonts w:hint="eastAsia" w:ascii="仿宋_GB2312" w:hAnsi="仿宋_GB2312" w:eastAsia="仿宋_GB2312" w:cs="仿宋_GB2312"/>
          <w:sz w:val="32"/>
          <w:szCs w:val="32"/>
        </w:rPr>
        <w:t>%，主要是</w:t>
      </w:r>
      <w:r>
        <w:rPr>
          <w:rFonts w:hint="eastAsia" w:ascii="仿宋_GB2312" w:hAnsi="仿宋_GB2312" w:eastAsia="仿宋_GB2312" w:cs="仿宋_GB2312"/>
          <w:sz w:val="32"/>
          <w:szCs w:val="32"/>
          <w:lang w:eastAsia="zh-CN"/>
        </w:rPr>
        <w:t>为了</w:t>
      </w:r>
      <w:r>
        <w:rPr>
          <w:rFonts w:hint="eastAsia" w:ascii="仿宋_GB2312" w:hAnsi="仿宋_GB2312" w:eastAsia="仿宋_GB2312" w:cs="仿宋_GB2312"/>
          <w:sz w:val="32"/>
          <w:szCs w:val="32"/>
        </w:rPr>
        <w:t>推动我省典型涉铊固体废物的分类和科学管理提供技术支撑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组织对我省钢铁冶炼行业的机头灰、瓦斯灰、高炉渣、钢铁冶炼和铅锌冶炼等行业企业与工业园污水处理站含铊污泥、次氧化锌回转窑水淬渣、富锰冶炼行业产生的烧结灰3大行业6类别废渣进行危险特性鉴别</w:t>
      </w:r>
      <w:r>
        <w:rPr>
          <w:rFonts w:hint="eastAsia" w:ascii="仿宋_GB2312" w:hAnsi="仿宋_GB2312" w:eastAsia="仿宋_GB2312" w:cs="仿宋_GB2312"/>
          <w:sz w:val="32"/>
          <w:szCs w:val="32"/>
          <w:lang w:eastAsia="zh-CN"/>
        </w:rPr>
        <w:t>工作</w:t>
      </w:r>
      <w:r>
        <w:rPr>
          <w:rFonts w:hint="eastAsia" w:ascii="仿宋_GB2312" w:hAnsi="仿宋_GB2312" w:eastAsia="仿宋_GB2312" w:cs="仿宋_GB2312"/>
          <w:sz w:val="32"/>
          <w:szCs w:val="32"/>
          <w:lang w:val="en-US" w:eastAsia="zh-CN"/>
        </w:rPr>
        <w:t>的经费支出增加</w:t>
      </w:r>
      <w:r>
        <w:rPr>
          <w:rFonts w:hint="eastAsia" w:ascii="仿宋_GB2312" w:hAnsi="仿宋_GB2312" w:eastAsia="仿宋_GB2312" w:cs="仿宋_GB2312"/>
          <w:sz w:val="32"/>
          <w:szCs w:val="32"/>
          <w:lang w:eastAsia="zh-CN"/>
        </w:rPr>
        <w:t>。</w:t>
      </w: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（二）财政拨款支出决算结构情况</w:t>
      </w: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2021年度财政拨款支出</w:t>
      </w:r>
      <w:r>
        <w:rPr>
          <w:rFonts w:hint="eastAsia" w:ascii="仿宋_GB2312" w:hAnsi="仿宋_GB2312" w:eastAsia="仿宋_GB2312" w:cs="仿宋_GB2312"/>
          <w:sz w:val="32"/>
          <w:szCs w:val="32"/>
          <w:lang w:val="en-US" w:eastAsia="zh-CN"/>
        </w:rPr>
        <w:t>649.72</w:t>
      </w:r>
      <w:r>
        <w:rPr>
          <w:rFonts w:hint="eastAsia" w:ascii="仿宋_GB2312" w:hAnsi="仿宋_GB2312" w:eastAsia="仿宋_GB2312" w:cs="仿宋_GB2312"/>
          <w:sz w:val="32"/>
          <w:szCs w:val="32"/>
        </w:rPr>
        <w:t>万元，主要用于以下方面：</w:t>
      </w:r>
      <w:r>
        <w:rPr>
          <w:rFonts w:hint="eastAsia" w:ascii="仿宋_GB2312" w:hAnsi="仿宋_GB2312" w:eastAsia="仿宋_GB2312" w:cs="仿宋_GB2312"/>
          <w:kern w:val="0"/>
          <w:sz w:val="32"/>
          <w:szCs w:val="32"/>
        </w:rPr>
        <w:t>社会保障和就业支出</w:t>
      </w:r>
      <w:r>
        <w:rPr>
          <w:rFonts w:hint="eastAsia" w:ascii="仿宋_GB2312" w:hAnsi="仿宋_GB2312" w:eastAsia="仿宋_GB2312" w:cs="仿宋_GB2312"/>
          <w:kern w:val="0"/>
          <w:sz w:val="32"/>
          <w:szCs w:val="32"/>
          <w:lang w:val="en-US" w:eastAsia="zh-CN"/>
        </w:rPr>
        <w:t>21.54万元，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3.32</w:t>
      </w:r>
      <w:r>
        <w:rPr>
          <w:rFonts w:hint="eastAsia" w:ascii="仿宋_GB2312" w:hAnsi="仿宋_GB2312" w:eastAsia="仿宋_GB2312" w:cs="仿宋_GB2312"/>
          <w:sz w:val="32"/>
          <w:szCs w:val="32"/>
        </w:rPr>
        <w:t>%；</w:t>
      </w:r>
      <w:r>
        <w:rPr>
          <w:rFonts w:hint="eastAsia" w:ascii="仿宋_GB2312" w:hAnsi="仿宋_GB2312" w:eastAsia="仿宋_GB2312" w:cs="仿宋_GB2312"/>
          <w:kern w:val="0"/>
          <w:sz w:val="32"/>
          <w:szCs w:val="32"/>
          <w:lang w:val="en-US" w:eastAsia="zh-CN"/>
        </w:rPr>
        <w:t>节能环保支出628.18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96.68</w:t>
      </w:r>
      <w:r>
        <w:rPr>
          <w:rFonts w:hint="eastAsia" w:ascii="仿宋_GB2312" w:hAnsi="仿宋_GB2312" w:eastAsia="仿宋_GB2312" w:cs="仿宋_GB2312"/>
          <w:sz w:val="32"/>
          <w:szCs w:val="32"/>
        </w:rPr>
        <w:t>%；教育（类）支出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w:t>
      </w: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（三）财政拨款支出决算具体情况</w:t>
      </w: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2021年度财政拨款支出年初预算数为</w:t>
      </w:r>
      <w:r>
        <w:rPr>
          <w:rFonts w:hint="eastAsia" w:ascii="仿宋_GB2312" w:hAnsi="仿宋_GB2312" w:eastAsia="仿宋_GB2312" w:cs="仿宋_GB2312"/>
          <w:sz w:val="32"/>
          <w:szCs w:val="32"/>
          <w:lang w:val="en-US" w:eastAsia="zh-CN"/>
        </w:rPr>
        <w:t>429.58</w:t>
      </w:r>
      <w:r>
        <w:rPr>
          <w:rFonts w:hint="eastAsia" w:ascii="仿宋_GB2312" w:hAnsi="仿宋_GB2312" w:eastAsia="仿宋_GB2312" w:cs="仿宋_GB2312"/>
          <w:sz w:val="32"/>
          <w:szCs w:val="32"/>
        </w:rPr>
        <w:t>万元，支出决算数为</w:t>
      </w:r>
      <w:r>
        <w:rPr>
          <w:rFonts w:hint="eastAsia" w:ascii="仿宋_GB2312" w:hAnsi="仿宋_GB2312" w:eastAsia="仿宋_GB2312" w:cs="仿宋_GB2312"/>
          <w:sz w:val="32"/>
          <w:szCs w:val="32"/>
          <w:lang w:val="en-US" w:eastAsia="zh-CN"/>
        </w:rPr>
        <w:t>649.72</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151.25</w:t>
      </w:r>
      <w:r>
        <w:rPr>
          <w:rFonts w:hint="eastAsia" w:ascii="仿宋_GB2312" w:hAnsi="仿宋_GB2312" w:eastAsia="仿宋_GB2312" w:cs="仿宋_GB2312"/>
          <w:sz w:val="32"/>
          <w:szCs w:val="32"/>
        </w:rPr>
        <w:t>%，其中：</w:t>
      </w:r>
    </w:p>
    <w:p>
      <w:pPr>
        <w:pStyle w:val="15"/>
        <w:keepNext w:val="0"/>
        <w:keepLines w:val="0"/>
        <w:pageBreakBefore w:val="0"/>
        <w:widowControl w:val="0"/>
        <w:numPr>
          <w:ilvl w:val="0"/>
          <w:numId w:val="0"/>
        </w:numPr>
        <w:kinsoku/>
        <w:wordWrap/>
        <w:overflowPunct/>
        <w:topLinePunct w:val="0"/>
        <w:bidi w:val="0"/>
        <w:spacing w:line="620" w:lineRule="exact"/>
        <w:ind w:firstLine="640" w:firstLineChars="200"/>
        <w:textAlignment w:val="auto"/>
        <w:rPr>
          <w:rFonts w:hint="eastAsia" w:ascii="仿宋_GB2312" w:hAnsi="仿宋_GB2312" w:eastAsia="仿宋_GB2312" w:cs="仿宋_GB2312"/>
          <w:b/>
          <w:bCs/>
          <w:color w:val="000000"/>
          <w:kern w:val="0"/>
          <w:sz w:val="32"/>
          <w:szCs w:val="32"/>
          <w:lang w:val="en-US" w:eastAsia="zh-CN"/>
        </w:rPr>
      </w:pPr>
      <w:r>
        <w:rPr>
          <w:rFonts w:hint="eastAsia" w:ascii="仿宋_GB2312" w:hAnsi="仿宋_GB2312" w:eastAsia="仿宋_GB2312" w:cs="仿宋_GB2312"/>
          <w:b/>
          <w:bCs/>
          <w:color w:val="000000"/>
          <w:kern w:val="0"/>
          <w:sz w:val="32"/>
          <w:szCs w:val="32"/>
          <w:lang w:val="en-US" w:eastAsia="zh-CN"/>
        </w:rPr>
        <w:t>1、</w:t>
      </w:r>
      <w:r>
        <w:rPr>
          <w:rFonts w:hint="eastAsia" w:ascii="仿宋_GB2312" w:hAnsi="仿宋_GB2312" w:eastAsia="仿宋_GB2312" w:cs="仿宋_GB2312"/>
          <w:b/>
          <w:bCs/>
          <w:color w:val="000000"/>
          <w:kern w:val="0"/>
          <w:sz w:val="32"/>
          <w:szCs w:val="32"/>
        </w:rPr>
        <w:t>社会保障和就业支出</w:t>
      </w:r>
      <w:r>
        <w:rPr>
          <w:rFonts w:hint="eastAsia" w:ascii="仿宋_GB2312" w:hAnsi="仿宋_GB2312" w:eastAsia="仿宋_GB2312" w:cs="仿宋_GB2312"/>
          <w:b/>
          <w:bCs/>
          <w:color w:val="000000"/>
          <w:kern w:val="0"/>
          <w:sz w:val="32"/>
          <w:szCs w:val="32"/>
          <w:lang w:val="en-US" w:eastAsia="zh-CN"/>
        </w:rPr>
        <w:t>（类）行政事业单位离退休（款）机关事业单位基本养老保险缴费支出（项）2080505。</w:t>
      </w:r>
    </w:p>
    <w:p>
      <w:pPr>
        <w:pStyle w:val="15"/>
        <w:keepNext w:val="0"/>
        <w:keepLines w:val="0"/>
        <w:pageBreakBefore w:val="0"/>
        <w:widowControl w:val="0"/>
        <w:numPr>
          <w:ilvl w:val="0"/>
          <w:numId w:val="0"/>
        </w:numPr>
        <w:kinsoku/>
        <w:wordWrap/>
        <w:overflowPunct/>
        <w:topLinePunct w:val="0"/>
        <w:bidi w:val="0"/>
        <w:spacing w:line="6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21.54</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21.54</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与</w:t>
      </w:r>
      <w:r>
        <w:rPr>
          <w:rFonts w:hint="eastAsia" w:ascii="仿宋_GB2312" w:hAnsi="仿宋_GB2312" w:eastAsia="仿宋_GB2312" w:cs="仿宋_GB2312"/>
          <w:sz w:val="32"/>
          <w:szCs w:val="32"/>
        </w:rPr>
        <w:t>年初预算数</w:t>
      </w:r>
      <w:r>
        <w:rPr>
          <w:rFonts w:hint="eastAsia" w:ascii="仿宋_GB2312" w:hAnsi="仿宋_GB2312" w:eastAsia="仿宋_GB2312" w:cs="仿宋_GB2312"/>
          <w:sz w:val="32"/>
          <w:szCs w:val="32"/>
          <w:lang w:eastAsia="zh-CN"/>
        </w:rPr>
        <w:t>一致。</w:t>
      </w:r>
    </w:p>
    <w:p>
      <w:pPr>
        <w:pStyle w:val="15"/>
        <w:keepNext w:val="0"/>
        <w:keepLines w:val="0"/>
        <w:pageBreakBefore w:val="0"/>
        <w:widowControl w:val="0"/>
        <w:numPr>
          <w:ilvl w:val="0"/>
          <w:numId w:val="0"/>
        </w:numPr>
        <w:kinsoku/>
        <w:wordWrap/>
        <w:overflowPunct/>
        <w:topLinePunct w:val="0"/>
        <w:bidi w:val="0"/>
        <w:spacing w:line="620" w:lineRule="exact"/>
        <w:ind w:firstLine="640" w:firstLineChars="200"/>
        <w:textAlignment w:val="auto"/>
        <w:rPr>
          <w:rFonts w:hint="eastAsia" w:ascii="仿宋_GB2312" w:hAnsi="仿宋_GB2312" w:eastAsia="仿宋_GB2312" w:cs="仿宋_GB2312"/>
          <w:b/>
          <w:bCs/>
          <w:color w:val="000000"/>
          <w:kern w:val="0"/>
          <w:sz w:val="32"/>
          <w:szCs w:val="32"/>
          <w:lang w:val="en-US" w:eastAsia="zh-CN"/>
        </w:rPr>
      </w:pPr>
      <w:r>
        <w:rPr>
          <w:rFonts w:hint="eastAsia" w:ascii="仿宋_GB2312" w:hAnsi="仿宋_GB2312" w:eastAsia="仿宋_GB2312" w:cs="仿宋_GB2312"/>
          <w:b/>
          <w:bCs/>
          <w:color w:val="000000"/>
          <w:kern w:val="0"/>
          <w:sz w:val="32"/>
          <w:szCs w:val="32"/>
          <w:lang w:val="en-US" w:eastAsia="zh-CN"/>
        </w:rPr>
        <w:t>2、</w:t>
      </w:r>
      <w:r>
        <w:rPr>
          <w:rFonts w:hint="eastAsia" w:ascii="仿宋_GB2312" w:hAnsi="仿宋_GB2312" w:eastAsia="仿宋_GB2312" w:cs="仿宋_GB2312"/>
          <w:b/>
          <w:bCs/>
          <w:color w:val="000000"/>
          <w:kern w:val="0"/>
          <w:sz w:val="32"/>
          <w:szCs w:val="32"/>
        </w:rPr>
        <w:t>节能环保支出</w:t>
      </w:r>
      <w:r>
        <w:rPr>
          <w:rFonts w:hint="eastAsia" w:ascii="仿宋_GB2312" w:hAnsi="仿宋_GB2312" w:eastAsia="仿宋_GB2312" w:cs="仿宋_GB2312"/>
          <w:b/>
          <w:bCs/>
          <w:color w:val="000000"/>
          <w:kern w:val="0"/>
          <w:sz w:val="32"/>
          <w:szCs w:val="32"/>
          <w:lang w:val="en-US" w:eastAsia="zh-CN"/>
        </w:rPr>
        <w:t>（类）环境保护管理事务（款）行政运行（项）2110101。</w:t>
      </w: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228.04</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227.44</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99.74</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eastAsia="zh-CN"/>
        </w:rPr>
        <w:t>因受疫情影响，减少了公务接待费。</w:t>
      </w:r>
    </w:p>
    <w:p>
      <w:pPr>
        <w:pStyle w:val="15"/>
        <w:keepNext w:val="0"/>
        <w:keepLines w:val="0"/>
        <w:pageBreakBefore w:val="0"/>
        <w:widowControl w:val="0"/>
        <w:numPr>
          <w:ilvl w:val="0"/>
          <w:numId w:val="1"/>
        </w:numPr>
        <w:kinsoku/>
        <w:wordWrap/>
        <w:overflowPunct/>
        <w:topLinePunct w:val="0"/>
        <w:bidi w:val="0"/>
        <w:spacing w:line="620" w:lineRule="exact"/>
        <w:ind w:firstLine="640" w:firstLineChars="200"/>
        <w:textAlignment w:val="auto"/>
        <w:rPr>
          <w:rFonts w:hint="eastAsia" w:ascii="仿宋_GB2312" w:hAnsi="仿宋_GB2312" w:eastAsia="仿宋_GB2312" w:cs="仿宋_GB2312"/>
          <w:b/>
          <w:bCs/>
          <w:color w:val="000000"/>
          <w:kern w:val="0"/>
          <w:sz w:val="32"/>
          <w:szCs w:val="32"/>
          <w:lang w:val="en-US" w:eastAsia="zh-CN"/>
        </w:rPr>
      </w:pPr>
      <w:r>
        <w:rPr>
          <w:rFonts w:hint="eastAsia" w:ascii="仿宋_GB2312" w:hAnsi="仿宋_GB2312" w:eastAsia="仿宋_GB2312" w:cs="仿宋_GB2312"/>
          <w:b/>
          <w:bCs/>
          <w:color w:val="000000"/>
          <w:kern w:val="0"/>
          <w:sz w:val="32"/>
          <w:szCs w:val="32"/>
        </w:rPr>
        <w:t>节能环保支出</w:t>
      </w:r>
      <w:r>
        <w:rPr>
          <w:rFonts w:hint="eastAsia" w:ascii="仿宋_GB2312" w:hAnsi="仿宋_GB2312" w:eastAsia="仿宋_GB2312" w:cs="仿宋_GB2312"/>
          <w:b/>
          <w:bCs/>
          <w:color w:val="000000"/>
          <w:kern w:val="0"/>
          <w:sz w:val="32"/>
          <w:szCs w:val="32"/>
          <w:lang w:val="en-US" w:eastAsia="zh-CN"/>
        </w:rPr>
        <w:t>（类）污染防治（款</w:t>
      </w:r>
      <w:r>
        <w:rPr>
          <w:rFonts w:hint="eastAsia" w:ascii="仿宋_GB2312" w:hAnsi="仿宋_GB2312" w:eastAsia="仿宋_GB2312" w:cs="仿宋_GB2312"/>
          <w:b/>
          <w:bCs/>
          <w:color w:val="000000"/>
          <w:kern w:val="0"/>
          <w:sz w:val="32"/>
          <w:szCs w:val="32"/>
        </w:rPr>
        <w:t>）</w:t>
      </w:r>
      <w:r>
        <w:rPr>
          <w:rFonts w:hint="eastAsia" w:ascii="仿宋_GB2312" w:hAnsi="仿宋_GB2312" w:eastAsia="仿宋_GB2312" w:cs="仿宋_GB2312"/>
          <w:b/>
          <w:bCs/>
          <w:color w:val="000000"/>
          <w:kern w:val="0"/>
          <w:sz w:val="32"/>
          <w:szCs w:val="32"/>
          <w:lang w:eastAsia="zh-CN"/>
        </w:rPr>
        <w:t>固体废弃物与化学品（项）</w:t>
      </w:r>
      <w:r>
        <w:rPr>
          <w:rFonts w:hint="eastAsia" w:ascii="仿宋_GB2312" w:hAnsi="仿宋_GB2312" w:eastAsia="仿宋_GB2312" w:cs="仿宋_GB2312"/>
          <w:b/>
          <w:bCs/>
          <w:color w:val="000000"/>
          <w:kern w:val="0"/>
          <w:sz w:val="32"/>
          <w:szCs w:val="32"/>
          <w:lang w:val="en-US" w:eastAsia="zh-CN"/>
        </w:rPr>
        <w:t>2110304.</w:t>
      </w: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180.00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180.00</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与</w:t>
      </w:r>
      <w:r>
        <w:rPr>
          <w:rFonts w:hint="eastAsia" w:ascii="仿宋_GB2312" w:hAnsi="仿宋_GB2312" w:eastAsia="仿宋_GB2312" w:cs="仿宋_GB2312"/>
          <w:sz w:val="32"/>
          <w:szCs w:val="32"/>
        </w:rPr>
        <w:t>年初预算数</w:t>
      </w:r>
      <w:r>
        <w:rPr>
          <w:rFonts w:hint="eastAsia" w:ascii="仿宋_GB2312" w:hAnsi="仿宋_GB2312" w:eastAsia="仿宋_GB2312" w:cs="仿宋_GB2312"/>
          <w:sz w:val="32"/>
          <w:szCs w:val="32"/>
          <w:lang w:eastAsia="zh-CN"/>
        </w:rPr>
        <w:t>一致。</w:t>
      </w:r>
    </w:p>
    <w:p>
      <w:pPr>
        <w:pStyle w:val="15"/>
        <w:keepNext w:val="0"/>
        <w:keepLines w:val="0"/>
        <w:pageBreakBefore w:val="0"/>
        <w:widowControl w:val="0"/>
        <w:numPr>
          <w:ilvl w:val="0"/>
          <w:numId w:val="1"/>
        </w:numPr>
        <w:kinsoku/>
        <w:wordWrap/>
        <w:overflowPunct/>
        <w:topLinePunct w:val="0"/>
        <w:bidi w:val="0"/>
        <w:spacing w:line="620" w:lineRule="exact"/>
        <w:ind w:left="0" w:leftChars="0" w:firstLine="640" w:firstLineChars="200"/>
        <w:textAlignment w:val="auto"/>
        <w:rPr>
          <w:rFonts w:hint="eastAsia" w:ascii="仿宋_GB2312" w:hAnsi="仿宋_GB2312" w:eastAsia="仿宋_GB2312" w:cs="仿宋_GB2312"/>
          <w:b/>
          <w:bCs/>
          <w:color w:val="000000"/>
          <w:kern w:val="0"/>
          <w:sz w:val="32"/>
          <w:szCs w:val="32"/>
          <w:lang w:val="en-US" w:eastAsia="zh-CN"/>
        </w:rPr>
      </w:pPr>
      <w:r>
        <w:rPr>
          <w:rFonts w:hint="eastAsia" w:ascii="仿宋_GB2312" w:hAnsi="仿宋_GB2312" w:eastAsia="仿宋_GB2312" w:cs="仿宋_GB2312"/>
          <w:b/>
          <w:bCs/>
          <w:color w:val="000000"/>
          <w:kern w:val="0"/>
          <w:sz w:val="32"/>
          <w:szCs w:val="32"/>
        </w:rPr>
        <w:t>节能环保支出</w:t>
      </w:r>
      <w:r>
        <w:rPr>
          <w:rFonts w:hint="eastAsia" w:ascii="仿宋_GB2312" w:hAnsi="仿宋_GB2312" w:eastAsia="仿宋_GB2312" w:cs="仿宋_GB2312"/>
          <w:b/>
          <w:bCs/>
          <w:color w:val="000000"/>
          <w:kern w:val="0"/>
          <w:sz w:val="32"/>
          <w:szCs w:val="32"/>
          <w:lang w:val="en-US" w:eastAsia="zh-CN"/>
        </w:rPr>
        <w:t>（类）污染防治（款</w:t>
      </w:r>
      <w:r>
        <w:rPr>
          <w:rFonts w:hint="eastAsia" w:ascii="仿宋_GB2312" w:hAnsi="仿宋_GB2312" w:eastAsia="仿宋_GB2312" w:cs="仿宋_GB2312"/>
          <w:b/>
          <w:bCs/>
          <w:color w:val="000000"/>
          <w:kern w:val="0"/>
          <w:sz w:val="32"/>
          <w:szCs w:val="32"/>
        </w:rPr>
        <w:t>）</w:t>
      </w:r>
      <w:r>
        <w:rPr>
          <w:rFonts w:hint="eastAsia" w:ascii="仿宋_GB2312" w:hAnsi="仿宋_GB2312" w:eastAsia="仿宋_GB2312" w:cs="仿宋_GB2312"/>
          <w:b/>
          <w:bCs/>
          <w:color w:val="000000"/>
          <w:kern w:val="0"/>
          <w:sz w:val="32"/>
          <w:szCs w:val="32"/>
          <w:lang w:eastAsia="zh-CN"/>
        </w:rPr>
        <w:t>放射源和放射性废物监管（项）</w:t>
      </w:r>
      <w:r>
        <w:rPr>
          <w:rFonts w:hint="eastAsia" w:ascii="仿宋_GB2312" w:hAnsi="仿宋_GB2312" w:eastAsia="仿宋_GB2312" w:cs="仿宋_GB2312"/>
          <w:b/>
          <w:bCs/>
          <w:color w:val="000000"/>
          <w:kern w:val="0"/>
          <w:sz w:val="32"/>
          <w:szCs w:val="32"/>
          <w:lang w:val="en-US" w:eastAsia="zh-CN"/>
        </w:rPr>
        <w:t>2110305</w:t>
      </w: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220.74</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val="en-US" w:eastAsia="zh-CN"/>
        </w:rPr>
        <w:t>大</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val="en-US" w:eastAsia="zh-CN"/>
        </w:rPr>
        <w:t>年中追加了项目经费支出预算</w:t>
      </w:r>
      <w:r>
        <w:rPr>
          <w:rFonts w:hint="eastAsia" w:ascii="仿宋_GB2312" w:hAnsi="仿宋_GB2312" w:eastAsia="仿宋_GB2312" w:cs="仿宋_GB2312"/>
          <w:sz w:val="32"/>
          <w:szCs w:val="32"/>
          <w:lang w:eastAsia="zh-CN"/>
        </w:rPr>
        <w:t>。</w:t>
      </w: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仿宋_GB2312" w:hAnsi="仿宋_GB2312" w:eastAsia="仿宋_GB2312" w:cs="仿宋_GB2312"/>
          <w:i/>
          <w:color w:val="FF0000"/>
          <w:sz w:val="32"/>
          <w:szCs w:val="32"/>
        </w:rPr>
      </w:pPr>
      <w:r>
        <w:rPr>
          <w:rFonts w:hint="eastAsia" w:ascii="仿宋_GB2312" w:hAnsi="仿宋_GB2312" w:eastAsia="仿宋_GB2312" w:cs="仿宋_GB2312"/>
          <w:sz w:val="32"/>
          <w:szCs w:val="32"/>
        </w:rPr>
        <w:t>2021年度财政拨款基本支出</w:t>
      </w:r>
      <w:r>
        <w:rPr>
          <w:rFonts w:hint="eastAsia" w:ascii="仿宋_GB2312" w:hAnsi="仿宋_GB2312" w:eastAsia="仿宋_GB2312" w:cs="仿宋_GB2312"/>
          <w:sz w:val="32"/>
          <w:szCs w:val="32"/>
          <w:lang w:val="en-US" w:eastAsia="zh-CN"/>
        </w:rPr>
        <w:t>248.98</w:t>
      </w:r>
      <w:r>
        <w:rPr>
          <w:rFonts w:hint="eastAsia" w:ascii="仿宋_GB2312" w:hAnsi="仿宋_GB2312" w:eastAsia="仿宋_GB2312" w:cs="仿宋_GB2312"/>
          <w:sz w:val="32"/>
          <w:szCs w:val="32"/>
        </w:rPr>
        <w:t>万元，其中：人员经费</w:t>
      </w:r>
      <w:r>
        <w:rPr>
          <w:rFonts w:hint="eastAsia" w:ascii="仿宋_GB2312" w:hAnsi="仿宋_GB2312" w:eastAsia="仿宋_GB2312" w:cs="仿宋_GB2312"/>
          <w:sz w:val="32"/>
          <w:szCs w:val="32"/>
          <w:lang w:val="en-US" w:eastAsia="zh-CN"/>
        </w:rPr>
        <w:t>167.62</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67.32</w:t>
      </w:r>
      <w:r>
        <w:rPr>
          <w:rFonts w:hint="eastAsia" w:ascii="仿宋_GB2312" w:hAnsi="仿宋_GB2312" w:eastAsia="仿宋_GB2312" w:cs="仿宋_GB2312"/>
          <w:sz w:val="32"/>
          <w:szCs w:val="32"/>
        </w:rPr>
        <w:t>%,基本工资</w:t>
      </w:r>
      <w:r>
        <w:rPr>
          <w:rFonts w:hint="eastAsia" w:ascii="仿宋_GB2312" w:hAnsi="仿宋_GB2312" w:eastAsia="仿宋_GB2312" w:cs="仿宋_GB2312"/>
          <w:sz w:val="32"/>
          <w:szCs w:val="32"/>
          <w:lang w:val="en-US" w:eastAsia="zh-CN"/>
        </w:rPr>
        <w:t>44.33万元</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val="en-US" w:eastAsia="zh-CN"/>
        </w:rPr>
        <w:t>53.21万元</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val="en-US" w:eastAsia="zh-CN"/>
        </w:rPr>
        <w:t>5.28万元</w:t>
      </w:r>
      <w:r>
        <w:rPr>
          <w:rFonts w:hint="eastAsia" w:ascii="仿宋_GB2312" w:hAnsi="仿宋_GB2312" w:eastAsia="仿宋_GB2312" w:cs="仿宋_GB2312"/>
          <w:sz w:val="32"/>
          <w:szCs w:val="32"/>
        </w:rPr>
        <w:t>；公用经费</w:t>
      </w:r>
      <w:r>
        <w:rPr>
          <w:rFonts w:hint="eastAsia" w:ascii="仿宋_GB2312" w:hAnsi="仿宋_GB2312" w:eastAsia="仿宋_GB2312" w:cs="仿宋_GB2312"/>
          <w:sz w:val="32"/>
          <w:szCs w:val="32"/>
          <w:lang w:val="en-US" w:eastAsia="zh-CN"/>
        </w:rPr>
        <w:t>81.36</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35.78</w:t>
      </w:r>
      <w:r>
        <w:rPr>
          <w:rFonts w:hint="eastAsia" w:ascii="仿宋_GB2312" w:hAnsi="仿宋_GB2312" w:eastAsia="仿宋_GB2312" w:cs="仿宋_GB2312"/>
          <w:sz w:val="32"/>
          <w:szCs w:val="32"/>
        </w:rPr>
        <w:t>%，主要包括办公费</w:t>
      </w:r>
      <w:r>
        <w:rPr>
          <w:rFonts w:hint="eastAsia" w:ascii="仿宋_GB2312" w:hAnsi="仿宋_GB2312" w:eastAsia="仿宋_GB2312" w:cs="仿宋_GB2312"/>
          <w:sz w:val="32"/>
          <w:szCs w:val="32"/>
          <w:lang w:val="en-US" w:eastAsia="zh-CN"/>
        </w:rPr>
        <w:t>3万元</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val="en-US" w:eastAsia="zh-CN"/>
        </w:rPr>
        <w:t>5万元</w:t>
      </w:r>
      <w:r>
        <w:rPr>
          <w:rFonts w:hint="eastAsia" w:ascii="仿宋_GB2312" w:hAnsi="仿宋_GB2312" w:eastAsia="仿宋_GB2312" w:cs="仿宋_GB2312"/>
          <w:sz w:val="32"/>
          <w:szCs w:val="32"/>
        </w:rPr>
        <w:t>、咨询费</w:t>
      </w:r>
      <w:r>
        <w:rPr>
          <w:rFonts w:hint="eastAsia" w:ascii="仿宋_GB2312" w:hAnsi="仿宋_GB2312" w:eastAsia="仿宋_GB2312" w:cs="仿宋_GB2312"/>
          <w:sz w:val="32"/>
          <w:szCs w:val="32"/>
          <w:lang w:val="en-US" w:eastAsia="zh-CN"/>
        </w:rPr>
        <w:t>0万元</w:t>
      </w:r>
      <w:r>
        <w:rPr>
          <w:rFonts w:hint="eastAsia" w:ascii="仿宋_GB2312" w:hAnsi="仿宋_GB2312" w:eastAsia="仿宋_GB2312" w:cs="仿宋_GB2312"/>
          <w:sz w:val="32"/>
          <w:szCs w:val="32"/>
        </w:rPr>
        <w:t>、手续费</w:t>
      </w:r>
      <w:r>
        <w:rPr>
          <w:rFonts w:hint="eastAsia" w:ascii="仿宋_GB2312" w:hAnsi="仿宋_GB2312" w:eastAsia="仿宋_GB2312" w:cs="仿宋_GB2312"/>
          <w:sz w:val="32"/>
          <w:szCs w:val="32"/>
          <w:lang w:val="en-US" w:eastAsia="zh-CN"/>
        </w:rPr>
        <w:t>0万元、物业管理费2.10万元、差旅费18万元、租赁费10万元、会议费2万元、培训费8万元、公务接待费1.40万元、工会经费0.80万元、福利费1.90万元、公务用车运行维护费4.50万元、其他交通费用9.36万元、其他商品服务支出15.00万元</w:t>
      </w:r>
      <w:r>
        <w:rPr>
          <w:rFonts w:hint="eastAsia" w:ascii="仿宋_GB2312" w:hAnsi="仿宋_GB2312" w:eastAsia="仿宋_GB2312" w:cs="仿宋_GB2312"/>
          <w:sz w:val="32"/>
          <w:szCs w:val="32"/>
        </w:rPr>
        <w:t>。</w:t>
      </w: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七、一般公共预算财政拨款“三公”经费支出决算情况说明</w:t>
      </w: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（一）“三公”经费财政拨款支出决算总体情况说明</w:t>
      </w: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2021年度“三公”经费财政拨款支出预算为</w:t>
      </w:r>
      <w:r>
        <w:rPr>
          <w:rFonts w:hint="eastAsia" w:ascii="仿宋_GB2312" w:hAnsi="仿宋_GB2312" w:eastAsia="仿宋_GB2312" w:cs="仿宋_GB2312"/>
          <w:sz w:val="32"/>
          <w:szCs w:val="32"/>
          <w:lang w:val="en-US" w:eastAsia="zh-CN"/>
        </w:rPr>
        <w:t>6.50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5.90</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90.77</w:t>
      </w:r>
      <w:r>
        <w:rPr>
          <w:rFonts w:hint="eastAsia" w:ascii="仿宋_GB2312" w:hAnsi="仿宋_GB2312" w:eastAsia="仿宋_GB2312" w:cs="仿宋_GB2312"/>
          <w:sz w:val="32"/>
          <w:szCs w:val="32"/>
        </w:rPr>
        <w:t>%，其中：</w:t>
      </w: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因公出国（境）费支出预算为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000000"/>
          <w:sz w:val="32"/>
          <w:szCs w:val="32"/>
          <w:highlight w:val="none"/>
        </w:rPr>
        <w:t>决算数等于预算数的主要</w:t>
      </w:r>
      <w:r>
        <w:rPr>
          <w:rFonts w:hint="eastAsia" w:ascii="仿宋_GB2312" w:hAnsi="仿宋_GB2312" w:eastAsia="仿宋_GB2312" w:cs="仿宋_GB2312"/>
          <w:color w:val="000000"/>
          <w:sz w:val="32"/>
          <w:szCs w:val="32"/>
          <w:lang w:val="en-US" w:eastAsia="zh-CN"/>
        </w:rPr>
        <w:t>原因</w:t>
      </w:r>
      <w:r>
        <w:rPr>
          <w:rFonts w:hint="eastAsia" w:ascii="仿宋_GB2312" w:hAnsi="仿宋_GB2312" w:eastAsia="仿宋_GB2312" w:cs="仿宋_GB2312"/>
          <w:color w:val="000000"/>
          <w:sz w:val="32"/>
          <w:szCs w:val="32"/>
          <w:highlight w:val="none"/>
        </w:rPr>
        <w:t>是疫情影响，今年未安排出国出境</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highlight w:val="none"/>
        </w:rPr>
        <w:t>与上年相比无变化，主要原因是主要是疫情影响，今年及去年均未安排出国出境</w:t>
      </w:r>
      <w:r>
        <w:rPr>
          <w:rFonts w:hint="eastAsia" w:ascii="仿宋_GB2312" w:hAnsi="仿宋_GB2312" w:eastAsia="仿宋_GB2312" w:cs="仿宋_GB2312"/>
          <w:sz w:val="32"/>
          <w:szCs w:val="32"/>
        </w:rPr>
        <w:t>。</w:t>
      </w: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2.00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1.40</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70</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cs="仿宋_GB2312"/>
          <w:sz w:val="32"/>
          <w:szCs w:val="32"/>
          <w:lang w:eastAsia="zh-CN"/>
        </w:rPr>
        <w:t>受疫情影响，减少了公务接待</w:t>
      </w:r>
      <w:r>
        <w:rPr>
          <w:rFonts w:hint="eastAsia" w:ascii="仿宋_GB2312" w:hAnsi="仿宋_GB2312" w:eastAsia="仿宋_GB2312" w:cs="仿宋_GB2312"/>
          <w:sz w:val="32"/>
          <w:szCs w:val="32"/>
        </w:rPr>
        <w:t>，与上年</w:t>
      </w:r>
      <w:r>
        <w:rPr>
          <w:rFonts w:hint="eastAsia" w:ascii="仿宋_GB2312" w:hAnsi="仿宋_GB2312" w:eastAsia="仿宋_GB2312" w:cs="仿宋_GB2312"/>
          <w:sz w:val="32"/>
          <w:szCs w:val="32"/>
          <w:lang w:val="en-US" w:eastAsia="zh-CN"/>
        </w:rPr>
        <w:t>决算数</w:t>
      </w:r>
      <w:r>
        <w:rPr>
          <w:rFonts w:hint="eastAsia" w:ascii="仿宋_GB2312" w:hAnsi="仿宋_GB2312" w:eastAsia="仿宋_GB2312" w:cs="仿宋_GB2312"/>
          <w:sz w:val="32"/>
          <w:szCs w:val="32"/>
        </w:rPr>
        <w:t>相比减少</w:t>
      </w:r>
      <w:r>
        <w:rPr>
          <w:rFonts w:hint="eastAsia" w:ascii="仿宋_GB2312" w:hAnsi="仿宋_GB2312" w:eastAsia="仿宋_GB2312" w:cs="仿宋_GB2312"/>
          <w:sz w:val="32"/>
          <w:szCs w:val="32"/>
          <w:lang w:val="en-US" w:eastAsia="zh-CN"/>
        </w:rPr>
        <w:t>0.60</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rPr>
        <w:t>%,减少的主要原因</w:t>
      </w:r>
      <w:r>
        <w:rPr>
          <w:rFonts w:hint="eastAsia" w:ascii="仿宋_GB2312" w:hAnsi="仿宋_GB2312" w:eastAsia="仿宋_GB2312" w:cs="仿宋_GB2312"/>
          <w:sz w:val="32"/>
          <w:szCs w:val="32"/>
          <w:lang w:eastAsia="zh-CN"/>
        </w:rPr>
        <w:t>同上</w:t>
      </w:r>
      <w:r>
        <w:rPr>
          <w:rFonts w:hint="eastAsia" w:ascii="仿宋_GB2312" w:hAnsi="仿宋_GB2312" w:eastAsia="仿宋_GB2312" w:cs="仿宋_GB2312"/>
          <w:sz w:val="32"/>
          <w:szCs w:val="32"/>
        </w:rPr>
        <w:t>。</w:t>
      </w: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公务用车购置费支出预算为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bookmarkStart w:id="11" w:name="_GoBack"/>
      <w:bookmarkEnd w:id="11"/>
      <w:r>
        <w:rPr>
          <w:rFonts w:hint="eastAsia" w:ascii="仿宋_GB2312" w:hAnsi="仿宋_GB2312" w:eastAsia="仿宋_GB2312" w:cs="仿宋_GB2312"/>
          <w:sz w:val="32"/>
          <w:szCs w:val="32"/>
          <w:lang w:val="en-US" w:eastAsia="zh-CN"/>
        </w:rPr>
        <w:t>2021年我单位无公车购置预算；</w:t>
      </w:r>
      <w:r>
        <w:rPr>
          <w:rFonts w:hint="eastAsia" w:ascii="仿宋_GB2312" w:hAnsi="仿宋_GB2312" w:eastAsia="仿宋_GB2312" w:cs="仿宋_GB2312"/>
          <w:sz w:val="32"/>
          <w:szCs w:val="32"/>
        </w:rPr>
        <w:t>与上年</w:t>
      </w:r>
      <w:r>
        <w:rPr>
          <w:rFonts w:hint="eastAsia" w:ascii="仿宋_GB2312" w:hAnsi="仿宋_GB2312" w:eastAsia="仿宋_GB2312" w:cs="仿宋_GB2312"/>
          <w:sz w:val="32"/>
          <w:szCs w:val="32"/>
          <w:lang w:val="en-US" w:eastAsia="zh-CN"/>
        </w:rPr>
        <w:t>决算数</w:t>
      </w:r>
      <w:r>
        <w:rPr>
          <w:rFonts w:hint="eastAsia" w:ascii="仿宋_GB2312" w:hAnsi="仿宋_GB2312" w:eastAsia="仿宋_GB2312" w:cs="仿宋_GB2312"/>
          <w:sz w:val="32"/>
          <w:szCs w:val="32"/>
        </w:rPr>
        <w:t>相比</w:t>
      </w:r>
      <w:r>
        <w:rPr>
          <w:rFonts w:hint="eastAsia" w:ascii="仿宋_GB2312" w:hAnsi="仿宋_GB2312" w:eastAsia="仿宋_GB2312" w:cs="仿宋_GB2312"/>
          <w:sz w:val="32"/>
          <w:szCs w:val="32"/>
          <w:lang w:eastAsia="zh-CN"/>
        </w:rPr>
        <w:t>无增减变动</w:t>
      </w:r>
      <w:r>
        <w:rPr>
          <w:rFonts w:hint="eastAsia" w:ascii="仿宋_GB2312" w:hAnsi="仿宋_GB2312" w:eastAsia="仿宋_GB2312" w:cs="仿宋_GB2312"/>
          <w:sz w:val="32"/>
          <w:szCs w:val="32"/>
        </w:rPr>
        <w:t>。</w:t>
      </w: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4.50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4.50</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与</w:t>
      </w:r>
      <w:r>
        <w:rPr>
          <w:rFonts w:hint="eastAsia" w:ascii="仿宋_GB2312" w:hAnsi="仿宋_GB2312" w:eastAsia="仿宋_GB2312" w:cs="仿宋_GB2312"/>
          <w:sz w:val="32"/>
          <w:szCs w:val="32"/>
        </w:rPr>
        <w:t>预算数</w:t>
      </w:r>
      <w:r>
        <w:rPr>
          <w:rFonts w:hint="eastAsia" w:ascii="仿宋_GB2312" w:hAnsi="仿宋_GB2312" w:eastAsia="仿宋_GB2312" w:cs="仿宋_GB2312"/>
          <w:sz w:val="32"/>
          <w:szCs w:val="32"/>
          <w:lang w:eastAsia="zh-CN"/>
        </w:rPr>
        <w:t>一致</w:t>
      </w:r>
      <w:r>
        <w:rPr>
          <w:rFonts w:hint="eastAsia" w:ascii="仿宋_GB2312" w:hAnsi="仿宋_GB2312" w:eastAsia="仿宋_GB2312" w:cs="仿宋_GB2312"/>
          <w:sz w:val="32"/>
          <w:szCs w:val="32"/>
        </w:rPr>
        <w:t>，与上年</w:t>
      </w:r>
      <w:r>
        <w:rPr>
          <w:rFonts w:hint="eastAsia" w:ascii="仿宋_GB2312" w:hAnsi="仿宋_GB2312" w:eastAsia="仿宋_GB2312" w:cs="仿宋_GB2312"/>
          <w:sz w:val="32"/>
          <w:szCs w:val="32"/>
          <w:lang w:val="en-US" w:eastAsia="zh-CN"/>
        </w:rPr>
        <w:t>决算数</w:t>
      </w:r>
      <w:r>
        <w:rPr>
          <w:rFonts w:hint="eastAsia" w:ascii="仿宋_GB2312" w:hAnsi="仿宋_GB2312" w:eastAsia="仿宋_GB2312" w:cs="仿宋_GB2312"/>
          <w:sz w:val="32"/>
          <w:szCs w:val="32"/>
        </w:rPr>
        <w:t>相比</w:t>
      </w:r>
      <w:r>
        <w:rPr>
          <w:rFonts w:hint="eastAsia" w:ascii="仿宋_GB2312" w:hAnsi="仿宋_GB2312" w:eastAsia="仿宋_GB2312" w:cs="仿宋_GB2312"/>
          <w:sz w:val="32"/>
          <w:szCs w:val="32"/>
          <w:lang w:eastAsia="zh-CN"/>
        </w:rPr>
        <w:t>无增减变动</w:t>
      </w:r>
      <w:r>
        <w:rPr>
          <w:rFonts w:hint="eastAsia" w:ascii="仿宋_GB2312" w:hAnsi="仿宋_GB2312" w:eastAsia="仿宋_GB2312" w:cs="仿宋_GB2312"/>
          <w:sz w:val="32"/>
          <w:szCs w:val="32"/>
        </w:rPr>
        <w:t>。</w:t>
      </w: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（二）“三公”经费财政拨款支出决算具体情况说明</w:t>
      </w: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2021年度“三公”经费财政拨款支出决算中，公务接待费支出决算</w:t>
      </w:r>
      <w:r>
        <w:rPr>
          <w:rFonts w:hint="eastAsia" w:ascii="仿宋_GB2312" w:hAnsi="仿宋_GB2312" w:eastAsia="仿宋_GB2312" w:cs="仿宋_GB2312"/>
          <w:sz w:val="32"/>
          <w:szCs w:val="32"/>
          <w:lang w:val="en-US" w:eastAsia="zh-CN"/>
        </w:rPr>
        <w:t>1.40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23.73</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val="en-US" w:eastAsia="zh-CN"/>
        </w:rPr>
        <w:t>4.50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76.27</w:t>
      </w:r>
      <w:r>
        <w:rPr>
          <w:rFonts w:hint="eastAsia" w:ascii="仿宋_GB2312" w:hAnsi="仿宋_GB2312" w:eastAsia="仿宋_GB2312" w:cs="仿宋_GB2312"/>
          <w:sz w:val="32"/>
          <w:szCs w:val="32"/>
        </w:rPr>
        <w:t>%。其中：</w:t>
      </w: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1、因公出国（境）费支出决算为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万元，全年安排因公出国（境）团组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个，累计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2021年我单位无出国预算，亦无相关支出。</w:t>
      </w: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sz w:val="32"/>
          <w:szCs w:val="32"/>
        </w:rPr>
        <w:t>2、公务接待费支出决算为</w:t>
      </w:r>
      <w:r>
        <w:rPr>
          <w:rFonts w:hint="eastAsia" w:ascii="仿宋_GB2312" w:hAnsi="仿宋_GB2312" w:eastAsia="仿宋_GB2312" w:cs="仿宋_GB2312"/>
          <w:sz w:val="32"/>
          <w:szCs w:val="32"/>
          <w:lang w:val="en-US" w:eastAsia="zh-CN"/>
        </w:rPr>
        <w:t>1.40</w:t>
      </w:r>
      <w:r>
        <w:rPr>
          <w:rFonts w:hint="eastAsia" w:ascii="仿宋_GB2312" w:hAnsi="仿宋_GB2312" w:eastAsia="仿宋_GB2312" w:cs="仿宋_GB2312"/>
          <w:sz w:val="32"/>
          <w:szCs w:val="32"/>
        </w:rPr>
        <w:t>万元，全年共接待来访团组</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111</w:t>
      </w:r>
      <w:r>
        <w:rPr>
          <w:rFonts w:hint="eastAsia" w:ascii="仿宋_GB2312" w:hAnsi="仿宋_GB2312" w:eastAsia="仿宋_GB2312" w:cs="仿宋_GB2312"/>
          <w:sz w:val="32"/>
          <w:szCs w:val="32"/>
        </w:rPr>
        <w:t>人次，主要是</w:t>
      </w:r>
      <w:r>
        <w:rPr>
          <w:rFonts w:hint="eastAsia" w:ascii="仿宋_GB2312" w:hAnsi="仿宋_GB2312" w:eastAsia="仿宋_GB2312" w:cs="仿宋_GB2312"/>
          <w:color w:val="auto"/>
          <w:kern w:val="2"/>
          <w:sz w:val="32"/>
          <w:szCs w:val="32"/>
          <w:lang w:val="en-US" w:eastAsia="zh-CN" w:bidi="ar-SA"/>
        </w:rPr>
        <w:t>湖南省固体废物管理系统2.0建设内容研讨会、废铅蓄电池集中收集与跨区域转运试点工作会议以及市州固废管理部门等来访人员发生的接待支出。</w:t>
      </w:r>
    </w:p>
    <w:p>
      <w:pPr>
        <w:keepNext w:val="0"/>
        <w:keepLines w:val="0"/>
        <w:pageBreakBefore w:val="0"/>
        <w:widowControl w:val="0"/>
        <w:kinsoku/>
        <w:wordWrap/>
        <w:overflowPunct/>
        <w:topLinePunct w:val="0"/>
        <w:bidi w:val="0"/>
        <w:spacing w:line="62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4.50</w:t>
      </w:r>
      <w:r>
        <w:rPr>
          <w:rFonts w:hint="eastAsia" w:ascii="仿宋_GB2312" w:hAnsi="仿宋_GB2312" w:eastAsia="仿宋_GB2312" w:cs="仿宋_GB2312"/>
          <w:sz w:val="32"/>
          <w:szCs w:val="32"/>
        </w:rPr>
        <w:t>万元，其中：公务用车购置费</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本单位未更新公务用车；</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4.50</w:t>
      </w:r>
      <w:r>
        <w:rPr>
          <w:rFonts w:hint="eastAsia" w:ascii="仿宋_GB2312" w:hAnsi="仿宋_GB2312" w:eastAsia="仿宋_GB2312" w:cs="仿宋_GB2312"/>
          <w:sz w:val="32"/>
          <w:szCs w:val="32"/>
        </w:rPr>
        <w:t>万元，主要是</w:t>
      </w:r>
      <w:r>
        <w:rPr>
          <w:rFonts w:hint="eastAsia" w:ascii="仿宋_GB2312" w:hAnsi="仿宋_GB2312" w:eastAsia="仿宋_GB2312" w:cs="仿宋_GB2312"/>
          <w:sz w:val="32"/>
          <w:szCs w:val="32"/>
          <w:lang w:eastAsia="zh-CN"/>
        </w:rPr>
        <w:t>车辆加油、维修、保险、过路过桥费</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截止202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年12月31日，我单位开支财政拨款的公务用车保有量为</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辆。</w:t>
      </w: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2021年度政府性基金预算财政拨款收入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我站无政府性基金</w:t>
      </w:r>
      <w:r>
        <w:rPr>
          <w:rFonts w:hint="eastAsia" w:ascii="仿宋_GB2312" w:hAnsi="仿宋_GB2312" w:eastAsia="仿宋_GB2312" w:cs="仿宋_GB2312"/>
          <w:sz w:val="32"/>
          <w:szCs w:val="32"/>
          <w:lang w:val="en-US" w:eastAsia="zh-CN"/>
        </w:rPr>
        <w:t>收支</w:t>
      </w:r>
      <w:r>
        <w:rPr>
          <w:rFonts w:hint="eastAsia" w:ascii="仿宋_GB2312" w:hAnsi="仿宋_GB2312" w:eastAsia="仿宋_GB2312" w:cs="仿宋_GB2312"/>
          <w:sz w:val="32"/>
          <w:szCs w:val="32"/>
          <w:lang w:eastAsia="zh-CN"/>
        </w:rPr>
        <w:t>。</w:t>
      </w: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九、机关运行经费支出说明</w:t>
      </w: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本部门2021年度机关运行经费支出</w:t>
      </w:r>
      <w:r>
        <w:rPr>
          <w:rFonts w:hint="eastAsia" w:ascii="仿宋_GB2312" w:hAnsi="仿宋_GB2312" w:eastAsia="仿宋_GB2312" w:cs="仿宋_GB2312"/>
          <w:sz w:val="32"/>
          <w:szCs w:val="32"/>
          <w:lang w:val="en-US" w:eastAsia="zh-CN"/>
        </w:rPr>
        <w:t>81.36</w:t>
      </w:r>
      <w:r>
        <w:rPr>
          <w:rFonts w:hint="eastAsia" w:ascii="仿宋_GB2312" w:hAnsi="仿宋_GB2312" w:eastAsia="仿宋_GB2312" w:cs="仿宋_GB2312"/>
          <w:sz w:val="32"/>
          <w:szCs w:val="32"/>
        </w:rPr>
        <w:t>万元，比年初预算数减少</w:t>
      </w:r>
      <w:r>
        <w:rPr>
          <w:rFonts w:hint="eastAsia" w:ascii="仿宋_GB2312" w:hAnsi="仿宋_GB2312" w:eastAsia="仿宋_GB2312" w:cs="仿宋_GB2312"/>
          <w:sz w:val="32"/>
          <w:szCs w:val="32"/>
          <w:lang w:val="en-US" w:eastAsia="zh-CN"/>
        </w:rPr>
        <w:t>0.60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比年初预算</w:t>
      </w:r>
      <w:r>
        <w:rPr>
          <w:rFonts w:hint="eastAsia" w:ascii="仿宋_GB2312" w:hAnsi="仿宋_GB2312" w:eastAsia="仿宋_GB2312" w:cs="仿宋_GB2312"/>
          <w:sz w:val="32"/>
          <w:szCs w:val="32"/>
        </w:rPr>
        <w:t>降低</w:t>
      </w:r>
      <w:r>
        <w:rPr>
          <w:rFonts w:hint="eastAsia" w:ascii="仿宋_GB2312" w:hAnsi="仿宋_GB2312" w:eastAsia="仿宋_GB2312" w:cs="仿宋_GB2312"/>
          <w:sz w:val="32"/>
          <w:szCs w:val="32"/>
          <w:lang w:val="en-US" w:eastAsia="zh-CN"/>
        </w:rPr>
        <w:t>0.73</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受疫情影响，减少了现场工作对接，从面减少了公务接待费。</w:t>
      </w: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本部门开支会议费2.00万元，用于召开2020年第四季度废弃电器电子产品拆解省级复审等会议，人数60人，主要内容为对我省4家废弃电器电子拆解基金补贴企业的2020年第四季度拆解情况进行复审；开支培训费8.00万元，用于免费为14个市州印发了《固废法》《国家危险废物名录（2021年版）》《湖南省实施〈中华人民共和国固体废物污染环境防治法〉办法》《湖南省危险废物管理实用手册》《湖南省废弃电器电子产品回收处理资料汇编》等培训工作手册30000余本。</w:t>
      </w:r>
    </w:p>
    <w:p>
      <w:pPr>
        <w:keepNext w:val="0"/>
        <w:keepLines w:val="0"/>
        <w:pageBreakBefore w:val="0"/>
        <w:widowControl w:val="0"/>
        <w:kinsoku/>
        <w:wordWrap/>
        <w:overflowPunct/>
        <w:topLinePunct w:val="0"/>
        <w:autoSpaceDE w:val="0"/>
        <w:autoSpaceDN w:val="0"/>
        <w:bidi w:val="0"/>
        <w:adjustRightInd w:val="0"/>
        <w:spacing w:line="620" w:lineRule="exact"/>
        <w:ind w:firstLine="640" w:firstLineChars="200"/>
        <w:jc w:val="left"/>
        <w:textAlignment w:val="auto"/>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val="en-US" w:eastAsia="zh-CN" w:bidi="ar-SA"/>
        </w:rPr>
        <w:t>2021年度我单位未举办节庆、</w:t>
      </w:r>
      <w:r>
        <w:rPr>
          <w:rFonts w:hint="eastAsia" w:ascii="仿宋_GB2312" w:hAnsi="仿宋_GB2312" w:eastAsia="仿宋_GB2312" w:cs="仿宋_GB2312"/>
          <w:sz w:val="32"/>
          <w:szCs w:val="32"/>
        </w:rPr>
        <w:t>晚会、论坛、赛事</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活动</w:t>
      </w:r>
      <w:r>
        <w:rPr>
          <w:rFonts w:hint="eastAsia" w:ascii="仿宋_GB2312" w:hAnsi="仿宋_GB2312" w:eastAsia="仿宋_GB2312" w:cs="仿宋_GB2312"/>
          <w:sz w:val="32"/>
          <w:szCs w:val="32"/>
          <w:lang w:eastAsia="zh-CN"/>
        </w:rPr>
        <w:t>。</w:t>
      </w:r>
    </w:p>
    <w:p>
      <w:pPr>
        <w:pStyle w:val="15"/>
        <w:ind w:firstLine="640" w:firstLineChars="200"/>
        <w:rPr>
          <w:rFonts w:hAnsi="黑体"/>
          <w:b/>
          <w:sz w:val="32"/>
          <w:szCs w:val="32"/>
        </w:rPr>
      </w:pPr>
      <w:r>
        <w:rPr>
          <w:rFonts w:hint="eastAsia" w:hAnsi="黑体"/>
          <w:b/>
          <w:sz w:val="32"/>
          <w:szCs w:val="32"/>
        </w:rPr>
        <w:t>十一、关于政府采购支出说明</w:t>
      </w:r>
    </w:p>
    <w:p>
      <w:pPr>
        <w:keepNext w:val="0"/>
        <w:keepLines w:val="0"/>
        <w:pageBreakBefore w:val="0"/>
        <w:widowControl w:val="0"/>
        <w:kinsoku/>
        <w:wordWrap/>
        <w:overflowPunct/>
        <w:topLinePunct w:val="0"/>
        <w:bidi w:val="0"/>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年度政府采购支出总额</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%，其中：授予小微企业合同金额</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pStyle w:val="15"/>
        <w:ind w:firstLine="640" w:firstLineChars="200"/>
        <w:rPr>
          <w:rFonts w:hAnsi="黑体"/>
          <w:b/>
          <w:sz w:val="32"/>
          <w:szCs w:val="32"/>
        </w:rPr>
      </w:pPr>
      <w:r>
        <w:rPr>
          <w:rFonts w:hint="eastAsia" w:hAnsi="黑体"/>
          <w:b/>
          <w:sz w:val="32"/>
          <w:szCs w:val="32"/>
        </w:rPr>
        <w:t>十二、关于国有资产占用情况说明</w:t>
      </w:r>
    </w:p>
    <w:p>
      <w:pPr>
        <w:pStyle w:val="2"/>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截至2021年12月31日，本单位共有车辆1辆；</w:t>
      </w:r>
      <w:r>
        <w:rPr>
          <w:rFonts w:hint="eastAsia" w:ascii="仿宋_GB2312" w:hAnsi="仿宋_GB2312" w:eastAsia="仿宋_GB2312" w:cs="仿宋_GB2312"/>
          <w:kern w:val="2"/>
          <w:sz w:val="32"/>
          <w:szCs w:val="32"/>
          <w:lang w:val="en-US" w:eastAsia="zh-CN"/>
        </w:rPr>
        <w:t>其中：</w:t>
      </w:r>
      <w:r>
        <w:rPr>
          <w:rFonts w:hint="eastAsia" w:ascii="仿宋_GB2312" w:hAnsi="仿宋_GB2312" w:eastAsia="仿宋_GB2312" w:cs="仿宋_GB2312"/>
          <w:kern w:val="2"/>
          <w:sz w:val="32"/>
          <w:szCs w:val="32"/>
        </w:rPr>
        <w:t>领导干部用车</w:t>
      </w:r>
      <w:r>
        <w:rPr>
          <w:rFonts w:hint="eastAsia" w:ascii="仿宋_GB2312" w:hAnsi="仿宋_GB2312" w:eastAsia="仿宋_GB2312" w:cs="仿宋_GB2312"/>
          <w:kern w:val="2"/>
          <w:sz w:val="32"/>
          <w:szCs w:val="32"/>
          <w:lang w:val="en-US" w:eastAsia="zh-CN"/>
        </w:rPr>
        <w:t>0</w:t>
      </w:r>
      <w:r>
        <w:rPr>
          <w:rFonts w:hint="eastAsia" w:ascii="仿宋_GB2312" w:hAnsi="仿宋_GB2312" w:eastAsia="仿宋_GB2312" w:cs="仿宋_GB2312"/>
          <w:kern w:val="2"/>
          <w:sz w:val="32"/>
          <w:szCs w:val="32"/>
        </w:rPr>
        <w:t>辆、一般公务用车</w:t>
      </w:r>
      <w:r>
        <w:rPr>
          <w:rFonts w:hint="eastAsia" w:ascii="仿宋_GB2312" w:hAnsi="仿宋_GB2312" w:eastAsia="仿宋_GB2312" w:cs="仿宋_GB2312"/>
          <w:kern w:val="2"/>
          <w:sz w:val="32"/>
          <w:szCs w:val="32"/>
          <w:lang w:val="en-US" w:eastAsia="zh-CN"/>
        </w:rPr>
        <w:t>0</w:t>
      </w:r>
      <w:r>
        <w:rPr>
          <w:rFonts w:hint="eastAsia" w:ascii="仿宋_GB2312" w:hAnsi="仿宋_GB2312" w:eastAsia="仿宋_GB2312" w:cs="仿宋_GB2312"/>
          <w:kern w:val="2"/>
          <w:sz w:val="32"/>
          <w:szCs w:val="32"/>
        </w:rPr>
        <w:t>辆、一般执法执勤用车</w:t>
      </w:r>
      <w:r>
        <w:rPr>
          <w:rFonts w:hint="eastAsia" w:ascii="仿宋_GB2312" w:hAnsi="仿宋_GB2312" w:eastAsia="仿宋_GB2312" w:cs="仿宋_GB2312"/>
          <w:kern w:val="2"/>
          <w:sz w:val="32"/>
          <w:szCs w:val="32"/>
          <w:lang w:val="en-US" w:eastAsia="zh-CN"/>
        </w:rPr>
        <w:t>1</w:t>
      </w:r>
      <w:r>
        <w:rPr>
          <w:rFonts w:hint="eastAsia" w:ascii="仿宋_GB2312" w:hAnsi="仿宋_GB2312" w:eastAsia="仿宋_GB2312" w:cs="仿宋_GB2312"/>
          <w:kern w:val="2"/>
          <w:sz w:val="32"/>
          <w:szCs w:val="32"/>
        </w:rPr>
        <w:t>辆、特种专业技术用车</w:t>
      </w:r>
      <w:r>
        <w:rPr>
          <w:rFonts w:hint="eastAsia" w:ascii="仿宋_GB2312" w:hAnsi="仿宋_GB2312" w:eastAsia="仿宋_GB2312" w:cs="仿宋_GB2312"/>
          <w:kern w:val="2"/>
          <w:sz w:val="32"/>
          <w:szCs w:val="32"/>
          <w:lang w:val="en-US" w:eastAsia="zh-CN"/>
        </w:rPr>
        <w:t>0</w:t>
      </w:r>
      <w:r>
        <w:rPr>
          <w:rFonts w:hint="eastAsia" w:ascii="仿宋_GB2312" w:hAnsi="仿宋_GB2312" w:eastAsia="仿宋_GB2312" w:cs="仿宋_GB2312"/>
          <w:kern w:val="2"/>
          <w:sz w:val="32"/>
          <w:szCs w:val="32"/>
        </w:rPr>
        <w:t xml:space="preserve"> 辆、其他用车</w:t>
      </w:r>
      <w:r>
        <w:rPr>
          <w:rFonts w:hint="eastAsia" w:ascii="仿宋_GB2312" w:hAnsi="仿宋_GB2312" w:eastAsia="仿宋_GB2312" w:cs="仿宋_GB2312"/>
          <w:kern w:val="2"/>
          <w:sz w:val="32"/>
          <w:szCs w:val="32"/>
          <w:lang w:val="en-US" w:eastAsia="zh-CN"/>
        </w:rPr>
        <w:t>0</w:t>
      </w:r>
      <w:r>
        <w:rPr>
          <w:rFonts w:hint="eastAsia" w:ascii="仿宋_GB2312" w:hAnsi="仿宋_GB2312" w:eastAsia="仿宋_GB2312" w:cs="仿宋_GB2312"/>
          <w:kern w:val="2"/>
          <w:sz w:val="32"/>
          <w:szCs w:val="32"/>
        </w:rPr>
        <w:t xml:space="preserve"> 辆</w:t>
      </w:r>
      <w:r>
        <w:rPr>
          <w:rFonts w:hint="eastAsia" w:ascii="仿宋_GB2312" w:hAnsi="仿宋_GB2312" w:eastAsia="仿宋_GB2312" w:cs="仿宋_GB2312"/>
          <w:color w:val="auto"/>
          <w:sz w:val="32"/>
          <w:szCs w:val="32"/>
          <w:shd w:val="clear" w:fill="auto"/>
        </w:rPr>
        <w:t>。</w:t>
      </w:r>
      <w:r>
        <w:rPr>
          <w:rFonts w:hint="eastAsia" w:ascii="仿宋_GB2312" w:hAnsi="仿宋_GB2312" w:eastAsia="仿宋_GB2312" w:cs="仿宋_GB2312"/>
          <w:kern w:val="2"/>
          <w:sz w:val="32"/>
          <w:szCs w:val="32"/>
          <w:lang w:val="en-US" w:eastAsia="zh-CN" w:bidi="ar-SA"/>
        </w:rPr>
        <w:t>单位价值50万元以上通用设备0台（套）；单位价值100万元以上专用设备0台（套）。</w:t>
      </w:r>
    </w:p>
    <w:p>
      <w:pPr>
        <w:keepNext w:val="0"/>
        <w:keepLines w:val="0"/>
        <w:pageBreakBefore w:val="0"/>
        <w:widowControl w:val="0"/>
        <w:kinsoku/>
        <w:wordWrap/>
        <w:overflowPunct/>
        <w:topLinePunct w:val="0"/>
        <w:autoSpaceDE w:val="0"/>
        <w:autoSpaceDN w:val="0"/>
        <w:bidi w:val="0"/>
        <w:adjustRightInd w:val="0"/>
        <w:spacing w:line="6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b/>
          <w:color w:val="000000"/>
          <w:kern w:val="0"/>
          <w:sz w:val="32"/>
          <w:szCs w:val="32"/>
          <w:lang w:val="en-US" w:eastAsia="zh-CN"/>
        </w:rPr>
        <w:t>十三、</w:t>
      </w:r>
      <w:r>
        <w:rPr>
          <w:rFonts w:hint="eastAsia" w:ascii="仿宋_GB2312" w:hAnsi="仿宋_GB2312" w:eastAsia="仿宋_GB2312" w:cs="仿宋_GB2312"/>
          <w:b/>
          <w:color w:val="000000"/>
          <w:kern w:val="0"/>
          <w:sz w:val="32"/>
          <w:szCs w:val="32"/>
        </w:rPr>
        <w:t>重点项目预算的绩效评价结果等情况说明。</w:t>
      </w: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为进一步规范财政资金管理，强化绩效和责任意识，切实提高财政资金使用效益，</w:t>
      </w:r>
      <w:r>
        <w:rPr>
          <w:rFonts w:hint="eastAsia" w:ascii="仿宋_GB2312" w:hAnsi="仿宋_GB2312" w:eastAsia="仿宋_GB2312" w:cs="仿宋_GB2312"/>
          <w:i w:val="0"/>
          <w:iCs w:val="0"/>
          <w:caps w:val="0"/>
          <w:color w:val="000000"/>
          <w:spacing w:val="0"/>
          <w:sz w:val="32"/>
          <w:szCs w:val="32"/>
          <w:shd w:val="clear" w:fill="auto"/>
          <w:lang w:val="en-US" w:eastAsia="zh-CN"/>
        </w:rPr>
        <w:t xml:space="preserve">我部门组织对2021年部门整体支出进行绩效自评，涉及财政资金   </w:t>
      </w:r>
      <w:r>
        <w:rPr>
          <w:rFonts w:hint="eastAsia" w:ascii="仿宋_GB2312" w:hAnsi="仿宋_GB2312" w:eastAsia="仿宋_GB2312" w:cs="仿宋_GB2312"/>
          <w:kern w:val="0"/>
          <w:sz w:val="32"/>
          <w:szCs w:val="32"/>
          <w:lang w:val="en-US" w:eastAsia="zh-CN"/>
        </w:rPr>
        <w:t>649.72</w:t>
      </w:r>
      <w:r>
        <w:rPr>
          <w:rFonts w:hint="eastAsia" w:ascii="仿宋_GB2312" w:hAnsi="仿宋_GB2312" w:eastAsia="仿宋_GB2312" w:cs="仿宋_GB2312"/>
          <w:i w:val="0"/>
          <w:iCs w:val="0"/>
          <w:caps w:val="0"/>
          <w:color w:val="000000"/>
          <w:spacing w:val="0"/>
          <w:sz w:val="32"/>
          <w:szCs w:val="32"/>
          <w:shd w:val="clear" w:fill="auto"/>
          <w:lang w:val="en-US" w:eastAsia="zh-CN"/>
        </w:rPr>
        <w:t>万元，其中：基本支出</w:t>
      </w:r>
      <w:r>
        <w:rPr>
          <w:rFonts w:hint="eastAsia" w:ascii="仿宋_GB2312" w:hAnsi="仿宋_GB2312" w:eastAsia="仿宋_GB2312" w:cs="仿宋_GB2312"/>
          <w:kern w:val="0"/>
          <w:sz w:val="32"/>
          <w:szCs w:val="32"/>
          <w:lang w:val="en-US" w:eastAsia="zh-CN"/>
        </w:rPr>
        <w:t>248.98</w:t>
      </w:r>
      <w:r>
        <w:rPr>
          <w:rFonts w:hint="eastAsia" w:ascii="仿宋_GB2312" w:hAnsi="仿宋_GB2312" w:eastAsia="仿宋_GB2312" w:cs="仿宋_GB2312"/>
          <w:i w:val="0"/>
          <w:iCs w:val="0"/>
          <w:caps w:val="0"/>
          <w:color w:val="000000"/>
          <w:spacing w:val="0"/>
          <w:sz w:val="32"/>
          <w:szCs w:val="32"/>
          <w:shd w:val="clear" w:fill="auto"/>
          <w:lang w:val="en-US" w:eastAsia="zh-CN"/>
        </w:rPr>
        <w:t>万元，项目支出</w:t>
      </w:r>
      <w:r>
        <w:rPr>
          <w:rFonts w:hint="eastAsia" w:ascii="仿宋_GB2312" w:hAnsi="仿宋_GB2312" w:eastAsia="仿宋_GB2312" w:cs="仿宋_GB2312"/>
          <w:kern w:val="0"/>
          <w:sz w:val="32"/>
          <w:szCs w:val="32"/>
          <w:lang w:val="en-US" w:eastAsia="zh-CN"/>
        </w:rPr>
        <w:t>400.74</w:t>
      </w:r>
      <w:r>
        <w:rPr>
          <w:rFonts w:hint="eastAsia" w:ascii="仿宋_GB2312" w:hAnsi="仿宋_GB2312" w:eastAsia="仿宋_GB2312" w:cs="仿宋_GB2312"/>
          <w:i w:val="0"/>
          <w:iCs w:val="0"/>
          <w:caps w:val="0"/>
          <w:color w:val="000000"/>
          <w:spacing w:val="0"/>
          <w:sz w:val="32"/>
          <w:szCs w:val="32"/>
          <w:shd w:val="clear" w:fill="auto"/>
          <w:lang w:val="en-US" w:eastAsia="zh-CN"/>
        </w:rPr>
        <w:t>万元。从评价结果看，资金使用效益较好，</w:t>
      </w:r>
      <w:r>
        <w:rPr>
          <w:rFonts w:hint="eastAsia" w:ascii="仿宋_GB2312" w:hAnsi="仿宋_GB2312" w:eastAsia="仿宋_GB2312" w:cs="仿宋_GB2312"/>
          <w:i w:val="0"/>
          <w:iCs w:val="0"/>
          <w:caps w:val="0"/>
          <w:color w:val="000000"/>
          <w:spacing w:val="0"/>
          <w:sz w:val="32"/>
          <w:szCs w:val="32"/>
          <w:shd w:val="clear" w:fill="auto"/>
        </w:rPr>
        <w:t>达到了预期绩效目标。</w:t>
      </w: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本部门预算绩效管理开展情况、绩效目标和绩效评价报告</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详见附件</w:t>
      </w:r>
      <w:r>
        <w:rPr>
          <w:rFonts w:hint="eastAsia" w:ascii="仿宋_GB2312" w:hAnsi="仿宋_GB2312" w:eastAsia="仿宋_GB2312" w:cs="仿宋_GB2312"/>
          <w:sz w:val="32"/>
          <w:szCs w:val="32"/>
        </w:rPr>
        <w:t>）</w:t>
      </w:r>
    </w:p>
    <w:p>
      <w:pPr>
        <w:pStyle w:val="15"/>
        <w:keepNext w:val="0"/>
        <w:keepLines w:val="0"/>
        <w:pageBreakBefore w:val="0"/>
        <w:widowControl w:val="0"/>
        <w:kinsoku/>
        <w:wordWrap/>
        <w:overflowPunct/>
        <w:topLinePunct w:val="0"/>
        <w:bidi w:val="0"/>
        <w:spacing w:line="620" w:lineRule="exact"/>
        <w:ind w:firstLine="640" w:firstLineChars="200"/>
        <w:textAlignment w:val="auto"/>
        <w:rPr>
          <w:rFonts w:hint="eastAsia" w:ascii="仿宋_GB2312" w:hAnsi="仿宋_GB2312" w:eastAsia="仿宋_GB2312" w:cs="仿宋_GB2312"/>
          <w:b/>
          <w:sz w:val="32"/>
          <w:szCs w:val="32"/>
        </w:rPr>
      </w:pPr>
    </w:p>
    <w:p>
      <w:pPr>
        <w:pStyle w:val="15"/>
        <w:keepNext w:val="0"/>
        <w:keepLines w:val="0"/>
        <w:pageBreakBefore w:val="0"/>
        <w:widowControl w:val="0"/>
        <w:kinsoku/>
        <w:wordWrap/>
        <w:overflowPunct/>
        <w:topLinePunct w:val="0"/>
        <w:bidi w:val="0"/>
        <w:spacing w:line="620" w:lineRule="exact"/>
        <w:ind w:firstLine="640" w:firstLineChars="200"/>
        <w:jc w:val="center"/>
        <w:textAlignment w:val="auto"/>
        <w:rPr>
          <w:rFonts w:hint="eastAsia" w:ascii="仿宋_GB2312" w:hAnsi="仿宋_GB2312" w:eastAsia="仿宋_GB2312" w:cs="仿宋_GB2312"/>
          <w:sz w:val="32"/>
          <w:szCs w:val="3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rPr>
          <w:sz w:val="72"/>
          <w:szCs w:val="72"/>
        </w:rPr>
      </w:pPr>
    </w:p>
    <w:p>
      <w:pPr>
        <w:pStyle w:val="15"/>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hint="eastAsia" w:ascii="黑体" w:hAnsi="黑体" w:eastAsia="黑体" w:cs="黑体"/>
          <w:b w:val="0"/>
          <w:bCs w:val="0"/>
          <w:color w:val="000000"/>
          <w:kern w:val="0"/>
          <w:sz w:val="32"/>
          <w:szCs w:val="32"/>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黑体" w:hAnsi="黑体" w:eastAsia="黑体" w:cs="黑体"/>
          <w:b w:val="0"/>
          <w:bCs w:val="0"/>
          <w:sz w:val="32"/>
          <w:lang w:val="en-US" w:eastAsia="zh-CN"/>
        </w:rPr>
        <w:t>1</w:t>
      </w:r>
      <w:r>
        <w:rPr>
          <w:rFonts w:hint="eastAsia" w:ascii="黑体" w:hAnsi="黑体" w:eastAsia="黑体" w:cs="黑体"/>
          <w:b w:val="0"/>
          <w:bCs w:val="0"/>
          <w:sz w:val="32"/>
          <w:lang w:eastAsia="zh-CN"/>
        </w:rPr>
        <w:t>、</w:t>
      </w:r>
      <w:r>
        <w:rPr>
          <w:rFonts w:hint="eastAsia" w:ascii="黑体" w:hAnsi="黑体" w:eastAsia="黑体" w:cs="黑体"/>
          <w:b w:val="0"/>
          <w:bCs w:val="0"/>
          <w:sz w:val="32"/>
        </w:rPr>
        <w:t>财政拨款收入：</w:t>
      </w:r>
      <w:r>
        <w:rPr>
          <w:rFonts w:ascii="仿宋_GB2312" w:hAnsi="仿宋_GB2312" w:eastAsia="仿宋_GB2312"/>
          <w:sz w:val="32"/>
        </w:rPr>
        <w:t>指财政当年拨付的资金。</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Times New Roman" w:hAnsi="Times New Roman" w:eastAsia="Times New Roman"/>
        </w:rPr>
      </w:pPr>
      <w:r>
        <w:rPr>
          <w:rFonts w:hint="eastAsia" w:ascii="黑体" w:hAnsi="黑体" w:eastAsia="黑体" w:cs="黑体"/>
          <w:b w:val="0"/>
          <w:bCs/>
          <w:sz w:val="32"/>
          <w:lang w:val="en-US" w:eastAsia="zh-CN"/>
        </w:rPr>
        <w:t>2</w:t>
      </w:r>
      <w:r>
        <w:rPr>
          <w:rFonts w:hint="eastAsia" w:ascii="黑体" w:hAnsi="黑体" w:eastAsia="黑体" w:cs="黑体"/>
          <w:b w:val="0"/>
          <w:bCs/>
          <w:sz w:val="32"/>
          <w:lang w:eastAsia="zh-CN"/>
        </w:rPr>
        <w:t>、</w:t>
      </w:r>
      <w:r>
        <w:rPr>
          <w:rFonts w:hint="eastAsia" w:ascii="黑体" w:hAnsi="黑体" w:eastAsia="黑体" w:cs="黑体"/>
          <w:b w:val="0"/>
          <w:bCs/>
          <w:sz w:val="32"/>
        </w:rPr>
        <w:t>事业收入：</w:t>
      </w:r>
      <w:r>
        <w:rPr>
          <w:rFonts w:ascii="仿宋_GB2312" w:hAnsi="仿宋_GB2312" w:eastAsia="仿宋_GB2312"/>
          <w:sz w:val="32"/>
        </w:rPr>
        <w:t>指事业单位开展专业业务活动及辅助活动所取得的收入。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黑体" w:hAnsi="黑体" w:eastAsia="黑体" w:cs="黑体"/>
          <w:b w:val="0"/>
          <w:bCs/>
          <w:sz w:val="32"/>
          <w:lang w:val="en-US" w:eastAsia="zh-CN"/>
        </w:rPr>
        <w:t>3、</w:t>
      </w:r>
      <w:r>
        <w:rPr>
          <w:rFonts w:hint="eastAsia" w:ascii="黑体" w:hAnsi="黑体" w:eastAsia="黑体" w:cs="黑体"/>
          <w:b w:val="0"/>
          <w:bCs/>
          <w:sz w:val="32"/>
        </w:rPr>
        <w:t>经营收入：</w:t>
      </w:r>
      <w:r>
        <w:rPr>
          <w:rFonts w:ascii="仿宋_GB2312" w:hAnsi="仿宋_GB2312" w:eastAsia="仿宋_GB2312"/>
          <w:sz w:val="32"/>
        </w:rPr>
        <w:t>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黑体" w:hAnsi="黑体" w:eastAsia="黑体" w:cs="黑体"/>
          <w:b w:val="0"/>
          <w:bCs/>
          <w:sz w:val="32"/>
          <w:lang w:val="en-US" w:eastAsia="zh-CN"/>
        </w:rPr>
        <w:t>4、</w:t>
      </w:r>
      <w:r>
        <w:rPr>
          <w:rFonts w:hint="eastAsia" w:ascii="黑体" w:hAnsi="黑体" w:eastAsia="黑体" w:cs="黑体"/>
          <w:b w:val="0"/>
          <w:bCs/>
          <w:sz w:val="32"/>
        </w:rPr>
        <w:t>其他收入：</w:t>
      </w:r>
      <w:r>
        <w:rPr>
          <w:rFonts w:ascii="仿宋_GB2312" w:hAnsi="仿宋_GB2312" w:eastAsia="仿宋_GB2312"/>
          <w:sz w:val="32"/>
        </w:rPr>
        <w:t>指除上述</w:t>
      </w:r>
      <w:r>
        <w:rPr>
          <w:rFonts w:ascii="Arial" w:hAnsi="Arial" w:eastAsia="Arial"/>
          <w:sz w:val="32"/>
        </w:rPr>
        <w:t>“</w:t>
      </w:r>
      <w:r>
        <w:rPr>
          <w:rFonts w:ascii="仿宋_GB2312" w:hAnsi="仿宋_GB2312" w:eastAsia="仿宋_GB2312"/>
          <w:sz w:val="32"/>
        </w:rPr>
        <w:t>财政拨款收入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事业收入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经营收入</w:t>
      </w:r>
      <w:r>
        <w:rPr>
          <w:rFonts w:ascii="Arial" w:hAnsi="Arial" w:eastAsia="Arial"/>
          <w:sz w:val="32"/>
        </w:rPr>
        <w:t>”</w:t>
      </w:r>
      <w:r>
        <w:rPr>
          <w:rFonts w:ascii="仿宋_GB2312" w:hAnsi="仿宋_GB2312" w:eastAsia="仿宋_GB2312"/>
          <w:sz w:val="32"/>
        </w:rPr>
        <w:t>等以外的收入。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黑体" w:hAnsi="黑体" w:eastAsia="黑体" w:cs="黑体"/>
          <w:b w:val="0"/>
          <w:bCs/>
          <w:sz w:val="32"/>
          <w:lang w:val="en-US" w:eastAsia="zh-CN"/>
        </w:rPr>
        <w:t>5</w:t>
      </w:r>
      <w:r>
        <w:rPr>
          <w:rFonts w:hint="eastAsia" w:ascii="黑体" w:hAnsi="黑体" w:eastAsia="黑体" w:cs="黑体"/>
          <w:b w:val="0"/>
          <w:bCs/>
          <w:sz w:val="32"/>
        </w:rPr>
        <w:t>、用事业基金弥补收支差额：</w:t>
      </w:r>
      <w:r>
        <w:rPr>
          <w:rFonts w:ascii="仿宋_GB2312" w:hAnsi="仿宋_GB2312" w:eastAsia="仿宋_GB2312"/>
          <w:sz w:val="32"/>
        </w:rPr>
        <w:t>指事业单位在当年的</w:t>
      </w:r>
      <w:r>
        <w:rPr>
          <w:rFonts w:ascii="Arial" w:hAnsi="Arial" w:eastAsia="Arial"/>
          <w:sz w:val="32"/>
        </w:rPr>
        <w:t>“</w:t>
      </w:r>
      <w:r>
        <w:rPr>
          <w:rFonts w:ascii="仿宋_GB2312" w:hAnsi="仿宋_GB2312" w:eastAsia="仿宋_GB2312"/>
          <w:sz w:val="32"/>
        </w:rPr>
        <w:t>财政拨款收入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事业收入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经营收入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其他收入</w:t>
      </w:r>
      <w:r>
        <w:rPr>
          <w:rFonts w:ascii="Arial" w:hAnsi="Arial" w:eastAsia="Arial"/>
          <w:sz w:val="32"/>
        </w:rPr>
        <w:t>”</w:t>
      </w:r>
      <w:r>
        <w:rPr>
          <w:rFonts w:ascii="仿宋_GB2312" w:hAnsi="仿宋_GB2312" w:eastAsia="仿宋_GB2312"/>
          <w:sz w:val="32"/>
        </w:rPr>
        <w:t>不足以安排当年支出的情况下，使用以前年度积累的事业基金（事业单位当年收支相抵后按国家规定提取、用于弥补以后年度收支差额的基金）弥补本年度收支缺口的资金。</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Times New Roman" w:hAnsi="Times New Roman" w:eastAsia="Times New Roman"/>
        </w:rPr>
      </w:pPr>
      <w:r>
        <w:rPr>
          <w:rFonts w:hint="eastAsia" w:ascii="黑体" w:hAnsi="黑体" w:eastAsia="黑体" w:cs="黑体"/>
          <w:b w:val="0"/>
          <w:bCs/>
          <w:sz w:val="32"/>
          <w:lang w:val="en-US" w:eastAsia="zh-CN"/>
        </w:rPr>
        <w:t>6</w:t>
      </w:r>
      <w:r>
        <w:rPr>
          <w:rFonts w:hint="eastAsia" w:ascii="黑体" w:hAnsi="黑体" w:eastAsia="黑体" w:cs="黑体"/>
          <w:b w:val="0"/>
          <w:bCs/>
          <w:sz w:val="32"/>
        </w:rPr>
        <w:t>、年初结转和结余：</w:t>
      </w:r>
      <w:r>
        <w:rPr>
          <w:rFonts w:ascii="仿宋_GB2312" w:hAnsi="仿宋_GB2312" w:eastAsia="仿宋_GB2312"/>
          <w:sz w:val="32"/>
        </w:rPr>
        <w:t>指以前年度尚未完成、结转到本年按有关规定继续使用的资金。</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黑体" w:hAnsi="黑体" w:eastAsia="黑体" w:cs="黑体"/>
          <w:b w:val="0"/>
          <w:bCs/>
          <w:sz w:val="32"/>
          <w:lang w:val="en-US" w:eastAsia="zh-CN"/>
        </w:rPr>
        <w:t>7</w:t>
      </w:r>
      <w:r>
        <w:rPr>
          <w:rFonts w:hint="eastAsia" w:ascii="黑体" w:hAnsi="黑体" w:eastAsia="黑体" w:cs="黑体"/>
          <w:b w:val="0"/>
          <w:bCs/>
          <w:sz w:val="32"/>
        </w:rPr>
        <w:t>、结余分配：</w:t>
      </w:r>
      <w:r>
        <w:rPr>
          <w:rFonts w:ascii="仿宋_GB2312" w:hAnsi="仿宋_GB2312" w:eastAsia="仿宋_GB2312"/>
          <w:sz w:val="32"/>
        </w:rPr>
        <w:t>指事业单位按规定提取的职工福利基金、事业基金和缴纳的所得税，以及建设单位按规定应交回的基本建设竣工项目结余资金。</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00" w:firstLineChars="200"/>
        <w:jc w:val="both"/>
        <w:textAlignment w:val="auto"/>
        <w:outlineLvl w:val="9"/>
        <w:rPr>
          <w:rFonts w:ascii="仿宋_GB2312" w:hAnsi="仿宋_GB2312" w:eastAsia="仿宋_GB2312"/>
          <w:sz w:val="32"/>
        </w:rPr>
      </w:pPr>
      <w:r>
        <w:rPr>
          <w:rFonts w:hint="eastAsia" w:ascii="黑体" w:hAnsi="黑体" w:eastAsia="黑体" w:cs="黑体"/>
          <w:b w:val="0"/>
          <w:bCs/>
          <w:sz w:val="30"/>
          <w:lang w:val="en-US" w:eastAsia="zh-CN"/>
        </w:rPr>
        <w:t>8</w:t>
      </w:r>
      <w:r>
        <w:rPr>
          <w:rFonts w:hint="eastAsia" w:ascii="黑体" w:hAnsi="黑体" w:eastAsia="黑体" w:cs="黑体"/>
          <w:b w:val="0"/>
          <w:bCs/>
          <w:sz w:val="30"/>
        </w:rPr>
        <w:t>、年末结转和结余</w:t>
      </w:r>
      <w:r>
        <w:rPr>
          <w:rFonts w:hint="eastAsia" w:ascii="黑体" w:hAnsi="黑体" w:eastAsia="黑体" w:cs="黑体"/>
          <w:b w:val="0"/>
          <w:bCs/>
          <w:sz w:val="30"/>
          <w:lang w:eastAsia="zh-CN"/>
        </w:rPr>
        <w:t>：</w:t>
      </w:r>
      <w:r>
        <w:rPr>
          <w:rFonts w:ascii="仿宋_GB2312" w:hAnsi="仿宋_GB2312" w:eastAsia="仿宋_GB2312"/>
          <w:sz w:val="30"/>
        </w:rPr>
        <w:t>指本年度或以前年度预算安排、</w:t>
      </w:r>
      <w:r>
        <w:rPr>
          <w:rFonts w:ascii="仿宋_GB2312" w:hAnsi="仿宋_GB2312" w:eastAsia="仿宋_GB2312"/>
          <w:sz w:val="32"/>
        </w:rPr>
        <w:t>因客观条件发生变化无法按原计划实施，需延迟到以后年度按</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both"/>
        <w:textAlignment w:val="auto"/>
        <w:outlineLvl w:val="9"/>
        <w:rPr>
          <w:rFonts w:ascii="仿宋_GB2312" w:hAnsi="仿宋_GB2312" w:eastAsia="仿宋_GB2312"/>
          <w:sz w:val="32"/>
        </w:rPr>
      </w:pPr>
      <w:r>
        <w:rPr>
          <w:rFonts w:ascii="仿宋_GB2312" w:hAnsi="仿宋_GB2312" w:eastAsia="仿宋_GB2312"/>
          <w:sz w:val="32"/>
        </w:rPr>
        <w:t>有关规定继续使用的资金。</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640" w:firstLineChars="200"/>
        <w:jc w:val="both"/>
        <w:textAlignment w:val="auto"/>
        <w:outlineLvl w:val="9"/>
        <w:rPr>
          <w:rFonts w:ascii="仿宋_GB2312" w:hAnsi="仿宋_GB2312" w:eastAsia="仿宋_GB2312"/>
          <w:sz w:val="32"/>
        </w:rPr>
      </w:pPr>
      <w:r>
        <w:rPr>
          <w:rFonts w:hint="eastAsia" w:ascii="黑体" w:hAnsi="黑体" w:eastAsia="黑体" w:cs="黑体"/>
          <w:b w:val="0"/>
          <w:bCs/>
          <w:sz w:val="32"/>
          <w:lang w:val="en-US" w:eastAsia="zh-CN"/>
        </w:rPr>
        <w:t>9</w:t>
      </w:r>
      <w:r>
        <w:rPr>
          <w:rFonts w:hint="eastAsia" w:ascii="黑体" w:hAnsi="黑体" w:eastAsia="黑体" w:cs="黑体"/>
          <w:b w:val="0"/>
          <w:bCs/>
          <w:sz w:val="32"/>
        </w:rPr>
        <w:t>、基本支出：</w:t>
      </w:r>
      <w:r>
        <w:rPr>
          <w:rFonts w:ascii="仿宋_GB2312" w:hAnsi="仿宋_GB2312" w:eastAsia="仿宋_GB2312"/>
          <w:sz w:val="32"/>
        </w:rPr>
        <w:t>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cs="仿宋_GB2312"/>
          <w:b/>
          <w:bCs/>
          <w:sz w:val="32"/>
          <w:szCs w:val="32"/>
          <w:lang w:val="en-US" w:eastAsia="zh-CN"/>
        </w:rPr>
        <w:t>10</w:t>
      </w:r>
      <w:r>
        <w:rPr>
          <w:rFonts w:hint="eastAsia" w:ascii="仿宋_GB2312" w:hAnsi="仿宋_GB2312" w:eastAsia="仿宋_GB2312" w:cs="仿宋_GB2312"/>
          <w:b/>
          <w:bCs/>
          <w:sz w:val="32"/>
          <w:szCs w:val="32"/>
        </w:rPr>
        <w:t>、项目支出</w:t>
      </w:r>
      <w:r>
        <w:rPr>
          <w:rFonts w:ascii="仿宋_GB2312" w:hAnsi="仿宋_GB2312" w:eastAsia="仿宋_GB2312"/>
          <w:sz w:val="32"/>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黑体" w:hAnsi="黑体" w:eastAsia="黑体" w:cs="黑体"/>
          <w:b w:val="0"/>
          <w:bCs w:val="0"/>
          <w:sz w:val="32"/>
          <w:szCs w:val="32"/>
          <w:lang w:val="en-US" w:eastAsia="zh-CN"/>
        </w:rPr>
        <w:t>11</w:t>
      </w:r>
      <w:r>
        <w:rPr>
          <w:rFonts w:hint="eastAsia" w:ascii="黑体" w:hAnsi="黑体" w:eastAsia="黑体" w:cs="黑体"/>
          <w:b w:val="0"/>
          <w:bCs w:val="0"/>
          <w:sz w:val="32"/>
          <w:szCs w:val="32"/>
        </w:rPr>
        <w:t>、经营支出</w:t>
      </w:r>
      <w:r>
        <w:rPr>
          <w:rFonts w:hint="eastAsia" w:ascii="黑体" w:hAnsi="黑体" w:eastAsia="黑体" w:cs="黑体"/>
          <w:b w:val="0"/>
          <w:bCs w:val="0"/>
          <w:sz w:val="32"/>
        </w:rPr>
        <w:t>：</w:t>
      </w:r>
      <w:r>
        <w:rPr>
          <w:rFonts w:ascii="仿宋_GB2312" w:hAnsi="仿宋_GB2312" w:eastAsia="仿宋_GB2312"/>
          <w:sz w:val="32"/>
        </w:rPr>
        <w:t>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黑体" w:hAnsi="黑体" w:eastAsia="黑体" w:cs="黑体"/>
          <w:b w:val="0"/>
          <w:bCs/>
          <w:sz w:val="32"/>
          <w:lang w:val="en-US" w:eastAsia="zh-CN"/>
        </w:rPr>
        <w:t>12、</w:t>
      </w:r>
      <w:r>
        <w:rPr>
          <w:rFonts w:hint="eastAsia" w:ascii="黑体" w:hAnsi="黑体" w:eastAsia="黑体" w:cs="黑体"/>
          <w:b w:val="0"/>
          <w:bCs/>
          <w:sz w:val="32"/>
        </w:rPr>
        <w:t>“三公”经费：</w:t>
      </w:r>
      <w:r>
        <w:rPr>
          <w:rFonts w:ascii="仿宋_GB2312" w:hAnsi="仿宋_GB2312" w:eastAsia="仿宋_GB2312"/>
          <w:sz w:val="32"/>
        </w:rPr>
        <w:t>纳入财政预决算管理的</w:t>
      </w:r>
      <w:r>
        <w:rPr>
          <w:rFonts w:ascii="Arial" w:hAnsi="Arial" w:eastAsia="Arial"/>
          <w:sz w:val="32"/>
        </w:rPr>
        <w:t>“</w:t>
      </w:r>
      <w:r>
        <w:rPr>
          <w:rFonts w:ascii="仿宋_GB2312" w:hAnsi="仿宋_GB2312" w:eastAsia="仿宋_GB2312"/>
          <w:sz w:val="32"/>
        </w:rPr>
        <w:t>三</w:t>
      </w:r>
      <w:r>
        <w:rPr>
          <w:rFonts w:ascii="仿宋_GB2312" w:hAnsi="仿宋_GB2312" w:eastAsia="仿宋_GB2312"/>
          <w:sz w:val="31"/>
        </w:rPr>
        <w:t>公</w:t>
      </w:r>
      <w:r>
        <w:rPr>
          <w:rFonts w:ascii="Arial" w:hAnsi="Arial" w:eastAsia="Arial"/>
          <w:sz w:val="31"/>
        </w:rPr>
        <w:t>”</w:t>
      </w:r>
      <w:r>
        <w:rPr>
          <w:rFonts w:ascii="仿宋_GB2312" w:hAnsi="仿宋_GB2312" w:eastAsia="仿宋_GB2312"/>
          <w:sz w:val="31"/>
        </w:rPr>
        <w:t>经费，是指部门用财政拨款安排的因公出国（境）费、</w:t>
      </w:r>
      <w:r>
        <w:rPr>
          <w:rFonts w:ascii="仿宋_GB2312" w:hAnsi="仿宋_GB2312" w:eastAsia="仿宋_GB2312"/>
          <w:sz w:val="32"/>
        </w:rPr>
        <w:t>公务用车购置及运行费和公务接待费。其中，因公出国（境）费反映单位公务出国（境）的国际旅费、国外城市间交通费</w:t>
      </w:r>
      <w:r>
        <w:rPr>
          <w:rFonts w:hint="eastAsia" w:ascii="仿宋_GB2312" w:hAnsi="仿宋_GB2312" w:eastAsia="仿宋_GB2312"/>
          <w:sz w:val="32"/>
          <w:lang w:eastAsia="zh-CN"/>
        </w:rPr>
        <w:t>、</w:t>
      </w:r>
      <w:r>
        <w:rPr>
          <w:rFonts w:ascii="仿宋_GB2312" w:hAnsi="仿宋_GB2312" w:eastAsia="仿宋_GB2312"/>
          <w:sz w:val="32"/>
        </w:rPr>
        <w:t>住宿费、伙食费、培训费、公杂费等支出；公务用车购置及运</w:t>
      </w:r>
      <w:bookmarkStart w:id="3" w:name="page51"/>
      <w:bookmarkEnd w:id="3"/>
      <w:r>
        <w:rPr>
          <w:rFonts w:ascii="仿宋_GB2312" w:hAnsi="仿宋_GB2312" w:eastAsia="仿宋_GB2312"/>
          <w:sz w:val="31"/>
        </w:rPr>
        <w:t>行费反映单位公务用车车辆购置支出（含车辆购置税）及租用费、燃料费、维修费、过路过桥费、保险费、安全奖励费用等支出；公务接待费反映单位按规定开支的各类公务接待（含外</w:t>
      </w:r>
      <w:r>
        <w:rPr>
          <w:rFonts w:ascii="仿宋_GB2312" w:hAnsi="仿宋_GB2312" w:eastAsia="仿宋_GB2312"/>
          <w:sz w:val="32"/>
        </w:rPr>
        <w:t>宾接待）支出。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0" w:firstLineChars="200"/>
        <w:jc w:val="both"/>
        <w:textAlignment w:val="auto"/>
        <w:outlineLvl w:val="9"/>
        <w:rPr>
          <w:rFonts w:hint="eastAsia" w:ascii="仿宋_GB2312" w:hAnsi="仿宋_GB2312" w:eastAsia="仿宋_GB2312"/>
          <w:sz w:val="32"/>
          <w:lang w:val="en-US" w:eastAsia="zh-CN"/>
        </w:rPr>
      </w:pPr>
      <w:r>
        <w:rPr>
          <w:rFonts w:hint="eastAsia" w:ascii="黑体" w:hAnsi="黑体" w:eastAsia="黑体" w:cs="黑体"/>
          <w:b w:val="0"/>
          <w:bCs/>
          <w:sz w:val="31"/>
          <w:lang w:val="en-US" w:eastAsia="zh-CN"/>
        </w:rPr>
        <w:t>13</w:t>
      </w:r>
      <w:r>
        <w:rPr>
          <w:rFonts w:hint="eastAsia" w:ascii="黑体" w:hAnsi="黑体" w:eastAsia="黑体" w:cs="黑体"/>
          <w:b w:val="0"/>
          <w:bCs/>
          <w:sz w:val="31"/>
        </w:rPr>
        <w:t>、机关运行经费：</w:t>
      </w:r>
      <w:r>
        <w:rPr>
          <w:rFonts w:ascii="仿宋_GB2312" w:hAnsi="仿宋_GB2312" w:eastAsia="仿宋_GB2312"/>
          <w:sz w:val="31"/>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w:t>
      </w:r>
      <w:r>
        <w:rPr>
          <w:rFonts w:ascii="仿宋_GB2312" w:hAnsi="仿宋_GB2312" w:eastAsia="仿宋_GB2312"/>
          <w:sz w:val="32"/>
        </w:rPr>
        <w:t>他费用。</w:t>
      </w:r>
    </w:p>
    <w:p>
      <w:pPr>
        <w:widowControl/>
        <w:jc w:val="left"/>
        <w:rPr>
          <w:rFonts w:eastAsia="黑体" w:cs="黑体" w:asciiTheme="minorEastAsia" w:hAnsiTheme="minorEastAsia"/>
          <w:color w:val="000000"/>
          <w:kern w:val="0"/>
          <w:sz w:val="28"/>
          <w:szCs w:val="3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tabs>
          <w:tab w:val="left" w:pos="4154"/>
        </w:tabs>
        <w:jc w:val="center"/>
        <w:rPr>
          <w:rFonts w:hint="eastAsia" w:ascii="方正小标宋_GBK" w:eastAsia="方正小标宋_GBK"/>
          <w:sz w:val="48"/>
          <w:szCs w:val="48"/>
          <w:lang w:val="en-US" w:eastAsia="zh-CN"/>
        </w:rPr>
      </w:pPr>
    </w:p>
    <w:p>
      <w:pPr>
        <w:tabs>
          <w:tab w:val="left" w:pos="4154"/>
        </w:tabs>
        <w:jc w:val="center"/>
        <w:rPr>
          <w:rFonts w:hint="eastAsia" w:ascii="方正小标宋_GBK" w:eastAsia="方正小标宋_GBK"/>
          <w:sz w:val="48"/>
          <w:szCs w:val="48"/>
        </w:rPr>
      </w:pPr>
      <w:r>
        <w:rPr>
          <w:rFonts w:hint="eastAsia" w:ascii="方正小标宋_GBK" w:eastAsia="方正小标宋_GBK"/>
          <w:sz w:val="48"/>
          <w:szCs w:val="48"/>
          <w:lang w:val="en-US" w:eastAsia="zh-CN"/>
        </w:rPr>
        <w:t>2021</w:t>
      </w:r>
      <w:r>
        <w:rPr>
          <w:rFonts w:hint="eastAsia" w:ascii="方正小标宋_GBK" w:eastAsia="方正小标宋_GBK"/>
          <w:sz w:val="48"/>
          <w:szCs w:val="48"/>
        </w:rPr>
        <w:t>年度部门整体支出绩效自评报告</w:t>
      </w:r>
    </w:p>
    <w:p>
      <w:pPr>
        <w:tabs>
          <w:tab w:val="left" w:pos="4154"/>
        </w:tabs>
        <w:jc w:val="center"/>
        <w:rPr>
          <w:rFonts w:hint="eastAsia" w:ascii="黑体" w:eastAsia="黑体"/>
          <w:sz w:val="32"/>
          <w:szCs w:val="32"/>
        </w:rPr>
      </w:pPr>
    </w:p>
    <w:p>
      <w:pPr>
        <w:tabs>
          <w:tab w:val="left" w:pos="4154"/>
        </w:tabs>
        <w:jc w:val="center"/>
        <w:rPr>
          <w:rFonts w:hint="eastAsia" w:ascii="黑体" w:eastAsia="黑体"/>
          <w:sz w:val="32"/>
          <w:szCs w:val="32"/>
        </w:rPr>
      </w:pPr>
    </w:p>
    <w:p>
      <w:pPr>
        <w:tabs>
          <w:tab w:val="left" w:pos="4154"/>
        </w:tabs>
        <w:jc w:val="center"/>
        <w:rPr>
          <w:rFonts w:hint="eastAsia" w:ascii="黑体" w:eastAsia="黑体"/>
          <w:sz w:val="32"/>
          <w:szCs w:val="32"/>
        </w:rPr>
      </w:pPr>
    </w:p>
    <w:p>
      <w:pPr>
        <w:tabs>
          <w:tab w:val="left" w:pos="4154"/>
        </w:tabs>
        <w:jc w:val="center"/>
        <w:rPr>
          <w:rFonts w:hint="eastAsia" w:ascii="黑体" w:eastAsia="黑体"/>
          <w:sz w:val="32"/>
          <w:szCs w:val="32"/>
        </w:rPr>
      </w:pPr>
    </w:p>
    <w:p>
      <w:pPr>
        <w:tabs>
          <w:tab w:val="left" w:pos="4154"/>
        </w:tabs>
        <w:jc w:val="center"/>
        <w:rPr>
          <w:rFonts w:hint="eastAsia" w:ascii="黑体" w:eastAsia="黑体"/>
          <w:sz w:val="32"/>
          <w:szCs w:val="32"/>
        </w:rPr>
      </w:pPr>
    </w:p>
    <w:p>
      <w:pPr>
        <w:tabs>
          <w:tab w:val="left" w:pos="4154"/>
        </w:tabs>
        <w:jc w:val="center"/>
        <w:rPr>
          <w:rFonts w:hint="eastAsia" w:ascii="黑体" w:eastAsia="黑体"/>
          <w:sz w:val="32"/>
          <w:szCs w:val="32"/>
        </w:rPr>
      </w:pPr>
    </w:p>
    <w:p>
      <w:pPr>
        <w:tabs>
          <w:tab w:val="left" w:pos="4154"/>
        </w:tabs>
        <w:jc w:val="center"/>
        <w:rPr>
          <w:rFonts w:hint="eastAsia" w:ascii="黑体" w:eastAsia="黑体"/>
          <w:sz w:val="32"/>
          <w:szCs w:val="32"/>
        </w:rPr>
      </w:pPr>
    </w:p>
    <w:p>
      <w:pPr>
        <w:tabs>
          <w:tab w:val="left" w:pos="4154"/>
        </w:tabs>
        <w:jc w:val="center"/>
        <w:rPr>
          <w:rFonts w:hint="eastAsia" w:ascii="黑体" w:eastAsia="黑体"/>
          <w:sz w:val="32"/>
          <w:szCs w:val="32"/>
        </w:rPr>
      </w:pPr>
    </w:p>
    <w:p>
      <w:pPr>
        <w:tabs>
          <w:tab w:val="left" w:pos="4154"/>
        </w:tabs>
        <w:jc w:val="center"/>
        <w:rPr>
          <w:rFonts w:hint="eastAsia" w:ascii="黑体" w:eastAsia="黑体"/>
          <w:sz w:val="32"/>
          <w:szCs w:val="32"/>
        </w:rPr>
      </w:pPr>
    </w:p>
    <w:p>
      <w:pPr>
        <w:tabs>
          <w:tab w:val="left" w:pos="4154"/>
        </w:tabs>
        <w:jc w:val="center"/>
        <w:rPr>
          <w:rFonts w:hint="eastAsia" w:ascii="黑体" w:eastAsia="黑体"/>
          <w:sz w:val="32"/>
          <w:szCs w:val="32"/>
        </w:rPr>
      </w:pPr>
    </w:p>
    <w:p>
      <w:pPr>
        <w:tabs>
          <w:tab w:val="left" w:pos="4154"/>
        </w:tabs>
        <w:jc w:val="center"/>
        <w:rPr>
          <w:rFonts w:hint="eastAsia" w:ascii="黑体" w:eastAsia="黑体"/>
          <w:sz w:val="44"/>
          <w:szCs w:val="44"/>
          <w:lang w:eastAsia="zh-CN"/>
        </w:rPr>
      </w:pPr>
      <w:r>
        <w:rPr>
          <w:rFonts w:hint="eastAsia" w:ascii="黑体" w:eastAsia="黑体"/>
          <w:sz w:val="44"/>
          <w:szCs w:val="44"/>
          <w:lang w:eastAsia="zh-CN"/>
        </w:rPr>
        <w:t>湖南省固体废物管理站</w:t>
      </w:r>
    </w:p>
    <w:p>
      <w:pPr>
        <w:tabs>
          <w:tab w:val="left" w:pos="4154"/>
        </w:tabs>
        <w:jc w:val="center"/>
        <w:rPr>
          <w:rFonts w:hint="eastAsia" w:ascii="黑体" w:eastAsia="黑体"/>
          <w:sz w:val="32"/>
          <w:szCs w:val="32"/>
        </w:rPr>
      </w:pPr>
    </w:p>
    <w:p>
      <w:pPr>
        <w:tabs>
          <w:tab w:val="left" w:pos="4154"/>
        </w:tabs>
        <w:jc w:val="center"/>
        <w:rPr>
          <w:rFonts w:hint="eastAsia" w:ascii="黑体" w:eastAsia="黑体"/>
          <w:sz w:val="32"/>
          <w:szCs w:val="32"/>
        </w:rPr>
      </w:pPr>
    </w:p>
    <w:p>
      <w:pPr>
        <w:tabs>
          <w:tab w:val="left" w:pos="4154"/>
        </w:tabs>
        <w:jc w:val="center"/>
        <w:rPr>
          <w:rFonts w:hint="eastAsia" w:ascii="黑体" w:eastAsia="黑体"/>
          <w:sz w:val="32"/>
          <w:szCs w:val="32"/>
        </w:rPr>
      </w:pPr>
    </w:p>
    <w:p>
      <w:pPr>
        <w:tabs>
          <w:tab w:val="left" w:pos="4154"/>
        </w:tabs>
        <w:jc w:val="center"/>
        <w:rPr>
          <w:rFonts w:hint="eastAsia" w:ascii="黑体" w:eastAsia="黑体"/>
          <w:sz w:val="32"/>
          <w:szCs w:val="32"/>
        </w:rPr>
      </w:pPr>
    </w:p>
    <w:p>
      <w:pPr>
        <w:tabs>
          <w:tab w:val="left" w:pos="4154"/>
        </w:tabs>
        <w:jc w:val="center"/>
        <w:rPr>
          <w:rFonts w:hint="eastAsia" w:ascii="黑体" w:eastAsia="黑体"/>
          <w:sz w:val="32"/>
          <w:szCs w:val="32"/>
        </w:rPr>
      </w:pPr>
    </w:p>
    <w:p>
      <w:pPr>
        <w:tabs>
          <w:tab w:val="left" w:pos="4154"/>
        </w:tabs>
        <w:jc w:val="center"/>
        <w:rPr>
          <w:rFonts w:hint="eastAsia" w:ascii="仿宋_GB2312" w:eastAsia="仿宋_GB2312"/>
          <w:sz w:val="32"/>
          <w:szCs w:val="32"/>
        </w:rPr>
      </w:pPr>
      <w:r>
        <w:rPr>
          <w:rFonts w:hint="eastAsia" w:ascii="仿宋_GB2312" w:eastAsia="仿宋_GB2312"/>
          <w:sz w:val="32"/>
          <w:szCs w:val="32"/>
        </w:rPr>
        <w:t>（此页为封面）</w:t>
      </w:r>
    </w:p>
    <w:p>
      <w:pPr>
        <w:tabs>
          <w:tab w:val="left" w:pos="4154"/>
        </w:tabs>
        <w:spacing w:line="580" w:lineRule="exact"/>
        <w:jc w:val="center"/>
        <w:rPr>
          <w:rFonts w:hint="default" w:ascii="Times New Roman" w:hAnsi="Times New Roman" w:eastAsia="黑体" w:cs="Times New Roman"/>
          <w:color w:val="auto"/>
          <w:sz w:val="36"/>
          <w:szCs w:val="36"/>
          <w:highlight w:val="none"/>
        </w:rPr>
      </w:pPr>
    </w:p>
    <w:p>
      <w:pPr>
        <w:keepNext w:val="0"/>
        <w:keepLines w:val="0"/>
        <w:pageBreakBefore w:val="0"/>
        <w:widowControl w:val="0"/>
        <w:tabs>
          <w:tab w:val="left" w:pos="4154"/>
        </w:tabs>
        <w:kinsoku/>
        <w:wordWrap/>
        <w:overflowPunct/>
        <w:topLinePunct w:val="0"/>
        <w:autoSpaceDE/>
        <w:autoSpaceDN/>
        <w:bidi w:val="0"/>
        <w:adjustRightInd/>
        <w:snapToGrid w:val="0"/>
        <w:spacing w:line="560" w:lineRule="exact"/>
        <w:ind w:right="0"/>
        <w:textAlignment w:val="auto"/>
        <w:rPr>
          <w:rFonts w:hint="default" w:ascii="Times New Roman" w:hAnsi="Times New Roman" w:eastAsia="黑体" w:cs="Times New Roman"/>
          <w:b w:val="0"/>
          <w:bCs w:val="0"/>
          <w:sz w:val="28"/>
          <w:szCs w:val="28"/>
        </w:rPr>
      </w:pPr>
    </w:p>
    <w:p>
      <w:pPr>
        <w:pStyle w:val="10"/>
        <w:tabs>
          <w:tab w:val="left" w:pos="4154"/>
        </w:tabs>
        <w:rPr>
          <w:rFonts w:hint="default"/>
        </w:rPr>
      </w:pPr>
    </w:p>
    <w:p>
      <w:pPr>
        <w:pStyle w:val="10"/>
        <w:tabs>
          <w:tab w:val="left" w:pos="4154"/>
        </w:tabs>
        <w:rPr>
          <w:rFonts w:hint="default"/>
        </w:rPr>
      </w:pPr>
    </w:p>
    <w:p>
      <w:pPr>
        <w:pStyle w:val="3"/>
        <w:keepNext w:val="0"/>
        <w:keepLines w:val="0"/>
        <w:pageBreakBefore w:val="0"/>
        <w:widowControl w:val="0"/>
        <w:numPr>
          <w:ilvl w:val="0"/>
          <w:numId w:val="2"/>
        </w:numPr>
        <w:kinsoku/>
        <w:wordWrap/>
        <w:overflowPunct/>
        <w:topLinePunct w:val="0"/>
        <w:autoSpaceDE/>
        <w:autoSpaceDN/>
        <w:bidi w:val="0"/>
        <w:spacing w:line="560" w:lineRule="exact"/>
        <w:ind w:firstLine="640" w:firstLineChars="200"/>
        <w:textAlignment w:val="auto"/>
        <w:rPr>
          <w:rFonts w:hint="default" w:ascii="Times New Roman" w:hAnsi="Times New Roman" w:cs="Times New Roman"/>
          <w:b w:val="0"/>
          <w:bCs w:val="0"/>
          <w:i w:val="0"/>
          <w:iCs w:val="0"/>
          <w:color w:val="auto"/>
          <w:sz w:val="32"/>
          <w:szCs w:val="32"/>
        </w:rPr>
      </w:pPr>
      <w:bookmarkStart w:id="4" w:name="_Toc18006"/>
      <w:r>
        <w:rPr>
          <w:rFonts w:hint="eastAsia" w:cs="Times New Roman"/>
          <w:b w:val="0"/>
          <w:bCs w:val="0"/>
          <w:i w:val="0"/>
          <w:iCs w:val="0"/>
          <w:color w:val="auto"/>
          <w:sz w:val="32"/>
          <w:szCs w:val="32"/>
          <w:lang w:val="en-US" w:eastAsia="zh-CN"/>
        </w:rPr>
        <w:t>单位</w:t>
      </w:r>
      <w:r>
        <w:rPr>
          <w:rFonts w:hint="default" w:ascii="Times New Roman" w:hAnsi="Times New Roman" w:cs="Times New Roman"/>
          <w:b w:val="0"/>
          <w:bCs w:val="0"/>
          <w:i w:val="0"/>
          <w:iCs w:val="0"/>
          <w:color w:val="auto"/>
          <w:sz w:val="32"/>
          <w:szCs w:val="32"/>
        </w:rPr>
        <w:t>基本情况</w:t>
      </w:r>
      <w:bookmarkEnd w:id="4"/>
    </w:p>
    <w:p>
      <w:pPr>
        <w:keepNext w:val="0"/>
        <w:keepLines w:val="0"/>
        <w:pageBreakBefore w:val="0"/>
        <w:widowControl w:val="0"/>
        <w:tabs>
          <w:tab w:val="left" w:pos="4154"/>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湖南省固体废物管理站(以下简称”固废站”)，属于参照公务员法管理的事业单位。人员编制12名，年末</w:t>
      </w:r>
      <w:r>
        <w:rPr>
          <w:rFonts w:hint="eastAsia" w:ascii="仿宋" w:hAnsi="仿宋" w:eastAsia="仿宋" w:cs="仿宋"/>
          <w:sz w:val="32"/>
          <w:szCs w:val="32"/>
          <w:lang w:eastAsia="zh-CN"/>
        </w:rPr>
        <w:t>实有人员</w:t>
      </w:r>
      <w:r>
        <w:rPr>
          <w:rFonts w:hint="eastAsia" w:ascii="仿宋" w:hAnsi="仿宋" w:eastAsia="仿宋" w:cs="仿宋"/>
          <w:sz w:val="32"/>
          <w:szCs w:val="32"/>
          <w:lang w:val="en-US" w:eastAsia="zh-CN"/>
        </w:rPr>
        <w:t>12人，其中在编在岗10人、借调1人、临聘人员1人</w:t>
      </w:r>
      <w:r>
        <w:rPr>
          <w:rFonts w:hint="eastAsia" w:ascii="仿宋" w:hAnsi="仿宋" w:eastAsia="仿宋" w:cs="仿宋"/>
          <w:sz w:val="32"/>
          <w:szCs w:val="32"/>
        </w:rPr>
        <w:t>。</w:t>
      </w:r>
      <w:r>
        <w:rPr>
          <w:rFonts w:hint="eastAsia" w:ascii="仿宋" w:hAnsi="仿宋" w:eastAsia="仿宋" w:cs="仿宋"/>
          <w:sz w:val="32"/>
          <w:szCs w:val="32"/>
          <w:lang w:eastAsia="zh-CN"/>
        </w:rPr>
        <w:t>主要职能职责：</w:t>
      </w:r>
    </w:p>
    <w:p>
      <w:pPr>
        <w:keepNext w:val="0"/>
        <w:keepLines w:val="0"/>
        <w:pageBreakBefore w:val="0"/>
        <w:widowControl w:val="0"/>
        <w:tabs>
          <w:tab w:val="left" w:pos="4154"/>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1.提供固体废物、化学品等环境管理方面的相关技术服务；参与制订固体废物、化学品等环境管理地方性法规、政策、标准、技术规范及规划、计划；组织对废弃电器电子产品处理企业拆解处理基金补贴的技术评审；承担电子废物环境管理其他相关技术支持工作。</w:t>
      </w:r>
    </w:p>
    <w:p>
      <w:pPr>
        <w:keepNext w:val="0"/>
        <w:keepLines w:val="0"/>
        <w:pageBreakBefore w:val="0"/>
        <w:widowControl w:val="0"/>
        <w:tabs>
          <w:tab w:val="left" w:pos="4154"/>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2.承担固体废物、化学品等污染防治工作的监督检查的技术服务工作,承担相关行政审批的技术审核。</w:t>
      </w:r>
    </w:p>
    <w:p>
      <w:pPr>
        <w:keepNext w:val="0"/>
        <w:keepLines w:val="0"/>
        <w:pageBreakBefore w:val="0"/>
        <w:widowControl w:val="0"/>
        <w:tabs>
          <w:tab w:val="left" w:pos="4154"/>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3.指导企事业单位开展固体废物申报登记；协助处理固体废物污染环境事故；协助查处固体废物、化学品等方面的环境违法违规行为等工作。</w:t>
      </w:r>
    </w:p>
    <w:p>
      <w:pPr>
        <w:keepNext w:val="0"/>
        <w:keepLines w:val="0"/>
        <w:pageBreakBefore w:val="0"/>
        <w:widowControl w:val="0"/>
        <w:tabs>
          <w:tab w:val="left" w:pos="4154"/>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4.建立完善全省固体废物和化学品环境管理信息系统工作。</w:t>
      </w:r>
    </w:p>
    <w:p>
      <w:pPr>
        <w:keepNext w:val="0"/>
        <w:keepLines w:val="0"/>
        <w:pageBreakBefore w:val="0"/>
        <w:widowControl w:val="0"/>
        <w:tabs>
          <w:tab w:val="left" w:pos="4154"/>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5.协助承担新化学物质、危险化学品、有毒化学品进出口、易制毒化学品及毒品销毁信息报送；持久性有机污染物、pops国际项目合作履约；侵权与假冒伪劣、走私商品无害化处理信息报送工作。</w:t>
      </w:r>
    </w:p>
    <w:p>
      <w:pPr>
        <w:keepNext w:val="0"/>
        <w:keepLines w:val="0"/>
        <w:pageBreakBefore w:val="0"/>
        <w:widowControl w:val="0"/>
        <w:tabs>
          <w:tab w:val="left" w:pos="4154"/>
        </w:tabs>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6.承办厅党组及领导交办的其他事项。</w:t>
      </w:r>
    </w:p>
    <w:p>
      <w:pPr>
        <w:pStyle w:val="4"/>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Times New Roman" w:hAnsi="Times New Roman" w:eastAsia="楷体_GB2312" w:cs="Times New Roman"/>
          <w:color w:val="auto"/>
          <w:sz w:val="32"/>
          <w:szCs w:val="32"/>
          <w:lang w:eastAsia="zh-CN"/>
        </w:rPr>
      </w:pPr>
      <w:bookmarkStart w:id="5" w:name="_Toc23412"/>
      <w:r>
        <w:rPr>
          <w:rFonts w:hint="eastAsia" w:ascii="Times New Roman" w:hAnsi="Times New Roman" w:eastAsia="楷体_GB2312" w:cs="Times New Roman"/>
          <w:color w:val="auto"/>
          <w:sz w:val="32"/>
          <w:szCs w:val="32"/>
          <w:lang w:eastAsia="zh-CN"/>
        </w:rPr>
        <w:t>二、</w:t>
      </w:r>
      <w:r>
        <w:rPr>
          <w:rFonts w:hint="default" w:ascii="Times New Roman" w:hAnsi="Times New Roman" w:eastAsia="楷体_GB2312" w:cs="Times New Roman"/>
          <w:color w:val="auto"/>
          <w:sz w:val="32"/>
          <w:szCs w:val="32"/>
        </w:rPr>
        <w:t>基本支出</w:t>
      </w:r>
      <w:bookmarkEnd w:id="5"/>
      <w:r>
        <w:rPr>
          <w:rFonts w:hint="eastAsia" w:ascii="Times New Roman" w:hAnsi="Times New Roman" w:eastAsia="楷体_GB2312" w:cs="Times New Roman"/>
          <w:color w:val="auto"/>
          <w:sz w:val="32"/>
          <w:szCs w:val="32"/>
          <w:lang w:eastAsia="zh-CN"/>
        </w:rPr>
        <w:t>情况</w:t>
      </w:r>
    </w:p>
    <w:p>
      <w:pPr>
        <w:keepNext w:val="0"/>
        <w:keepLines w:val="0"/>
        <w:pageBreakBefore w:val="0"/>
        <w:widowControl/>
        <w:tabs>
          <w:tab w:val="left" w:pos="4154"/>
        </w:tabs>
        <w:kinsoku/>
        <w:wordWrap/>
        <w:overflowPunct/>
        <w:topLinePunct w:val="0"/>
        <w:autoSpaceDE/>
        <w:autoSpaceDN/>
        <w:bidi w:val="0"/>
        <w:adjustRightInd w:val="0"/>
        <w:snapToGrid w:val="0"/>
        <w:spacing w:line="560" w:lineRule="exact"/>
        <w:ind w:firstLine="640" w:firstLineChars="200"/>
        <w:jc w:val="left"/>
        <w:textAlignment w:val="auto"/>
        <w:rPr>
          <w:rFonts w:hint="eastAsia"/>
          <w:lang w:val="en-US" w:eastAsia="zh-CN"/>
        </w:rPr>
      </w:pP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年度，</w:t>
      </w:r>
      <w:r>
        <w:rPr>
          <w:rFonts w:hint="eastAsia" w:ascii="仿宋" w:hAnsi="仿宋" w:eastAsia="仿宋" w:cs="仿宋"/>
          <w:color w:val="auto"/>
          <w:kern w:val="2"/>
          <w:sz w:val="32"/>
          <w:szCs w:val="32"/>
          <w:highlight w:val="none"/>
          <w:lang w:val="en-US" w:eastAsia="zh-CN" w:bidi="ar-SA"/>
        </w:rPr>
        <w:t>固废站</w:t>
      </w:r>
      <w:r>
        <w:rPr>
          <w:rFonts w:hint="eastAsia" w:ascii="仿宋" w:hAnsi="仿宋" w:eastAsia="仿宋" w:cs="仿宋"/>
          <w:color w:val="auto"/>
          <w:sz w:val="32"/>
          <w:szCs w:val="32"/>
        </w:rPr>
        <w:t>基本支出预算数为</w:t>
      </w:r>
      <w:r>
        <w:rPr>
          <w:rFonts w:hint="eastAsia" w:ascii="仿宋" w:hAnsi="仿宋" w:eastAsia="仿宋" w:cs="仿宋"/>
          <w:color w:val="auto"/>
          <w:sz w:val="32"/>
          <w:szCs w:val="32"/>
          <w:lang w:val="en-US" w:eastAsia="zh-CN"/>
        </w:rPr>
        <w:t>249.58</w:t>
      </w:r>
      <w:r>
        <w:rPr>
          <w:rFonts w:hint="eastAsia" w:ascii="仿宋" w:hAnsi="仿宋" w:eastAsia="仿宋" w:cs="仿宋"/>
          <w:color w:val="auto"/>
          <w:sz w:val="32"/>
          <w:szCs w:val="32"/>
        </w:rPr>
        <w:t>万元，决算数</w:t>
      </w:r>
      <w:r>
        <w:rPr>
          <w:rFonts w:hint="eastAsia" w:ascii="仿宋" w:hAnsi="仿宋" w:eastAsia="仿宋" w:cs="仿宋"/>
          <w:color w:val="auto"/>
          <w:sz w:val="32"/>
          <w:szCs w:val="32"/>
          <w:lang w:val="en-US" w:eastAsia="zh-CN"/>
        </w:rPr>
        <w:t>248.98</w:t>
      </w:r>
      <w:r>
        <w:rPr>
          <w:rFonts w:hint="eastAsia" w:ascii="仿宋" w:hAnsi="仿宋" w:eastAsia="仿宋" w:cs="仿宋"/>
          <w:color w:val="auto"/>
          <w:sz w:val="32"/>
          <w:szCs w:val="32"/>
        </w:rPr>
        <w:t>万元，基本支出</w:t>
      </w:r>
      <w:bookmarkStart w:id="6" w:name="_Hlk508873941"/>
      <w:r>
        <w:rPr>
          <w:rFonts w:hint="eastAsia" w:ascii="仿宋" w:hAnsi="仿宋" w:eastAsia="仿宋" w:cs="仿宋"/>
          <w:color w:val="auto"/>
          <w:sz w:val="32"/>
          <w:szCs w:val="32"/>
        </w:rPr>
        <w:t>预决算对比情况详见下表：</w:t>
      </w:r>
      <w:bookmarkEnd w:id="6"/>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金额单位：万元）</w:t>
      </w:r>
    </w:p>
    <w:tbl>
      <w:tblPr>
        <w:tblStyle w:val="11"/>
        <w:tblW w:w="8732" w:type="dxa"/>
        <w:tblInd w:w="2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763"/>
        <w:gridCol w:w="1359"/>
        <w:gridCol w:w="1245"/>
        <w:gridCol w:w="1515"/>
        <w:gridCol w:w="1260"/>
        <w:gridCol w:w="15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tblHeader/>
        </w:trPr>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4154"/>
              </w:tabs>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项目内容</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4154"/>
              </w:tabs>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年初预算</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4154"/>
              </w:tabs>
              <w:jc w:val="center"/>
              <w:textAlignment w:val="center"/>
              <w:rPr>
                <w:rFonts w:hint="default" w:ascii="Times New Roman" w:hAnsi="Times New Roman" w:eastAsia="宋体" w:cs="Times New Roman"/>
                <w:i w:val="0"/>
                <w:iCs w:val="0"/>
                <w:color w:val="000000"/>
                <w:sz w:val="20"/>
                <w:szCs w:val="20"/>
                <w:u w:val="none"/>
              </w:rPr>
            </w:pPr>
            <w:r>
              <w:rPr>
                <w:rFonts w:hint="eastAsia" w:eastAsia="宋体" w:cs="Times New Roman"/>
                <w:i w:val="0"/>
                <w:iCs w:val="0"/>
                <w:color w:val="000000"/>
                <w:kern w:val="0"/>
                <w:sz w:val="20"/>
                <w:szCs w:val="20"/>
                <w:u w:val="none"/>
                <w:lang w:val="en-US" w:eastAsia="zh-CN" w:bidi="ar"/>
              </w:rPr>
              <w:t>年中追加</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4154"/>
              </w:tabs>
              <w:jc w:val="center"/>
              <w:textAlignment w:val="center"/>
              <w:rPr>
                <w:rFonts w:hint="default" w:ascii="Times New Roman" w:hAnsi="Times New Roman" w:eastAsia="宋体" w:cs="Times New Roman"/>
                <w:i w:val="0"/>
                <w:iCs w:val="0"/>
                <w:color w:val="000000"/>
                <w:sz w:val="20"/>
                <w:szCs w:val="20"/>
                <w:u w:val="none"/>
              </w:rPr>
            </w:pPr>
            <w:r>
              <w:rPr>
                <w:rFonts w:hint="eastAsia" w:eastAsia="宋体" w:cs="Times New Roman"/>
                <w:i w:val="0"/>
                <w:iCs w:val="0"/>
                <w:color w:val="000000"/>
                <w:kern w:val="0"/>
                <w:sz w:val="20"/>
                <w:szCs w:val="20"/>
                <w:u w:val="none"/>
                <w:lang w:val="en-US" w:eastAsia="zh-CN" w:bidi="ar"/>
              </w:rPr>
              <w:t>支出数</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4154"/>
              </w:tabs>
              <w:jc w:val="center"/>
              <w:textAlignment w:val="center"/>
              <w:rPr>
                <w:rFonts w:hint="default" w:ascii="Times New Roman" w:hAnsi="Times New Roman" w:eastAsia="宋体" w:cs="Times New Roman"/>
                <w:i w:val="0"/>
                <w:iCs w:val="0"/>
                <w:color w:val="000000"/>
                <w:sz w:val="20"/>
                <w:szCs w:val="20"/>
                <w:u w:val="none"/>
              </w:rPr>
            </w:pPr>
            <w:r>
              <w:rPr>
                <w:rFonts w:hint="eastAsia" w:eastAsia="宋体" w:cs="Times New Roman"/>
                <w:i w:val="0"/>
                <w:iCs w:val="0"/>
                <w:color w:val="000000"/>
                <w:kern w:val="0"/>
                <w:sz w:val="20"/>
                <w:szCs w:val="20"/>
                <w:u w:val="none"/>
                <w:lang w:val="en-US" w:eastAsia="zh-CN" w:bidi="ar"/>
              </w:rPr>
              <w:t>结转结余</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4154"/>
              </w:tabs>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预算执行率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trPr>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4154"/>
              </w:tabs>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人员经费</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4154"/>
              </w:tabs>
              <w:jc w:val="right"/>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167.62</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4154"/>
              </w:tabs>
              <w:jc w:val="right"/>
              <w:textAlignment w:val="center"/>
              <w:rPr>
                <w:rFonts w:hint="default" w:ascii="Times New Roman" w:hAnsi="Times New Roman" w:eastAsia="宋体" w:cs="Times New Roman"/>
                <w:i w:val="0"/>
                <w:iCs w:val="0"/>
                <w:color w:val="000000"/>
                <w:sz w:val="20"/>
                <w:szCs w:val="20"/>
                <w:u w:val="none"/>
              </w:rPr>
            </w:pPr>
            <w:r>
              <w:rPr>
                <w:rFonts w:hint="eastAsia" w:eastAsia="宋体" w:cs="Times New Roman"/>
                <w:i w:val="0"/>
                <w:iCs w:val="0"/>
                <w:color w:val="000000"/>
                <w:kern w:val="0"/>
                <w:sz w:val="20"/>
                <w:szCs w:val="20"/>
                <w:u w:val="none"/>
                <w:lang w:val="en-US" w:eastAsia="zh-CN" w:bidi="ar"/>
              </w:rPr>
              <w:t>-</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4154"/>
              </w:tabs>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167.62 </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4154"/>
              </w:tabs>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0.00 </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4154"/>
              </w:tabs>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trPr>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4154"/>
              </w:tabs>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公用经费</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4154"/>
              </w:tabs>
              <w:jc w:val="right"/>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81.96</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4154"/>
              </w:tabs>
              <w:jc w:val="right"/>
              <w:textAlignment w:val="center"/>
              <w:rPr>
                <w:rFonts w:hint="default" w:ascii="Times New Roman" w:hAnsi="Times New Roman" w:eastAsia="宋体" w:cs="Times New Roman"/>
                <w:i w:val="0"/>
                <w:iCs w:val="0"/>
                <w:color w:val="000000"/>
                <w:sz w:val="20"/>
                <w:szCs w:val="20"/>
                <w:u w:val="none"/>
              </w:rPr>
            </w:pPr>
            <w:r>
              <w:rPr>
                <w:rFonts w:hint="eastAsia" w:eastAsia="宋体" w:cs="Times New Roman"/>
                <w:i w:val="0"/>
                <w:iCs w:val="0"/>
                <w:color w:val="000000"/>
                <w:kern w:val="0"/>
                <w:sz w:val="20"/>
                <w:szCs w:val="20"/>
                <w:u w:val="none"/>
                <w:lang w:val="en-US" w:eastAsia="zh-CN" w:bidi="ar"/>
              </w:rPr>
              <w:t>-</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4154"/>
              </w:tabs>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81.36 </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4154"/>
              </w:tabs>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0.60 </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4154"/>
              </w:tabs>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99.27%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trPr>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4154"/>
              </w:tabs>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合计</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4154"/>
              </w:tabs>
              <w:jc w:val="right"/>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249.58</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4154"/>
              </w:tabs>
              <w:jc w:val="right"/>
              <w:textAlignment w:val="center"/>
              <w:rPr>
                <w:rFonts w:hint="default" w:ascii="Times New Roman" w:hAnsi="Times New Roman" w:eastAsia="宋体" w:cs="Times New Roman"/>
                <w:i w:val="0"/>
                <w:iCs w:val="0"/>
                <w:color w:val="000000"/>
                <w:sz w:val="20"/>
                <w:szCs w:val="20"/>
                <w:u w:val="none"/>
              </w:rPr>
            </w:pPr>
            <w:r>
              <w:rPr>
                <w:rFonts w:hint="eastAsia" w:eastAsia="宋体" w:cs="Times New Roman"/>
                <w:i w:val="0"/>
                <w:iCs w:val="0"/>
                <w:color w:val="000000"/>
                <w:kern w:val="0"/>
                <w:sz w:val="20"/>
                <w:szCs w:val="20"/>
                <w:u w:val="none"/>
                <w:lang w:val="en-US" w:eastAsia="zh-CN" w:bidi="ar"/>
              </w:rPr>
              <w:t>-</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4154"/>
              </w:tabs>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248.98 </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4154"/>
              </w:tabs>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0.60 </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4154"/>
              </w:tabs>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99.76%</w:t>
            </w:r>
          </w:p>
        </w:tc>
      </w:tr>
    </w:tbl>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u w:val="none"/>
          <w:lang w:eastAsia="zh-CN"/>
        </w:rPr>
      </w:pPr>
      <w:bookmarkStart w:id="7" w:name="_Toc18375"/>
      <w:r>
        <w:rPr>
          <w:rFonts w:hint="eastAsia" w:ascii="Times New Roman" w:hAnsi="Times New Roman" w:eastAsia="楷体_GB2312" w:cs="Times New Roman"/>
          <w:color w:val="auto"/>
          <w:sz w:val="32"/>
          <w:szCs w:val="32"/>
          <w:lang w:eastAsia="zh-CN"/>
        </w:rPr>
        <w:t>三、</w:t>
      </w:r>
      <w:r>
        <w:rPr>
          <w:rFonts w:hint="default" w:ascii="Times New Roman" w:hAnsi="Times New Roman" w:eastAsia="楷体_GB2312" w:cs="Times New Roman"/>
          <w:color w:val="auto"/>
          <w:sz w:val="32"/>
          <w:szCs w:val="32"/>
        </w:rPr>
        <w:t>项目支出</w:t>
      </w:r>
      <w:bookmarkEnd w:id="7"/>
      <w:r>
        <w:rPr>
          <w:rFonts w:hint="eastAsia" w:ascii="Times New Roman" w:hAnsi="Times New Roman" w:eastAsia="楷体_GB2312" w:cs="Times New Roman"/>
          <w:color w:val="auto"/>
          <w:sz w:val="32"/>
          <w:szCs w:val="32"/>
          <w:lang w:eastAsia="zh-CN"/>
        </w:rPr>
        <w:t>情况</w:t>
      </w:r>
    </w:p>
    <w:p>
      <w:pPr>
        <w:keepNext w:val="0"/>
        <w:keepLines w:val="0"/>
        <w:pageBreakBefore w:val="0"/>
        <w:widowControl/>
        <w:tabs>
          <w:tab w:val="left" w:pos="4154"/>
        </w:tabs>
        <w:kinsoku/>
        <w:wordWrap/>
        <w:topLinePunct w:val="0"/>
        <w:bidi w:val="0"/>
        <w:snapToGrid/>
        <w:spacing w:line="620" w:lineRule="exact"/>
        <w:ind w:left="0" w:firstLine="640" w:firstLineChars="200"/>
        <w:jc w:val="left"/>
        <w:rPr>
          <w:rFonts w:hint="default"/>
          <w:highlight w:val="red"/>
          <w:lang w:val="en-US" w:eastAsia="zh-CN"/>
        </w:rPr>
      </w:pPr>
      <w:r>
        <w:rPr>
          <w:rFonts w:hint="eastAsia" w:ascii="仿宋" w:hAnsi="仿宋" w:eastAsia="仿宋" w:cs="仿宋"/>
          <w:b w:val="0"/>
          <w:bCs w:val="0"/>
          <w:color w:val="auto"/>
          <w:kern w:val="2"/>
          <w:sz w:val="32"/>
          <w:szCs w:val="32"/>
          <w:lang w:val="en-US" w:eastAsia="zh-CN" w:bidi="ar-SA"/>
        </w:rPr>
        <w:t>2021年度，固废站</w:t>
      </w:r>
      <w:r>
        <w:rPr>
          <w:rFonts w:hint="eastAsia" w:ascii="仿宋_GB2312" w:hAnsi="黑体" w:eastAsia="仿宋_GB2312"/>
          <w:sz w:val="32"/>
          <w:szCs w:val="32"/>
          <w:lang w:eastAsia="zh-CN"/>
        </w:rPr>
        <w:t>业务工作</w:t>
      </w:r>
      <w:r>
        <w:rPr>
          <w:rFonts w:hint="eastAsia" w:ascii="仿宋_GB2312" w:hAnsi="黑体" w:eastAsia="仿宋_GB2312"/>
          <w:sz w:val="32"/>
          <w:szCs w:val="32"/>
        </w:rPr>
        <w:t>专项资金</w:t>
      </w:r>
      <w:r>
        <w:rPr>
          <w:rFonts w:hint="eastAsia" w:ascii="仿宋_GB2312" w:hAnsi="黑体" w:eastAsia="仿宋_GB2312"/>
          <w:sz w:val="32"/>
          <w:szCs w:val="32"/>
          <w:lang w:eastAsia="zh-CN"/>
        </w:rPr>
        <w:t>为危险废物环境风险防控项目，项目预算为</w:t>
      </w:r>
      <w:r>
        <w:rPr>
          <w:rFonts w:hint="eastAsia" w:ascii="仿宋_GB2312" w:hAnsi="黑体" w:eastAsia="仿宋_GB2312"/>
          <w:sz w:val="32"/>
          <w:szCs w:val="32"/>
          <w:lang w:val="en-US" w:eastAsia="zh-CN"/>
        </w:rPr>
        <w:t>180万，决算数为180万，预算执行率为100%</w:t>
      </w:r>
      <w:bookmarkStart w:id="8" w:name="_Toc19161"/>
      <w:r>
        <w:rPr>
          <w:rFonts w:hint="eastAsia" w:ascii="仿宋_GB2312" w:hAnsi="黑体" w:eastAsia="仿宋_GB2312"/>
          <w:sz w:val="32"/>
          <w:szCs w:val="32"/>
          <w:lang w:val="en-US" w:eastAsia="zh-CN"/>
        </w:rPr>
        <w:t>。该</w:t>
      </w:r>
      <w:r>
        <w:rPr>
          <w:rFonts w:hint="eastAsia" w:eastAsia="仿宋_GB2312"/>
          <w:sz w:val="32"/>
          <w:szCs w:val="32"/>
          <w:u w:val="none"/>
          <w:lang w:eastAsia="zh-CN"/>
        </w:rPr>
        <w:t>项目费用</w:t>
      </w:r>
      <w:r>
        <w:rPr>
          <w:rFonts w:eastAsia="仿宋_GB2312"/>
          <w:sz w:val="32"/>
          <w:szCs w:val="32"/>
          <w:u w:val="none"/>
        </w:rPr>
        <w:t>主要用于</w:t>
      </w:r>
      <w:r>
        <w:rPr>
          <w:rFonts w:hint="eastAsia" w:eastAsia="仿宋_GB2312"/>
          <w:sz w:val="32"/>
          <w:szCs w:val="32"/>
          <w:u w:val="none"/>
          <w:lang w:eastAsia="zh-CN"/>
        </w:rPr>
        <w:t>我省</w:t>
      </w:r>
      <w:r>
        <w:rPr>
          <w:rFonts w:hint="eastAsia" w:eastAsia="仿宋_GB2312"/>
          <w:sz w:val="32"/>
          <w:szCs w:val="32"/>
          <w:u w:val="none"/>
          <w:lang w:val="en-US" w:eastAsia="zh-CN"/>
        </w:rPr>
        <w:t>4家废弃电器电子产品拆解处理企业省级复审工作、危险废物规范化管理评估工作、2021年危险废物申报登记工作</w:t>
      </w:r>
      <w:r>
        <w:rPr>
          <w:rFonts w:eastAsia="仿宋_GB2312"/>
          <w:sz w:val="32"/>
          <w:szCs w:val="32"/>
          <w:u w:val="none"/>
        </w:rPr>
        <w:t>等</w:t>
      </w:r>
      <w:r>
        <w:rPr>
          <w:rFonts w:hint="eastAsia" w:eastAsia="仿宋_GB2312"/>
          <w:sz w:val="32"/>
          <w:szCs w:val="32"/>
          <w:u w:val="none"/>
          <w:lang w:eastAsia="zh-CN"/>
        </w:rPr>
        <w:t>方面</w:t>
      </w:r>
      <w:r>
        <w:rPr>
          <w:rFonts w:eastAsia="仿宋_GB2312"/>
          <w:sz w:val="32"/>
          <w:szCs w:val="32"/>
          <w:u w:val="none"/>
        </w:rPr>
        <w:t>。</w:t>
      </w:r>
      <w:r>
        <w:rPr>
          <w:rFonts w:hint="eastAsia" w:eastAsia="仿宋_GB2312"/>
          <w:sz w:val="32"/>
          <w:szCs w:val="32"/>
          <w:u w:val="none"/>
          <w:lang w:eastAsia="zh-CN"/>
        </w:rPr>
        <w:t>通过该项目实施，一是规范和指导了我省废弃电器电子回收拆解处理活动，促进废弃电器电子产品无害化处理，确保基金使用安全。二是提高了我省危险废物规范化管理水平，加强危险废物污染防治。三是为核发危险废物经营许可证提供技术支撑。四是加强对全省危险废物产生、收集、贮存、转移、利用、处置全过程监管，有效防范化解危险废物环境风险、保障生态安全。</w:t>
      </w:r>
    </w:p>
    <w:bookmarkEnd w:id="8"/>
    <w:p>
      <w:pPr>
        <w:pStyle w:val="10"/>
        <w:keepNext w:val="0"/>
        <w:keepLines w:val="0"/>
        <w:pageBreakBefore w:val="0"/>
        <w:numPr>
          <w:ilvl w:val="0"/>
          <w:numId w:val="3"/>
        </w:numPr>
        <w:tabs>
          <w:tab w:val="left" w:pos="4154"/>
        </w:tabs>
        <w:kinsoku/>
        <w:wordWrap/>
        <w:topLinePunct w:val="0"/>
        <w:bidi w:val="0"/>
        <w:snapToGrid/>
        <w:spacing w:after="0" w:afterLines="0" w:line="620" w:lineRule="exact"/>
        <w:ind w:left="0" w:leftChars="0" w:firstLine="640" w:firstLineChars="200"/>
        <w:rPr>
          <w:rFonts w:hint="default" w:ascii="Times New Roman" w:hAnsi="Times New Roman" w:eastAsia="黑体" w:cs="Times New Roman"/>
          <w:b w:val="0"/>
          <w:bCs w:val="0"/>
          <w:color w:val="auto"/>
          <w:kern w:val="44"/>
          <w:sz w:val="32"/>
          <w:szCs w:val="32"/>
          <w:highlight w:val="none"/>
          <w:lang w:val="en-US" w:eastAsia="zh-CN" w:bidi="ar-SA"/>
        </w:rPr>
      </w:pPr>
      <w:bookmarkStart w:id="9" w:name="_Toc24081"/>
      <w:r>
        <w:rPr>
          <w:rFonts w:hint="default" w:ascii="Times New Roman" w:hAnsi="Times New Roman" w:eastAsia="黑体" w:cs="Times New Roman"/>
          <w:b w:val="0"/>
          <w:bCs w:val="0"/>
          <w:color w:val="auto"/>
          <w:kern w:val="44"/>
          <w:sz w:val="32"/>
          <w:szCs w:val="32"/>
          <w:highlight w:val="none"/>
          <w:lang w:val="en-US" w:eastAsia="zh-CN" w:bidi="ar-SA"/>
        </w:rPr>
        <w:t>部门整体支出绩效情况</w:t>
      </w:r>
      <w:bookmarkEnd w:id="9"/>
    </w:p>
    <w:p>
      <w:pPr>
        <w:pStyle w:val="10"/>
        <w:keepNext w:val="0"/>
        <w:keepLines w:val="0"/>
        <w:pageBreakBefore w:val="0"/>
        <w:numPr>
          <w:ilvl w:val="0"/>
          <w:numId w:val="0"/>
        </w:numPr>
        <w:tabs>
          <w:tab w:val="left" w:pos="4154"/>
        </w:tabs>
        <w:kinsoku/>
        <w:wordWrap/>
        <w:topLinePunct w:val="0"/>
        <w:bidi w:val="0"/>
        <w:snapToGrid/>
        <w:spacing w:after="0" w:afterLines="0" w:line="620" w:lineRule="exact"/>
        <w:ind w:left="0"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202</w:t>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val="en-US" w:eastAsia="zh-CN"/>
        </w:rPr>
        <w:t>度</w:t>
      </w:r>
      <w:r>
        <w:rPr>
          <w:rFonts w:hint="eastAsia" w:ascii="仿宋" w:hAnsi="仿宋" w:eastAsia="仿宋" w:cs="仿宋"/>
          <w:color w:val="auto"/>
          <w:sz w:val="32"/>
          <w:szCs w:val="32"/>
          <w:highlight w:val="none"/>
        </w:rPr>
        <w:t>，</w:t>
      </w:r>
      <w:r>
        <w:rPr>
          <w:rFonts w:hint="eastAsia" w:ascii="仿宋" w:hAnsi="仿宋" w:eastAsia="仿宋" w:cs="仿宋"/>
          <w:b w:val="0"/>
          <w:bCs w:val="0"/>
          <w:color w:val="auto"/>
          <w:sz w:val="32"/>
          <w:szCs w:val="32"/>
          <w:highlight w:val="none"/>
          <w:lang w:val="en-US" w:eastAsia="zh-CN"/>
        </w:rPr>
        <w:t>固废站认真贯彻落实</w:t>
      </w:r>
      <w:r>
        <w:rPr>
          <w:rFonts w:hint="eastAsia" w:ascii="仿宋" w:hAnsi="仿宋" w:cs="仿宋"/>
          <w:b w:val="0"/>
          <w:bCs w:val="0"/>
          <w:color w:val="auto"/>
          <w:sz w:val="32"/>
          <w:szCs w:val="32"/>
          <w:highlight w:val="none"/>
          <w:lang w:val="en-US" w:eastAsia="zh-CN"/>
        </w:rPr>
        <w:t>生态环境部</w:t>
      </w:r>
      <w:r>
        <w:rPr>
          <w:rFonts w:hint="eastAsia" w:ascii="仿宋" w:hAnsi="仿宋" w:eastAsia="仿宋" w:cs="仿宋"/>
          <w:b w:val="0"/>
          <w:bCs w:val="0"/>
          <w:color w:val="auto"/>
          <w:sz w:val="32"/>
          <w:szCs w:val="32"/>
          <w:highlight w:val="none"/>
          <w:lang w:val="en-US" w:eastAsia="zh-CN"/>
        </w:rPr>
        <w:t>和省委、省政府关于固体</w:t>
      </w:r>
      <w:r>
        <w:rPr>
          <w:rFonts w:hint="eastAsia" w:ascii="仿宋" w:hAnsi="仿宋" w:eastAsia="仿宋" w:cs="仿宋"/>
          <w:color w:val="auto"/>
          <w:sz w:val="32"/>
          <w:szCs w:val="32"/>
          <w:highlight w:val="none"/>
          <w:lang w:val="en-US" w:eastAsia="zh-CN"/>
        </w:rPr>
        <w:t>废物管理工作的决策部署，</w:t>
      </w:r>
      <w:r>
        <w:rPr>
          <w:rFonts w:hint="eastAsia" w:ascii="仿宋" w:hAnsi="仿宋" w:eastAsia="仿宋" w:cs="仿宋"/>
          <w:color w:val="auto"/>
          <w:sz w:val="32"/>
          <w:szCs w:val="32"/>
          <w:highlight w:val="none"/>
        </w:rPr>
        <w:t>加强管理</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扎实履职</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砥砺奋进，取得了较好</w:t>
      </w:r>
      <w:r>
        <w:rPr>
          <w:rFonts w:hint="eastAsia" w:ascii="仿宋" w:hAnsi="仿宋" w:eastAsia="仿宋" w:cs="仿宋"/>
          <w:color w:val="auto"/>
          <w:sz w:val="32"/>
          <w:szCs w:val="32"/>
          <w:highlight w:val="none"/>
          <w:lang w:eastAsia="zh-CN"/>
        </w:rPr>
        <w:t>的</w:t>
      </w:r>
      <w:r>
        <w:rPr>
          <w:rFonts w:hint="eastAsia" w:ascii="仿宋" w:hAnsi="仿宋" w:eastAsia="仿宋" w:cs="仿宋"/>
          <w:color w:val="auto"/>
          <w:sz w:val="32"/>
          <w:szCs w:val="32"/>
          <w:highlight w:val="none"/>
        </w:rPr>
        <w:t>成绩</w:t>
      </w:r>
      <w:r>
        <w:rPr>
          <w:rFonts w:hint="eastAsia" w:ascii="仿宋" w:hAnsi="仿宋" w:eastAsia="仿宋" w:cs="仿宋"/>
          <w:color w:val="auto"/>
          <w:sz w:val="32"/>
          <w:szCs w:val="32"/>
          <w:highlight w:val="none"/>
          <w:lang w:eastAsia="zh-CN"/>
        </w:rPr>
        <w:t>。</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楷体_GB2312" w:cs="Times New Roman"/>
          <w:color w:val="auto"/>
          <w:sz w:val="32"/>
          <w:szCs w:val="32"/>
          <w:lang w:eastAsia="zh-CN"/>
        </w:rPr>
      </w:pPr>
      <w:r>
        <w:rPr>
          <w:rFonts w:hint="eastAsia" w:ascii="Times New Roman" w:hAnsi="Times New Roman" w:eastAsia="楷体_GB2312" w:cs="Times New Roman"/>
          <w:color w:val="auto"/>
          <w:sz w:val="32"/>
          <w:szCs w:val="32"/>
          <w:lang w:val="en-US" w:eastAsia="zh-CN"/>
        </w:rPr>
        <w:t>（一）</w:t>
      </w:r>
      <w:r>
        <w:rPr>
          <w:rFonts w:hint="default" w:ascii="Times New Roman" w:hAnsi="Times New Roman" w:eastAsia="楷体_GB2312" w:cs="Times New Roman"/>
          <w:color w:val="auto"/>
          <w:sz w:val="32"/>
          <w:szCs w:val="32"/>
          <w:lang w:val="en-US" w:eastAsia="zh-CN"/>
        </w:rPr>
        <w:t>稳步</w:t>
      </w:r>
      <w:r>
        <w:rPr>
          <w:rFonts w:hint="default" w:ascii="Times New Roman" w:hAnsi="Times New Roman" w:eastAsia="楷体_GB2312" w:cs="Times New Roman"/>
          <w:color w:val="auto"/>
          <w:sz w:val="32"/>
          <w:szCs w:val="32"/>
          <w:lang w:eastAsia="zh-CN"/>
        </w:rPr>
        <w:t>推进固体废物管理信息平台建设</w:t>
      </w:r>
    </w:p>
    <w:p>
      <w:pPr>
        <w:pStyle w:val="10"/>
        <w:keepNext w:val="0"/>
        <w:keepLines w:val="0"/>
        <w:pageBreakBefore w:val="0"/>
        <w:widowControl w:val="0"/>
        <w:numPr>
          <w:ilvl w:val="0"/>
          <w:numId w:val="0"/>
        </w:numPr>
        <w:tabs>
          <w:tab w:val="left" w:pos="4154"/>
        </w:tabs>
        <w:kinsoku/>
        <w:wordWrap/>
        <w:overflowPunct/>
        <w:topLinePunct w:val="0"/>
        <w:autoSpaceDE/>
        <w:autoSpaceDN/>
        <w:bidi w:val="0"/>
        <w:adjustRightInd/>
        <w:snapToGrid/>
        <w:spacing w:after="0"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开发建设并投入使用固体废物管理信息平台（1.0），</w:t>
      </w:r>
      <w:r>
        <w:rPr>
          <w:rFonts w:hint="eastAsia" w:ascii="仿宋" w:hAnsi="仿宋" w:eastAsia="仿宋" w:cs="仿宋"/>
          <w:sz w:val="32"/>
          <w:szCs w:val="32"/>
          <w:lang w:val="en-US" w:eastAsia="zh-CN"/>
        </w:rPr>
        <w:t>平台</w:t>
      </w:r>
      <w:r>
        <w:rPr>
          <w:rFonts w:hint="eastAsia" w:ascii="仿宋" w:hAnsi="仿宋" w:eastAsia="仿宋" w:cs="仿宋"/>
          <w:sz w:val="32"/>
          <w:szCs w:val="32"/>
        </w:rPr>
        <w:t>覆盖</w:t>
      </w:r>
      <w:r>
        <w:rPr>
          <w:rFonts w:hint="eastAsia" w:ascii="仿宋" w:hAnsi="仿宋" w:eastAsia="仿宋" w:cs="仿宋"/>
          <w:sz w:val="32"/>
          <w:szCs w:val="32"/>
          <w:lang w:val="en-US" w:eastAsia="zh-CN"/>
        </w:rPr>
        <w:t>了湖南省</w:t>
      </w:r>
      <w:r>
        <w:rPr>
          <w:rFonts w:hint="eastAsia" w:ascii="仿宋" w:hAnsi="仿宋" w:eastAsia="仿宋" w:cs="仿宋"/>
          <w:sz w:val="32"/>
          <w:szCs w:val="32"/>
        </w:rPr>
        <w:t>14个市州122个区县</w:t>
      </w:r>
      <w:r>
        <w:rPr>
          <w:rFonts w:hint="eastAsia" w:ascii="仿宋" w:hAnsi="仿宋" w:eastAsia="仿宋" w:cs="仿宋"/>
          <w:sz w:val="32"/>
          <w:szCs w:val="32"/>
          <w:lang w:val="en-US" w:eastAsia="zh-CN"/>
        </w:rPr>
        <w:t>的</w:t>
      </w:r>
      <w:r>
        <w:rPr>
          <w:rFonts w:hint="eastAsia" w:ascii="仿宋" w:hAnsi="仿宋" w:eastAsia="仿宋" w:cs="仿宋"/>
          <w:sz w:val="32"/>
          <w:szCs w:val="32"/>
        </w:rPr>
        <w:t>15000多家涉废单位</w:t>
      </w:r>
      <w:r>
        <w:rPr>
          <w:rFonts w:hint="eastAsia" w:ascii="仿宋" w:hAnsi="仿宋" w:eastAsia="仿宋" w:cs="仿宋"/>
          <w:sz w:val="32"/>
          <w:szCs w:val="32"/>
          <w:lang w:val="en-US" w:eastAsia="zh-CN"/>
        </w:rPr>
        <w:t>信息</w:t>
      </w:r>
      <w:r>
        <w:rPr>
          <w:rFonts w:hint="eastAsia" w:ascii="仿宋" w:hAnsi="仿宋" w:eastAsia="仿宋" w:cs="仿宋"/>
          <w:sz w:val="32"/>
          <w:szCs w:val="32"/>
        </w:rPr>
        <w:t>。同时为实现涉废单位全过程和全生命周期管理，正在抓紧推进固体废物管理信息平台（2.0）建设，平台（2.0）</w:t>
      </w:r>
      <w:r>
        <w:rPr>
          <w:rFonts w:hint="eastAsia" w:ascii="仿宋" w:hAnsi="仿宋" w:eastAsia="仿宋" w:cs="仿宋"/>
          <w:sz w:val="32"/>
          <w:szCs w:val="32"/>
          <w:lang w:val="en-US" w:eastAsia="zh-CN"/>
        </w:rPr>
        <w:t>建成后</w:t>
      </w:r>
      <w:r>
        <w:rPr>
          <w:rFonts w:hint="eastAsia" w:ascii="仿宋" w:hAnsi="仿宋" w:eastAsia="仿宋" w:cs="仿宋"/>
          <w:sz w:val="32"/>
          <w:szCs w:val="32"/>
        </w:rPr>
        <w:t>将具有人机交换、信息集成、预警预报、数据分析、图形量化、智能监控等功能。</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楷体_GB2312" w:cs="Times New Roman"/>
          <w:color w:val="auto"/>
          <w:sz w:val="32"/>
          <w:szCs w:val="32"/>
          <w:lang w:eastAsia="zh-CN"/>
        </w:rPr>
      </w:pPr>
      <w:r>
        <w:rPr>
          <w:rFonts w:hint="default" w:ascii="Times New Roman" w:hAnsi="Times New Roman" w:eastAsia="楷体_GB2312" w:cs="Times New Roman"/>
          <w:color w:val="auto"/>
          <w:sz w:val="32"/>
          <w:szCs w:val="32"/>
          <w:lang w:eastAsia="zh-CN"/>
        </w:rPr>
        <w:t>（</w:t>
      </w:r>
      <w:r>
        <w:rPr>
          <w:rFonts w:hint="default" w:ascii="Times New Roman" w:hAnsi="Times New Roman" w:eastAsia="楷体_GB2312" w:cs="Times New Roman"/>
          <w:color w:val="auto"/>
          <w:sz w:val="32"/>
          <w:szCs w:val="32"/>
          <w:lang w:val="en-US" w:eastAsia="zh-CN"/>
        </w:rPr>
        <w:t>二）及时有效</w:t>
      </w:r>
      <w:r>
        <w:rPr>
          <w:rFonts w:hint="default" w:ascii="Times New Roman" w:hAnsi="Times New Roman" w:eastAsia="楷体_GB2312" w:cs="Times New Roman"/>
          <w:color w:val="auto"/>
          <w:sz w:val="32"/>
          <w:szCs w:val="32"/>
          <w:lang w:eastAsia="zh-CN"/>
        </w:rPr>
        <w:t>处置医疗废物</w:t>
      </w:r>
    </w:p>
    <w:p>
      <w:pPr>
        <w:pStyle w:val="10"/>
        <w:keepNext w:val="0"/>
        <w:keepLines w:val="0"/>
        <w:pageBreakBefore w:val="0"/>
        <w:widowControl w:val="0"/>
        <w:tabs>
          <w:tab w:val="left" w:pos="4154"/>
        </w:tabs>
        <w:kinsoku/>
        <w:wordWrap/>
        <w:overflowPunct/>
        <w:topLinePunct w:val="0"/>
        <w:autoSpaceDE/>
        <w:autoSpaceDN/>
        <w:bidi w:val="0"/>
        <w:adjustRightInd/>
        <w:snapToGrid/>
        <w:spacing w:after="0"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对全省14个市州新冠肺炎疫情医疗废物处置坚持“日调度”机制，实时掌控</w:t>
      </w:r>
      <w:r>
        <w:rPr>
          <w:rFonts w:hint="eastAsia" w:ascii="仿宋" w:hAnsi="仿宋" w:eastAsia="仿宋" w:cs="仿宋"/>
          <w:sz w:val="32"/>
          <w:szCs w:val="32"/>
          <w:lang w:val="en-US" w:eastAsia="zh-CN"/>
        </w:rPr>
        <w:t>医疗废物</w:t>
      </w:r>
      <w:r>
        <w:rPr>
          <w:rFonts w:hint="eastAsia" w:ascii="仿宋" w:hAnsi="仿宋" w:eastAsia="仿宋" w:cs="仿宋"/>
          <w:sz w:val="32"/>
          <w:szCs w:val="32"/>
        </w:rPr>
        <w:t>收集、转运、贮存、处置情况，全年编制上报新型冠状病毒防控信息报告354期，累计调度完成处置医疗废物62412.65吨，确保医疗废物做到“日产日清”。</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楷体_GB2312" w:cs="Times New Roman"/>
          <w:color w:val="auto"/>
          <w:sz w:val="32"/>
          <w:szCs w:val="32"/>
          <w:lang w:val="en-US" w:eastAsia="zh-CN"/>
        </w:rPr>
      </w:pPr>
      <w:r>
        <w:rPr>
          <w:rFonts w:hint="default" w:ascii="Times New Roman" w:hAnsi="Times New Roman" w:eastAsia="楷体_GB2312" w:cs="Times New Roman"/>
          <w:color w:val="auto"/>
          <w:sz w:val="32"/>
          <w:szCs w:val="32"/>
          <w:lang w:eastAsia="zh-CN"/>
        </w:rPr>
        <w:t>（</w:t>
      </w:r>
      <w:r>
        <w:rPr>
          <w:rFonts w:hint="default" w:ascii="Times New Roman" w:hAnsi="Times New Roman" w:eastAsia="楷体_GB2312" w:cs="Times New Roman"/>
          <w:color w:val="auto"/>
          <w:sz w:val="32"/>
          <w:szCs w:val="32"/>
          <w:lang w:val="en-US" w:eastAsia="zh-CN"/>
        </w:rPr>
        <w:t>三）全面开展</w:t>
      </w:r>
      <w:r>
        <w:rPr>
          <w:rFonts w:hint="default" w:ascii="Times New Roman" w:hAnsi="Times New Roman" w:eastAsia="楷体_GB2312" w:cs="Times New Roman"/>
          <w:color w:val="auto"/>
          <w:sz w:val="32"/>
          <w:szCs w:val="32"/>
          <w:lang w:eastAsia="zh-CN"/>
        </w:rPr>
        <w:t>涉铊污染</w:t>
      </w:r>
      <w:r>
        <w:rPr>
          <w:rFonts w:hint="default" w:ascii="Times New Roman" w:hAnsi="Times New Roman" w:eastAsia="楷体_GB2312" w:cs="Times New Roman"/>
          <w:color w:val="auto"/>
          <w:sz w:val="32"/>
          <w:szCs w:val="32"/>
          <w:lang w:val="en-US" w:eastAsia="zh-CN"/>
        </w:rPr>
        <w:t>排查</w:t>
      </w:r>
    </w:p>
    <w:p>
      <w:pPr>
        <w:pStyle w:val="10"/>
        <w:keepNext w:val="0"/>
        <w:keepLines w:val="0"/>
        <w:pageBreakBefore w:val="0"/>
        <w:widowControl w:val="0"/>
        <w:tabs>
          <w:tab w:val="left" w:pos="4154"/>
        </w:tabs>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仿宋_GB2312" w:cs="Times New Roman"/>
          <w:sz w:val="32"/>
          <w:szCs w:val="32"/>
        </w:rPr>
      </w:pPr>
      <w:r>
        <w:rPr>
          <w:rFonts w:hint="eastAsia" w:ascii="仿宋" w:hAnsi="仿宋" w:eastAsia="仿宋" w:cs="仿宋"/>
          <w:sz w:val="32"/>
          <w:szCs w:val="32"/>
        </w:rPr>
        <w:t>根据湖南省湘江流域铊污染专项整治督导工作要求，</w:t>
      </w:r>
      <w:r>
        <w:rPr>
          <w:rFonts w:hint="eastAsia" w:ascii="仿宋" w:hAnsi="仿宋" w:eastAsia="仿宋" w:cs="仿宋"/>
          <w:sz w:val="32"/>
          <w:szCs w:val="32"/>
          <w:lang w:eastAsia="zh-CN"/>
        </w:rPr>
        <w:t>省固废站</w:t>
      </w:r>
      <w:r>
        <w:rPr>
          <w:rFonts w:hint="eastAsia" w:ascii="仿宋" w:hAnsi="仿宋" w:eastAsia="仿宋" w:cs="仿宋"/>
          <w:sz w:val="32"/>
          <w:szCs w:val="32"/>
          <w:highlight w:val="none"/>
        </w:rPr>
        <w:t>组织对我省钢铁冶炼</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铅锌冶炼</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富锰冶炼</w:t>
      </w:r>
      <w:r>
        <w:rPr>
          <w:rFonts w:hint="eastAsia" w:ascii="仿宋" w:hAnsi="仿宋" w:eastAsia="仿宋" w:cs="仿宋"/>
          <w:sz w:val="32"/>
          <w:szCs w:val="32"/>
          <w:highlight w:val="none"/>
          <w:lang w:val="en-US" w:eastAsia="zh-CN"/>
        </w:rPr>
        <w:t>等3大行业产生的</w:t>
      </w:r>
      <w:r>
        <w:rPr>
          <w:rFonts w:hint="eastAsia" w:ascii="仿宋" w:hAnsi="仿宋" w:eastAsia="仿宋" w:cs="仿宋"/>
          <w:sz w:val="32"/>
          <w:szCs w:val="32"/>
          <w:highlight w:val="none"/>
        </w:rPr>
        <w:t>机头灰、瓦斯灰、高炉渣</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含铊污泥、次氧化锌回转窑水淬渣</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烧结灰</w:t>
      </w:r>
      <w:r>
        <w:rPr>
          <w:rFonts w:hint="eastAsia" w:ascii="仿宋" w:hAnsi="仿宋" w:eastAsia="仿宋" w:cs="仿宋"/>
          <w:sz w:val="32"/>
          <w:szCs w:val="32"/>
          <w:highlight w:val="none"/>
          <w:lang w:val="en-US" w:eastAsia="zh-CN"/>
        </w:rPr>
        <w:t>等6类别废渣</w:t>
      </w:r>
      <w:r>
        <w:rPr>
          <w:rFonts w:hint="eastAsia" w:ascii="仿宋" w:hAnsi="仿宋" w:eastAsia="仿宋" w:cs="仿宋"/>
          <w:sz w:val="32"/>
          <w:szCs w:val="32"/>
        </w:rPr>
        <w:t>进行危险特性鉴别</w:t>
      </w:r>
      <w:r>
        <w:rPr>
          <w:rFonts w:hint="eastAsia" w:ascii="仿宋" w:hAnsi="仿宋" w:eastAsia="仿宋" w:cs="仿宋"/>
          <w:sz w:val="32"/>
          <w:szCs w:val="32"/>
          <w:lang w:eastAsia="zh-CN"/>
        </w:rPr>
        <w:t>。</w:t>
      </w:r>
      <w:r>
        <w:rPr>
          <w:rFonts w:hint="eastAsia" w:ascii="仿宋" w:hAnsi="仿宋" w:eastAsia="仿宋" w:cs="仿宋"/>
          <w:sz w:val="32"/>
          <w:szCs w:val="32"/>
        </w:rPr>
        <w:t>对娄底、怀化两市涉铊排查开展一月一次技术帮扶，指导两市建立健全涉铊污染防治工作机制。</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楷体_GB2312" w:cs="Times New Roman"/>
          <w:color w:val="auto"/>
          <w:sz w:val="32"/>
          <w:szCs w:val="32"/>
          <w:lang w:eastAsia="zh-CN"/>
        </w:rPr>
      </w:pPr>
      <w:r>
        <w:rPr>
          <w:rFonts w:hint="eastAsia" w:ascii="Times New Roman" w:hAnsi="Times New Roman" w:eastAsia="楷体_GB2312" w:cs="Times New Roman"/>
          <w:color w:val="auto"/>
          <w:sz w:val="32"/>
          <w:szCs w:val="32"/>
          <w:lang w:val="en-US" w:eastAsia="zh-CN"/>
        </w:rPr>
        <w:t>（四）</w:t>
      </w:r>
      <w:r>
        <w:rPr>
          <w:rFonts w:hint="default" w:ascii="Times New Roman" w:hAnsi="Times New Roman" w:eastAsia="楷体_GB2312" w:cs="Times New Roman"/>
          <w:color w:val="auto"/>
          <w:sz w:val="32"/>
          <w:szCs w:val="32"/>
          <w:lang w:val="en-US" w:eastAsia="zh-CN"/>
        </w:rPr>
        <w:t>高度重视</w:t>
      </w:r>
      <w:r>
        <w:rPr>
          <w:rFonts w:hint="default" w:ascii="Times New Roman" w:hAnsi="Times New Roman" w:eastAsia="楷体_GB2312" w:cs="Times New Roman"/>
          <w:color w:val="auto"/>
          <w:sz w:val="32"/>
          <w:szCs w:val="32"/>
          <w:lang w:eastAsia="zh-CN"/>
        </w:rPr>
        <w:t>普法宣传</w:t>
      </w:r>
    </w:p>
    <w:p>
      <w:pPr>
        <w:pStyle w:val="10"/>
        <w:keepNext w:val="0"/>
        <w:keepLines w:val="0"/>
        <w:pageBreakBefore w:val="0"/>
        <w:widowControl w:val="0"/>
        <w:numPr>
          <w:ilvl w:val="0"/>
          <w:numId w:val="0"/>
        </w:numPr>
        <w:tabs>
          <w:tab w:val="left" w:pos="4154"/>
        </w:tabs>
        <w:kinsoku/>
        <w:wordWrap/>
        <w:overflowPunct/>
        <w:topLinePunct w:val="0"/>
        <w:autoSpaceDE/>
        <w:autoSpaceDN/>
        <w:bidi w:val="0"/>
        <w:adjustRightInd/>
        <w:snapToGrid/>
        <w:spacing w:after="0"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加大普法宣传力度</w:t>
      </w:r>
      <w:r>
        <w:rPr>
          <w:rFonts w:hint="eastAsia" w:ascii="仿宋" w:hAnsi="仿宋" w:eastAsia="仿宋" w:cs="仿宋"/>
          <w:sz w:val="32"/>
          <w:szCs w:val="32"/>
        </w:rPr>
        <w:t>，免费为14个市州印发新《固废法》《国家危险废物名录（2021年版）》《湖南省实施〈中华人民共和国固体废物污染环境防治法〉办法》《湖南省危险废物管理实用手册》《湖南省废弃电器电子产品回收处理资料汇编》等工作手册30000余本；围绕危险废物特性、危险废物全过程监管等内容制作8个宣传短视频</w:t>
      </w:r>
      <w:r>
        <w:rPr>
          <w:rFonts w:hint="eastAsia" w:ascii="仿宋" w:hAnsi="仿宋" w:eastAsia="仿宋" w:cs="仿宋"/>
          <w:sz w:val="32"/>
          <w:szCs w:val="32"/>
          <w:lang w:eastAsia="zh-CN"/>
        </w:rPr>
        <w:t>，</w:t>
      </w:r>
      <w:r>
        <w:rPr>
          <w:rFonts w:hint="eastAsia" w:ascii="仿宋" w:hAnsi="仿宋" w:eastAsia="仿宋" w:cs="仿宋"/>
          <w:sz w:val="32"/>
          <w:szCs w:val="32"/>
        </w:rPr>
        <w:t>印发25000张有效防范危险废物环境风险招贴画，提高</w:t>
      </w:r>
      <w:r>
        <w:rPr>
          <w:rFonts w:hint="eastAsia" w:ascii="仿宋" w:hAnsi="仿宋" w:eastAsia="仿宋" w:cs="仿宋"/>
          <w:sz w:val="32"/>
          <w:szCs w:val="32"/>
          <w:lang w:val="en-US" w:eastAsia="zh-CN"/>
        </w:rPr>
        <w:t>了</w:t>
      </w:r>
      <w:r>
        <w:rPr>
          <w:rFonts w:hint="eastAsia" w:ascii="仿宋" w:hAnsi="仿宋" w:eastAsia="仿宋" w:cs="仿宋"/>
          <w:sz w:val="32"/>
          <w:szCs w:val="32"/>
        </w:rPr>
        <w:t>社会公众对固体废物污染防治重要性的认识，营造</w:t>
      </w:r>
      <w:r>
        <w:rPr>
          <w:rFonts w:hint="eastAsia" w:ascii="仿宋" w:hAnsi="仿宋" w:eastAsia="仿宋" w:cs="仿宋"/>
          <w:sz w:val="32"/>
          <w:szCs w:val="32"/>
          <w:lang w:val="en-US" w:eastAsia="zh-CN"/>
        </w:rPr>
        <w:t>了</w:t>
      </w:r>
      <w:r>
        <w:rPr>
          <w:rFonts w:hint="eastAsia" w:ascii="仿宋" w:hAnsi="仿宋" w:eastAsia="仿宋" w:cs="仿宋"/>
          <w:sz w:val="32"/>
          <w:szCs w:val="32"/>
        </w:rPr>
        <w:t>污染防治全民参与的良好社会氛围。</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楷体_GB2312" w:cs="Times New Roman"/>
          <w:color w:val="auto"/>
          <w:sz w:val="32"/>
          <w:szCs w:val="32"/>
          <w:lang w:eastAsia="zh-CN"/>
        </w:rPr>
      </w:pPr>
      <w:r>
        <w:rPr>
          <w:rFonts w:hint="eastAsia" w:ascii="Times New Roman" w:hAnsi="Times New Roman" w:eastAsia="楷体_GB2312" w:cs="Times New Roman"/>
          <w:color w:val="auto"/>
          <w:sz w:val="32"/>
          <w:szCs w:val="32"/>
          <w:lang w:eastAsia="zh-CN"/>
        </w:rPr>
        <w:t>（</w:t>
      </w:r>
      <w:r>
        <w:rPr>
          <w:rFonts w:hint="eastAsia" w:ascii="Times New Roman" w:hAnsi="Times New Roman" w:eastAsia="楷体_GB2312" w:cs="Times New Roman"/>
          <w:color w:val="auto"/>
          <w:sz w:val="32"/>
          <w:szCs w:val="32"/>
          <w:lang w:val="en-US" w:eastAsia="zh-CN"/>
        </w:rPr>
        <w:t>五）</w:t>
      </w:r>
      <w:r>
        <w:rPr>
          <w:rFonts w:hint="default" w:ascii="Times New Roman" w:hAnsi="Times New Roman" w:eastAsia="楷体_GB2312" w:cs="Times New Roman"/>
          <w:color w:val="auto"/>
          <w:sz w:val="32"/>
          <w:szCs w:val="32"/>
          <w:lang w:eastAsia="zh-CN"/>
        </w:rPr>
        <w:t>扎实开展废铅蓄电池集中收集和跨区域转运试点</w:t>
      </w:r>
    </w:p>
    <w:p>
      <w:pPr>
        <w:pStyle w:val="10"/>
        <w:keepNext w:val="0"/>
        <w:keepLines w:val="0"/>
        <w:pageBreakBefore w:val="0"/>
        <w:widowControl w:val="0"/>
        <w:numPr>
          <w:ilvl w:val="0"/>
          <w:numId w:val="0"/>
        </w:numPr>
        <w:tabs>
          <w:tab w:val="left" w:pos="4154"/>
        </w:tabs>
        <w:kinsoku/>
        <w:wordWrap/>
        <w:overflowPunct/>
        <w:topLinePunct w:val="0"/>
        <w:autoSpaceDE/>
        <w:autoSpaceDN/>
        <w:bidi w:val="0"/>
        <w:adjustRightInd/>
        <w:snapToGrid/>
        <w:spacing w:after="0" w:line="560" w:lineRule="exact"/>
        <w:ind w:firstLine="640" w:firstLineChars="200"/>
        <w:textAlignment w:val="auto"/>
        <w:rPr>
          <w:rFonts w:hint="eastAsia" w:ascii="仿宋" w:hAnsi="仿宋" w:eastAsia="仿宋" w:cs="仿宋"/>
          <w:sz w:val="32"/>
          <w:szCs w:val="32"/>
          <w:highlight w:val="none"/>
          <w:lang w:eastAsia="zh-CN"/>
        </w:rPr>
      </w:pPr>
      <w:r>
        <w:rPr>
          <w:rFonts w:hint="eastAsia" w:ascii="仿宋" w:hAnsi="仿宋" w:eastAsia="仿宋" w:cs="仿宋"/>
          <w:color w:val="auto"/>
          <w:sz w:val="32"/>
          <w:szCs w:val="32"/>
          <w:highlight w:val="none"/>
        </w:rPr>
        <w:t>对长沙、湘潭、岳阳、邵阳、永州、张家界等</w:t>
      </w:r>
      <w:r>
        <w:rPr>
          <w:rFonts w:hint="eastAsia" w:ascii="仿宋" w:hAnsi="仿宋" w:eastAsia="仿宋" w:cs="仿宋"/>
          <w:color w:val="auto"/>
          <w:sz w:val="32"/>
          <w:szCs w:val="32"/>
          <w:highlight w:val="none"/>
          <w:lang w:val="en-US" w:eastAsia="zh-CN"/>
        </w:rPr>
        <w:t>5</w:t>
      </w:r>
      <w:r>
        <w:rPr>
          <w:rFonts w:hint="eastAsia" w:ascii="仿宋" w:hAnsi="仿宋" w:eastAsia="仿宋" w:cs="仿宋"/>
          <w:color w:val="auto"/>
          <w:sz w:val="32"/>
          <w:szCs w:val="32"/>
          <w:highlight w:val="none"/>
        </w:rPr>
        <w:t>个市废铅蓄电池集中收集和跨区域转运试点单位进行现场核查，核发5张危险废物经营许可证，集中收集废铅蓄电池63362吨，建成集中转运点25个</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收集网点89个，废铅蓄电池集中收集和跨区域转运网络初步成形。</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楷体_GB2312" w:cs="Times New Roman"/>
          <w:color w:val="auto"/>
          <w:sz w:val="32"/>
          <w:szCs w:val="32"/>
          <w:lang w:eastAsia="zh-CN"/>
        </w:rPr>
      </w:pPr>
      <w:r>
        <w:rPr>
          <w:rFonts w:hint="eastAsia" w:ascii="Times New Roman" w:hAnsi="Times New Roman" w:eastAsia="楷体_GB2312" w:cs="Times New Roman"/>
          <w:color w:val="auto"/>
          <w:sz w:val="32"/>
          <w:szCs w:val="32"/>
          <w:lang w:eastAsia="zh-CN"/>
        </w:rPr>
        <w:t>（</w:t>
      </w:r>
      <w:r>
        <w:rPr>
          <w:rFonts w:hint="eastAsia" w:ascii="Times New Roman" w:hAnsi="Times New Roman" w:eastAsia="楷体_GB2312" w:cs="Times New Roman"/>
          <w:color w:val="auto"/>
          <w:sz w:val="32"/>
          <w:szCs w:val="32"/>
          <w:lang w:val="en-US" w:eastAsia="zh-CN"/>
        </w:rPr>
        <w:t>六）</w:t>
      </w:r>
      <w:r>
        <w:rPr>
          <w:rFonts w:hint="default" w:ascii="Times New Roman" w:hAnsi="Times New Roman" w:eastAsia="楷体_GB2312" w:cs="Times New Roman"/>
          <w:color w:val="auto"/>
          <w:sz w:val="32"/>
          <w:szCs w:val="32"/>
          <w:lang w:eastAsia="zh-CN"/>
        </w:rPr>
        <w:t>有序推进常规工作</w:t>
      </w:r>
    </w:p>
    <w:p>
      <w:pPr>
        <w:pStyle w:val="10"/>
        <w:keepNext w:val="0"/>
        <w:keepLines w:val="0"/>
        <w:pageBreakBefore w:val="0"/>
        <w:widowControl w:val="0"/>
        <w:numPr>
          <w:ilvl w:val="0"/>
          <w:numId w:val="0"/>
        </w:numPr>
        <w:tabs>
          <w:tab w:val="left" w:pos="4154"/>
        </w:tabs>
        <w:kinsoku/>
        <w:wordWrap/>
        <w:overflowPunct/>
        <w:topLinePunct w:val="0"/>
        <w:autoSpaceDE/>
        <w:autoSpaceDN/>
        <w:bidi w:val="0"/>
        <w:adjustRightInd/>
        <w:snapToGrid/>
        <w:spacing w:after="0" w:line="56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lang w:val="en-US" w:eastAsia="zh-CN"/>
        </w:rPr>
        <w:t>一是</w:t>
      </w:r>
      <w:r>
        <w:rPr>
          <w:rFonts w:hint="eastAsia" w:ascii="仿宋" w:hAnsi="仿宋" w:eastAsia="仿宋" w:cs="仿宋"/>
          <w:b w:val="0"/>
          <w:bCs/>
          <w:sz w:val="32"/>
          <w:szCs w:val="32"/>
        </w:rPr>
        <w:t>常态化组织开展危险废物申报登记情况核查，指导市州生态环境局督促产废单位完善申报登记数据。</w:t>
      </w:r>
      <w:r>
        <w:rPr>
          <w:rFonts w:hint="eastAsia" w:ascii="仿宋" w:hAnsi="仿宋" w:eastAsia="仿宋" w:cs="仿宋"/>
          <w:b w:val="0"/>
          <w:bCs/>
          <w:sz w:val="32"/>
          <w:szCs w:val="32"/>
          <w:lang w:val="en-US" w:eastAsia="zh-CN"/>
        </w:rPr>
        <w:t>二是</w:t>
      </w:r>
      <w:r>
        <w:rPr>
          <w:rFonts w:hint="eastAsia" w:ascii="仿宋" w:hAnsi="仿宋" w:eastAsia="仿宋" w:cs="仿宋"/>
          <w:b w:val="0"/>
          <w:bCs/>
          <w:sz w:val="32"/>
          <w:szCs w:val="32"/>
        </w:rPr>
        <w:t>对全省四家废家电拆解企业的拆解处理情况按季度开展现场核查和省级复审</w:t>
      </w:r>
      <w:r>
        <w:rPr>
          <w:rFonts w:hint="eastAsia" w:ascii="仿宋" w:hAnsi="仿宋" w:eastAsia="仿宋" w:cs="仿宋"/>
          <w:b w:val="0"/>
          <w:bCs/>
          <w:sz w:val="32"/>
          <w:szCs w:val="32"/>
          <w:lang w:eastAsia="zh-CN"/>
        </w:rPr>
        <w:t>。</w:t>
      </w:r>
      <w:r>
        <w:rPr>
          <w:rFonts w:hint="eastAsia" w:ascii="仿宋" w:hAnsi="仿宋" w:eastAsia="仿宋" w:cs="仿宋"/>
          <w:b w:val="0"/>
          <w:bCs/>
          <w:sz w:val="32"/>
          <w:szCs w:val="32"/>
          <w:lang w:val="en-US" w:eastAsia="zh-CN"/>
        </w:rPr>
        <w:t>2021年度，</w:t>
      </w:r>
      <w:r>
        <w:rPr>
          <w:rFonts w:hint="eastAsia" w:ascii="仿宋" w:hAnsi="仿宋" w:eastAsia="仿宋" w:cs="仿宋"/>
          <w:b w:val="0"/>
          <w:bCs/>
          <w:sz w:val="32"/>
          <w:szCs w:val="32"/>
        </w:rPr>
        <w:t>全省规范拆解处理废家电271.95万台（套）。</w:t>
      </w:r>
      <w:r>
        <w:rPr>
          <w:rFonts w:hint="eastAsia" w:ascii="仿宋" w:hAnsi="仿宋" w:eastAsia="仿宋" w:cs="仿宋"/>
          <w:b w:val="0"/>
          <w:bCs/>
          <w:sz w:val="32"/>
          <w:szCs w:val="32"/>
          <w:lang w:eastAsia="zh-CN"/>
        </w:rPr>
        <w:t>三是积极处理遗留问题。</w:t>
      </w:r>
      <w:r>
        <w:rPr>
          <w:rFonts w:hint="eastAsia" w:ascii="仿宋" w:hAnsi="仿宋" w:eastAsia="仿宋" w:cs="仿宋"/>
          <w:b w:val="0"/>
          <w:bCs/>
          <w:sz w:val="32"/>
          <w:szCs w:val="32"/>
        </w:rPr>
        <w:t>废家电拆解企业株洲凯天</w:t>
      </w:r>
      <w:r>
        <w:rPr>
          <w:rFonts w:hint="eastAsia" w:ascii="仿宋" w:hAnsi="仿宋" w:eastAsia="仿宋" w:cs="仿宋"/>
          <w:bCs/>
          <w:sz w:val="32"/>
          <w:szCs w:val="32"/>
          <w:lang w:val="en-US" w:eastAsia="zh-CN"/>
        </w:rPr>
        <w:t>环保科技有限公司</w:t>
      </w:r>
      <w:r>
        <w:rPr>
          <w:rFonts w:hint="eastAsia" w:ascii="仿宋" w:hAnsi="仿宋" w:eastAsia="仿宋" w:cs="仿宋"/>
          <w:b w:val="0"/>
          <w:bCs/>
          <w:sz w:val="32"/>
          <w:szCs w:val="32"/>
        </w:rPr>
        <w:t>自2017年历史遗留16个季度的拆解处理情况</w:t>
      </w:r>
      <w:r>
        <w:rPr>
          <w:rFonts w:hint="eastAsia" w:ascii="仿宋" w:hAnsi="仿宋" w:eastAsia="仿宋" w:cs="仿宋"/>
          <w:b w:val="0"/>
          <w:bCs/>
          <w:sz w:val="32"/>
          <w:szCs w:val="32"/>
          <w:lang w:eastAsia="zh-CN"/>
        </w:rPr>
        <w:t>于</w:t>
      </w:r>
      <w:r>
        <w:rPr>
          <w:rFonts w:hint="eastAsia" w:ascii="仿宋" w:hAnsi="仿宋" w:eastAsia="仿宋" w:cs="仿宋"/>
          <w:b w:val="0"/>
          <w:bCs/>
          <w:sz w:val="32"/>
          <w:szCs w:val="32"/>
          <w:lang w:val="en-US" w:eastAsia="zh-CN"/>
        </w:rPr>
        <w:t>2021年</w:t>
      </w:r>
      <w:r>
        <w:rPr>
          <w:rFonts w:hint="eastAsia" w:ascii="仿宋" w:hAnsi="仿宋" w:eastAsia="仿宋" w:cs="仿宋"/>
          <w:b w:val="0"/>
          <w:bCs/>
          <w:sz w:val="32"/>
          <w:szCs w:val="32"/>
        </w:rPr>
        <w:t>全部通过国家现场抽查审核并实现“零扣减”。</w:t>
      </w:r>
      <w:r>
        <w:rPr>
          <w:rFonts w:hint="eastAsia" w:ascii="仿宋" w:hAnsi="仿宋" w:eastAsia="仿宋" w:cs="仿宋"/>
          <w:b w:val="0"/>
          <w:bCs/>
          <w:sz w:val="32"/>
          <w:szCs w:val="32"/>
          <w:lang w:val="en-US" w:eastAsia="zh-CN"/>
        </w:rPr>
        <w:t>四是</w:t>
      </w:r>
      <w:r>
        <w:rPr>
          <w:rFonts w:hint="eastAsia" w:ascii="仿宋" w:hAnsi="仿宋" w:eastAsia="仿宋" w:cs="仿宋"/>
          <w:b w:val="0"/>
          <w:bCs/>
          <w:sz w:val="32"/>
          <w:szCs w:val="32"/>
        </w:rPr>
        <w:t>完成易制毒化学品及毒品销毁信息上报工作。</w:t>
      </w:r>
      <w:r>
        <w:rPr>
          <w:rFonts w:hint="eastAsia" w:ascii="仿宋" w:hAnsi="仿宋" w:eastAsia="仿宋" w:cs="仿宋"/>
          <w:b w:val="0"/>
          <w:bCs/>
          <w:sz w:val="32"/>
          <w:szCs w:val="32"/>
          <w:lang w:val="en-US" w:eastAsia="zh-CN"/>
        </w:rPr>
        <w:t>五是</w:t>
      </w:r>
      <w:r>
        <w:rPr>
          <w:rFonts w:hint="eastAsia" w:ascii="仿宋" w:hAnsi="仿宋" w:eastAsia="仿宋" w:cs="仿宋"/>
          <w:b w:val="0"/>
          <w:bCs/>
          <w:sz w:val="32"/>
          <w:szCs w:val="32"/>
        </w:rPr>
        <w:t>全年先后赴郴州嘉禾、桂阳、岳阳临湘等地开展现场核查，通过定期核查调度，完成农村非正规垃圾堆放点销号共计103处。</w:t>
      </w:r>
    </w:p>
    <w:p>
      <w:pPr>
        <w:pStyle w:val="3"/>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黑体" w:cs="Times New Roman"/>
          <w:b w:val="0"/>
          <w:bCs w:val="0"/>
          <w:color w:val="auto"/>
          <w:sz w:val="32"/>
          <w:szCs w:val="32"/>
          <w:highlight w:val="none"/>
          <w:lang w:eastAsia="zh-CN"/>
        </w:rPr>
      </w:pPr>
      <w:bookmarkStart w:id="10" w:name="_Toc7973"/>
      <w:r>
        <w:rPr>
          <w:rFonts w:hint="eastAsia" w:cs="Times New Roman"/>
          <w:b w:val="0"/>
          <w:bCs w:val="0"/>
          <w:color w:val="auto"/>
          <w:sz w:val="32"/>
          <w:szCs w:val="32"/>
          <w:highlight w:val="none"/>
          <w:lang w:eastAsia="zh-CN"/>
        </w:rPr>
        <w:t>五</w:t>
      </w:r>
      <w:r>
        <w:rPr>
          <w:rFonts w:hint="default" w:ascii="Times New Roman" w:hAnsi="Times New Roman" w:cs="Times New Roman"/>
          <w:b w:val="0"/>
          <w:bCs w:val="0"/>
          <w:color w:val="auto"/>
          <w:sz w:val="32"/>
          <w:szCs w:val="32"/>
          <w:highlight w:val="none"/>
        </w:rPr>
        <w:t>、存在的问题</w:t>
      </w:r>
      <w:bookmarkEnd w:id="10"/>
      <w:r>
        <w:rPr>
          <w:rFonts w:hint="eastAsia" w:cs="Times New Roman"/>
          <w:b w:val="0"/>
          <w:bCs w:val="0"/>
          <w:color w:val="auto"/>
          <w:sz w:val="32"/>
          <w:szCs w:val="32"/>
          <w:highlight w:val="none"/>
          <w:lang w:eastAsia="zh-CN"/>
        </w:rPr>
        <w:t>及下一步改进的措施</w:t>
      </w:r>
    </w:p>
    <w:p>
      <w:pPr>
        <w:keepNext w:val="0"/>
        <w:keepLines w:val="0"/>
        <w:pageBreakBefore w:val="0"/>
        <w:widowControl w:val="0"/>
        <w:tabs>
          <w:tab w:val="left" w:pos="4154"/>
        </w:tabs>
        <w:kinsoku/>
        <w:wordWrap/>
        <w:overflowPunct/>
        <w:topLinePunct w:val="0"/>
        <w:autoSpaceDE/>
        <w:autoSpaceDN/>
        <w:bidi w:val="0"/>
        <w:adjustRightInd/>
        <w:snapToGrid/>
        <w:spacing w:line="560" w:lineRule="exact"/>
        <w:ind w:firstLine="641"/>
        <w:textAlignment w:val="auto"/>
        <w:outlineLvl w:val="9"/>
        <w:rPr>
          <w:rFonts w:hint="eastAsia" w:ascii="仿宋" w:hAnsi="仿宋" w:eastAsia="仿宋" w:cs="仿宋"/>
          <w:color w:val="auto"/>
          <w:sz w:val="32"/>
          <w:szCs w:val="32"/>
          <w:highlight w:val="none"/>
        </w:rPr>
      </w:pPr>
      <w:r>
        <w:rPr>
          <w:rFonts w:hint="eastAsia" w:ascii="楷体_GB2312" w:hAnsi="楷体_GB2312" w:eastAsia="楷体_GB2312" w:cs="楷体_GB2312"/>
          <w:b w:val="0"/>
          <w:bCs w:val="0"/>
          <w:kern w:val="2"/>
          <w:sz w:val="32"/>
          <w:szCs w:val="32"/>
          <w:lang w:val="en-US" w:eastAsia="zh-CN" w:bidi="ar-SA"/>
        </w:rPr>
        <w:t>存在的问题：</w:t>
      </w:r>
      <w:r>
        <w:rPr>
          <w:rFonts w:hint="eastAsia" w:ascii="仿宋" w:hAnsi="仿宋" w:eastAsia="仿宋" w:cs="仿宋"/>
          <w:b w:val="0"/>
          <w:bCs w:val="0"/>
          <w:kern w:val="2"/>
          <w:sz w:val="32"/>
          <w:szCs w:val="32"/>
          <w:lang w:val="en-US" w:eastAsia="zh-CN" w:bidi="ar-SA"/>
        </w:rPr>
        <w:t>2021年度未申报部门整体及项目绩效目标。</w:t>
      </w:r>
    </w:p>
    <w:p>
      <w:pPr>
        <w:pStyle w:val="4"/>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楷体_GB2312" w:hAnsi="楷体_GB2312" w:eastAsia="楷体_GB2312" w:cs="楷体_GB2312"/>
          <w:b w:val="0"/>
          <w:bCs w:val="0"/>
          <w:color w:val="auto"/>
          <w:spacing w:val="0"/>
          <w:kern w:val="2"/>
          <w:sz w:val="32"/>
          <w:szCs w:val="32"/>
          <w:lang w:val="en-US" w:eastAsia="zh-CN" w:bidi="ar-SA"/>
        </w:rPr>
        <w:t>下一步整改的措施：</w:t>
      </w:r>
      <w:r>
        <w:rPr>
          <w:rFonts w:hint="eastAsia" w:ascii="仿宋" w:hAnsi="仿宋" w:eastAsia="仿宋" w:cs="仿宋"/>
          <w:b w:val="0"/>
          <w:bCs w:val="0"/>
          <w:color w:val="auto"/>
          <w:spacing w:val="0"/>
          <w:kern w:val="2"/>
          <w:sz w:val="32"/>
          <w:szCs w:val="32"/>
          <w:lang w:val="en-US" w:eastAsia="zh-CN" w:bidi="ar-SA"/>
        </w:rPr>
        <w:t>省固废站将高度重视预算绩效管理，绩效目标与预算编制同步布置、同步申报、同步审核、同步批复</w:t>
      </w:r>
      <w:r>
        <w:rPr>
          <w:rFonts w:hint="eastAsia" w:ascii="仿宋" w:hAnsi="仿宋" w:eastAsia="仿宋" w:cs="仿宋"/>
          <w:b w:val="0"/>
          <w:bCs w:val="0"/>
          <w:sz w:val="32"/>
          <w:szCs w:val="32"/>
          <w:lang w:val="en-US" w:eastAsia="zh-CN"/>
        </w:rPr>
        <w:t>。确保在申报预算时制定明确、细化、量化、合理的绩效目标，报送的绩效目标应与部门职责及工作计划高度相关，并与申报的资金量相匹配。</w:t>
      </w:r>
    </w:p>
    <w:p>
      <w:pPr>
        <w:keepNext w:val="0"/>
        <w:keepLines w:val="0"/>
        <w:pageBreakBefore w:val="0"/>
        <w:widowControl/>
        <w:tabs>
          <w:tab w:val="left" w:pos="4154"/>
        </w:tabs>
        <w:kinsoku/>
        <w:wordWrap/>
        <w:overflowPunct/>
        <w:topLinePunct w:val="0"/>
        <w:autoSpaceDE/>
        <w:autoSpaceDN/>
        <w:bidi w:val="0"/>
        <w:adjustRightInd/>
        <w:snapToGrid/>
        <w:spacing w:line="620" w:lineRule="exact"/>
        <w:ind w:firstLine="645"/>
        <w:jc w:val="lef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六、部门整体支出</w:t>
      </w:r>
      <w:r>
        <w:rPr>
          <w:rFonts w:hint="eastAsia" w:ascii="黑体" w:hAnsi="黑体" w:eastAsia="黑体" w:cs="黑体"/>
          <w:sz w:val="32"/>
          <w:szCs w:val="32"/>
        </w:rPr>
        <w:t>自评结果拟应用和公开情况</w:t>
      </w:r>
    </w:p>
    <w:p>
      <w:pPr>
        <w:keepNext w:val="0"/>
        <w:keepLines w:val="0"/>
        <w:pageBreakBefore w:val="0"/>
        <w:tabs>
          <w:tab w:val="left" w:pos="4154"/>
        </w:tabs>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根据绩效自评结果，合理编制下一年度预算，保障各项工作正常开展，严格执行相关规定和制度。</w:t>
      </w:r>
    </w:p>
    <w:p>
      <w:pPr>
        <w:keepNext w:val="0"/>
        <w:keepLines w:val="0"/>
        <w:pageBreakBefore w:val="0"/>
        <w:tabs>
          <w:tab w:val="left" w:pos="4154"/>
        </w:tabs>
        <w:kinsoku/>
        <w:wordWrap/>
        <w:overflowPunct/>
        <w:topLinePunct w:val="0"/>
        <w:autoSpaceDE/>
        <w:autoSpaceDN/>
        <w:bidi w:val="0"/>
        <w:adjustRightInd/>
        <w:snapToGrid/>
        <w:spacing w:line="62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    绩效自评结果将在省</w:t>
      </w:r>
      <w:r>
        <w:rPr>
          <w:rFonts w:hint="eastAsia" w:ascii="仿宋" w:hAnsi="仿宋" w:eastAsia="仿宋" w:cs="仿宋"/>
          <w:sz w:val="32"/>
          <w:szCs w:val="32"/>
          <w:lang w:eastAsia="zh-CN"/>
        </w:rPr>
        <w:t>生态环境</w:t>
      </w:r>
      <w:r>
        <w:rPr>
          <w:rFonts w:hint="eastAsia" w:ascii="仿宋" w:hAnsi="仿宋" w:eastAsia="仿宋" w:cs="仿宋"/>
          <w:sz w:val="32"/>
          <w:szCs w:val="32"/>
        </w:rPr>
        <w:t>厅公众网进行公开。</w:t>
      </w:r>
    </w:p>
    <w:p>
      <w:pPr>
        <w:widowControl/>
        <w:tabs>
          <w:tab w:val="left" w:pos="4154"/>
        </w:tabs>
        <w:spacing w:line="600" w:lineRule="exact"/>
        <w:ind w:firstLine="645"/>
        <w:jc w:val="left"/>
        <w:rPr>
          <w:rFonts w:hint="eastAsia" w:ascii="黑体" w:hAnsi="黑体" w:eastAsia="黑体"/>
          <w:sz w:val="32"/>
          <w:szCs w:val="32"/>
        </w:rPr>
      </w:pPr>
      <w:r>
        <w:rPr>
          <w:rFonts w:hint="eastAsia" w:ascii="黑体" w:hAnsi="黑体" w:eastAsia="黑体"/>
          <w:sz w:val="32"/>
          <w:szCs w:val="32"/>
        </w:rPr>
        <w:t>七、其他需要说明的情况</w:t>
      </w:r>
    </w:p>
    <w:p>
      <w:pPr>
        <w:tabs>
          <w:tab w:val="left" w:pos="4154"/>
        </w:tabs>
        <w:rPr>
          <w:rFonts w:hint="eastAsia" w:ascii="仿宋_GB2312" w:hAnsi="仿宋_GB2312" w:eastAsia="仿宋_GB2312" w:cs="仿宋_GB2312"/>
          <w:sz w:val="32"/>
          <w:szCs w:val="32"/>
          <w:lang w:val="en-US" w:eastAsia="zh-CN"/>
        </w:rPr>
      </w:pPr>
      <w:r>
        <w:rPr>
          <w:rFonts w:hint="eastAsia"/>
          <w:lang w:val="en-US" w:eastAsia="zh-CN"/>
        </w:rPr>
        <w:t xml:space="preserve">     </w:t>
      </w:r>
      <w:r>
        <w:rPr>
          <w:rFonts w:hint="eastAsia" w:ascii="仿宋_GB2312" w:hAnsi="仿宋_GB2312" w:eastAsia="仿宋_GB2312" w:cs="仿宋_GB2312"/>
          <w:sz w:val="32"/>
          <w:szCs w:val="32"/>
          <w:lang w:val="en-US" w:eastAsia="zh-CN"/>
        </w:rPr>
        <w:t xml:space="preserve"> 无。</w:t>
      </w:r>
    </w:p>
    <w:p>
      <w:pPr>
        <w:pStyle w:val="8"/>
        <w:numPr>
          <w:ilvl w:val="0"/>
          <w:numId w:val="0"/>
        </w:numPr>
        <w:rPr>
          <w:rFonts w:hint="default" w:ascii="仿宋" w:hAnsi="仿宋" w:eastAsia="仿宋" w:cs="仿宋"/>
          <w:lang w:val="en-US" w:eastAsia="zh-CN"/>
        </w:rPr>
      </w:pPr>
    </w:p>
    <w:p>
      <w:pPr>
        <w:keepNext w:val="0"/>
        <w:keepLines w:val="0"/>
        <w:pageBreakBefore w:val="0"/>
        <w:tabs>
          <w:tab w:val="left" w:pos="4154"/>
        </w:tabs>
        <w:kinsoku/>
        <w:wordWrap/>
        <w:overflowPunct/>
        <w:topLinePunct w:val="0"/>
        <w:autoSpaceDE/>
        <w:autoSpaceDN/>
        <w:bidi w:val="0"/>
        <w:spacing w:line="560" w:lineRule="exact"/>
        <w:ind w:firstLine="640" w:firstLineChars="200"/>
        <w:textAlignment w:val="auto"/>
        <w:rPr>
          <w:rFonts w:hint="eastAsia" w:eastAsia="仿宋_GB2312" w:cs="Times New Roman"/>
          <w:color w:val="auto"/>
          <w:sz w:val="32"/>
          <w:szCs w:val="32"/>
          <w:highlight w:val="none"/>
          <w:lang w:eastAsia="zh-CN"/>
        </w:rPr>
      </w:pPr>
    </w:p>
    <w:p>
      <w:pPr>
        <w:keepNext w:val="0"/>
        <w:keepLines w:val="0"/>
        <w:pageBreakBefore w:val="0"/>
        <w:tabs>
          <w:tab w:val="left" w:pos="4154"/>
        </w:tabs>
        <w:kinsoku/>
        <w:wordWrap/>
        <w:overflowPunct/>
        <w:topLinePunct w:val="0"/>
        <w:autoSpaceDE/>
        <w:autoSpaceDN/>
        <w:bidi w:val="0"/>
        <w:spacing w:line="560" w:lineRule="exact"/>
        <w:ind w:firstLine="640" w:firstLineChars="200"/>
        <w:textAlignment w:val="auto"/>
        <w:rPr>
          <w:rFonts w:hint="eastAsia" w:eastAsia="仿宋_GB2312" w:cs="Times New Roman"/>
          <w:color w:val="auto"/>
          <w:sz w:val="32"/>
          <w:szCs w:val="32"/>
          <w:highlight w:val="none"/>
          <w:lang w:eastAsia="zh-CN"/>
        </w:rPr>
      </w:pPr>
    </w:p>
    <w:p>
      <w:pPr>
        <w:tabs>
          <w:tab w:val="left" w:pos="4154"/>
        </w:tabs>
        <w:jc w:val="left"/>
        <w:rPr>
          <w:rFonts w:hint="default" w:ascii="Times New Roman" w:hAnsi="Times New Roman" w:cs="Times New Roman"/>
          <w:b w:val="0"/>
          <w:bCs w:val="0"/>
          <w:sz w:val="28"/>
          <w:szCs w:val="28"/>
          <w:lang w:val="en-US" w:eastAsia="zh-CN"/>
        </w:rPr>
      </w:pPr>
    </w:p>
    <w:p>
      <w:pPr>
        <w:tabs>
          <w:tab w:val="left" w:pos="4154"/>
        </w:tabs>
        <w:jc w:val="left"/>
        <w:rPr>
          <w:rFonts w:hint="default" w:ascii="Times New Roman" w:hAnsi="Times New Roman" w:cs="Times New Roman"/>
          <w:b w:val="0"/>
          <w:bCs w:val="0"/>
          <w:sz w:val="28"/>
          <w:szCs w:val="28"/>
          <w:lang w:val="en-US" w:eastAsia="zh-CN"/>
        </w:rPr>
      </w:pPr>
    </w:p>
    <w:p>
      <w:pPr>
        <w:tabs>
          <w:tab w:val="left" w:pos="4154"/>
        </w:tabs>
        <w:jc w:val="left"/>
        <w:rPr>
          <w:rFonts w:hint="default" w:ascii="Times New Roman" w:hAnsi="Times New Roman" w:cs="Times New Roman"/>
          <w:b w:val="0"/>
          <w:bCs w:val="0"/>
          <w:sz w:val="28"/>
          <w:szCs w:val="28"/>
          <w:lang w:val="en-US" w:eastAsia="zh-CN"/>
        </w:rPr>
      </w:pPr>
    </w:p>
    <w:p>
      <w:pPr>
        <w:ind w:firstLine="640" w:firstLineChars="200"/>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39A165"/>
    <w:multiLevelType w:val="singleLevel"/>
    <w:tmpl w:val="B439A165"/>
    <w:lvl w:ilvl="0" w:tentative="0">
      <w:start w:val="1"/>
      <w:numFmt w:val="chineseCounting"/>
      <w:suff w:val="nothing"/>
      <w:lvlText w:val="%1、"/>
      <w:lvlJc w:val="left"/>
      <w:rPr>
        <w:rFonts w:hint="eastAsia"/>
      </w:rPr>
    </w:lvl>
  </w:abstractNum>
  <w:abstractNum w:abstractNumId="1">
    <w:nsid w:val="081BED20"/>
    <w:multiLevelType w:val="singleLevel"/>
    <w:tmpl w:val="081BED20"/>
    <w:lvl w:ilvl="0" w:tentative="0">
      <w:start w:val="4"/>
      <w:numFmt w:val="chineseCounting"/>
      <w:suff w:val="nothing"/>
      <w:lvlText w:val="%1、"/>
      <w:lvlJc w:val="left"/>
      <w:rPr>
        <w:rFonts w:hint="eastAsia"/>
      </w:rPr>
    </w:lvl>
  </w:abstractNum>
  <w:abstractNum w:abstractNumId="2">
    <w:nsid w:val="52314B75"/>
    <w:multiLevelType w:val="singleLevel"/>
    <w:tmpl w:val="52314B75"/>
    <w:lvl w:ilvl="0" w:tentative="0">
      <w:start w:val="3"/>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revisionView w:markup="0"/>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4506F9"/>
    <w:rsid w:val="0002229B"/>
    <w:rsid w:val="000273BD"/>
    <w:rsid w:val="000415B7"/>
    <w:rsid w:val="00041E3F"/>
    <w:rsid w:val="00055DAA"/>
    <w:rsid w:val="00061F7B"/>
    <w:rsid w:val="000658A3"/>
    <w:rsid w:val="00074155"/>
    <w:rsid w:val="000873EF"/>
    <w:rsid w:val="000A3F69"/>
    <w:rsid w:val="00103957"/>
    <w:rsid w:val="00124A1F"/>
    <w:rsid w:val="00152C6D"/>
    <w:rsid w:val="00162D39"/>
    <w:rsid w:val="001678BD"/>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197"/>
    <w:rsid w:val="003C47E6"/>
    <w:rsid w:val="003C4FC2"/>
    <w:rsid w:val="003E2331"/>
    <w:rsid w:val="00416E61"/>
    <w:rsid w:val="0042790C"/>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75489"/>
    <w:rsid w:val="00DD06FF"/>
    <w:rsid w:val="00DD5FE9"/>
    <w:rsid w:val="00E00C7A"/>
    <w:rsid w:val="00E209CF"/>
    <w:rsid w:val="00E37D6C"/>
    <w:rsid w:val="00E55B68"/>
    <w:rsid w:val="00E67BE6"/>
    <w:rsid w:val="00E8683C"/>
    <w:rsid w:val="00EA2B72"/>
    <w:rsid w:val="00F74360"/>
    <w:rsid w:val="00FB462F"/>
    <w:rsid w:val="00FE16FA"/>
    <w:rsid w:val="00FE328A"/>
    <w:rsid w:val="00FE6269"/>
    <w:rsid w:val="00FF5CD6"/>
    <w:rsid w:val="031311C1"/>
    <w:rsid w:val="05DD5CAE"/>
    <w:rsid w:val="07137F32"/>
    <w:rsid w:val="0BFB0491"/>
    <w:rsid w:val="10862DE1"/>
    <w:rsid w:val="184A2D56"/>
    <w:rsid w:val="184F6AA7"/>
    <w:rsid w:val="18BB651D"/>
    <w:rsid w:val="1C454742"/>
    <w:rsid w:val="1C6C3216"/>
    <w:rsid w:val="1EBE438E"/>
    <w:rsid w:val="24EC7B7F"/>
    <w:rsid w:val="27174182"/>
    <w:rsid w:val="276C69CC"/>
    <w:rsid w:val="2AF7FC9B"/>
    <w:rsid w:val="2C4E2ECE"/>
    <w:rsid w:val="316664D2"/>
    <w:rsid w:val="32C4346D"/>
    <w:rsid w:val="34B415CE"/>
    <w:rsid w:val="376C68FE"/>
    <w:rsid w:val="37BF5664"/>
    <w:rsid w:val="38BC67D4"/>
    <w:rsid w:val="39303A4A"/>
    <w:rsid w:val="39C70AAE"/>
    <w:rsid w:val="430976F7"/>
    <w:rsid w:val="43CC1B01"/>
    <w:rsid w:val="45C25099"/>
    <w:rsid w:val="48032D7C"/>
    <w:rsid w:val="4AA11CB0"/>
    <w:rsid w:val="4B867A5E"/>
    <w:rsid w:val="4C907F5E"/>
    <w:rsid w:val="4DFF1C03"/>
    <w:rsid w:val="50DB4D13"/>
    <w:rsid w:val="5531145B"/>
    <w:rsid w:val="56E79ADC"/>
    <w:rsid w:val="57792626"/>
    <w:rsid w:val="5B76C1A6"/>
    <w:rsid w:val="5B7D8D58"/>
    <w:rsid w:val="5DE60909"/>
    <w:rsid w:val="5F9046BF"/>
    <w:rsid w:val="639B23F2"/>
    <w:rsid w:val="66FF49B2"/>
    <w:rsid w:val="6AF332C9"/>
    <w:rsid w:val="6C9854C4"/>
    <w:rsid w:val="6DE37EAE"/>
    <w:rsid w:val="6DFD7326"/>
    <w:rsid w:val="6DFE97D2"/>
    <w:rsid w:val="6EFA997D"/>
    <w:rsid w:val="6F555E47"/>
    <w:rsid w:val="74090583"/>
    <w:rsid w:val="752F4C19"/>
    <w:rsid w:val="77FC2F46"/>
    <w:rsid w:val="79580B36"/>
    <w:rsid w:val="7A7A445B"/>
    <w:rsid w:val="7B3E38E9"/>
    <w:rsid w:val="7B5D9F68"/>
    <w:rsid w:val="7DDA495E"/>
    <w:rsid w:val="7DF31959"/>
    <w:rsid w:val="7DF5C6C3"/>
    <w:rsid w:val="7E215319"/>
    <w:rsid w:val="7EF6F6DF"/>
    <w:rsid w:val="7F7D221D"/>
    <w:rsid w:val="7FEFAB4F"/>
    <w:rsid w:val="7FFFD0B0"/>
    <w:rsid w:val="9EFB04E6"/>
    <w:rsid w:val="A7766709"/>
    <w:rsid w:val="ADE27834"/>
    <w:rsid w:val="CEFF17D7"/>
    <w:rsid w:val="DAE37B86"/>
    <w:rsid w:val="DAF6CAC3"/>
    <w:rsid w:val="E7FCB38C"/>
    <w:rsid w:val="EBBF4171"/>
    <w:rsid w:val="EDDD8478"/>
    <w:rsid w:val="EF8F02D3"/>
    <w:rsid w:val="EFFA6300"/>
    <w:rsid w:val="EFFF7F45"/>
    <w:rsid w:val="F7DBBADD"/>
    <w:rsid w:val="F7FBAC45"/>
    <w:rsid w:val="F7FD6792"/>
    <w:rsid w:val="F9F54359"/>
    <w:rsid w:val="FA9A9CA4"/>
    <w:rsid w:val="FABC67EA"/>
    <w:rsid w:val="FADCD872"/>
    <w:rsid w:val="FFAF3D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0"/>
    <w:pPr>
      <w:tabs>
        <w:tab w:val="left" w:pos="4154"/>
      </w:tabs>
      <w:outlineLvl w:val="0"/>
    </w:pPr>
    <w:rPr>
      <w:rFonts w:eastAsia="黑体"/>
      <w:b/>
      <w:bCs/>
      <w:kern w:val="44"/>
      <w:szCs w:val="44"/>
    </w:rPr>
  </w:style>
  <w:style w:type="paragraph" w:styleId="4">
    <w:name w:val="heading 2"/>
    <w:basedOn w:val="1"/>
    <w:next w:val="1"/>
    <w:qFormat/>
    <w:uiPriority w:val="0"/>
    <w:pPr>
      <w:tabs>
        <w:tab w:val="left" w:pos="4154"/>
      </w:tabs>
      <w:outlineLvl w:val="1"/>
    </w:pPr>
    <w:rPr>
      <w:rFonts w:ascii="Cambria" w:hAnsi="Cambria" w:eastAsia="楷体"/>
      <w:b/>
      <w:bCs/>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afterLines="0"/>
    </w:pPr>
    <w:rPr>
      <w:kern w:val="2"/>
      <w:sz w:val="21"/>
      <w:szCs w:val="24"/>
    </w:rPr>
  </w:style>
  <w:style w:type="paragraph" w:styleId="5">
    <w:name w:val="Balloon Text"/>
    <w:basedOn w:val="1"/>
    <w:link w:val="17"/>
    <w:semiHidden/>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qFormat/>
    <w:uiPriority w:val="0"/>
    <w:pPr>
      <w:tabs>
        <w:tab w:val="left" w:pos="4154"/>
      </w:tabs>
    </w:pPr>
  </w:style>
  <w:style w:type="paragraph" w:styleId="9">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0">
    <w:name w:val="Body Text First Indent"/>
    <w:basedOn w:val="2"/>
    <w:qFormat/>
    <w:uiPriority w:val="0"/>
    <w:pPr>
      <w:overflowPunct w:val="0"/>
      <w:autoSpaceDE w:val="0"/>
      <w:autoSpaceDN w:val="0"/>
      <w:adjustRightInd w:val="0"/>
      <w:spacing w:line="360" w:lineRule="auto"/>
      <w:ind w:firstLine="539"/>
      <w:textAlignment w:val="baseline"/>
    </w:pPr>
    <w:rPr>
      <w:sz w:val="28"/>
    </w:rPr>
  </w:style>
  <w:style w:type="character" w:customStyle="1" w:styleId="13">
    <w:name w:val="页眉 Char"/>
    <w:basedOn w:val="12"/>
    <w:link w:val="7"/>
    <w:qFormat/>
    <w:uiPriority w:val="99"/>
    <w:rPr>
      <w:sz w:val="18"/>
      <w:szCs w:val="18"/>
    </w:rPr>
  </w:style>
  <w:style w:type="character" w:customStyle="1" w:styleId="14">
    <w:name w:val="页脚 Char"/>
    <w:basedOn w:val="12"/>
    <w:link w:val="6"/>
    <w:qFormat/>
    <w:uiPriority w:val="99"/>
    <w:rPr>
      <w:sz w:val="18"/>
      <w:szCs w:val="18"/>
    </w:rPr>
  </w:style>
  <w:style w:type="paragraph" w:customStyle="1" w:styleId="15">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6">
    <w:name w:val="List Paragraph"/>
    <w:basedOn w:val="1"/>
    <w:qFormat/>
    <w:uiPriority w:val="34"/>
    <w:pPr>
      <w:ind w:firstLine="420" w:firstLineChars="200"/>
    </w:pPr>
  </w:style>
  <w:style w:type="character" w:customStyle="1" w:styleId="17">
    <w:name w:val="批注框文本 Char"/>
    <w:basedOn w:val="12"/>
    <w:link w:val="5"/>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29</Pages>
  <Words>9245</Words>
  <Characters>10708</Characters>
  <Lines>69</Lines>
  <Paragraphs>19</Paragraphs>
  <TotalTime>6</TotalTime>
  <ScaleCrop>false</ScaleCrop>
  <LinksUpToDate>false</LinksUpToDate>
  <CharactersWithSpaces>11933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2020-07-03T10:32:00Z</dcterms:created>
  <dc:creator>李航 null</dc:creator>
  <cp:lastModifiedBy>rani</cp:lastModifiedBy>
  <cp:lastPrinted>2022-07-28T20:55:00Z</cp:lastPrinted>
  <dcterms:modified xsi:type="dcterms:W3CDTF">2023-09-24T10:19:04Z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969C7055CBF045AF9745A271C15D79A0_13</vt:lpwstr>
  </property>
</Properties>
</file>