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12"/>
        <w:jc w:val="center"/>
        <w:rPr>
          <w:sz w:val="56"/>
          <w:szCs w:val="56"/>
        </w:rPr>
      </w:pPr>
    </w:p>
    <w:p>
      <w:pPr>
        <w:pStyle w:val="12"/>
        <w:jc w:val="center"/>
        <w:rPr>
          <w:sz w:val="56"/>
          <w:szCs w:val="56"/>
        </w:rPr>
      </w:pPr>
    </w:p>
    <w:p>
      <w:pPr>
        <w:pStyle w:val="12"/>
        <w:jc w:val="both"/>
        <w:rPr>
          <w:sz w:val="84"/>
          <w:szCs w:val="84"/>
        </w:rPr>
      </w:pPr>
    </w:p>
    <w:p>
      <w:pPr>
        <w:pStyle w:val="12"/>
        <w:jc w:val="both"/>
        <w:rPr>
          <w:sz w:val="84"/>
          <w:szCs w:val="84"/>
        </w:rPr>
      </w:pPr>
    </w:p>
    <w:p>
      <w:pPr>
        <w:pStyle w:val="12"/>
        <w:jc w:val="center"/>
        <w:rPr>
          <w:sz w:val="72"/>
          <w:szCs w:val="72"/>
        </w:rPr>
      </w:pPr>
      <w:r>
        <w:rPr>
          <w:rFonts w:hint="eastAsia"/>
          <w:sz w:val="72"/>
          <w:szCs w:val="72"/>
        </w:rPr>
        <w:t>2020年度</w:t>
      </w:r>
    </w:p>
    <w:p>
      <w:pPr>
        <w:pStyle w:val="12"/>
        <w:jc w:val="center"/>
        <w:rPr>
          <w:rFonts w:hint="default" w:eastAsia="黑体"/>
          <w:sz w:val="72"/>
          <w:szCs w:val="72"/>
          <w:lang w:val="en-US" w:eastAsia="zh-CN"/>
        </w:rPr>
      </w:pPr>
      <w:r>
        <w:rPr>
          <w:rFonts w:hint="eastAsia"/>
          <w:sz w:val="72"/>
          <w:szCs w:val="72"/>
          <w:lang w:val="en-US" w:eastAsia="zh-CN"/>
        </w:rPr>
        <w:t>湖南省洞庭湖生态环境监测中心</w:t>
      </w:r>
    </w:p>
    <w:p>
      <w:pPr>
        <w:pStyle w:val="12"/>
        <w:jc w:val="center"/>
        <w:rPr>
          <w:sz w:val="72"/>
          <w:szCs w:val="72"/>
        </w:rPr>
      </w:pPr>
      <w:r>
        <w:rPr>
          <w:rFonts w:hint="eastAsia"/>
          <w:sz w:val="72"/>
          <w:szCs w:val="72"/>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rFonts w:hint="eastAsia"/>
          <w:sz w:val="32"/>
          <w:szCs w:val="32"/>
        </w:rPr>
      </w:pPr>
    </w:p>
    <w:p>
      <w:pPr>
        <w:pStyle w:val="12"/>
        <w:jc w:val="center"/>
        <w:rPr>
          <w:rFonts w:hint="eastAsia"/>
          <w:sz w:val="32"/>
          <w:szCs w:val="32"/>
          <w:lang w:val="en-US" w:eastAsia="zh-CN"/>
        </w:rPr>
        <w:sectPr>
          <w:pgSz w:w="11906" w:h="16838"/>
          <w:pgMar w:top="720" w:right="720" w:bottom="720" w:left="720"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sz w:val="32"/>
          <w:szCs w:val="32"/>
          <w:lang w:val="en-US" w:eastAsia="zh-CN"/>
        </w:rPr>
        <w:t xml:space="preserve">                              </w:t>
      </w:r>
    </w:p>
    <w:p>
      <w:pPr>
        <w:pStyle w:val="12"/>
        <w:spacing w:line="500" w:lineRule="exact"/>
        <w:ind w:firstLine="3614" w:firstLineChars="1000"/>
        <w:jc w:val="both"/>
        <w:rPr>
          <w:b/>
          <w:sz w:val="36"/>
          <w:szCs w:val="28"/>
        </w:rPr>
      </w:pPr>
      <w:r>
        <w:rPr>
          <w:rFonts w:hint="eastAsia"/>
          <w:b/>
          <w:sz w:val="36"/>
          <w:szCs w:val="28"/>
        </w:rPr>
        <w:t>目录</w:t>
      </w:r>
    </w:p>
    <w:p>
      <w:pPr>
        <w:pStyle w:val="12"/>
        <w:spacing w:line="500" w:lineRule="exact"/>
        <w:outlineLvl w:val="0"/>
        <w:rPr>
          <w:rFonts w:ascii="仿宋_GB2312" w:hAnsi="仿宋_GB2312" w:cs="仿宋_GB2312"/>
          <w:b/>
          <w:sz w:val="28"/>
          <w:szCs w:val="28"/>
        </w:rPr>
      </w:pPr>
      <w:r>
        <w:rPr>
          <w:rFonts w:hint="eastAsia"/>
          <w:b/>
          <w:sz w:val="28"/>
          <w:szCs w:val="28"/>
        </w:rPr>
        <w:t>第一部分单位概况</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00" w:lineRule="exact"/>
        <w:outlineLvl w:val="0"/>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keepNext w:val="0"/>
        <w:keepLines w:val="0"/>
        <w:pageBreakBefore w:val="0"/>
        <w:widowControl w:val="0"/>
        <w:kinsoku/>
        <w:wordWrap/>
        <w:overflowPunct/>
        <w:topLinePunct w:val="0"/>
        <w:bidi w:val="0"/>
        <w:snapToGrid/>
        <w:spacing w:line="500" w:lineRule="exact"/>
        <w:ind w:firstLine="700" w:firstLineChars="250"/>
        <w:textAlignment w:val="auto"/>
        <w:outlineLvl w:val="9"/>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500" w:lineRule="exact"/>
        <w:outlineLvl w:val="0"/>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500" w:lineRule="exact"/>
        <w:ind w:firstLine="700" w:firstLineChars="250"/>
        <w:jc w:val="left"/>
        <w:textAlignment w:val="auto"/>
        <w:outlineLvl w:val="9"/>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lang w:val="en-US" w:eastAsia="zh-CN"/>
        </w:rPr>
        <w:t>九</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lang w:val="en-US" w:eastAsia="zh-CN"/>
        </w:rPr>
        <w:t>十、</w:t>
      </w:r>
      <w:r>
        <w:rPr>
          <w:rFonts w:hint="eastAsia" w:ascii="仿宋_GB2312" w:hAnsi="仿宋_GB2312" w:cs="仿宋_GB2312"/>
          <w:color w:val="000000"/>
          <w:kern w:val="0"/>
          <w:sz w:val="28"/>
          <w:szCs w:val="28"/>
        </w:rPr>
        <w:t>关于政府采购支出说明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w:t>
      </w:r>
      <w:r>
        <w:rPr>
          <w:rFonts w:hint="eastAsia" w:ascii="仿宋_GB2312" w:hAnsi="仿宋_GB2312" w:cs="仿宋_GB2312" w:eastAsiaTheme="minorEastAsia"/>
          <w:sz w:val="28"/>
          <w:szCs w:val="28"/>
          <w:lang w:val="en-US" w:eastAsia="zh-CN"/>
        </w:rPr>
        <w:t>一</w:t>
      </w:r>
      <w:r>
        <w:rPr>
          <w:rFonts w:hint="eastAsia" w:ascii="仿宋_GB2312" w:hAnsi="仿宋_GB2312" w:cs="仿宋_GB2312" w:eastAsiaTheme="minorEastAsia"/>
          <w:sz w:val="28"/>
          <w:szCs w:val="28"/>
        </w:rPr>
        <w:t>、关于国有资产占用情况说明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w:t>
      </w:r>
      <w:r>
        <w:rPr>
          <w:rFonts w:hint="eastAsia" w:ascii="仿宋_GB2312" w:hAnsi="仿宋_GB2312" w:cs="仿宋_GB2312" w:eastAsiaTheme="minorEastAsia"/>
          <w:sz w:val="28"/>
          <w:szCs w:val="28"/>
          <w:lang w:val="en-US" w:eastAsia="zh-CN"/>
        </w:rPr>
        <w:t>二</w:t>
      </w:r>
      <w:r>
        <w:rPr>
          <w:rFonts w:hint="eastAsia" w:ascii="仿宋_GB2312" w:hAnsi="仿宋_GB2312" w:cs="仿宋_GB2312" w:eastAsiaTheme="minorEastAsia"/>
          <w:sz w:val="28"/>
          <w:szCs w:val="28"/>
        </w:rPr>
        <w:t>、关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outlineLvl w:val="0"/>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outlineLvl w:val="0"/>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both"/>
        <w:rPr>
          <w:sz w:val="72"/>
          <w:szCs w:val="72"/>
        </w:rPr>
      </w:pPr>
    </w:p>
    <w:p>
      <w:pPr>
        <w:rPr>
          <w:sz w:val="72"/>
          <w:szCs w:val="72"/>
        </w:rPr>
      </w:pPr>
    </w:p>
    <w:p>
      <w:pPr>
        <w:pStyle w:val="12"/>
        <w:jc w:val="center"/>
        <w:rPr>
          <w:sz w:val="84"/>
          <w:szCs w:val="84"/>
        </w:rPr>
      </w:pPr>
      <w:r>
        <w:rPr>
          <w:rFonts w:hint="eastAsia"/>
          <w:sz w:val="84"/>
          <w:szCs w:val="84"/>
        </w:rPr>
        <w:t>第一部分</w:t>
      </w:r>
      <w:r>
        <w:rPr>
          <w:sz w:val="84"/>
          <w:szCs w:val="84"/>
        </w:rPr>
        <w:t xml:space="preserve"> </w:t>
      </w:r>
    </w:p>
    <w:p>
      <w:pPr>
        <w:rPr>
          <w:sz w:val="84"/>
          <w:szCs w:val="84"/>
        </w:rPr>
      </w:pPr>
    </w:p>
    <w:p>
      <w:pPr>
        <w:pStyle w:val="12"/>
        <w:jc w:val="center"/>
        <w:outlineLvl w:val="0"/>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0" w:leftChars="0" w:firstLine="0" w:firstLineChars="0"/>
        <w:jc w:val="left"/>
        <w:rPr>
          <w:rFonts w:ascii="黑体" w:hAnsi="黑体" w:eastAsia="黑体"/>
          <w:sz w:val="32"/>
          <w:szCs w:val="32"/>
        </w:rPr>
      </w:pPr>
    </w:p>
    <w:p>
      <w:pPr>
        <w:pStyle w:val="13"/>
        <w:ind w:left="0" w:leftChars="0" w:firstLine="0" w:firstLineChars="0"/>
        <w:jc w:val="left"/>
        <w:rPr>
          <w:rFonts w:ascii="黑体" w:hAnsi="黑体" w:eastAsia="黑体"/>
          <w:sz w:val="32"/>
          <w:szCs w:val="32"/>
        </w:rPr>
      </w:pPr>
    </w:p>
    <w:p>
      <w:pPr>
        <w:pStyle w:val="13"/>
        <w:numPr>
          <w:ilvl w:val="0"/>
          <w:numId w:val="0"/>
        </w:numPr>
        <w:ind w:leftChars="0" w:firstLine="643" w:firstLineChars="200"/>
        <w:jc w:val="left"/>
        <w:outlineLvl w:val="0"/>
        <w:rPr>
          <w:rFonts w:ascii="黑体" w:hAnsi="黑体" w:eastAsia="黑体"/>
          <w:b/>
          <w:bCs/>
          <w:sz w:val="32"/>
          <w:szCs w:val="32"/>
        </w:rPr>
      </w:pPr>
      <w:r>
        <w:rPr>
          <w:rFonts w:hint="eastAsia" w:ascii="黑体" w:hAnsi="黑体" w:eastAsia="黑体"/>
          <w:b/>
          <w:bCs/>
          <w:sz w:val="32"/>
          <w:szCs w:val="32"/>
          <w:lang w:val="en-US" w:eastAsia="zh-CN"/>
        </w:rPr>
        <w:t>一、</w:t>
      </w:r>
      <w:r>
        <w:rPr>
          <w:rFonts w:ascii="黑体" w:hAnsi="黑体" w:eastAsia="黑体"/>
          <w:b/>
          <w:bCs/>
          <w:sz w:val="32"/>
          <w:szCs w:val="32"/>
        </w:rPr>
        <w:t>部门职责</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湖南省洞庭湖生态环境监测中心</w:t>
      </w:r>
      <w:r>
        <w:rPr>
          <w:rFonts w:hint="eastAsia" w:ascii="宋体" w:hAnsi="宋体" w:eastAsia="宋体" w:cs="宋体"/>
          <w:sz w:val="32"/>
          <w:szCs w:val="32"/>
          <w:lang w:val="en-US" w:eastAsia="zh-CN"/>
        </w:rPr>
        <w:t>作为</w:t>
      </w:r>
      <w:r>
        <w:rPr>
          <w:rFonts w:hint="eastAsia" w:ascii="宋体" w:hAnsi="宋体" w:eastAsia="宋体" w:cs="宋体"/>
          <w:sz w:val="32"/>
          <w:szCs w:val="32"/>
        </w:rPr>
        <w:t>湖南省</w:t>
      </w:r>
      <w:r>
        <w:rPr>
          <w:rFonts w:hint="eastAsia" w:ascii="宋体" w:hAnsi="宋体" w:eastAsia="宋体" w:cs="宋体"/>
          <w:sz w:val="32"/>
          <w:szCs w:val="32"/>
          <w:lang w:val="en-US" w:eastAsia="zh-CN"/>
        </w:rPr>
        <w:t>生态环境</w:t>
      </w:r>
      <w:r>
        <w:rPr>
          <w:rFonts w:hint="eastAsia" w:ascii="宋体" w:hAnsi="宋体" w:eastAsia="宋体" w:cs="宋体"/>
          <w:sz w:val="32"/>
          <w:szCs w:val="32"/>
        </w:rPr>
        <w:t>厅</w:t>
      </w:r>
      <w:r>
        <w:rPr>
          <w:rFonts w:hint="eastAsia" w:ascii="宋体" w:hAnsi="宋体" w:eastAsia="宋体" w:cs="宋体"/>
          <w:sz w:val="32"/>
          <w:szCs w:val="32"/>
          <w:lang w:val="en-US" w:eastAsia="zh-CN"/>
        </w:rPr>
        <w:t>直属的</w:t>
      </w:r>
      <w:r>
        <w:rPr>
          <w:rFonts w:hint="eastAsia" w:ascii="宋体" w:hAnsi="宋体" w:eastAsia="宋体" w:cs="宋体"/>
          <w:sz w:val="32"/>
          <w:szCs w:val="32"/>
        </w:rPr>
        <w:t>二级</w:t>
      </w:r>
      <w:r>
        <w:rPr>
          <w:rFonts w:hint="eastAsia" w:ascii="宋体" w:hAnsi="宋体" w:eastAsia="宋体" w:cs="宋体"/>
          <w:sz w:val="32"/>
          <w:szCs w:val="32"/>
          <w:lang w:val="en-US" w:eastAsia="zh-CN"/>
        </w:rPr>
        <w:t>机构</w:t>
      </w:r>
      <w:r>
        <w:rPr>
          <w:rFonts w:hint="eastAsia" w:ascii="宋体" w:hAnsi="宋体" w:eastAsia="宋体" w:cs="宋体"/>
          <w:sz w:val="32"/>
          <w:szCs w:val="32"/>
        </w:rPr>
        <w:t>，</w:t>
      </w:r>
      <w:r>
        <w:rPr>
          <w:rFonts w:hint="eastAsia" w:ascii="宋体" w:hAnsi="宋体" w:eastAsia="宋体" w:cs="宋体"/>
          <w:sz w:val="32"/>
          <w:szCs w:val="32"/>
          <w:lang w:val="en-US" w:eastAsia="zh-CN"/>
        </w:rPr>
        <w:t>其主要职能是：</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（一）贯彻执行《中华人民共和国环境保护法》及有关环境保护和环境监测的法律、法规、标准、技术规范和管理制度。</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（二）参与洞庭湖生态环境监测规划和方案的制定，并贯彻执行。</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三）按照国家环境监测技术规范的要求，开展洞庭湖水环境质量监测、洞庭湖湿地生态系统地面定位监测、长江及重要支流水生生物监测、区域性生态环境预警监测和突发性环境污染事故应急监测等工作，以科学有效的监测数据为环境管理提供依据，为社会公众提供服务。</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（四）牵头全省水生生物监测技术拓展工作，组织开展各类环境监测机构的技术指导、人员培训，推进水生生物监测技术规范化。</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五）负责收集、整理、储存洞庭湖生态环境监测数据、资料，建立洞庭湖生态环境监测数据库和档案资料库。按生态环境信息发布有关规定，按时上报有关监测数据报告，并对洞庭湖生态环境质量进行综合分析，为生态环境保护与管理提供技术支持、技术监督和技术服务。</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（六）开展国家和地方各类洞庭湖相关的生态环境保护专项课题研究，参与分析方法开发与验证、监测技术的研究工作。</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（七）配合开展生态环境保护督察工作。</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（八）完成省生态环境厅和上级部门交办的其他工作任务。</w:t>
      </w:r>
    </w:p>
    <w:p>
      <w:pPr>
        <w:widowControl/>
        <w:spacing w:line="600" w:lineRule="exact"/>
        <w:ind w:firstLine="643" w:firstLineChars="200"/>
        <w:outlineLvl w:val="0"/>
        <w:rPr>
          <w:rFonts w:ascii="黑体" w:hAnsi="黑体" w:eastAsia="黑体"/>
          <w:b/>
          <w:bCs w:val="0"/>
          <w:kern w:val="0"/>
          <w:sz w:val="32"/>
          <w:szCs w:val="32"/>
        </w:rPr>
      </w:pPr>
      <w:r>
        <w:rPr>
          <w:rFonts w:hint="eastAsia" w:ascii="黑体" w:hAnsi="黑体" w:eastAsia="黑体"/>
          <w:b/>
          <w:bCs w:val="0"/>
          <w:kern w:val="0"/>
          <w:sz w:val="32"/>
          <w:szCs w:val="32"/>
        </w:rPr>
        <w:t>二、机构设置</w:t>
      </w:r>
    </w:p>
    <w:p>
      <w:pPr>
        <w:widowControl/>
        <w:spacing w:line="600" w:lineRule="exact"/>
        <w:ind w:firstLine="640" w:firstLineChars="200"/>
        <w:rPr>
          <w:rFonts w:hint="eastAsia" w:asciiTheme="minorEastAsia" w:hAnsiTheme="minorEastAsia" w:eastAsiaTheme="minorEastAsia" w:cstheme="minorEastAsia"/>
          <w:bCs/>
          <w:kern w:val="0"/>
          <w:sz w:val="32"/>
          <w:szCs w:val="32"/>
        </w:rPr>
      </w:pPr>
      <w:r>
        <w:rPr>
          <w:rFonts w:hint="eastAsia" w:asciiTheme="minorEastAsia" w:hAnsiTheme="minorEastAsia" w:eastAsiaTheme="minorEastAsia" w:cstheme="minorEastAsia"/>
          <w:bCs/>
          <w:kern w:val="0"/>
          <w:sz w:val="32"/>
          <w:szCs w:val="32"/>
        </w:rPr>
        <w:t>（一）内设</w:t>
      </w:r>
      <w:r>
        <w:rPr>
          <w:rFonts w:hint="eastAsia" w:asciiTheme="minorEastAsia" w:hAnsiTheme="minorEastAsia" w:cstheme="minorEastAsia"/>
          <w:bCs/>
          <w:kern w:val="0"/>
          <w:sz w:val="32"/>
          <w:szCs w:val="32"/>
          <w:lang w:val="en-US" w:eastAsia="zh-CN"/>
        </w:rPr>
        <w:t>科室</w:t>
      </w:r>
      <w:r>
        <w:rPr>
          <w:rFonts w:hint="eastAsia" w:asciiTheme="minorEastAsia" w:hAnsiTheme="minorEastAsia" w:eastAsiaTheme="minorEastAsia" w:cstheme="minorEastAsia"/>
          <w:bCs/>
          <w:kern w:val="0"/>
          <w:sz w:val="32"/>
          <w:szCs w:val="32"/>
        </w:rPr>
        <w:t>设置</w:t>
      </w:r>
    </w:p>
    <w:p>
      <w:pPr>
        <w:widowControl/>
        <w:spacing w:line="600" w:lineRule="exact"/>
        <w:ind w:firstLine="640" w:firstLineChars="200"/>
        <w:rPr>
          <w:rFonts w:hint="eastAsia" w:asciiTheme="minorEastAsia" w:hAnsiTheme="minorEastAsia" w:eastAsiaTheme="minorEastAsia" w:cstheme="minorEastAsia"/>
          <w:bCs/>
          <w:kern w:val="0"/>
          <w:sz w:val="32"/>
          <w:szCs w:val="32"/>
        </w:rPr>
      </w:pPr>
      <w:r>
        <w:rPr>
          <w:rFonts w:hint="eastAsia" w:asciiTheme="minorEastAsia" w:hAnsiTheme="minorEastAsia" w:eastAsiaTheme="minorEastAsia" w:cstheme="minorEastAsia"/>
          <w:i w:val="0"/>
          <w:iCs w:val="0"/>
          <w:caps w:val="0"/>
          <w:color w:val="000000"/>
          <w:spacing w:val="0"/>
          <w:sz w:val="32"/>
          <w:szCs w:val="32"/>
          <w:shd w:val="clear" w:fill="FFFFFF"/>
          <w:lang w:val="en-US" w:eastAsia="zh-CN"/>
        </w:rPr>
        <w:t>2020</w:t>
      </w:r>
      <w:r>
        <w:rPr>
          <w:rFonts w:hint="eastAsia" w:asciiTheme="minorEastAsia" w:hAnsiTheme="minorEastAsia" w:eastAsiaTheme="minorEastAsia" w:cstheme="minorEastAsia"/>
          <w:i w:val="0"/>
          <w:iCs w:val="0"/>
          <w:caps w:val="0"/>
          <w:color w:val="000000"/>
          <w:spacing w:val="0"/>
          <w:sz w:val="32"/>
          <w:szCs w:val="32"/>
          <w:shd w:val="clear" w:fill="FFFFFF"/>
        </w:rPr>
        <w:t>年，</w:t>
      </w:r>
      <w:r>
        <w:rPr>
          <w:rFonts w:hint="eastAsia" w:asciiTheme="minorEastAsia" w:hAnsiTheme="minorEastAsia" w:eastAsiaTheme="minorEastAsia" w:cstheme="minorEastAsia"/>
          <w:i w:val="0"/>
          <w:iCs w:val="0"/>
          <w:caps w:val="0"/>
          <w:color w:val="000000"/>
          <w:spacing w:val="0"/>
          <w:sz w:val="32"/>
          <w:szCs w:val="32"/>
          <w:shd w:val="clear" w:fill="FFFFFF"/>
          <w:lang w:val="en-US" w:eastAsia="zh-CN"/>
        </w:rPr>
        <w:t>中心</w:t>
      </w:r>
      <w:r>
        <w:rPr>
          <w:rFonts w:hint="eastAsia" w:asciiTheme="minorEastAsia" w:hAnsiTheme="minorEastAsia" w:eastAsiaTheme="minorEastAsia" w:cstheme="minorEastAsia"/>
          <w:i w:val="0"/>
          <w:iCs w:val="0"/>
          <w:caps w:val="0"/>
          <w:color w:val="000000"/>
          <w:spacing w:val="0"/>
          <w:sz w:val="32"/>
          <w:szCs w:val="32"/>
          <w:shd w:val="clear" w:fill="FFFFFF"/>
        </w:rPr>
        <w:t>内设</w:t>
      </w:r>
      <w:r>
        <w:rPr>
          <w:rFonts w:hint="eastAsia" w:asciiTheme="minorEastAsia" w:hAnsiTheme="minorEastAsia" w:cstheme="minorEastAsia"/>
          <w:i w:val="0"/>
          <w:iCs w:val="0"/>
          <w:caps w:val="0"/>
          <w:color w:val="000000"/>
          <w:spacing w:val="0"/>
          <w:sz w:val="32"/>
          <w:szCs w:val="32"/>
          <w:shd w:val="clear" w:fill="FFFFFF"/>
          <w:lang w:val="en-US" w:eastAsia="zh-CN"/>
        </w:rPr>
        <w:t>办</w:t>
      </w:r>
      <w:r>
        <w:rPr>
          <w:rFonts w:hint="eastAsia" w:asciiTheme="minorEastAsia" w:hAnsiTheme="minorEastAsia" w:eastAsiaTheme="minorEastAsia" w:cstheme="minorEastAsia"/>
          <w:color w:val="000000"/>
          <w:sz w:val="32"/>
          <w:szCs w:val="32"/>
        </w:rPr>
        <w:t>公室、人事教育科（纪检监察室）、计划财务科、质量控制科、综合技术科（现场监测</w:t>
      </w:r>
      <w:r>
        <w:rPr>
          <w:rFonts w:hint="eastAsia" w:asciiTheme="minorEastAsia" w:hAnsiTheme="minorEastAsia" w:cstheme="minorEastAsia"/>
          <w:color w:val="000000"/>
          <w:sz w:val="32"/>
          <w:szCs w:val="32"/>
          <w:lang w:val="en-US" w:eastAsia="zh-CN"/>
        </w:rPr>
        <w:t>科</w:t>
      </w:r>
      <w:r>
        <w:rPr>
          <w:rFonts w:hint="eastAsia" w:asciiTheme="minorEastAsia" w:hAnsiTheme="minorEastAsia" w:eastAsiaTheme="minorEastAsia" w:cstheme="minorEastAsia"/>
          <w:color w:val="000000"/>
          <w:sz w:val="32"/>
          <w:szCs w:val="32"/>
        </w:rPr>
        <w:t>）、分析室、生态监测科</w:t>
      </w:r>
      <w:r>
        <w:rPr>
          <w:rFonts w:hint="eastAsia" w:asciiTheme="minorEastAsia" w:hAnsiTheme="minorEastAsia" w:eastAsiaTheme="minorEastAsia" w:cstheme="minorEastAsia"/>
          <w:i w:val="0"/>
          <w:iCs w:val="0"/>
          <w:caps w:val="0"/>
          <w:color w:val="000000"/>
          <w:spacing w:val="0"/>
          <w:sz w:val="32"/>
          <w:szCs w:val="32"/>
          <w:shd w:val="clear" w:fill="FFFFFF"/>
        </w:rPr>
        <w:t>。</w:t>
      </w:r>
    </w:p>
    <w:p>
      <w:pPr>
        <w:widowControl/>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（二）决算单位构成</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lang w:val="en-US" w:eastAsia="zh-CN"/>
        </w:rPr>
        <w:t>湖南省洞庭湖生态环境监测中心</w:t>
      </w:r>
      <w:r>
        <w:rPr>
          <w:rFonts w:asciiTheme="minorEastAsia" w:hAnsiTheme="minorEastAsia"/>
          <w:bCs/>
          <w:kern w:val="0"/>
          <w:sz w:val="32"/>
          <w:szCs w:val="32"/>
        </w:rPr>
        <w:t>20</w:t>
      </w:r>
      <w:r>
        <w:rPr>
          <w:rFonts w:hint="eastAsia" w:asciiTheme="minorEastAsia" w:hAnsiTheme="minorEastAsia"/>
          <w:bCs/>
          <w:kern w:val="0"/>
          <w:sz w:val="32"/>
          <w:szCs w:val="32"/>
        </w:rPr>
        <w:t>20年部门决算公开单位构成</w:t>
      </w:r>
      <w:r>
        <w:rPr>
          <w:rFonts w:hint="eastAsia" w:asciiTheme="minorEastAsia" w:hAnsiTheme="minorEastAsia"/>
          <w:bCs/>
          <w:kern w:val="0"/>
          <w:sz w:val="32"/>
          <w:szCs w:val="32"/>
          <w:lang w:val="en-US" w:eastAsia="zh-CN"/>
        </w:rPr>
        <w:t>仅为本中心。</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both"/>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outlineLvl w:val="0"/>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1134" w:right="1080" w:bottom="1134" w:left="1080" w:header="851" w:footer="992" w:gutter="0"/>
          <w:pgBorders>
            <w:top w:val="none" w:sz="0" w:space="0"/>
            <w:left w:val="none" w:sz="0" w:space="0"/>
            <w:bottom w:val="none" w:sz="0" w:space="0"/>
            <w:right w:val="none" w:sz="0" w:space="0"/>
          </w:pgBorders>
          <w:cols w:space="0" w:num="1"/>
          <w:rtlGutter w:val="0"/>
          <w:docGrid w:type="lines" w:linePitch="312" w:charSpace="0"/>
        </w:sectPr>
      </w:pPr>
    </w:p>
    <w:tbl>
      <w:tblPr>
        <w:tblStyle w:val="8"/>
        <w:tblW w:w="15788" w:type="dxa"/>
        <w:tblInd w:w="91" w:type="dxa"/>
        <w:tblLayout w:type="fixed"/>
        <w:tblCellMar>
          <w:top w:w="0" w:type="dxa"/>
          <w:left w:w="108" w:type="dxa"/>
          <w:bottom w:w="0" w:type="dxa"/>
          <w:right w:w="108" w:type="dxa"/>
        </w:tblCellMar>
      </w:tblPr>
      <w:tblGrid>
        <w:gridCol w:w="15788"/>
      </w:tblGrid>
      <w:tr>
        <w:tblPrEx>
          <w:tblCellMar>
            <w:top w:w="0" w:type="dxa"/>
            <w:left w:w="108" w:type="dxa"/>
            <w:bottom w:w="0" w:type="dxa"/>
            <w:right w:w="108" w:type="dxa"/>
          </w:tblCellMar>
        </w:tblPrEx>
        <w:trPr>
          <w:trHeight w:val="4535" w:hRule="atLeast"/>
        </w:trPr>
        <w:tc>
          <w:tcPr>
            <w:tcW w:w="15788" w:type="dxa"/>
            <w:tcBorders>
              <w:top w:val="nil"/>
              <w:left w:val="nil"/>
              <w:bottom w:val="nil"/>
              <w:right w:val="nil"/>
            </w:tcBorders>
            <w:shd w:val="clear" w:color="auto" w:fill="auto"/>
            <w:noWrap/>
            <w:vAlign w:val="center"/>
          </w:tcPr>
          <w:tbl>
            <w:tblPr>
              <w:tblStyle w:val="8"/>
              <w:tblW w:w="14941" w:type="dxa"/>
              <w:tblInd w:w="0" w:type="dxa"/>
              <w:shd w:val="clear" w:color="auto" w:fill="auto"/>
              <w:tblLayout w:type="fixed"/>
              <w:tblCellMar>
                <w:top w:w="0" w:type="dxa"/>
                <w:left w:w="0" w:type="dxa"/>
                <w:bottom w:w="0" w:type="dxa"/>
                <w:right w:w="0" w:type="dxa"/>
              </w:tblCellMar>
            </w:tblPr>
            <w:tblGrid>
              <w:gridCol w:w="4207"/>
              <w:gridCol w:w="569"/>
              <w:gridCol w:w="2246"/>
              <w:gridCol w:w="4207"/>
              <w:gridCol w:w="569"/>
              <w:gridCol w:w="3143"/>
            </w:tblGrid>
            <w:tr>
              <w:tblPrEx>
                <w:shd w:val="clear" w:color="auto" w:fill="auto"/>
                <w:tblCellMar>
                  <w:top w:w="0" w:type="dxa"/>
                  <w:left w:w="0" w:type="dxa"/>
                  <w:bottom w:w="0" w:type="dxa"/>
                  <w:right w:w="0" w:type="dxa"/>
                </w:tblCellMar>
              </w:tblPrEx>
              <w:trPr>
                <w:trHeight w:val="283" w:hRule="exact"/>
              </w:trPr>
              <w:tc>
                <w:tcPr>
                  <w:tcW w:w="14941" w:type="dxa"/>
                  <w:gridSpan w:val="6"/>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center"/>
                    <w:rPr>
                      <w:rFonts w:hint="eastAsia" w:ascii="宋体" w:hAnsi="宋体" w:eastAsia="宋体" w:cs="宋体"/>
                      <w:i w:val="0"/>
                      <w:color w:val="000000"/>
                      <w:sz w:val="18"/>
                      <w:szCs w:val="18"/>
                      <w:u w:val="none"/>
                    </w:rPr>
                  </w:pPr>
                  <w:r>
                    <w:rPr>
                      <w:rFonts w:hint="eastAsia" w:ascii="黑体" w:hAnsi="宋体" w:eastAsia="黑体" w:cs="黑体"/>
                      <w:i w:val="0"/>
                      <w:color w:val="000000"/>
                      <w:kern w:val="0"/>
                      <w:sz w:val="24"/>
                      <w:szCs w:val="24"/>
                      <w:u w:val="none"/>
                      <w:lang w:val="en-US" w:eastAsia="zh-CN" w:bidi="ar"/>
                    </w:rPr>
                    <w:t>收入支出决算总表</w:t>
                  </w: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2246"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4207"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3143"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公开01表</w:t>
                  </w: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部门：湖南省洞庭湖生态环境监测中心</w:t>
                  </w:r>
                </w:p>
              </w:tc>
              <w:tc>
                <w:tcPr>
                  <w:tcW w:w="569" w:type="dxa"/>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2246" w:type="dxa"/>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p>
              </w:tc>
              <w:tc>
                <w:tcPr>
                  <w:tcW w:w="4207" w:type="dxa"/>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2020年度</w:t>
                  </w:r>
                </w:p>
              </w:tc>
              <w:tc>
                <w:tcPr>
                  <w:tcW w:w="569" w:type="dxa"/>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3143" w:type="dxa"/>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shd w:val="clear" w:color="auto" w:fill="auto"/>
                <w:tblCellMar>
                  <w:top w:w="0" w:type="dxa"/>
                  <w:left w:w="0" w:type="dxa"/>
                  <w:bottom w:w="0" w:type="dxa"/>
                  <w:right w:w="0" w:type="dxa"/>
                </w:tblCellMar>
              </w:tblPrEx>
              <w:trPr>
                <w:trHeight w:val="283" w:hRule="exact"/>
              </w:trPr>
              <w:tc>
                <w:tcPr>
                  <w:tcW w:w="7022"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7919"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tblPrEx>
                <w:shd w:val="clear" w:color="auto" w:fill="auto"/>
                <w:tblCellMar>
                  <w:top w:w="0" w:type="dxa"/>
                  <w:left w:w="0" w:type="dxa"/>
                  <w:bottom w:w="0" w:type="dxa"/>
                  <w:right w:w="0" w:type="dxa"/>
                </w:tblCellMar>
              </w:tblPrEx>
              <w:trPr>
                <w:trHeight w:val="283" w:hRule="exact"/>
              </w:trPr>
              <w:tc>
                <w:tcPr>
                  <w:tcW w:w="420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569"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2246"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决算数</w:t>
                  </w:r>
                </w:p>
              </w:tc>
              <w:tc>
                <w:tcPr>
                  <w:tcW w:w="420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3143"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决算数</w:t>
                  </w:r>
                </w:p>
              </w:tc>
            </w:tr>
            <w:tr>
              <w:tblPrEx>
                <w:shd w:val="clear" w:color="auto" w:fill="auto"/>
                <w:tblCellMar>
                  <w:top w:w="0" w:type="dxa"/>
                  <w:left w:w="0" w:type="dxa"/>
                  <w:bottom w:w="0" w:type="dxa"/>
                  <w:right w:w="0" w:type="dxa"/>
                </w:tblCellMar>
              </w:tblPrEx>
              <w:trPr>
                <w:trHeight w:val="283" w:hRule="exact"/>
              </w:trPr>
              <w:tc>
                <w:tcPr>
                  <w:tcW w:w="420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569" w:type="dxa"/>
                  <w:tcBorders>
                    <w:top w:val="single" w:color="000000" w:sz="4" w:space="0"/>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center"/>
                    <w:rPr>
                      <w:rFonts w:hint="eastAsia" w:ascii="宋体" w:hAnsi="宋体" w:eastAsia="宋体" w:cs="宋体"/>
                      <w:i w:val="0"/>
                      <w:color w:val="000000"/>
                      <w:sz w:val="18"/>
                      <w:szCs w:val="18"/>
                      <w:u w:val="none"/>
                    </w:rPr>
                  </w:pPr>
                </w:p>
              </w:tc>
              <w:tc>
                <w:tcPr>
                  <w:tcW w:w="2246" w:type="dxa"/>
                  <w:tcBorders>
                    <w:top w:val="single" w:color="000000" w:sz="4" w:space="0"/>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207" w:type="dxa"/>
                  <w:tcBorders>
                    <w:top w:val="single" w:color="000000" w:sz="4" w:space="0"/>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center"/>
                    <w:rPr>
                      <w:rFonts w:hint="eastAsia" w:ascii="宋体" w:hAnsi="宋体" w:eastAsia="宋体" w:cs="宋体"/>
                      <w:i w:val="0"/>
                      <w:color w:val="000000"/>
                      <w:sz w:val="18"/>
                      <w:szCs w:val="18"/>
                      <w:u w:val="none"/>
                    </w:rPr>
                  </w:pPr>
                </w:p>
              </w:tc>
              <w:tc>
                <w:tcPr>
                  <w:tcW w:w="3143"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shd w:val="clear" w:color="auto" w:fill="auto"/>
                <w:tblCellMar>
                  <w:top w:w="0" w:type="dxa"/>
                  <w:left w:w="0" w:type="dxa"/>
                  <w:bottom w:w="0" w:type="dxa"/>
                  <w:right w:w="0" w:type="dxa"/>
                </w:tblCellMar>
              </w:tblPrEx>
              <w:trPr>
                <w:trHeight w:val="300"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1058.28</w:t>
                  </w: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42.16</w:t>
                  </w: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三、国有资产经营预算财政拨款收入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四、上级补助收入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19.00</w:t>
                  </w: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五、事业收入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六、经营收入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七、附属单位上缴收入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lang w:val="en-US" w:eastAsia="zh-CN"/>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八、其他收入</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0.36</w:t>
                  </w: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128.51</w:t>
                  </w: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853.52</w:t>
                  </w: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十四、资源勘探信息等支出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51.02</w:t>
                  </w:r>
                </w:p>
              </w:tc>
            </w:tr>
            <w:tr>
              <w:tblPrEx>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二十一、灾害防治及应急管理支出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二十二、其他支出</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1077.64</w:t>
                  </w: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1075.21</w:t>
                  </w: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使用非财政拨款结余</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结余分配</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年初结转和结余</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194.60</w:t>
                  </w: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年末结转和结余</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197.03</w:t>
                  </w: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kern w:val="0"/>
                      <w:sz w:val="18"/>
                      <w:szCs w:val="18"/>
                      <w:u w:val="none"/>
                      <w:lang w:val="en-US" w:eastAsia="zh-CN" w:bidi="ar"/>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lang w:val="en-US" w:eastAsia="zh-CN"/>
                    </w:rPr>
                  </w:pP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kern w:val="0"/>
                      <w:sz w:val="18"/>
                      <w:szCs w:val="18"/>
                      <w:u w:val="none"/>
                      <w:lang w:val="en-US" w:eastAsia="zh-CN" w:bidi="ar"/>
                    </w:rPr>
                  </w:pP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55</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420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2246"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1272.24</w:t>
                  </w:r>
                </w:p>
              </w:tc>
              <w:tc>
                <w:tcPr>
                  <w:tcW w:w="4207"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69"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314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1272.24</w:t>
                  </w:r>
                </w:p>
              </w:tc>
            </w:tr>
          </w:tbl>
          <w:p>
            <w:pPr>
              <w:widowControl/>
              <w:jc w:val="both"/>
              <w:rPr>
                <w:rFonts w:hint="eastAsia" w:ascii="Times New Roman" w:hAnsi="Times New Roman" w:eastAsia="宋体" w:cs="Times New Roman"/>
                <w:bCs/>
                <w:kern w:val="0"/>
                <w:sz w:val="15"/>
                <w:szCs w:val="15"/>
                <w:lang w:eastAsia="zh-CN"/>
              </w:rPr>
            </w:pPr>
            <w:r>
              <w:rPr>
                <w:rFonts w:hint="eastAsia" w:ascii="宋体" w:hAnsi="宋体" w:eastAsia="宋体" w:cs="宋体"/>
                <w:kern w:val="0"/>
                <w:sz w:val="18"/>
                <w:szCs w:val="18"/>
              </w:rPr>
              <w:t>注：1.本表反映部门本年度的总收支和年末结转结余情况。 2.本套报表金额单位转换时可能存在尾数误差</w:t>
            </w:r>
            <w:r>
              <w:rPr>
                <w:rFonts w:hint="eastAsia" w:ascii="宋体" w:hAnsi="宋体" w:eastAsia="宋体" w:cs="宋体"/>
                <w:kern w:val="0"/>
                <w:sz w:val="18"/>
                <w:szCs w:val="18"/>
                <w:lang w:eastAsia="zh-CN"/>
              </w:rPr>
              <w:t>。</w:t>
            </w:r>
          </w:p>
          <w:p>
            <w:pPr>
              <w:widowControl/>
              <w:jc w:val="center"/>
              <w:rPr>
                <w:rFonts w:ascii="Times New Roman" w:hAnsi="Times New Roman" w:eastAsia="方正小标宋_GBK" w:cs="Times New Roman"/>
                <w:color w:val="000000"/>
                <w:kern w:val="0"/>
                <w:sz w:val="30"/>
                <w:szCs w:val="30"/>
              </w:rPr>
            </w:pPr>
            <w:r>
              <w:rPr>
                <w:rFonts w:ascii="Times New Roman" w:hAnsi="Times New Roman" w:eastAsia="黑体" w:cs="Times New Roman"/>
                <w:bCs/>
                <w:kern w:val="0"/>
                <w:sz w:val="30"/>
                <w:szCs w:val="30"/>
              </w:rPr>
              <w:br w:type="page"/>
            </w:r>
            <w:r>
              <w:rPr>
                <w:rFonts w:ascii="Times New Roman" w:hAnsi="Times New Roman" w:eastAsia="方正小标宋_GBK" w:cs="Times New Roman"/>
                <w:color w:val="000000"/>
                <w:kern w:val="0"/>
                <w:sz w:val="30"/>
                <w:szCs w:val="30"/>
              </w:rPr>
              <w:t>收入决算表</w:t>
            </w:r>
          </w:p>
          <w:p>
            <w:pPr>
              <w:widowControl/>
              <w:ind w:firstLine="720" w:firstLineChars="300"/>
              <w:jc w:val="left"/>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 xml:space="preserve">                                                         </w:t>
            </w:r>
            <w:r>
              <w:rPr>
                <w:rFonts w:hint="eastAsia" w:ascii="Times New Roman" w:hAnsi="Times New Roman" w:eastAsia="仿宋_GB2312" w:cs="Times New Roman"/>
                <w:color w:val="000000"/>
                <w:kern w:val="0"/>
                <w:sz w:val="24"/>
                <w:szCs w:val="24"/>
                <w:lang w:val="en-US" w:eastAsia="zh-CN"/>
              </w:rPr>
              <w:t xml:space="preserve">                                      </w:t>
            </w:r>
            <w:r>
              <w:rPr>
                <w:rFonts w:ascii="Times New Roman" w:hAnsi="Times New Roman" w:eastAsia="仿宋_GB2312" w:cs="Times New Roman"/>
                <w:color w:val="000000"/>
                <w:kern w:val="0"/>
                <w:sz w:val="24"/>
                <w:szCs w:val="24"/>
              </w:rPr>
              <w:t xml:space="preserve">             公开02表</w:t>
            </w:r>
          </w:p>
          <w:p>
            <w:pPr>
              <w:widowControl/>
              <w:ind w:firstLine="480" w:firstLineChars="200"/>
              <w:jc w:val="left"/>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 xml:space="preserve">部门： </w:t>
            </w:r>
            <w:r>
              <w:rPr>
                <w:rFonts w:hint="eastAsia" w:ascii="Times New Roman" w:hAnsi="Times New Roman" w:eastAsia="仿宋_GB2312" w:cs="Times New Roman"/>
                <w:color w:val="000000"/>
                <w:kern w:val="0"/>
                <w:sz w:val="24"/>
                <w:szCs w:val="24"/>
                <w:lang w:val="en-US" w:eastAsia="zh-CN"/>
              </w:rPr>
              <w:t>湖南省洞庭湖生态环境监测中心</w:t>
            </w:r>
            <w:r>
              <w:rPr>
                <w:rFonts w:ascii="Times New Roman" w:hAnsi="Times New Roman" w:eastAsia="仿宋_GB2312" w:cs="Times New Roman"/>
                <w:color w:val="000000"/>
                <w:kern w:val="0"/>
                <w:sz w:val="24"/>
                <w:szCs w:val="24"/>
              </w:rPr>
              <w:t xml:space="preserve"> </w:t>
            </w:r>
            <w:r>
              <w:rPr>
                <w:rFonts w:hint="eastAsia" w:ascii="Times New Roman" w:hAnsi="Times New Roman" w:eastAsia="仿宋_GB2312" w:cs="Times New Roman"/>
                <w:color w:val="000000"/>
                <w:kern w:val="0"/>
                <w:sz w:val="24"/>
                <w:szCs w:val="24"/>
                <w:lang w:val="en-US" w:eastAsia="zh-CN"/>
              </w:rPr>
              <w:t xml:space="preserve">                        2020年度                                          </w:t>
            </w:r>
            <w:r>
              <w:rPr>
                <w:rFonts w:ascii="Times New Roman" w:hAnsi="Times New Roman" w:eastAsia="仿宋_GB2312" w:cs="Times New Roman"/>
                <w:color w:val="000000"/>
                <w:kern w:val="0"/>
                <w:sz w:val="24"/>
                <w:szCs w:val="24"/>
              </w:rPr>
              <w:t>单位：</w:t>
            </w:r>
            <w:r>
              <w:rPr>
                <w:rFonts w:hint="eastAsia" w:ascii="Times New Roman" w:hAnsi="Times New Roman" w:eastAsia="仿宋_GB2312" w:cs="Times New Roman"/>
                <w:color w:val="000000"/>
                <w:kern w:val="0"/>
                <w:sz w:val="24"/>
                <w:szCs w:val="24"/>
                <w:lang w:val="en-US" w:eastAsia="zh-CN"/>
              </w:rPr>
              <w:t>万</w:t>
            </w:r>
            <w:r>
              <w:rPr>
                <w:rFonts w:ascii="Times New Roman" w:hAnsi="Times New Roman" w:eastAsia="仿宋_GB2312" w:cs="Times New Roman"/>
                <w:color w:val="000000"/>
                <w:kern w:val="0"/>
                <w:sz w:val="24"/>
                <w:szCs w:val="24"/>
              </w:rPr>
              <w:t>元</w:t>
            </w:r>
          </w:p>
          <w:tbl>
            <w:tblPr>
              <w:tblStyle w:val="8"/>
              <w:tblW w:w="15075" w:type="dxa"/>
              <w:tblInd w:w="0" w:type="dxa"/>
              <w:shd w:val="clear" w:color="auto" w:fill="auto"/>
              <w:tblLayout w:type="fixed"/>
              <w:tblCellMar>
                <w:top w:w="0" w:type="dxa"/>
                <w:left w:w="0" w:type="dxa"/>
                <w:bottom w:w="0" w:type="dxa"/>
                <w:right w:w="0" w:type="dxa"/>
              </w:tblCellMar>
            </w:tblPr>
            <w:tblGrid>
              <w:gridCol w:w="1002"/>
              <w:gridCol w:w="3772"/>
              <w:gridCol w:w="1572"/>
              <w:gridCol w:w="1572"/>
              <w:gridCol w:w="1402"/>
              <w:gridCol w:w="1214"/>
              <w:gridCol w:w="1650"/>
              <w:gridCol w:w="1377"/>
              <w:gridCol w:w="1514"/>
            </w:tblGrid>
            <w:tr>
              <w:tblPrEx>
                <w:shd w:val="clear" w:color="auto" w:fill="auto"/>
                <w:tblCellMar>
                  <w:top w:w="0" w:type="dxa"/>
                  <w:left w:w="0" w:type="dxa"/>
                  <w:bottom w:w="0" w:type="dxa"/>
                  <w:right w:w="0" w:type="dxa"/>
                </w:tblCellMar>
              </w:tblPrEx>
              <w:trPr>
                <w:trHeight w:val="308" w:hRule="atLeast"/>
              </w:trPr>
              <w:tc>
                <w:tcPr>
                  <w:tcW w:w="477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157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57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140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1214" w:type="dxa"/>
                  <w:vMerge w:val="restart"/>
                  <w:tcBorders>
                    <w:top w:val="single" w:color="000000" w:sz="4" w:space="0"/>
                    <w:left w:val="nil"/>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165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1377"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1514" w:type="dxa"/>
                  <w:vMerge w:val="restart"/>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shd w:val="clear" w:color="auto" w:fill="auto"/>
                <w:tblCellMar>
                  <w:top w:w="0" w:type="dxa"/>
                  <w:left w:w="0" w:type="dxa"/>
                  <w:bottom w:w="0" w:type="dxa"/>
                  <w:right w:w="0" w:type="dxa"/>
                </w:tblCellMar>
              </w:tblPrEx>
              <w:trPr>
                <w:trHeight w:val="943" w:hRule="atLeast"/>
              </w:trPr>
              <w:tc>
                <w:tcPr>
                  <w:tcW w:w="10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37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14" w:type="dxa"/>
                  <w:vMerge w:val="continue"/>
                  <w:tcBorders>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77"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14" w:type="dxa"/>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477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15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57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02"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2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650"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77"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514" w:type="dxa"/>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shd w:val="clear" w:color="auto" w:fill="auto"/>
                <w:tblCellMar>
                  <w:top w:w="0" w:type="dxa"/>
                  <w:left w:w="0" w:type="dxa"/>
                  <w:bottom w:w="0" w:type="dxa"/>
                  <w:right w:w="0" w:type="dxa"/>
                </w:tblCellMar>
              </w:tblPrEx>
              <w:trPr>
                <w:trHeight w:val="308" w:hRule="atLeast"/>
              </w:trPr>
              <w:tc>
                <w:tcPr>
                  <w:tcW w:w="4774"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1077.64</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1058.28</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19.00</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0.36</w:t>
                  </w: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134.00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134.00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行政事业单位养老支出</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134.00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134.00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134.00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134.00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883.64</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864.28</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19.00</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0.36</w:t>
                  </w: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环境保护管理事务</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721.64</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702.28</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19.00</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0.36</w:t>
                  </w: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2110101</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702.28</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702.28</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2110199</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其他环境保护管理事务支出</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19.36</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19.00</w:t>
                  </w: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0.36</w:t>
                  </w: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21111</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污染减排</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162.00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162.00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2111101</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生态环境监测与信息</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162.00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162.00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60.00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60.00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60.00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60.00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0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37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60.00</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60.00</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pPr>
              <w:widowControl/>
              <w:ind w:firstLine="840" w:firstLineChars="400"/>
              <w:jc w:val="left"/>
              <w:rPr>
                <w:rFonts w:hint="default" w:ascii="宋体" w:hAnsi="宋体" w:eastAsia="宋体" w:cs="宋体"/>
                <w:bCs/>
                <w:kern w:val="0"/>
                <w:sz w:val="21"/>
                <w:szCs w:val="21"/>
                <w:lang w:val="en-US" w:eastAsia="zh-CN"/>
              </w:rPr>
            </w:pPr>
            <w:r>
              <w:rPr>
                <w:rFonts w:hint="eastAsia" w:ascii="宋体" w:hAnsi="宋体" w:eastAsia="宋体" w:cs="宋体"/>
                <w:bCs/>
                <w:kern w:val="0"/>
                <w:sz w:val="21"/>
                <w:szCs w:val="21"/>
                <w:lang w:val="en-US" w:eastAsia="zh-CN"/>
              </w:rPr>
              <w:t>注：本表反映部门本年度取得的各项收入情况。</w:t>
            </w:r>
          </w:p>
          <w:p>
            <w:pPr>
              <w:widowControl/>
              <w:jc w:val="left"/>
              <w:rPr>
                <w:rFonts w:ascii="Times New Roman" w:hAnsi="Times New Roman" w:eastAsia="黑体" w:cs="Times New Roman"/>
                <w:bCs/>
                <w:kern w:val="0"/>
                <w:sz w:val="32"/>
                <w:szCs w:val="32"/>
              </w:rPr>
            </w:pPr>
          </w:p>
          <w:p>
            <w:pPr>
              <w:widowControl/>
              <w:jc w:val="left"/>
              <w:rPr>
                <w:rFonts w:ascii="Times New Roman" w:hAnsi="Times New Roman" w:eastAsia="黑体" w:cs="Times New Roman"/>
                <w:bCs/>
                <w:kern w:val="0"/>
                <w:sz w:val="32"/>
                <w:szCs w:val="32"/>
              </w:r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8"/>
              <w:tblW w:w="15107" w:type="dxa"/>
              <w:tblInd w:w="0" w:type="dxa"/>
              <w:shd w:val="clear" w:color="auto" w:fill="auto"/>
              <w:tblLayout w:type="fixed"/>
              <w:tblCellMar>
                <w:top w:w="0" w:type="dxa"/>
                <w:left w:w="0" w:type="dxa"/>
                <w:bottom w:w="0" w:type="dxa"/>
                <w:right w:w="0" w:type="dxa"/>
              </w:tblCellMar>
            </w:tblPr>
            <w:tblGrid>
              <w:gridCol w:w="742"/>
              <w:gridCol w:w="742"/>
              <w:gridCol w:w="240"/>
              <w:gridCol w:w="3879"/>
              <w:gridCol w:w="1541"/>
              <w:gridCol w:w="1690"/>
              <w:gridCol w:w="1705"/>
              <w:gridCol w:w="1524"/>
              <w:gridCol w:w="1352"/>
              <w:gridCol w:w="1692"/>
            </w:tblGrid>
            <w:tr>
              <w:tblPrEx>
                <w:shd w:val="clear" w:color="auto" w:fill="auto"/>
                <w:tblCellMar>
                  <w:top w:w="0" w:type="dxa"/>
                  <w:left w:w="0" w:type="dxa"/>
                  <w:bottom w:w="0" w:type="dxa"/>
                  <w:right w:w="0" w:type="dxa"/>
                </w:tblCellMar>
              </w:tblPrEx>
              <w:trPr>
                <w:trHeight w:val="625" w:hRule="atLeast"/>
              </w:trPr>
              <w:tc>
                <w:tcPr>
                  <w:tcW w:w="15107" w:type="dxa"/>
                  <w:gridSpan w:val="10"/>
                  <w:tcBorders>
                    <w:top w:val="nil"/>
                    <w:left w:val="nil"/>
                    <w:bottom w:val="nil"/>
                    <w:right w:val="nil"/>
                  </w:tcBorders>
                  <w:shd w:val="clear" w:color="auto" w:fill="auto"/>
                  <w:tcMar>
                    <w:top w:w="15" w:type="dxa"/>
                    <w:left w:w="15" w:type="dxa"/>
                    <w:right w:w="15" w:type="dxa"/>
                  </w:tcMar>
                  <w:vAlign w:val="bottom"/>
                </w:tcPr>
                <w:p>
                  <w:pPr>
                    <w:jc w:val="center"/>
                    <w:rPr>
                      <w:rFonts w:hint="default" w:ascii="Arial" w:hAnsi="Arial" w:cs="Arial"/>
                      <w:i w:val="0"/>
                      <w:color w:val="000000"/>
                      <w:sz w:val="20"/>
                      <w:szCs w:val="20"/>
                      <w:u w:val="none"/>
                    </w:rPr>
                  </w:pPr>
                  <w:r>
                    <w:rPr>
                      <w:rFonts w:hint="eastAsia" w:ascii="黑体" w:hAnsi="黑体" w:eastAsia="黑体" w:cs="黑体"/>
                      <w:i w:val="0"/>
                      <w:color w:val="000000"/>
                      <w:kern w:val="0"/>
                      <w:sz w:val="30"/>
                      <w:szCs w:val="30"/>
                      <w:u w:val="none"/>
                      <w:lang w:val="en-US" w:eastAsia="zh-CN" w:bidi="ar"/>
                    </w:rPr>
                    <w:t>支出决算表</w:t>
                  </w:r>
                </w:p>
              </w:tc>
            </w:tr>
            <w:tr>
              <w:tblPrEx>
                <w:shd w:val="clear" w:color="auto" w:fill="auto"/>
                <w:tblCellMar>
                  <w:top w:w="0" w:type="dxa"/>
                  <w:left w:w="0" w:type="dxa"/>
                  <w:bottom w:w="0" w:type="dxa"/>
                  <w:right w:w="0" w:type="dxa"/>
                </w:tblCellMar>
              </w:tblPrEx>
              <w:trPr>
                <w:trHeight w:val="285" w:hRule="atLeast"/>
              </w:trPr>
              <w:tc>
                <w:tcPr>
                  <w:tcW w:w="742"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742"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240"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3879"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541"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690"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524"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352"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692"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ind w:firstLine="240" w:firstLineChars="100"/>
                    <w:jc w:val="both"/>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公开03表</w:t>
                  </w:r>
                </w:p>
              </w:tc>
            </w:tr>
            <w:tr>
              <w:tblPrEx>
                <w:shd w:val="clear" w:color="auto" w:fill="auto"/>
                <w:tblCellMar>
                  <w:top w:w="0" w:type="dxa"/>
                  <w:left w:w="0" w:type="dxa"/>
                  <w:bottom w:w="0" w:type="dxa"/>
                  <w:right w:w="0" w:type="dxa"/>
                </w:tblCellMar>
              </w:tblPrEx>
              <w:trPr>
                <w:trHeight w:val="285" w:hRule="atLeast"/>
              </w:trPr>
              <w:tc>
                <w:tcPr>
                  <w:tcW w:w="5603" w:type="dxa"/>
                  <w:gridSpan w:val="4"/>
                  <w:tcBorders>
                    <w:top w:val="nil"/>
                    <w:left w:val="nil"/>
                    <w:bottom w:val="nil"/>
                    <w:right w:val="nil"/>
                  </w:tcBorders>
                  <w:shd w:val="clear" w:color="auto" w:fill="auto"/>
                  <w:tcMar>
                    <w:top w:w="15" w:type="dxa"/>
                    <w:left w:w="15" w:type="dxa"/>
                    <w:right w:w="15" w:type="dxa"/>
                  </w:tcMar>
                  <w:vAlign w:val="bottom"/>
                </w:tcPr>
                <w:p>
                  <w:pPr>
                    <w:ind w:firstLine="720" w:firstLineChars="300"/>
                    <w:rPr>
                      <w:rFonts w:hint="default" w:ascii="Arial" w:hAnsi="Arial" w:cs="Arial"/>
                      <w:i w:val="0"/>
                      <w:color w:val="000000"/>
                      <w:sz w:val="20"/>
                      <w:szCs w:val="20"/>
                      <w:u w:val="none"/>
                      <w:lang w:val="en-US"/>
                    </w:rPr>
                  </w:pPr>
                  <w:r>
                    <w:rPr>
                      <w:rFonts w:hint="eastAsia" w:ascii="宋体" w:hAnsi="宋体" w:eastAsia="宋体" w:cs="宋体"/>
                      <w:i w:val="0"/>
                      <w:color w:val="000000"/>
                      <w:kern w:val="0"/>
                      <w:sz w:val="24"/>
                      <w:szCs w:val="24"/>
                      <w:u w:val="none"/>
                      <w:lang w:val="en-US" w:eastAsia="zh-CN" w:bidi="ar"/>
                    </w:rPr>
                    <w:t>部门：湖南省洞庭湖生态环境监测中心</w:t>
                  </w:r>
                </w:p>
              </w:tc>
              <w:tc>
                <w:tcPr>
                  <w:tcW w:w="1541"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690" w:type="dxa"/>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 xml:space="preserve">  2020年度 </w:t>
                  </w:r>
                </w:p>
              </w:tc>
              <w:tc>
                <w:tcPr>
                  <w:tcW w:w="170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524"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eastAsiaTheme="minorEastAsia"/>
                      <w:i w:val="0"/>
                      <w:color w:val="000000"/>
                      <w:sz w:val="20"/>
                      <w:szCs w:val="20"/>
                      <w:u w:val="none"/>
                      <w:lang w:val="en-US" w:eastAsia="zh-CN"/>
                    </w:rPr>
                  </w:pPr>
                  <w:r>
                    <w:rPr>
                      <w:rFonts w:hint="eastAsia" w:ascii="Arial" w:hAnsi="Arial" w:cs="Arial"/>
                      <w:i w:val="0"/>
                      <w:color w:val="000000"/>
                      <w:sz w:val="20"/>
                      <w:szCs w:val="20"/>
                      <w:u w:val="none"/>
                      <w:lang w:val="en-US" w:eastAsia="zh-CN"/>
                    </w:rPr>
                    <w:t xml:space="preserve">  </w:t>
                  </w:r>
                </w:p>
              </w:tc>
              <w:tc>
                <w:tcPr>
                  <w:tcW w:w="3044"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ind w:firstLine="1440" w:firstLineChars="600"/>
                    <w:jc w:val="both"/>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shd w:val="clear" w:color="auto" w:fill="auto"/>
                <w:tblCellMar>
                  <w:top w:w="0" w:type="dxa"/>
                  <w:left w:w="0" w:type="dxa"/>
                  <w:bottom w:w="0" w:type="dxa"/>
                  <w:right w:w="0" w:type="dxa"/>
                </w:tblCellMar>
              </w:tblPrEx>
              <w:trPr>
                <w:trHeight w:val="308" w:hRule="atLeast"/>
              </w:trPr>
              <w:tc>
                <w:tcPr>
                  <w:tcW w:w="5603" w:type="dxa"/>
                  <w:gridSpan w:val="4"/>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1541"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69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70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524"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1352"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692" w:type="dxa"/>
                  <w:vMerge w:val="restart"/>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shd w:val="clear" w:color="auto" w:fill="auto"/>
                <w:tblCellMar>
                  <w:top w:w="0" w:type="dxa"/>
                  <w:left w:w="0" w:type="dxa"/>
                  <w:bottom w:w="0" w:type="dxa"/>
                  <w:right w:w="0" w:type="dxa"/>
                </w:tblCellMar>
              </w:tblPrEx>
              <w:trPr>
                <w:trHeight w:val="308" w:hRule="atLeast"/>
              </w:trPr>
              <w:tc>
                <w:tcPr>
                  <w:tcW w:w="1724"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功能分类</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科目编码</w:t>
                  </w:r>
                </w:p>
              </w:tc>
              <w:tc>
                <w:tcPr>
                  <w:tcW w:w="3879"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41"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9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2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5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92" w:type="dxa"/>
                  <w:vMerge w:val="continue"/>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87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41"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9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2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5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92" w:type="dxa"/>
                  <w:vMerge w:val="continue"/>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12" w:hRule="atLeast"/>
              </w:trPr>
              <w:tc>
                <w:tcPr>
                  <w:tcW w:w="1724"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879"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41"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9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2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52"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92" w:type="dxa"/>
                  <w:vMerge w:val="continue"/>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5603" w:type="dxa"/>
                  <w:gridSpan w:val="4"/>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154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69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70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52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52"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692" w:type="dxa"/>
                  <w:tcBorders>
                    <w:top w:val="nil"/>
                    <w:left w:val="nil"/>
                    <w:bottom w:val="single" w:color="000000" w:sz="4" w:space="0"/>
                    <w:right w:val="single" w:color="000000" w:sz="8"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shd w:val="clear" w:color="auto" w:fill="auto"/>
                <w:tblCellMar>
                  <w:top w:w="0" w:type="dxa"/>
                  <w:left w:w="0" w:type="dxa"/>
                  <w:bottom w:w="0" w:type="dxa"/>
                  <w:right w:w="0" w:type="dxa"/>
                </w:tblCellMar>
              </w:tblPrEx>
              <w:trPr>
                <w:trHeight w:val="308" w:hRule="atLeast"/>
              </w:trPr>
              <w:tc>
                <w:tcPr>
                  <w:tcW w:w="5603" w:type="dxa"/>
                  <w:gridSpan w:val="4"/>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1075.21</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887.73</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187.48</w:t>
                  </w: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2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42.16</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42.16</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人大事务</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42.16</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42.16</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2010101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42.16</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42.16</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128.51</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128.51</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行政事业单位养老支出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sz w:val="22"/>
                      <w:szCs w:val="22"/>
                      <w:u w:val="none"/>
                      <w:lang w:val="en-US" w:eastAsia="zh-CN"/>
                    </w:rPr>
                    <w:t>128.51</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sz w:val="22"/>
                      <w:szCs w:val="22"/>
                      <w:u w:val="none"/>
                      <w:lang w:val="en-US" w:eastAsia="zh-CN"/>
                    </w:rPr>
                    <w:t>128.51</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3"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sz w:val="22"/>
                      <w:szCs w:val="22"/>
                      <w:u w:val="none"/>
                      <w:lang w:val="en-US" w:eastAsia="zh-CN"/>
                    </w:rPr>
                    <w:t>128.51</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sz w:val="22"/>
                      <w:szCs w:val="22"/>
                      <w:u w:val="none"/>
                      <w:lang w:val="en-US" w:eastAsia="zh-CN"/>
                    </w:rPr>
                    <w:t>128.51</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853.52</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666.04</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187.48</w:t>
                  </w: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环境保护管理事务</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674.98</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666.04</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8.94</w:t>
                  </w: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2110101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666.04</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666.04</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2110199</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其他环境保护管理事务支出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8.94</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8.94</w:t>
                  </w: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污染减排</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178.54</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sz w:val="22"/>
                      <w:szCs w:val="22"/>
                      <w:u w:val="none"/>
                      <w:lang w:val="en-US" w:eastAsia="zh-CN"/>
                    </w:rPr>
                    <w:t>178.54</w:t>
                  </w: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2111101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生态环境监测与信息</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sz w:val="22"/>
                      <w:szCs w:val="22"/>
                      <w:u w:val="none"/>
                      <w:lang w:val="en-US" w:eastAsia="zh-CN"/>
                    </w:rPr>
                    <w:t>178.54</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178.54</w:t>
                  </w: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51.02</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51.02</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51.02</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51.02</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08" w:hRule="atLeast"/>
              </w:trPr>
              <w:tc>
                <w:tcPr>
                  <w:tcW w:w="1724"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38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15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51.02</w:t>
                  </w:r>
                </w:p>
              </w:tc>
              <w:tc>
                <w:tcPr>
                  <w:tcW w:w="16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51.02</w:t>
                  </w:r>
                </w:p>
              </w:tc>
              <w:tc>
                <w:tcPr>
                  <w:tcW w:w="1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5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3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c>
                <w:tcPr>
                  <w:tcW w:w="1692"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p>
              </w:tc>
            </w:tr>
          </w:tbl>
          <w:p>
            <w:pPr>
              <w:widowControl/>
              <w:jc w:val="left"/>
              <w:rPr>
                <w:rFonts w:ascii="Times New Roman" w:hAnsi="Times New Roman" w:eastAsia="仿宋_GB2312" w:cs="Times New Roman"/>
                <w:bCs/>
                <w:kern w:val="0"/>
                <w:szCs w:val="21"/>
              </w:rPr>
            </w:pPr>
            <w:r>
              <w:rPr>
                <w:rFonts w:hint="eastAsia" w:ascii="Times New Roman" w:hAnsi="Times New Roman" w:eastAsia="仿宋_GB2312" w:cs="Times New Roman"/>
                <w:bCs/>
                <w:kern w:val="0"/>
                <w:szCs w:val="21"/>
                <w:lang w:val="en-US" w:eastAsia="zh-CN"/>
              </w:rPr>
              <w:t xml:space="preserve">  注：本表反映部门本年度各项支出情况。</w:t>
            </w:r>
            <w:r>
              <w:rPr>
                <w:rFonts w:ascii="Times New Roman" w:hAnsi="Times New Roman" w:eastAsia="仿宋_GB2312" w:cs="Times New Roman"/>
                <w:bCs/>
                <w:kern w:val="0"/>
                <w:szCs w:val="21"/>
              </w:rPr>
              <w:br w:type="page"/>
            </w: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jc w:val="both"/>
              <w:rPr>
                <w:rFonts w:ascii="Times New Roman" w:hAnsi="Times New Roman" w:eastAsia="方正小标宋_GBK" w:cs="Times New Roman"/>
                <w:color w:val="000000"/>
                <w:kern w:val="0"/>
                <w:sz w:val="36"/>
                <w:szCs w:val="21"/>
              </w:rPr>
            </w:pPr>
          </w:p>
          <w:tbl>
            <w:tblPr>
              <w:tblStyle w:val="8"/>
              <w:tblW w:w="15339" w:type="dxa"/>
              <w:tblInd w:w="0" w:type="dxa"/>
              <w:shd w:val="clear" w:color="auto" w:fill="auto"/>
              <w:tblLayout w:type="fixed"/>
              <w:tblCellMar>
                <w:top w:w="0" w:type="dxa"/>
                <w:left w:w="0" w:type="dxa"/>
                <w:bottom w:w="0" w:type="dxa"/>
                <w:right w:w="0" w:type="dxa"/>
              </w:tblCellMar>
            </w:tblPr>
            <w:tblGrid>
              <w:gridCol w:w="2971"/>
              <w:gridCol w:w="532"/>
              <w:gridCol w:w="1363"/>
              <w:gridCol w:w="2932"/>
              <w:gridCol w:w="955"/>
              <w:gridCol w:w="1213"/>
              <w:gridCol w:w="1541"/>
              <w:gridCol w:w="1855"/>
              <w:gridCol w:w="1977"/>
            </w:tblGrid>
            <w:tr>
              <w:tblPrEx>
                <w:shd w:val="clear" w:color="auto" w:fill="auto"/>
                <w:tblCellMar>
                  <w:top w:w="0" w:type="dxa"/>
                  <w:left w:w="0" w:type="dxa"/>
                  <w:bottom w:w="0" w:type="dxa"/>
                  <w:right w:w="0" w:type="dxa"/>
                </w:tblCellMar>
              </w:tblPrEx>
              <w:trPr>
                <w:trHeight w:val="283" w:hRule="exact"/>
              </w:trPr>
              <w:tc>
                <w:tcPr>
                  <w:tcW w:w="15339" w:type="dxa"/>
                  <w:gridSpan w:val="9"/>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center"/>
                    <w:rPr>
                      <w:rFonts w:hint="default" w:ascii="宋体" w:hAnsi="宋体" w:eastAsia="宋体" w:cs="宋体"/>
                      <w:i w:val="0"/>
                      <w:color w:val="000000"/>
                      <w:sz w:val="18"/>
                      <w:szCs w:val="18"/>
                      <w:u w:val="none"/>
                      <w:lang w:val="en-US"/>
                    </w:rPr>
                  </w:pPr>
                  <w:r>
                    <w:rPr>
                      <w:rFonts w:hint="eastAsia" w:ascii="黑体" w:hAnsi="宋体" w:eastAsia="黑体" w:cs="黑体"/>
                      <w:i w:val="0"/>
                      <w:color w:val="000000"/>
                      <w:kern w:val="0"/>
                      <w:sz w:val="24"/>
                      <w:szCs w:val="24"/>
                      <w:u w:val="none"/>
                      <w:lang w:val="en-US" w:eastAsia="zh-CN" w:bidi="ar"/>
                    </w:rPr>
                    <w:t>财政拨款收入支出决算总表</w:t>
                  </w:r>
                </w:p>
              </w:tc>
            </w:tr>
            <w:tr>
              <w:tblPrEx>
                <w:shd w:val="clear" w:color="auto" w:fill="auto"/>
                <w:tblCellMar>
                  <w:top w:w="0" w:type="dxa"/>
                  <w:left w:w="0" w:type="dxa"/>
                  <w:bottom w:w="0" w:type="dxa"/>
                  <w:right w:w="0" w:type="dxa"/>
                </w:tblCellMar>
              </w:tblPrEx>
              <w:trPr>
                <w:trHeight w:val="269" w:hRule="exact"/>
              </w:trPr>
              <w:tc>
                <w:tcPr>
                  <w:tcW w:w="2971"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1363"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2932"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955" w:type="dxa"/>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6586" w:type="dxa"/>
                  <w:gridSpan w:val="4"/>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公开04表</w:t>
                  </w:r>
                </w:p>
              </w:tc>
            </w:tr>
            <w:tr>
              <w:tblPrEx>
                <w:shd w:val="clear" w:color="auto" w:fill="auto"/>
                <w:tblCellMar>
                  <w:top w:w="0" w:type="dxa"/>
                  <w:left w:w="0" w:type="dxa"/>
                  <w:bottom w:w="0" w:type="dxa"/>
                  <w:right w:w="0" w:type="dxa"/>
                </w:tblCellMar>
              </w:tblPrEx>
              <w:trPr>
                <w:trHeight w:val="283" w:hRule="exact"/>
              </w:trPr>
              <w:tc>
                <w:tcPr>
                  <w:tcW w:w="4866" w:type="dxa"/>
                  <w:gridSpan w:val="3"/>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部门：湖南省洞庭湖生态环境监测中心</w:t>
                  </w:r>
                </w:p>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2020年度</w:t>
                  </w:r>
                </w:p>
              </w:tc>
              <w:tc>
                <w:tcPr>
                  <w:tcW w:w="10473" w:type="dxa"/>
                  <w:gridSpan w:val="6"/>
                  <w:tcBorders>
                    <w:top w:val="nil"/>
                    <w:left w:val="nil"/>
                    <w:bottom w:val="single" w:color="000000" w:sz="4" w:space="0"/>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ind w:firstLine="2340" w:firstLineChars="130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2020年度                                                           单位：万元</w:t>
                  </w:r>
                </w:p>
              </w:tc>
            </w:tr>
            <w:tr>
              <w:tblPrEx>
                <w:shd w:val="clear" w:color="auto" w:fill="auto"/>
                <w:tblCellMar>
                  <w:top w:w="0" w:type="dxa"/>
                  <w:left w:w="0" w:type="dxa"/>
                  <w:bottom w:w="0" w:type="dxa"/>
                  <w:right w:w="0" w:type="dxa"/>
                </w:tblCellMar>
              </w:tblPrEx>
              <w:trPr>
                <w:trHeight w:val="283" w:hRule="exact"/>
              </w:trPr>
              <w:tc>
                <w:tcPr>
                  <w:tcW w:w="4866"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10473" w:type="dxa"/>
                  <w:gridSpan w:val="6"/>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tblPrEx>
                <w:shd w:val="clear" w:color="auto" w:fill="auto"/>
                <w:tblCellMar>
                  <w:top w:w="0" w:type="dxa"/>
                  <w:left w:w="0" w:type="dxa"/>
                  <w:bottom w:w="0" w:type="dxa"/>
                  <w:right w:w="0" w:type="dxa"/>
                </w:tblCellMar>
              </w:tblPrEx>
              <w:trPr>
                <w:trHeight w:val="375" w:hRule="exact"/>
              </w:trPr>
              <w:tc>
                <w:tcPr>
                  <w:tcW w:w="297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532"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1363"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金额</w:t>
                  </w:r>
                </w:p>
              </w:tc>
              <w:tc>
                <w:tcPr>
                  <w:tcW w:w="2932"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1213"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合计</w:t>
                  </w:r>
                </w:p>
              </w:tc>
              <w:tc>
                <w:tcPr>
                  <w:tcW w:w="154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5"/>
                      <w:szCs w:val="15"/>
                      <w:u w:val="none"/>
                      <w:lang w:val="en-US" w:eastAsia="zh-CN"/>
                    </w:rPr>
                  </w:pPr>
                  <w:r>
                    <w:rPr>
                      <w:rFonts w:hint="eastAsia" w:ascii="宋体" w:hAnsi="宋体" w:eastAsia="宋体" w:cs="宋体"/>
                      <w:i w:val="0"/>
                      <w:color w:val="000000"/>
                      <w:sz w:val="15"/>
                      <w:szCs w:val="15"/>
                      <w:u w:val="none"/>
                      <w:lang w:val="en-US" w:eastAsia="zh-CN"/>
                    </w:rPr>
                    <w:t xml:space="preserve">一般公共预算财政拨款 </w:t>
                  </w:r>
                </w:p>
              </w:tc>
              <w:tc>
                <w:tcPr>
                  <w:tcW w:w="1855"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5"/>
                      <w:szCs w:val="15"/>
                      <w:u w:val="none"/>
                      <w:lang w:val="en-US" w:eastAsia="zh-CN"/>
                    </w:rPr>
                  </w:pPr>
                  <w:r>
                    <w:rPr>
                      <w:rFonts w:hint="eastAsia" w:ascii="宋体" w:hAnsi="宋体" w:eastAsia="宋体" w:cs="宋体"/>
                      <w:i w:val="0"/>
                      <w:color w:val="000000"/>
                      <w:sz w:val="15"/>
                      <w:szCs w:val="15"/>
                      <w:u w:val="none"/>
                      <w:lang w:val="en-US" w:eastAsia="zh-CN"/>
                    </w:rPr>
                    <w:t>政府性基金预算财政拨款</w:t>
                  </w:r>
                </w:p>
              </w:tc>
              <w:tc>
                <w:tcPr>
                  <w:tcW w:w="1977"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5"/>
                      <w:szCs w:val="15"/>
                      <w:u w:val="none"/>
                      <w:lang w:val="en-US" w:eastAsia="zh-CN"/>
                    </w:rPr>
                  </w:pPr>
                  <w:r>
                    <w:rPr>
                      <w:rFonts w:hint="eastAsia" w:ascii="宋体" w:hAnsi="宋体" w:eastAsia="宋体" w:cs="宋体"/>
                      <w:i w:val="0"/>
                      <w:color w:val="000000"/>
                      <w:sz w:val="15"/>
                      <w:szCs w:val="15"/>
                      <w:u w:val="none"/>
                      <w:lang w:val="en-US" w:eastAsia="zh-CN"/>
                    </w:rPr>
                    <w:t>国有资本经营预算财政拨款</w:t>
                  </w:r>
                </w:p>
              </w:tc>
            </w:tr>
            <w:tr>
              <w:tblPrEx>
                <w:shd w:val="clear" w:color="auto" w:fill="auto"/>
                <w:tblCellMar>
                  <w:top w:w="0" w:type="dxa"/>
                  <w:left w:w="0" w:type="dxa"/>
                  <w:bottom w:w="0" w:type="dxa"/>
                  <w:right w:w="0" w:type="dxa"/>
                </w:tblCellMar>
              </w:tblPrEx>
              <w:trPr>
                <w:trHeight w:val="283" w:hRule="exact"/>
              </w:trPr>
              <w:tc>
                <w:tcPr>
                  <w:tcW w:w="297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532" w:type="dxa"/>
                  <w:tcBorders>
                    <w:top w:val="single" w:color="000000" w:sz="4" w:space="0"/>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center"/>
                    <w:rPr>
                      <w:rFonts w:hint="eastAsia" w:ascii="宋体" w:hAnsi="宋体" w:eastAsia="宋体" w:cs="宋体"/>
                      <w:i w:val="0"/>
                      <w:color w:val="000000"/>
                      <w:sz w:val="18"/>
                      <w:szCs w:val="18"/>
                      <w:u w:val="none"/>
                    </w:rPr>
                  </w:pPr>
                </w:p>
              </w:tc>
              <w:tc>
                <w:tcPr>
                  <w:tcW w:w="1363" w:type="dxa"/>
                  <w:tcBorders>
                    <w:top w:val="single" w:color="000000" w:sz="4" w:space="0"/>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932" w:type="dxa"/>
                  <w:tcBorders>
                    <w:top w:val="single" w:color="000000" w:sz="4" w:space="0"/>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center"/>
                    <w:rPr>
                      <w:rFonts w:hint="eastAsia" w:ascii="宋体" w:hAnsi="宋体" w:eastAsia="宋体" w:cs="宋体"/>
                      <w:i w:val="0"/>
                      <w:color w:val="000000"/>
                      <w:sz w:val="18"/>
                      <w:szCs w:val="18"/>
                      <w:u w:val="none"/>
                    </w:rPr>
                  </w:pPr>
                </w:p>
              </w:tc>
              <w:tc>
                <w:tcPr>
                  <w:tcW w:w="1213"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4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1855"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1977"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300"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一、一般公共预算财政拨款收入</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1058.28</w:t>
                  </w: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30</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42.16</w:t>
                  </w: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42.16</w:t>
                  </w: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二、政府性基金预算财政拨款收入</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31</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三、国有资产经营预算财政拨款收入</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32</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33</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35</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36</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default" w:ascii="宋体" w:hAnsi="宋体" w:eastAsia="宋体" w:cs="宋体"/>
                      <w:i w:val="0"/>
                      <w:color w:val="000000"/>
                      <w:sz w:val="18"/>
                      <w:szCs w:val="18"/>
                      <w:u w:val="none"/>
                      <w:lang w:val="en-US" w:eastAsia="zh-CN"/>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37</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128.51</w:t>
                  </w: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128.51</w:t>
                  </w: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38</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39</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844.58</w:t>
                  </w: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844.58</w:t>
                  </w: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40</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41</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42</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十四、资源勘探信息等支出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43</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44</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45</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46</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47</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48</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51.02</w:t>
                  </w: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51.02</w:t>
                  </w: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49</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二十一、灾害防治及应急管理支出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50</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二十二、其他支出</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51</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left"/>
                    <w:rPr>
                      <w:rFonts w:hint="eastAsia" w:ascii="宋体" w:hAnsi="宋体" w:eastAsia="宋体" w:cs="宋体"/>
                      <w:i w:val="0"/>
                      <w:color w:val="000000"/>
                      <w:sz w:val="18"/>
                      <w:szCs w:val="18"/>
                      <w:u w:val="none"/>
                    </w:rPr>
                  </w:pP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52</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atLeast"/>
                    <w:jc w:val="right"/>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1058.28</w:t>
                  </w: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53</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1066.27</w:t>
                  </w: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1066.27</w:t>
                  </w: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年初财政拨款结转和结余</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115.53</w:t>
                  </w: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ind w:firstLine="540" w:firstLineChars="300"/>
                    <w:jc w:val="lef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年末财政拨款结转和结余</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54</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107.54</w:t>
                  </w: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107.54</w:t>
                  </w: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59"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ind w:firstLine="360" w:firstLineChars="200"/>
                    <w:jc w:val="left"/>
                    <w:textAlignment w:val="center"/>
                    <w:rPr>
                      <w:rFonts w:hint="eastAsia" w:ascii="宋体" w:hAnsi="宋体" w:eastAsia="宋体" w:cs="宋体"/>
                      <w:i w:val="0"/>
                      <w:color w:val="000000"/>
                      <w:sz w:val="18"/>
                      <w:szCs w:val="18"/>
                      <w:u w:val="none"/>
                    </w:rPr>
                  </w:pPr>
                  <w:r>
                    <w:rPr>
                      <w:rFonts w:hint="eastAsia" w:ascii="宋体" w:hAnsi="宋体" w:eastAsia="宋体" w:cs="宋体"/>
                      <w:color w:val="000000"/>
                      <w:kern w:val="0"/>
                      <w:sz w:val="18"/>
                      <w:szCs w:val="18"/>
                      <w:lang w:val="en-US" w:eastAsia="zh-CN"/>
                    </w:rPr>
                    <w:t>一般公共预算财政拨款</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115.53</w:t>
                  </w: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i w:val="0"/>
                      <w:color w:val="000000"/>
                      <w:sz w:val="18"/>
                      <w:szCs w:val="18"/>
                      <w:u w:val="none"/>
                    </w:rPr>
                  </w:pP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55</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color w:val="000000"/>
                      <w:kern w:val="0"/>
                      <w:sz w:val="18"/>
                      <w:szCs w:val="18"/>
                      <w:lang w:val="en-US" w:eastAsia="zh-CN"/>
                    </w:rPr>
                    <w:t>政府性基金预算财政拨款</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lang w:val="en-US" w:eastAsia="zh-CN"/>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kern w:val="0"/>
                      <w:sz w:val="18"/>
                      <w:szCs w:val="18"/>
                      <w:u w:val="none"/>
                      <w:lang w:val="en-US" w:eastAsia="zh-CN" w:bidi="ar"/>
                    </w:rPr>
                  </w:pP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56</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lang w:val="en-US" w:eastAsia="zh-CN"/>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lang w:val="en-US" w:eastAsia="zh-CN"/>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lang w:val="en-US" w:eastAsia="zh-CN"/>
                    </w:rPr>
                  </w:pPr>
                </w:p>
              </w:tc>
            </w:tr>
            <w:tr>
              <w:tblPrEx>
                <w:tblCellMar>
                  <w:top w:w="0" w:type="dxa"/>
                  <w:left w:w="0" w:type="dxa"/>
                  <w:bottom w:w="0" w:type="dxa"/>
                  <w:right w:w="0" w:type="dxa"/>
                </w:tblCellMar>
              </w:tblPrEx>
              <w:trPr>
                <w:trHeight w:val="246"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color w:val="000000"/>
                      <w:kern w:val="0"/>
                      <w:sz w:val="18"/>
                      <w:szCs w:val="18"/>
                      <w:lang w:val="en-US" w:eastAsia="zh-CN"/>
                    </w:rPr>
                    <w:t>国有资本经营预算财政拨款</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eastAsia" w:ascii="宋体" w:hAnsi="宋体" w:eastAsia="宋体" w:cs="宋体"/>
                      <w:i w:val="0"/>
                      <w:color w:val="000000"/>
                      <w:sz w:val="18"/>
                      <w:szCs w:val="18"/>
                      <w:u w:val="none"/>
                      <w:lang w:val="en-US" w:eastAsia="zh-CN"/>
                    </w:rPr>
                  </w:pP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kern w:val="0"/>
                      <w:sz w:val="18"/>
                      <w:szCs w:val="18"/>
                      <w:u w:val="none"/>
                      <w:lang w:val="en-US" w:eastAsia="zh-CN" w:bidi="ar"/>
                    </w:rPr>
                  </w:pP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57</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2971"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136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1173.81</w:t>
                  </w:r>
                </w:p>
              </w:tc>
              <w:tc>
                <w:tcPr>
                  <w:tcW w:w="29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955"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1213"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1173.81</w:t>
                  </w:r>
                </w:p>
              </w:tc>
              <w:tc>
                <w:tcPr>
                  <w:tcW w:w="1541"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1173.81</w:t>
                  </w:r>
                </w:p>
              </w:tc>
              <w:tc>
                <w:tcPr>
                  <w:tcW w:w="185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eastAsia="zh-CN"/>
                    </w:rPr>
                  </w:pPr>
                </w:p>
              </w:tc>
              <w:tc>
                <w:tcPr>
                  <w:tcW w:w="197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atLeast"/>
                    <w:jc w:val="center"/>
                    <w:textAlignment w:val="center"/>
                    <w:rPr>
                      <w:rFonts w:hint="default" w:ascii="宋体" w:hAnsi="宋体" w:eastAsia="宋体" w:cs="宋体"/>
                      <w:i w:val="0"/>
                      <w:color w:val="000000"/>
                      <w:sz w:val="18"/>
                      <w:szCs w:val="18"/>
                      <w:u w:val="none"/>
                      <w:lang w:val="en-US" w:eastAsia="zh-CN"/>
                    </w:rPr>
                  </w:pPr>
                </w:p>
              </w:tc>
            </w:tr>
          </w:tbl>
          <w:p>
            <w:pPr>
              <w:widowControl/>
              <w:jc w:val="both"/>
              <w:rPr>
                <w:rFonts w:ascii="Times New Roman" w:hAnsi="Times New Roman" w:eastAsia="仿宋_GB2312" w:cs="Times New Roman"/>
                <w:kern w:val="0"/>
                <w:szCs w:val="21"/>
              </w:rPr>
            </w:pPr>
            <w:r>
              <w:rPr>
                <w:rFonts w:hint="eastAsia" w:ascii="Times New Roman" w:hAnsi="Times New Roman" w:eastAsia="方正小标宋_GBK" w:cs="Times New Roman"/>
                <w:color w:val="000000"/>
                <w:kern w:val="0"/>
                <w:sz w:val="18"/>
                <w:szCs w:val="18"/>
                <w:lang w:val="en-US" w:eastAsia="zh-CN"/>
              </w:rPr>
              <w:t>注：本表反映部门本年度一般公共预算财政拨款、政府性基金预算财政拨款和国有资本经营预算财政拨款的总收支和年末结转结余情况。</w:t>
            </w:r>
            <w:r>
              <w:rPr>
                <w:rFonts w:ascii="Times New Roman" w:hAnsi="Times New Roman" w:eastAsia="仿宋_GB2312" w:cs="Times New Roman"/>
                <w:kern w:val="0"/>
                <w:szCs w:val="21"/>
              </w:rPr>
              <w:br w:type="page"/>
            </w:r>
            <w:bookmarkStart w:id="0" w:name="RANGE!A1:I39"/>
          </w:p>
          <w:tbl>
            <w:tblPr>
              <w:tblStyle w:val="8"/>
              <w:tblW w:w="14807" w:type="dxa"/>
              <w:tblInd w:w="0" w:type="dxa"/>
              <w:shd w:val="clear" w:color="auto" w:fill="auto"/>
              <w:tblLayout w:type="fixed"/>
              <w:tblCellMar>
                <w:top w:w="0" w:type="dxa"/>
                <w:left w:w="0" w:type="dxa"/>
                <w:bottom w:w="0" w:type="dxa"/>
                <w:right w:w="0" w:type="dxa"/>
              </w:tblCellMar>
            </w:tblPr>
            <w:tblGrid>
              <w:gridCol w:w="925"/>
              <w:gridCol w:w="3955"/>
              <w:gridCol w:w="2727"/>
              <w:gridCol w:w="3477"/>
              <w:gridCol w:w="3723"/>
            </w:tblGrid>
            <w:tr>
              <w:tblPrEx>
                <w:shd w:val="clear" w:color="auto" w:fill="auto"/>
                <w:tblCellMar>
                  <w:top w:w="0" w:type="dxa"/>
                  <w:left w:w="0" w:type="dxa"/>
                  <w:bottom w:w="0" w:type="dxa"/>
                  <w:right w:w="0" w:type="dxa"/>
                </w:tblCellMar>
              </w:tblPrEx>
              <w:trPr>
                <w:trHeight w:val="285" w:hRule="atLeast"/>
              </w:trPr>
              <w:tc>
                <w:tcPr>
                  <w:tcW w:w="14807" w:type="dxa"/>
                  <w:gridSpan w:val="5"/>
                  <w:tcBorders>
                    <w:top w:val="nil"/>
                    <w:left w:val="nil"/>
                    <w:bottom w:val="nil"/>
                    <w:right w:val="nil"/>
                  </w:tcBorders>
                  <w:shd w:val="clear" w:color="auto" w:fill="auto"/>
                  <w:tcMar>
                    <w:top w:w="15" w:type="dxa"/>
                    <w:left w:w="15" w:type="dxa"/>
                    <w:right w:w="15" w:type="dxa"/>
                  </w:tcMar>
                  <w:vAlign w:val="bottom"/>
                </w:tcPr>
                <w:p>
                  <w:pPr>
                    <w:widowControl/>
                    <w:jc w:val="center"/>
                    <w:rPr>
                      <w:rFonts w:hint="eastAsia" w:ascii="Times New Roman" w:hAnsi="Times New Roman" w:eastAsia="方正小标宋_GBK" w:cs="Times New Roman"/>
                      <w:color w:val="000000"/>
                      <w:kern w:val="0"/>
                      <w:sz w:val="28"/>
                      <w:szCs w:val="36"/>
                      <w:lang w:val="en-US" w:eastAsia="zh-CN"/>
                    </w:rPr>
                  </w:pPr>
                  <w:r>
                    <w:rPr>
                      <w:rFonts w:hint="eastAsia" w:ascii="Times New Roman" w:hAnsi="Times New Roman" w:eastAsia="方正小标宋_GBK" w:cs="Times New Roman"/>
                      <w:color w:val="000000"/>
                      <w:kern w:val="0"/>
                      <w:sz w:val="28"/>
                      <w:szCs w:val="36"/>
                      <w:lang w:val="en-US" w:eastAsia="zh-CN"/>
                    </w:rPr>
                    <w:t xml:space="preserve">     </w:t>
                  </w:r>
                  <w:r>
                    <w:rPr>
                      <w:rFonts w:hint="eastAsia" w:ascii="Times New Roman" w:hAnsi="Times New Roman" w:eastAsia="方正小标宋_GBK" w:cs="Times New Roman"/>
                      <w:color w:val="000000"/>
                      <w:kern w:val="0"/>
                      <w:sz w:val="28"/>
                      <w:szCs w:val="36"/>
                    </w:rPr>
                    <w:t>一般公共预算财政拨款支出决算表</w:t>
                  </w:r>
                  <w:r>
                    <w:rPr>
                      <w:rFonts w:hint="eastAsia" w:ascii="Times New Roman" w:hAnsi="Times New Roman" w:eastAsia="方正小标宋_GBK" w:cs="Times New Roman"/>
                      <w:color w:val="000000"/>
                      <w:kern w:val="0"/>
                      <w:sz w:val="28"/>
                      <w:szCs w:val="36"/>
                      <w:lang w:val="en-US" w:eastAsia="zh-CN"/>
                    </w:rPr>
                    <w:t xml:space="preserve">                   </w:t>
                  </w:r>
                </w:p>
                <w:p>
                  <w:pPr>
                    <w:widowControl/>
                    <w:jc w:val="center"/>
                    <w:rPr>
                      <w:rFonts w:hint="default" w:ascii="Times New Roman" w:hAnsi="Times New Roman" w:eastAsia="方正小标宋_GBK" w:cs="Times New Roman"/>
                      <w:color w:val="000000"/>
                      <w:kern w:val="0"/>
                      <w:sz w:val="28"/>
                      <w:szCs w:val="36"/>
                      <w:lang w:val="en-US" w:eastAsia="zh-CN"/>
                    </w:rPr>
                  </w:pPr>
                  <w:r>
                    <w:rPr>
                      <w:rFonts w:hint="eastAsia" w:ascii="Times New Roman" w:hAnsi="Times New Roman" w:eastAsia="方正小标宋_GBK" w:cs="Times New Roman"/>
                      <w:color w:val="000000"/>
                      <w:kern w:val="0"/>
                      <w:sz w:val="28"/>
                      <w:szCs w:val="36"/>
                      <w:lang w:val="en-US" w:eastAsia="zh-CN"/>
                    </w:rPr>
                    <w:t xml:space="preserve">                                                                                          </w:t>
                  </w:r>
                  <w:r>
                    <w:rPr>
                      <w:rFonts w:hint="eastAsia" w:ascii="Times New Roman" w:hAnsi="Times New Roman" w:eastAsia="方正小标宋_GBK" w:cs="Times New Roman"/>
                      <w:color w:val="000000"/>
                      <w:kern w:val="0"/>
                      <w:sz w:val="20"/>
                      <w:szCs w:val="20"/>
                      <w:lang w:val="en-US" w:eastAsia="zh-CN"/>
                    </w:rPr>
                    <w:t xml:space="preserve"> 公开05表</w:t>
                  </w:r>
                </w:p>
                <w:p>
                  <w:pPr>
                    <w:rPr>
                      <w:rFonts w:hint="default" w:ascii="Arial" w:hAnsi="Arial" w:cs="Arial"/>
                      <w:i w:val="0"/>
                      <w:color w:val="000000"/>
                      <w:sz w:val="20"/>
                      <w:szCs w:val="20"/>
                      <w:u w:val="none"/>
                      <w:lang w:val="en-US"/>
                    </w:rPr>
                  </w:pPr>
                  <w:r>
                    <w:rPr>
                      <w:rFonts w:hint="eastAsia" w:ascii="Arial" w:hAnsi="Arial" w:cs="Arial"/>
                      <w:i w:val="0"/>
                      <w:color w:val="000000"/>
                      <w:sz w:val="20"/>
                      <w:szCs w:val="20"/>
                      <w:u w:val="none"/>
                      <w:lang w:val="en-US" w:eastAsia="zh-CN"/>
                    </w:rPr>
                    <w:t>部门：湖南省洞庭湖生态环境监测中心                                   2020年度                                                       单位：万元</w:t>
                  </w:r>
                </w:p>
              </w:tc>
            </w:tr>
            <w:tr>
              <w:tblPrEx>
                <w:shd w:val="clear" w:color="auto" w:fill="auto"/>
                <w:tblCellMar>
                  <w:top w:w="0" w:type="dxa"/>
                  <w:left w:w="0" w:type="dxa"/>
                  <w:bottom w:w="0" w:type="dxa"/>
                  <w:right w:w="0" w:type="dxa"/>
                </w:tblCellMar>
              </w:tblPrEx>
              <w:trPr>
                <w:trHeight w:val="459" w:hRule="atLeast"/>
              </w:trPr>
              <w:tc>
                <w:tcPr>
                  <w:tcW w:w="488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9927"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 xml:space="preserve">                                     本    年    支   出</w:t>
                  </w:r>
                </w:p>
              </w:tc>
            </w:tr>
            <w:tr>
              <w:tblPrEx>
                <w:shd w:val="clear" w:color="auto" w:fill="auto"/>
                <w:tblCellMar>
                  <w:top w:w="0" w:type="dxa"/>
                  <w:left w:w="0" w:type="dxa"/>
                  <w:bottom w:w="0" w:type="dxa"/>
                  <w:right w:w="0" w:type="dxa"/>
                </w:tblCellMar>
              </w:tblPrEx>
              <w:trPr>
                <w:trHeight w:val="732" w:hRule="atLeast"/>
              </w:trPr>
              <w:tc>
                <w:tcPr>
                  <w:tcW w:w="925"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3955"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727"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小计</w:t>
                  </w:r>
                </w:p>
              </w:tc>
              <w:tc>
                <w:tcPr>
                  <w:tcW w:w="3477"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基本支出</w:t>
                  </w:r>
                </w:p>
              </w:tc>
              <w:tc>
                <w:tcPr>
                  <w:tcW w:w="372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项目支出</w:t>
                  </w:r>
                </w:p>
              </w:tc>
            </w:tr>
            <w:tr>
              <w:tblPrEx>
                <w:shd w:val="clear" w:color="auto" w:fill="auto"/>
                <w:tblCellMar>
                  <w:top w:w="0" w:type="dxa"/>
                  <w:left w:w="0" w:type="dxa"/>
                  <w:bottom w:w="0" w:type="dxa"/>
                  <w:right w:w="0" w:type="dxa"/>
                </w:tblCellMar>
              </w:tblPrEx>
              <w:trPr>
                <w:trHeight w:val="390" w:hRule="atLeast"/>
              </w:trPr>
              <w:tc>
                <w:tcPr>
                  <w:tcW w:w="4880" w:type="dxa"/>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2727"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w:t>
                  </w:r>
                </w:p>
              </w:tc>
              <w:tc>
                <w:tcPr>
                  <w:tcW w:w="3477"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2</w:t>
                  </w:r>
                </w:p>
              </w:tc>
              <w:tc>
                <w:tcPr>
                  <w:tcW w:w="3723"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w:t>
                  </w:r>
                </w:p>
              </w:tc>
            </w:tr>
            <w:tr>
              <w:tblPrEx>
                <w:shd w:val="clear" w:color="auto" w:fill="auto"/>
                <w:tblCellMar>
                  <w:top w:w="0" w:type="dxa"/>
                  <w:left w:w="0" w:type="dxa"/>
                  <w:bottom w:w="0" w:type="dxa"/>
                  <w:right w:w="0" w:type="dxa"/>
                </w:tblCellMar>
              </w:tblPrEx>
              <w:trPr>
                <w:trHeight w:val="515" w:hRule="atLeast"/>
              </w:trPr>
              <w:tc>
                <w:tcPr>
                  <w:tcW w:w="4880" w:type="dxa"/>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1066.27</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887.73</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178.54</w:t>
                  </w:r>
                </w:p>
              </w:tc>
            </w:tr>
            <w:tr>
              <w:tblPrEx>
                <w:shd w:val="clear" w:color="auto" w:fill="auto"/>
                <w:tblCellMar>
                  <w:top w:w="0" w:type="dxa"/>
                  <w:left w:w="0" w:type="dxa"/>
                  <w:bottom w:w="0" w:type="dxa"/>
                  <w:right w:w="0" w:type="dxa"/>
                </w:tblCellMar>
              </w:tblPrEx>
              <w:trPr>
                <w:trHeight w:val="28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一般公共服务支出</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42.16</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42.16</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28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人大事务</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42.16</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42.16</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28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2010101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 xml:space="preserve">  行政运行</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42.16</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42.16</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28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社会保障和就业支出</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128.51</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128.51</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行政事业单位养老支出</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128.51</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128.51</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128.51</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128.51</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节能环保支出</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844.58</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666.04</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178.54</w:t>
                  </w: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环境保护管理事务</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666.04</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666.04</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2110101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 xml:space="preserve">  行政运行</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666.04</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666.04</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污染减排</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178.54</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178.54</w:t>
                  </w: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2111101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 xml:space="preserve">  生态环境监测与信息</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178.54</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178.54</w:t>
                  </w: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住房保障支出</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51.02</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51.02</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住房改革支出</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51.02</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51.02</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r>
              <w:tblPrEx>
                <w:shd w:val="clear" w:color="auto" w:fill="auto"/>
                <w:tblCellMar>
                  <w:top w:w="0" w:type="dxa"/>
                  <w:left w:w="0" w:type="dxa"/>
                  <w:bottom w:w="0" w:type="dxa"/>
                  <w:right w:w="0" w:type="dxa"/>
                </w:tblCellMar>
              </w:tblPrEx>
              <w:trPr>
                <w:trHeight w:val="306" w:hRule="atLeast"/>
              </w:trPr>
              <w:tc>
                <w:tcPr>
                  <w:tcW w:w="92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3955" w:type="dxa"/>
                  <w:tcBorders>
                    <w:top w:val="single" w:color="000000" w:sz="4" w:space="0"/>
                    <w:left w:val="single" w:color="000000" w:sz="4" w:space="0"/>
                    <w:bottom w:val="single" w:color="000000" w:sz="4" w:space="0"/>
                    <w:right w:val="single" w:color="000000" w:sz="4" w:space="0"/>
                  </w:tcBorders>
                  <w:shd w:val="clear" w:color="FFFFFF"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 xml:space="preserve">  住房公积金</w:t>
                  </w:r>
                </w:p>
              </w:tc>
              <w:tc>
                <w:tcPr>
                  <w:tcW w:w="2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51.02</w:t>
                  </w:r>
                </w:p>
              </w:tc>
              <w:tc>
                <w:tcPr>
                  <w:tcW w:w="3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51.02</w:t>
                  </w:r>
                </w:p>
              </w:tc>
              <w:tc>
                <w:tcPr>
                  <w:tcW w:w="3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p>
              </w:tc>
            </w:tr>
          </w:tbl>
          <w:p>
            <w:pPr>
              <w:widowControl/>
              <w:jc w:val="both"/>
              <w:rPr>
                <w:rFonts w:hint="default" w:ascii="宋体" w:hAnsi="宋体" w:eastAsia="宋体" w:cs="宋体"/>
                <w:color w:val="000000"/>
                <w:kern w:val="0"/>
                <w:sz w:val="21"/>
                <w:szCs w:val="21"/>
                <w:lang w:val="en-US" w:eastAsia="zh-CN"/>
              </w:rPr>
            </w:pPr>
            <w:r>
              <w:rPr>
                <w:rFonts w:hint="eastAsia" w:ascii="Times New Roman" w:hAnsi="Times New Roman" w:eastAsia="方正小标宋_GBK" w:cs="Times New Roman"/>
                <w:color w:val="000000"/>
                <w:kern w:val="0"/>
                <w:sz w:val="28"/>
                <w:szCs w:val="36"/>
                <w:lang w:val="en-US" w:eastAsia="zh-CN"/>
              </w:rPr>
              <w:t xml:space="preserve"> </w:t>
            </w:r>
            <w:r>
              <w:rPr>
                <w:rFonts w:hint="eastAsia" w:ascii="宋体" w:hAnsi="宋体" w:eastAsia="宋体" w:cs="宋体"/>
                <w:color w:val="000000"/>
                <w:kern w:val="0"/>
                <w:sz w:val="28"/>
                <w:szCs w:val="36"/>
                <w:lang w:val="en-US" w:eastAsia="zh-CN"/>
              </w:rPr>
              <w:t xml:space="preserve"> </w:t>
            </w:r>
            <w:r>
              <w:rPr>
                <w:rFonts w:hint="eastAsia" w:ascii="宋体" w:hAnsi="宋体" w:eastAsia="宋体" w:cs="宋体"/>
                <w:color w:val="000000"/>
                <w:kern w:val="0"/>
                <w:sz w:val="21"/>
                <w:szCs w:val="21"/>
                <w:lang w:val="en-US" w:eastAsia="zh-CN"/>
              </w:rPr>
              <w:t>注：本表反映部门本年度一般公共预算财政拨款支出情况。</w:t>
            </w:r>
          </w:p>
          <w:p>
            <w:pPr>
              <w:widowControl/>
              <w:jc w:val="both"/>
              <w:rPr>
                <w:rFonts w:ascii="Times New Roman" w:hAnsi="Times New Roman" w:eastAsia="方正小标宋_GBK" w:cs="Times New Roman"/>
                <w:color w:val="000000"/>
                <w:kern w:val="0"/>
                <w:sz w:val="28"/>
                <w:szCs w:val="36"/>
              </w:rPr>
            </w:pPr>
          </w:p>
          <w:p>
            <w:pPr>
              <w:widowControl/>
              <w:jc w:val="center"/>
              <w:rPr>
                <w:rFonts w:ascii="Times New Roman" w:hAnsi="Times New Roman" w:eastAsia="方正小标宋_GBK" w:cs="Times New Roman"/>
                <w:color w:val="000000"/>
                <w:kern w:val="0"/>
                <w:sz w:val="28"/>
                <w:szCs w:val="36"/>
              </w:rPr>
            </w:pPr>
          </w:p>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ascii="Times New Roman" w:hAnsi="Times New Roman" w:eastAsia="方正小标宋_GBK" w:cs="Times New Roman"/>
                <w:color w:val="000000"/>
                <w:kern w:val="0"/>
                <w:sz w:val="20"/>
                <w:szCs w:val="20"/>
              </w:rPr>
            </w:pPr>
          </w:p>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ascii="Times New Roman" w:hAnsi="Times New Roman" w:eastAsia="方正小标宋_GBK" w:cs="Times New Roman"/>
                <w:color w:val="000000"/>
                <w:kern w:val="0"/>
                <w:sz w:val="20"/>
                <w:szCs w:val="20"/>
              </w:rPr>
            </w:pP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Times New Roman" w:hAnsi="Times New Roman" w:eastAsia="方正小标宋_GBK" w:cs="Times New Roman"/>
                <w:color w:val="000000"/>
                <w:kern w:val="0"/>
                <w:sz w:val="32"/>
                <w:szCs w:val="32"/>
              </w:rPr>
            </w:pPr>
            <w:r>
              <w:rPr>
                <w:rFonts w:ascii="Times New Roman" w:hAnsi="Times New Roman" w:eastAsia="方正小标宋_GBK" w:cs="Times New Roman"/>
                <w:color w:val="000000"/>
                <w:kern w:val="0"/>
                <w:sz w:val="30"/>
                <w:szCs w:val="30"/>
              </w:rPr>
              <w:t>一般公共预算财政拨款基本支出决算表</w:t>
            </w:r>
            <w:bookmarkEnd w:id="0"/>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Times New Roman" w:hAnsi="Times New Roman" w:eastAsia="仿宋_GB2312" w:cs="Times New Roman"/>
                <w:color w:val="000000"/>
                <w:kern w:val="0"/>
                <w:sz w:val="22"/>
                <w:szCs w:val="22"/>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 w:val="22"/>
                <w:szCs w:val="22"/>
                <w:lang w:val="en-US" w:eastAsia="zh-CN"/>
              </w:rPr>
              <w:t xml:space="preserve">  </w:t>
            </w:r>
            <w:r>
              <w:rPr>
                <w:rFonts w:ascii="Times New Roman" w:hAnsi="Times New Roman" w:eastAsia="仿宋_GB2312" w:cs="Times New Roman"/>
                <w:color w:val="000000"/>
                <w:kern w:val="0"/>
                <w:sz w:val="22"/>
                <w:szCs w:val="22"/>
              </w:rPr>
              <w:t>公开06表</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ascii="Times New Roman" w:hAnsi="Times New Roman" w:eastAsia="仿宋_GB2312" w:cs="Times New Roman"/>
                <w:color w:val="000000"/>
                <w:kern w:val="0"/>
                <w:sz w:val="18"/>
                <w:szCs w:val="18"/>
              </w:rPr>
            </w:pPr>
            <w:r>
              <w:rPr>
                <w:rFonts w:hint="eastAsia" w:ascii="Times New Roman" w:hAnsi="Times New Roman" w:eastAsia="仿宋_GB2312" w:cs="Times New Roman"/>
                <w:color w:val="000000"/>
                <w:kern w:val="0"/>
                <w:sz w:val="22"/>
                <w:szCs w:val="22"/>
                <w:lang w:val="en-US" w:eastAsia="zh-CN"/>
              </w:rPr>
              <w:t xml:space="preserve">部门：湖南省洞庭湖生态环境监测中心       </w:t>
            </w:r>
            <w:r>
              <w:rPr>
                <w:rFonts w:hint="eastAsia" w:ascii="Times New Roman" w:hAnsi="Times New Roman" w:eastAsia="仿宋_GB2312" w:cs="Times New Roman"/>
                <w:color w:val="000000"/>
                <w:kern w:val="0"/>
                <w:sz w:val="18"/>
                <w:szCs w:val="18"/>
                <w:lang w:val="en-US" w:eastAsia="zh-CN"/>
              </w:rPr>
              <w:t xml:space="preserve">                                                                                                            </w:t>
            </w:r>
            <w:r>
              <w:rPr>
                <w:rFonts w:ascii="Times New Roman" w:hAnsi="Times New Roman" w:eastAsia="仿宋_GB2312" w:cs="Times New Roman"/>
                <w:color w:val="000000"/>
                <w:kern w:val="0"/>
                <w:sz w:val="22"/>
                <w:szCs w:val="22"/>
              </w:rPr>
              <w:t>单位：</w:t>
            </w:r>
            <w:r>
              <w:rPr>
                <w:rFonts w:hint="eastAsia" w:ascii="Times New Roman" w:hAnsi="Times New Roman" w:eastAsia="仿宋_GB2312" w:cs="Times New Roman"/>
                <w:color w:val="000000"/>
                <w:kern w:val="0"/>
                <w:sz w:val="22"/>
                <w:szCs w:val="22"/>
                <w:lang w:val="en-US" w:eastAsia="zh-CN"/>
              </w:rPr>
              <w:t>万</w:t>
            </w:r>
            <w:r>
              <w:rPr>
                <w:rFonts w:ascii="Times New Roman" w:hAnsi="Times New Roman" w:eastAsia="仿宋_GB2312" w:cs="Times New Roman"/>
                <w:color w:val="000000"/>
                <w:kern w:val="0"/>
                <w:sz w:val="22"/>
                <w:szCs w:val="22"/>
              </w:rPr>
              <w:t>元</w:t>
            </w:r>
          </w:p>
          <w:tbl>
            <w:tblPr>
              <w:tblStyle w:val="8"/>
              <w:tblW w:w="15428" w:type="dxa"/>
              <w:tblInd w:w="0" w:type="dxa"/>
              <w:shd w:val="clear" w:color="auto" w:fill="auto"/>
              <w:tblLayout w:type="fixed"/>
              <w:tblCellMar>
                <w:top w:w="0" w:type="dxa"/>
                <w:left w:w="0" w:type="dxa"/>
                <w:bottom w:w="0" w:type="dxa"/>
                <w:right w:w="0" w:type="dxa"/>
              </w:tblCellMar>
            </w:tblPr>
            <w:tblGrid>
              <w:gridCol w:w="812"/>
              <w:gridCol w:w="3032"/>
              <w:gridCol w:w="1432"/>
              <w:gridCol w:w="812"/>
              <w:gridCol w:w="2032"/>
              <w:gridCol w:w="1332"/>
              <w:gridCol w:w="812"/>
              <w:gridCol w:w="3832"/>
              <w:gridCol w:w="1332"/>
            </w:tblGrid>
            <w:tr>
              <w:tblPrEx>
                <w:shd w:val="clear" w:color="auto" w:fill="auto"/>
                <w:tblCellMar>
                  <w:top w:w="0" w:type="dxa"/>
                  <w:left w:w="0" w:type="dxa"/>
                  <w:bottom w:w="0" w:type="dxa"/>
                  <w:right w:w="0" w:type="dxa"/>
                </w:tblCellMar>
              </w:tblPrEx>
              <w:trPr>
                <w:trHeight w:val="283" w:hRule="exact"/>
              </w:trPr>
              <w:tc>
                <w:tcPr>
                  <w:tcW w:w="5276" w:type="dxa"/>
                  <w:gridSpan w:val="3"/>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w:t>
                  </w:r>
                </w:p>
              </w:tc>
              <w:tc>
                <w:tcPr>
                  <w:tcW w:w="10152" w:type="dxa"/>
                  <w:gridSpan w:val="6"/>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w:t>
                  </w:r>
                </w:p>
              </w:tc>
            </w:tr>
            <w:tr>
              <w:tblPrEx>
                <w:shd w:val="clear" w:color="auto" w:fill="auto"/>
                <w:tblCellMar>
                  <w:top w:w="0" w:type="dxa"/>
                  <w:left w:w="0" w:type="dxa"/>
                  <w:bottom w:w="0" w:type="dxa"/>
                  <w:right w:w="0" w:type="dxa"/>
                </w:tblCellMar>
              </w:tblPrEx>
              <w:trPr>
                <w:trHeight w:val="312" w:hRule="exact"/>
              </w:trPr>
              <w:tc>
                <w:tcPr>
                  <w:tcW w:w="812" w:type="dxa"/>
                  <w:vMerge w:val="restart"/>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科目编码</w:t>
                  </w:r>
                </w:p>
              </w:tc>
              <w:tc>
                <w:tcPr>
                  <w:tcW w:w="303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43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81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科目编码</w:t>
                  </w:r>
                </w:p>
              </w:tc>
              <w:tc>
                <w:tcPr>
                  <w:tcW w:w="203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33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81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科目编码</w:t>
                  </w:r>
                </w:p>
              </w:tc>
              <w:tc>
                <w:tcPr>
                  <w:tcW w:w="383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332" w:type="dxa"/>
                  <w:vMerge w:val="restar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shd w:val="clear" w:color="auto" w:fill="auto"/>
                <w:tblCellMar>
                  <w:top w:w="0" w:type="dxa"/>
                  <w:left w:w="0" w:type="dxa"/>
                  <w:bottom w:w="0" w:type="dxa"/>
                  <w:right w:w="0" w:type="dxa"/>
                </w:tblCellMar>
              </w:tblPrEx>
              <w:trPr>
                <w:trHeight w:val="312" w:hRule="exact"/>
              </w:trPr>
              <w:tc>
                <w:tcPr>
                  <w:tcW w:w="812" w:type="dxa"/>
                  <w:vMerge w:val="continue"/>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3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1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1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83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2" w:type="dxa"/>
                  <w:vMerge w:val="continue"/>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工资福利支出</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731.58</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商品和服务支出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156.15</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债务利息及费用支出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30101</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基本工资</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204.00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30201</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7.17</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30701</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国内债务付息</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30102</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津贴补贴</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19.60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30202</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印刷费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3.55</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30702</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国外债务付息</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30103</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奖金</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126.92</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30203</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咨询费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资本性支出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30106</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伙食补助费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20.80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30204</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手续费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31001</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房屋建筑物购建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30107</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绩效工资</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175.73</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30205</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水费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1.07</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31002</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办公设备购置</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30108</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64.52</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30206</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电费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10.06</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31003</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专用设备购置</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30109</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职业年金缴费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30207</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邮电费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4.80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31005</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基础设施建设</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30110</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职工基本医疗保险缴费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60.00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30208</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取暖费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31006</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大型修缮</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30111</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公务员医疗补助缴费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30209</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物业管理费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9.00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31007</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信息网络及软件购置更新</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30112</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其他社会保障缴费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3.99</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30211</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差旅费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17.66</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31008</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物资储备</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30113</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51.02</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30212</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因公出国（境）费用</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31009</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土地补偿</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30213</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维修（护）费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3.27</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31010</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安置补助</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30199</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其他工资福利支出</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5.00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30214</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租赁费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31011</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地上附着物和青苗补偿</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对个人和家庭的补助</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30215</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会议费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31012</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拆迁补偿</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30301</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离休费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30216</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培训费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1.00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31013</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公务用车购置</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30302</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退休费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30217</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公务接待费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1.14</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31019</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其他交通工具购置</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30303</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退职（役）费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30218</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专用材料费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31021</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文物和陈列品购置</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30304</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抚恤金</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30224</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被装购置费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31022</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无形资产购置</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30305</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生活补助</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30225</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专用燃料费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31099</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30306</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救济费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30226</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劳务费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20.96</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30307</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医疗费补助</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30227</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委托业务费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39906</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赠与</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30308</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助学金</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30228</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工会经费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26.00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39907</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国家赔偿费用支出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30309</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奖励金</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30229</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福利费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22.26</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39908</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对民间非营利组织和群众性自治组织补贴</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30310</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个人农业生产补贴</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30231</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公务用车运行维护费</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15.20</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39999</w:t>
                  </w: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30311</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 xml:space="preserve">  代缴社会保险费</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30239</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其他交通费用</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1.54</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left"/>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30399</w:t>
                  </w: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 xml:space="preserve">  其他对个人和家庭的补助</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30240</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税金及附加费用</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812" w:type="dxa"/>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30299</w:t>
                  </w:r>
                </w:p>
              </w:tc>
              <w:tc>
                <w:tcPr>
                  <w:tcW w:w="20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其他商品和服务支出</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11.47</w:t>
                  </w:r>
                </w:p>
              </w:tc>
              <w:tc>
                <w:tcPr>
                  <w:tcW w:w="81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32" w:type="dxa"/>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283" w:hRule="exact"/>
              </w:trPr>
              <w:tc>
                <w:tcPr>
                  <w:tcW w:w="3844" w:type="dxa"/>
                  <w:gridSpan w:val="2"/>
                  <w:tcBorders>
                    <w:top w:val="nil"/>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人员经费合计</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731.58</w:t>
                  </w:r>
                </w:p>
              </w:tc>
              <w:tc>
                <w:tcPr>
                  <w:tcW w:w="8820" w:type="dxa"/>
                  <w:gridSpan w:val="5"/>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公用经费合计</w:t>
                  </w:r>
                </w:p>
              </w:tc>
              <w:tc>
                <w:tcPr>
                  <w:tcW w:w="13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156.15</w:t>
                  </w:r>
                </w:p>
              </w:tc>
            </w:tr>
          </w:tbl>
          <w:p>
            <w:pPr>
              <w:widowControl/>
              <w:jc w:val="left"/>
              <w:rPr>
                <w:rFonts w:ascii="黑体" w:hAnsi="黑体" w:eastAsia="黑体"/>
                <w:szCs w:val="21"/>
              </w:rPr>
            </w:pPr>
            <w:r>
              <w:rPr>
                <w:rFonts w:hint="eastAsia" w:ascii="宋体" w:hAnsi="宋体" w:eastAsia="宋体" w:cs="宋体"/>
                <w:szCs w:val="21"/>
              </w:rPr>
              <w:t>注：本表反映部门年度一般公共预算财政拨款基本支出明细情况。</w:t>
            </w:r>
            <w:r>
              <w:rPr>
                <w:rFonts w:ascii="黑体" w:hAnsi="黑体" w:eastAsia="黑体"/>
                <w:szCs w:val="21"/>
              </w:rPr>
              <w:br w:type="page"/>
            </w: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 w:val="24"/>
                <w:szCs w:val="24"/>
                <w:lang w:val="en-US" w:eastAsia="zh-CN"/>
              </w:rPr>
              <w:t xml:space="preserve">   </w:t>
            </w:r>
            <w:r>
              <w:rPr>
                <w:rFonts w:ascii="Times New Roman" w:hAnsi="Times New Roman" w:eastAsia="仿宋_GB2312" w:cs="Times New Roman"/>
                <w:color w:val="000000"/>
                <w:kern w:val="0"/>
                <w:sz w:val="24"/>
                <w:szCs w:val="24"/>
              </w:rPr>
              <w:t xml:space="preserve"> 公开0</w:t>
            </w:r>
            <w:r>
              <w:rPr>
                <w:rFonts w:hint="eastAsia" w:ascii="Times New Roman" w:hAnsi="Times New Roman" w:eastAsia="仿宋_GB2312" w:cs="Times New Roman"/>
                <w:color w:val="000000"/>
                <w:kern w:val="0"/>
                <w:sz w:val="24"/>
                <w:szCs w:val="24"/>
              </w:rPr>
              <w:t>7</w:t>
            </w:r>
            <w:r>
              <w:rPr>
                <w:rFonts w:ascii="Times New Roman" w:hAnsi="Times New Roman" w:eastAsia="仿宋_GB2312" w:cs="Times New Roman"/>
                <w:color w:val="000000"/>
                <w:kern w:val="0"/>
                <w:sz w:val="24"/>
                <w:szCs w:val="24"/>
              </w:rPr>
              <w:t>表</w:t>
            </w:r>
          </w:p>
          <w:p>
            <w:pPr>
              <w:widowControl/>
              <w:ind w:right="420"/>
              <w:jc w:val="both"/>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lang w:val="en-US" w:eastAsia="zh-CN"/>
              </w:rPr>
              <w:t>部门：湖南省洞庭湖生态环境监测中心</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 w:val="24"/>
                <w:szCs w:val="24"/>
                <w:lang w:val="en-US" w:eastAsia="zh-CN"/>
              </w:rPr>
              <w:t xml:space="preserve">       </w:t>
            </w:r>
            <w:r>
              <w:rPr>
                <w:rFonts w:ascii="Times New Roman" w:hAnsi="Times New Roman" w:eastAsia="仿宋_GB2312" w:cs="Times New Roman"/>
                <w:color w:val="000000"/>
                <w:kern w:val="0"/>
                <w:sz w:val="24"/>
                <w:szCs w:val="24"/>
              </w:rPr>
              <w:t>单位：</w:t>
            </w:r>
            <w:r>
              <w:rPr>
                <w:rFonts w:hint="eastAsia" w:ascii="Times New Roman" w:hAnsi="Times New Roman" w:eastAsia="仿宋_GB2312" w:cs="Times New Roman"/>
                <w:color w:val="000000"/>
                <w:kern w:val="0"/>
                <w:sz w:val="24"/>
                <w:szCs w:val="24"/>
                <w:lang w:val="en-US" w:eastAsia="zh-CN"/>
              </w:rPr>
              <w:t>万</w:t>
            </w:r>
            <w:r>
              <w:rPr>
                <w:rFonts w:ascii="Times New Roman" w:hAnsi="Times New Roman" w:eastAsia="仿宋_GB2312" w:cs="Times New Roman"/>
                <w:color w:val="000000"/>
                <w:kern w:val="0"/>
                <w:sz w:val="24"/>
                <w:szCs w:val="24"/>
              </w:rPr>
              <w:t>元</w:t>
            </w:r>
          </w:p>
          <w:tbl>
            <w:tblPr>
              <w:tblStyle w:val="8"/>
              <w:tblW w:w="15612" w:type="dxa"/>
              <w:jc w:val="center"/>
              <w:tblLayout w:type="fixed"/>
              <w:tblCellMar>
                <w:top w:w="0" w:type="dxa"/>
                <w:left w:w="108" w:type="dxa"/>
                <w:bottom w:w="0" w:type="dxa"/>
                <w:right w:w="108" w:type="dxa"/>
              </w:tblCellMar>
            </w:tblPr>
            <w:tblGrid>
              <w:gridCol w:w="1032"/>
              <w:gridCol w:w="1282"/>
              <w:gridCol w:w="1118"/>
              <w:gridCol w:w="1408"/>
              <w:gridCol w:w="1483"/>
              <w:gridCol w:w="1132"/>
              <w:gridCol w:w="1350"/>
              <w:gridCol w:w="1459"/>
              <w:gridCol w:w="1350"/>
              <w:gridCol w:w="1404"/>
              <w:gridCol w:w="1377"/>
              <w:gridCol w:w="1217"/>
            </w:tblGrid>
            <w:tr>
              <w:tblPrEx>
                <w:tblCellMar>
                  <w:top w:w="0" w:type="dxa"/>
                  <w:left w:w="108" w:type="dxa"/>
                  <w:bottom w:w="0" w:type="dxa"/>
                  <w:right w:w="108" w:type="dxa"/>
                </w:tblCellMar>
              </w:tblPrEx>
              <w:trPr>
                <w:trHeight w:val="397" w:hRule="atLeast"/>
                <w:jc w:val="center"/>
              </w:trPr>
              <w:tc>
                <w:tcPr>
                  <w:tcW w:w="7455"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8157"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032"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8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400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13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35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4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4131"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17"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032"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8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40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48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13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35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45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3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40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3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17"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032"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8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40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48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13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3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3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40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3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17"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032" w:type="dxa"/>
                  <w:tcBorders>
                    <w:top w:val="nil"/>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48.2</w:t>
                  </w:r>
                </w:p>
              </w:tc>
              <w:tc>
                <w:tcPr>
                  <w:tcW w:w="128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c>
                <w:tcPr>
                  <w:tcW w:w="1118"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37.20</w:t>
                  </w:r>
                </w:p>
              </w:tc>
              <w:tc>
                <w:tcPr>
                  <w:tcW w:w="1408"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22.00</w:t>
                  </w:r>
                </w:p>
              </w:tc>
              <w:tc>
                <w:tcPr>
                  <w:tcW w:w="148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15.20</w:t>
                  </w:r>
                </w:p>
              </w:tc>
              <w:tc>
                <w:tcPr>
                  <w:tcW w:w="113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11.00</w:t>
                  </w:r>
                </w:p>
              </w:tc>
              <w:tc>
                <w:tcPr>
                  <w:tcW w:w="135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37.64</w:t>
                  </w:r>
                </w:p>
              </w:tc>
              <w:tc>
                <w:tcPr>
                  <w:tcW w:w="1459"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c>
                <w:tcPr>
                  <w:tcW w:w="135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36.50</w:t>
                  </w:r>
                </w:p>
              </w:tc>
              <w:tc>
                <w:tcPr>
                  <w:tcW w:w="1404"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21.30</w:t>
                  </w:r>
                </w:p>
              </w:tc>
              <w:tc>
                <w:tcPr>
                  <w:tcW w:w="1377" w:type="dxa"/>
                  <w:tcBorders>
                    <w:top w:val="nil"/>
                    <w:left w:val="nil"/>
                    <w:bottom w:val="single" w:color="auto" w:sz="8"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15.20</w:t>
                  </w:r>
                </w:p>
              </w:tc>
              <w:tc>
                <w:tcPr>
                  <w:tcW w:w="1217" w:type="dxa"/>
                  <w:tcBorders>
                    <w:top w:val="nil"/>
                    <w:left w:val="single" w:color="auto" w:sz="4"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w:t>
                  </w:r>
                </w:p>
              </w:tc>
            </w:tr>
          </w:tbl>
          <w:p>
            <w:pPr>
              <w:autoSpaceDE w:val="0"/>
              <w:autoSpaceDN w:val="0"/>
              <w:adjustRightInd w:val="0"/>
              <w:ind w:firstLine="420" w:firstLineChars="200"/>
              <w:jc w:val="left"/>
              <w:rPr>
                <w:rFonts w:ascii="宋体" w:eastAsia="宋体" w:cs="宋体"/>
                <w:kern w:val="0"/>
                <w:sz w:val="21"/>
                <w:szCs w:val="21"/>
              </w:rPr>
            </w:pPr>
            <w:r>
              <w:rPr>
                <w:rFonts w:hint="eastAsia" w:ascii="宋体" w:eastAsia="宋体" w:cs="宋体"/>
                <w:kern w:val="0"/>
                <w:sz w:val="21"/>
                <w:szCs w:val="21"/>
              </w:rPr>
              <w:t>注：本表反映部门本年度“三公”经费支出预决算情况。其中，预算数为“三公”经费全年预算数，反映按规定程序调整后的预算数；决算数是包括当年一般公共预算财政拨款和以前年度结转资金安排的实际支出。</w:t>
            </w:r>
          </w:p>
          <w:p>
            <w:pPr>
              <w:widowControl/>
              <w:jc w:val="left"/>
              <w:rPr>
                <w:rFonts w:ascii="宋体" w:eastAsia="宋体" w:cs="宋体"/>
                <w:kern w:val="0"/>
                <w:sz w:val="24"/>
                <w:szCs w:val="24"/>
              </w:rPr>
            </w:pP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24"/>
                <w:szCs w:val="24"/>
              </w:rPr>
            </w:pPr>
            <w:r>
              <w:rPr>
                <w:rFonts w:ascii="Times New Roman" w:hAnsi="Times New Roman" w:eastAsia="方正小标宋_GBK" w:cs="Times New Roman"/>
                <w:kern w:val="0"/>
                <w:sz w:val="36"/>
                <w:szCs w:val="36"/>
              </w:rPr>
              <w:t>政府性基金预算财政拨款收入支出决算表</w:t>
            </w:r>
          </w:p>
          <w:p>
            <w:pPr>
              <w:widowControl/>
              <w:wordWrap/>
              <w:ind w:firstLine="13680" w:firstLineChars="5700"/>
              <w:jc w:val="both"/>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公开08表</w:t>
            </w:r>
          </w:p>
          <w:p>
            <w:pPr>
              <w:widowControl/>
              <w:ind w:firstLine="480" w:firstLineChars="200"/>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 w:val="24"/>
                <w:szCs w:val="24"/>
                <w:lang w:val="en-US" w:eastAsia="zh-CN"/>
              </w:rPr>
              <w:t xml:space="preserve">部门：湖南省洞庭湖生态环境监测中心                                                                            </w:t>
            </w:r>
            <w:r>
              <w:rPr>
                <w:rFonts w:ascii="Times New Roman" w:hAnsi="Times New Roman" w:eastAsia="仿宋_GB2312" w:cs="Times New Roman"/>
                <w:color w:val="000000"/>
                <w:kern w:val="0"/>
                <w:sz w:val="24"/>
                <w:szCs w:val="24"/>
              </w:rPr>
              <w:t>单位：万元</w:t>
            </w:r>
          </w:p>
          <w:tbl>
            <w:tblPr>
              <w:tblStyle w:val="8"/>
              <w:tblW w:w="1483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39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392"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392"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392"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392"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392"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392"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ind w:firstLine="420" w:firstLineChars="200"/>
              <w:jc w:val="left"/>
              <w:rPr>
                <w:rFonts w:hint="eastAsia" w:ascii="Times New Roman" w:hAnsi="Times New Roman" w:eastAsia="仿宋_GB2312" w:cs="Times New Roman"/>
                <w:kern w:val="0"/>
                <w:sz w:val="21"/>
                <w:szCs w:val="21"/>
                <w:lang w:val="en-US" w:eastAsia="zh-CN"/>
              </w:rPr>
            </w:pPr>
            <w:r>
              <w:rPr>
                <w:rFonts w:ascii="Times New Roman" w:hAnsi="Times New Roman" w:eastAsia="仿宋_GB2312" w:cs="Times New Roman"/>
                <w:kern w:val="0"/>
                <w:sz w:val="21"/>
                <w:szCs w:val="21"/>
              </w:rPr>
              <w:t>注：本表反映部门本年度政府性基金预算财政拨款收入、支出及结转和结余情况</w:t>
            </w:r>
            <w:r>
              <w:rPr>
                <w:rFonts w:hint="eastAsia" w:ascii="Times New Roman" w:hAnsi="Times New Roman" w:eastAsia="仿宋_GB2312" w:cs="Times New Roman"/>
                <w:kern w:val="0"/>
                <w:sz w:val="21"/>
                <w:szCs w:val="21"/>
                <w:lang w:eastAsia="zh-CN"/>
              </w:rPr>
              <w:t>。</w:t>
            </w:r>
          </w:p>
          <w:p>
            <w:pPr>
              <w:widowControl/>
              <w:ind w:firstLine="420" w:firstLineChars="200"/>
              <w:jc w:val="both"/>
              <w:rPr>
                <w:rFonts w:hint="eastAsia" w:ascii="华文中宋" w:hAnsi="华文中宋" w:eastAsia="仿宋_GB2312" w:cs="宋体"/>
                <w:color w:val="000000"/>
                <w:kern w:val="0"/>
                <w:sz w:val="21"/>
                <w:szCs w:val="21"/>
                <w:lang w:eastAsia="zh-CN"/>
              </w:rPr>
            </w:pPr>
            <w:r>
              <w:rPr>
                <w:rFonts w:hint="eastAsia" w:ascii="Times New Roman" w:hAnsi="Times New Roman" w:eastAsia="仿宋_GB2312" w:cs="Times New Roman"/>
                <w:kern w:val="0"/>
                <w:sz w:val="21"/>
                <w:szCs w:val="21"/>
                <w:lang w:eastAsia="zh-CN"/>
              </w:rPr>
              <w:t>我单位</w:t>
            </w:r>
            <w:r>
              <w:rPr>
                <w:rFonts w:hint="eastAsia" w:ascii="Times New Roman" w:hAnsi="Times New Roman" w:eastAsia="仿宋_GB2312" w:cs="Times New Roman"/>
                <w:kern w:val="0"/>
                <w:sz w:val="21"/>
                <w:szCs w:val="21"/>
              </w:rPr>
              <w:t>没有政府性基金收入，也没有使用政府性基金安排的支出，故本表无数据</w:t>
            </w:r>
            <w:r>
              <w:rPr>
                <w:rFonts w:hint="eastAsia" w:ascii="Times New Roman" w:hAnsi="Times New Roman" w:eastAsia="仿宋_GB2312" w:cs="Times New Roman"/>
                <w:kern w:val="0"/>
                <w:sz w:val="21"/>
                <w:szCs w:val="21"/>
                <w:lang w:eastAsia="zh-CN"/>
              </w:rPr>
              <w:t>。</w:t>
            </w:r>
          </w:p>
          <w:p>
            <w:pPr>
              <w:widowControl/>
              <w:jc w:val="center"/>
              <w:rPr>
                <w:rFonts w:hint="eastAsia" w:ascii="华文中宋" w:hAnsi="华文中宋" w:eastAsia="华文中宋" w:cs="宋体"/>
                <w:color w:val="000000"/>
                <w:kern w:val="0"/>
                <w:sz w:val="32"/>
                <w:szCs w:val="32"/>
              </w:rPr>
            </w:pPr>
          </w:p>
          <w:p>
            <w:pPr>
              <w:widowControl/>
              <w:jc w:val="center"/>
              <w:rPr>
                <w:rFonts w:hint="eastAsia" w:ascii="华文中宋" w:hAnsi="华文中宋" w:eastAsia="华文中宋" w:cs="宋体"/>
                <w:color w:val="000000"/>
                <w:kern w:val="0"/>
                <w:sz w:val="32"/>
                <w:szCs w:val="32"/>
              </w:rPr>
            </w:pPr>
          </w:p>
          <w:p>
            <w:pPr>
              <w:widowControl/>
              <w:jc w:val="center"/>
              <w:rPr>
                <w:rFonts w:hint="eastAsia" w:ascii="华文中宋" w:hAnsi="华文中宋" w:eastAsia="华文中宋" w:cs="宋体"/>
                <w:color w:val="000000"/>
                <w:kern w:val="0"/>
                <w:sz w:val="32"/>
                <w:szCs w:val="32"/>
              </w:rPr>
            </w:pPr>
          </w:p>
          <w:p>
            <w:pPr>
              <w:widowControl/>
              <w:jc w:val="center"/>
              <w:rPr>
                <w:rFonts w:hint="eastAsia" w:ascii="华文中宋" w:hAnsi="华文中宋" w:eastAsia="华文中宋" w:cs="宋体"/>
                <w:color w:val="000000"/>
                <w:kern w:val="0"/>
                <w:sz w:val="32"/>
                <w:szCs w:val="32"/>
              </w:rPr>
            </w:pPr>
          </w:p>
          <w:tbl>
            <w:tblPr>
              <w:tblStyle w:val="8"/>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ind w:firstLine="480" w:firstLineChars="200"/>
                    <w:jc w:val="both"/>
                    <w:rPr>
                      <w:rFonts w:hint="eastAsia" w:ascii="宋体" w:hAnsi="宋体" w:eastAsia="宋体" w:cs="宋体"/>
                      <w:color w:val="000000"/>
                      <w:kern w:val="0"/>
                      <w:sz w:val="24"/>
                      <w:szCs w:val="24"/>
                      <w:lang w:eastAsia="zh-CN"/>
                    </w:rPr>
                  </w:pPr>
                  <w:r>
                    <w:rPr>
                      <w:rFonts w:hint="eastAsia" w:ascii="宋体" w:hAnsi="宋体" w:eastAsia="宋体" w:cs="宋体"/>
                      <w:kern w:val="0"/>
                      <w:sz w:val="24"/>
                      <w:szCs w:val="24"/>
                      <w:lang w:eastAsia="zh-CN"/>
                    </w:rPr>
                    <w:t>我单位</w:t>
                  </w:r>
                  <w:r>
                    <w:rPr>
                      <w:rFonts w:hint="eastAsia" w:ascii="宋体" w:hAnsi="宋体" w:eastAsia="宋体" w:cs="宋体"/>
                      <w:kern w:val="0"/>
                      <w:sz w:val="24"/>
                      <w:szCs w:val="24"/>
                    </w:rPr>
                    <w:t>没有</w:t>
                  </w:r>
                  <w:r>
                    <w:rPr>
                      <w:rFonts w:hint="eastAsia" w:ascii="宋体" w:hAnsi="宋体" w:eastAsia="宋体" w:cs="宋体"/>
                      <w:kern w:val="0"/>
                      <w:sz w:val="24"/>
                      <w:szCs w:val="24"/>
                      <w:lang w:val="en-US" w:eastAsia="zh-CN"/>
                    </w:rPr>
                    <w:t>国有资本经营预算财政拨款支出</w:t>
                  </w:r>
                  <w:r>
                    <w:rPr>
                      <w:rFonts w:hint="eastAsia" w:ascii="宋体" w:hAnsi="宋体" w:eastAsia="宋体" w:cs="宋体"/>
                      <w:kern w:val="0"/>
                      <w:sz w:val="24"/>
                      <w:szCs w:val="24"/>
                    </w:rPr>
                    <w:t>，故本表无数据</w:t>
                  </w:r>
                  <w:r>
                    <w:rPr>
                      <w:rFonts w:hint="eastAsia" w:ascii="宋体" w:hAnsi="宋体" w:eastAsia="宋体" w:cs="宋体"/>
                      <w:kern w:val="0"/>
                      <w:sz w:val="24"/>
                      <w:szCs w:val="24"/>
                      <w:lang w:eastAsia="zh-CN"/>
                    </w:rPr>
                    <w:t>。</w:t>
                  </w:r>
                </w:p>
                <w:p>
                  <w:pPr>
                    <w:widowControl/>
                    <w:jc w:val="left"/>
                    <w:rPr>
                      <w:rFonts w:hint="eastAsia" w:ascii="宋体" w:hAnsi="宋体" w:eastAsia="宋体" w:cs="宋体"/>
                      <w:kern w:val="0"/>
                      <w:sz w:val="24"/>
                      <w:szCs w:val="24"/>
                    </w:rPr>
                  </w:pPr>
                </w:p>
              </w:tc>
            </w:tr>
          </w:tbl>
          <w:p>
            <w:pPr>
              <w:widowControl/>
              <w:jc w:val="center"/>
              <w:rPr>
                <w:rFonts w:hint="eastAsia" w:ascii="华文中宋" w:hAnsi="华文中宋" w:eastAsia="华文中宋" w:cs="宋体"/>
                <w:color w:val="000000"/>
                <w:kern w:val="0"/>
                <w:sz w:val="32"/>
                <w:szCs w:val="32"/>
              </w:rPr>
            </w:pPr>
          </w:p>
          <w:p>
            <w:pPr>
              <w:widowControl/>
              <w:jc w:val="both"/>
              <w:rPr>
                <w:rFonts w:ascii="华文中宋" w:hAnsi="华文中宋" w:eastAsia="华文中宋" w:cs="宋体"/>
                <w:color w:val="000000"/>
                <w:kern w:val="0"/>
                <w:sz w:val="32"/>
                <w:szCs w:val="32"/>
              </w:rPr>
            </w:pPr>
          </w:p>
        </w:tc>
      </w:tr>
    </w:tbl>
    <w:p>
      <w:pPr>
        <w:pStyle w:val="12"/>
        <w:rPr>
          <w:sz w:val="72"/>
          <w:szCs w:val="72"/>
        </w:rPr>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pPr>
      <w:bookmarkStart w:id="1" w:name="RANGE!A1:I22"/>
      <w:bookmarkEnd w:id="1"/>
    </w:p>
    <w:p>
      <w:pPr>
        <w:pStyle w:val="12"/>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outlineLvl w:val="0"/>
        <w:rPr>
          <w:sz w:val="70"/>
          <w:szCs w:val="70"/>
        </w:rPr>
      </w:pPr>
      <w:r>
        <w:rPr>
          <w:sz w:val="70"/>
          <w:szCs w:val="70"/>
        </w:rPr>
        <w:t>20</w:t>
      </w:r>
      <w:r>
        <w:rPr>
          <w:rFonts w:hint="eastAsia"/>
          <w:sz w:val="70"/>
          <w:szCs w:val="70"/>
        </w:rPr>
        <w:t>20年度部门决算情况说明</w:t>
      </w:r>
    </w:p>
    <w:p>
      <w:pPr>
        <w:widowControl/>
        <w:jc w:val="left"/>
        <w:rPr>
          <w:sz w:val="70"/>
          <w:szCs w:val="70"/>
        </w:rPr>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AndChars" w:linePitch="312" w:charSpace="0"/>
        </w:sectPr>
      </w:pPr>
      <w:r>
        <w:rPr>
          <w:sz w:val="70"/>
          <w:szCs w:val="70"/>
        </w:rPr>
        <w:br w:type="page"/>
      </w:r>
    </w:p>
    <w:p>
      <w:pPr>
        <w:pStyle w:val="12"/>
        <w:ind w:firstLine="640" w:firstLineChars="200"/>
        <w:outlineLvl w:val="0"/>
        <w:rPr>
          <w:rFonts w:hAnsi="黑体"/>
          <w:b/>
          <w:sz w:val="32"/>
          <w:szCs w:val="32"/>
        </w:rPr>
      </w:pPr>
      <w:r>
        <w:rPr>
          <w:rFonts w:hint="eastAsia" w:hAnsi="黑体"/>
          <w:b/>
          <w:sz w:val="32"/>
          <w:szCs w:val="32"/>
        </w:rPr>
        <w:t>一、收入支出决算总体情况说明</w:t>
      </w:r>
    </w:p>
    <w:p>
      <w:pPr>
        <w:pStyle w:val="12"/>
        <w:ind w:firstLine="640" w:firstLineChars="200"/>
        <w:jc w:val="left"/>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本中心</w:t>
      </w:r>
      <w:r>
        <w:rPr>
          <w:rFonts w:hint="default"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default" w:asciiTheme="minorEastAsia" w:hAnsiTheme="minorEastAsia" w:eastAsiaTheme="minorEastAsia"/>
          <w:sz w:val="32"/>
          <w:szCs w:val="32"/>
        </w:rPr>
        <w:t>年年初结转和结余</w:t>
      </w:r>
      <w:r>
        <w:rPr>
          <w:rFonts w:hint="eastAsia" w:asciiTheme="minorEastAsia" w:hAnsiTheme="minorEastAsia" w:eastAsiaTheme="minorEastAsia"/>
          <w:sz w:val="32"/>
          <w:szCs w:val="32"/>
          <w:lang w:val="en-US" w:eastAsia="zh-CN"/>
        </w:rPr>
        <w:t>194.6</w:t>
      </w:r>
      <w:r>
        <w:rPr>
          <w:rFonts w:hint="default" w:asciiTheme="minorEastAsia" w:hAnsiTheme="minorEastAsia" w:eastAsiaTheme="minorEastAsia"/>
          <w:sz w:val="32"/>
          <w:szCs w:val="32"/>
        </w:rPr>
        <w:t>万元，本年收入</w:t>
      </w:r>
      <w:r>
        <w:rPr>
          <w:rFonts w:hint="eastAsia" w:asciiTheme="minorEastAsia" w:hAnsiTheme="minorEastAsia" w:eastAsiaTheme="minorEastAsia"/>
          <w:sz w:val="32"/>
          <w:szCs w:val="32"/>
          <w:lang w:val="en-US" w:eastAsia="zh-CN"/>
        </w:rPr>
        <w:t>1077.64</w:t>
      </w:r>
      <w:r>
        <w:rPr>
          <w:rFonts w:hint="default" w:asciiTheme="minorEastAsia" w:hAnsiTheme="minorEastAsia" w:eastAsiaTheme="minorEastAsia"/>
          <w:sz w:val="32"/>
          <w:szCs w:val="32"/>
        </w:rPr>
        <w:t>万元，本年支出</w:t>
      </w:r>
      <w:r>
        <w:rPr>
          <w:rFonts w:hint="eastAsia" w:asciiTheme="minorEastAsia" w:hAnsiTheme="minorEastAsia" w:eastAsiaTheme="minorEastAsia"/>
          <w:sz w:val="32"/>
          <w:szCs w:val="32"/>
          <w:lang w:val="en-US" w:eastAsia="zh-CN"/>
        </w:rPr>
        <w:t>1075.21</w:t>
      </w:r>
      <w:r>
        <w:rPr>
          <w:rFonts w:hint="default"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197.03</w:t>
      </w:r>
      <w:r>
        <w:rPr>
          <w:rFonts w:hint="default"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收支余平衡。与2019年相比，中心收入、支出总计各减少33.72万元，减少幅度为2.58%，减少部分主要是由于在职人员人数的减少，导致人员经费减少。</w:t>
      </w:r>
    </w:p>
    <w:p>
      <w:pPr>
        <w:pStyle w:val="12"/>
        <w:ind w:firstLine="640" w:firstLineChars="200"/>
        <w:outlineLvl w:val="0"/>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1077.64</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1058.28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98.21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19.00万</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1.76</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0.36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0.03</w:t>
      </w:r>
      <w:r>
        <w:rPr>
          <w:rFonts w:hint="eastAsia" w:asciiTheme="minorEastAsia" w:hAnsiTheme="minorEastAsia" w:eastAsiaTheme="minorEastAsia"/>
          <w:sz w:val="32"/>
          <w:szCs w:val="32"/>
        </w:rPr>
        <w:t>%。</w:t>
      </w:r>
    </w:p>
    <w:p>
      <w:pPr>
        <w:pStyle w:val="12"/>
        <w:ind w:firstLine="640" w:firstLineChars="200"/>
        <w:outlineLvl w:val="0"/>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1075.21</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887.73</w:t>
      </w:r>
      <w:r>
        <w:rPr>
          <w:rFonts w:hint="eastAsia" w:asciiTheme="minorEastAsia" w:hAnsiTheme="minorEastAsia" w:eastAsiaTheme="minorEastAsia"/>
          <w:sz w:val="32"/>
          <w:szCs w:val="32"/>
        </w:rPr>
        <w:t>万元，占</w:t>
      </w:r>
      <w:r>
        <w:rPr>
          <w:rFonts w:hint="default" w:asciiTheme="minorEastAsia" w:hAnsiTheme="minorEastAsia" w:eastAsiaTheme="minorEastAsia"/>
          <w:sz w:val="32"/>
          <w:szCs w:val="32"/>
          <w:lang w:eastAsia="zh-CN"/>
        </w:rPr>
        <w:t>82.56</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187.48</w:t>
      </w:r>
      <w:r>
        <w:rPr>
          <w:rFonts w:hint="eastAsia" w:asciiTheme="minorEastAsia" w:hAnsiTheme="minorEastAsia" w:eastAsiaTheme="minorEastAsia"/>
          <w:sz w:val="32"/>
          <w:szCs w:val="32"/>
        </w:rPr>
        <w:t>万元，占</w:t>
      </w:r>
      <w:r>
        <w:rPr>
          <w:rFonts w:hint="default" w:asciiTheme="minorEastAsia" w:hAnsiTheme="minorEastAsia" w:eastAsiaTheme="minorEastAsia"/>
          <w:sz w:val="32"/>
          <w:szCs w:val="32"/>
          <w:lang w:eastAsia="zh-CN"/>
        </w:rPr>
        <w:t>17.44</w:t>
      </w:r>
      <w:r>
        <w:rPr>
          <w:rFonts w:hint="eastAsia" w:asciiTheme="minorEastAsia" w:hAnsiTheme="minorEastAsia" w:eastAsiaTheme="minorEastAsia"/>
          <w:sz w:val="32"/>
          <w:szCs w:val="32"/>
        </w:rPr>
        <w:t>%。</w:t>
      </w:r>
    </w:p>
    <w:p>
      <w:pPr>
        <w:pStyle w:val="12"/>
        <w:ind w:firstLine="640" w:firstLineChars="200"/>
        <w:outlineLvl w:val="0"/>
        <w:rPr>
          <w:rFonts w:hAnsi="黑体"/>
          <w:b/>
          <w:sz w:val="32"/>
          <w:szCs w:val="32"/>
        </w:rPr>
      </w:pPr>
      <w:r>
        <w:rPr>
          <w:rFonts w:hint="eastAsia" w:hAnsi="黑体"/>
          <w:b/>
          <w:sz w:val="32"/>
          <w:szCs w:val="32"/>
        </w:rPr>
        <w:t>四、财政拨款收入支出决算总体情况说明</w:t>
      </w:r>
    </w:p>
    <w:p>
      <w:pPr>
        <w:pStyle w:val="12"/>
        <w:ind w:firstLine="640" w:firstLineChars="200"/>
        <w:rPr>
          <w:rFonts w:hint="eastAsia" w:asciiTheme="minorEastAsia" w:hAnsiTheme="minorEastAsia" w:eastAsiaTheme="minorEastAsia"/>
          <w:sz w:val="32"/>
          <w:szCs w:val="32"/>
          <w:lang w:val="en-US" w:eastAsia="zh-CN"/>
        </w:rPr>
      </w:pPr>
      <w:r>
        <w:rPr>
          <w:rFonts w:hint="default" w:asciiTheme="minorEastAsia" w:hAnsiTheme="minorEastAsia" w:eastAsiaTheme="minorEastAsia"/>
          <w:sz w:val="32"/>
          <w:szCs w:val="32"/>
        </w:rPr>
        <w:t>2020</w:t>
      </w:r>
      <w:r>
        <w:rPr>
          <w:rFonts w:hint="eastAsia" w:asciiTheme="minorEastAsia" w:hAnsiTheme="minorEastAsia" w:eastAsiaTheme="minorEastAsia"/>
          <w:sz w:val="32"/>
          <w:szCs w:val="32"/>
        </w:rPr>
        <w:t>年度财政拨款收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lang w:val="en-US" w:eastAsia="zh-CN"/>
        </w:rPr>
        <w:t>1058.28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较</w:t>
      </w:r>
      <w:r>
        <w:rPr>
          <w:rFonts w:hint="eastAsia" w:asciiTheme="minorEastAsia" w:hAnsiTheme="minorEastAsia" w:eastAsiaTheme="minorEastAsia"/>
          <w:sz w:val="32"/>
          <w:szCs w:val="32"/>
        </w:rPr>
        <w:t>201</w:t>
      </w:r>
      <w:r>
        <w:rPr>
          <w:rFonts w:hint="default" w:asciiTheme="minorEastAsia" w:hAnsiTheme="minorEastAsia" w:eastAsiaTheme="minorEastAsia"/>
          <w:sz w:val="32"/>
          <w:szCs w:val="32"/>
        </w:rPr>
        <w:t>9</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val="en-US" w:eastAsia="zh-CN"/>
        </w:rPr>
        <w:t>减少33.69</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减少3.09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支出总计</w:t>
      </w:r>
      <w:r>
        <w:rPr>
          <w:rFonts w:hint="eastAsia" w:asciiTheme="minorEastAsia" w:hAnsiTheme="minorEastAsia" w:eastAsiaTheme="minorEastAsia"/>
          <w:sz w:val="32"/>
          <w:szCs w:val="32"/>
          <w:lang w:val="en-US" w:eastAsia="zh-CN"/>
        </w:rPr>
        <w:t>1066.27</w:t>
      </w:r>
      <w:r>
        <w:rPr>
          <w:rFonts w:hint="eastAsia" w:asciiTheme="minorEastAsia" w:hAnsiTheme="minorEastAsia" w:eastAsiaTheme="minorEastAsia"/>
          <w:sz w:val="32"/>
          <w:szCs w:val="32"/>
          <w:lang w:eastAsia="zh-CN"/>
        </w:rPr>
        <w:t>万元，较</w:t>
      </w:r>
      <w:r>
        <w:rPr>
          <w:rFonts w:hint="eastAsia" w:asciiTheme="minorEastAsia" w:hAnsiTheme="minorEastAsia" w:eastAsiaTheme="minorEastAsia"/>
          <w:sz w:val="32"/>
          <w:szCs w:val="32"/>
          <w:lang w:val="en-US" w:eastAsia="zh-CN"/>
        </w:rPr>
        <w:t>201</w:t>
      </w:r>
      <w:r>
        <w:rPr>
          <w:rFonts w:hint="default" w:asciiTheme="minorEastAsia" w:hAnsiTheme="minorEastAsia" w:eastAsiaTheme="minorEastAsia"/>
          <w:sz w:val="32"/>
          <w:szCs w:val="32"/>
          <w:lang w:eastAsia="zh-CN"/>
        </w:rPr>
        <w:t>9</w:t>
      </w:r>
      <w:r>
        <w:rPr>
          <w:rFonts w:hint="eastAsia" w:asciiTheme="minorEastAsia" w:hAnsiTheme="minorEastAsia" w:eastAsiaTheme="minorEastAsia"/>
          <w:sz w:val="32"/>
          <w:szCs w:val="32"/>
          <w:lang w:val="en-US" w:eastAsia="zh-CN"/>
        </w:rPr>
        <w:t>年增加102.34万元，增加10.62%，收入减少的</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eastAsia="zh-CN"/>
        </w:rPr>
        <w:t>原因是</w:t>
      </w:r>
      <w:r>
        <w:rPr>
          <w:rFonts w:hint="eastAsia" w:asciiTheme="minorEastAsia" w:hAnsiTheme="minorEastAsia" w:eastAsiaTheme="minorEastAsia"/>
          <w:sz w:val="32"/>
          <w:szCs w:val="32"/>
          <w:lang w:val="en-US" w:eastAsia="zh-CN"/>
        </w:rPr>
        <w:t>在职人员人数的减少，导致人员经费减少；支出增加的主要原因是由于2019年的实验室仪器设备政府采购招投标工作完成时间较晚，有部分货款和保证金在2020年形成支出</w:t>
      </w:r>
      <w:r>
        <w:rPr>
          <w:rFonts w:hint="eastAsia" w:asciiTheme="minorEastAsia" w:hAnsiTheme="minorEastAsia" w:eastAsiaTheme="minorEastAsia"/>
          <w:sz w:val="32"/>
          <w:szCs w:val="32"/>
          <w:lang w:eastAsia="zh-CN"/>
        </w:rPr>
        <w:t>。</w:t>
      </w:r>
    </w:p>
    <w:p>
      <w:pPr>
        <w:pStyle w:val="12"/>
        <w:ind w:firstLine="640" w:firstLineChars="200"/>
        <w:outlineLvl w:val="0"/>
        <w:rPr>
          <w:rFonts w:hAnsi="黑体"/>
          <w:b/>
          <w:sz w:val="32"/>
          <w:szCs w:val="32"/>
        </w:rPr>
      </w:pPr>
      <w:r>
        <w:rPr>
          <w:rFonts w:hint="eastAsia" w:hAnsi="黑体"/>
          <w:b/>
          <w:sz w:val="32"/>
          <w:szCs w:val="32"/>
        </w:rPr>
        <w:t>五、一般公共预算财政拨款支出决算情况说明</w:t>
      </w:r>
    </w:p>
    <w:p>
      <w:pPr>
        <w:pStyle w:val="12"/>
        <w:ind w:firstLine="640" w:firstLineChars="200"/>
        <w:outlineLvl w:val="1"/>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1066.27</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99.17</w:t>
      </w:r>
      <w:r>
        <w:rPr>
          <w:rFonts w:hint="eastAsia" w:asciiTheme="minorEastAsia" w:hAnsiTheme="minorEastAsia" w:eastAsiaTheme="minorEastAsia"/>
          <w:sz w:val="32"/>
          <w:szCs w:val="32"/>
        </w:rPr>
        <w:t>%，与201</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年相比，财政拨款支出增加</w:t>
      </w:r>
      <w:r>
        <w:rPr>
          <w:rFonts w:hint="eastAsia" w:asciiTheme="minorEastAsia" w:hAnsiTheme="minorEastAsia" w:eastAsiaTheme="minorEastAsia"/>
          <w:sz w:val="32"/>
          <w:szCs w:val="32"/>
          <w:lang w:val="en-US" w:eastAsia="zh-CN"/>
        </w:rPr>
        <w:t>102.34</w:t>
      </w:r>
      <w:r>
        <w:rPr>
          <w:rFonts w:hint="eastAsia" w:asciiTheme="minorEastAsia" w:hAnsiTheme="minorEastAsia" w:eastAsiaTheme="minorEastAsia"/>
          <w:sz w:val="32"/>
          <w:szCs w:val="32"/>
        </w:rPr>
        <w:t>元，增长</w:t>
      </w:r>
      <w:r>
        <w:rPr>
          <w:rFonts w:hint="eastAsia" w:asciiTheme="minorEastAsia" w:hAnsiTheme="minorEastAsia" w:eastAsiaTheme="minorEastAsia"/>
          <w:sz w:val="32"/>
          <w:szCs w:val="32"/>
          <w:lang w:val="en-US" w:eastAsia="zh-CN"/>
        </w:rPr>
        <w:t>10.62</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支出增加的主要原因是由于2019年的实验室仪器设备政府采购招投标工作完成时间较晚，有部分货款和保证金在2020年形成支出</w:t>
      </w:r>
      <w:r>
        <w:rPr>
          <w:rFonts w:hint="eastAsia" w:asciiTheme="minorEastAsia" w:hAnsiTheme="minorEastAsia" w:eastAsiaTheme="minorEastAsia"/>
          <w:sz w:val="32"/>
          <w:szCs w:val="32"/>
          <w:lang w:eastAsia="zh-CN"/>
        </w:rPr>
        <w:t>。</w:t>
      </w:r>
    </w:p>
    <w:p>
      <w:pPr>
        <w:pStyle w:val="12"/>
        <w:ind w:firstLine="640" w:firstLineChars="200"/>
        <w:outlineLvl w:val="1"/>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1066.27</w:t>
      </w:r>
      <w:r>
        <w:rPr>
          <w:rFonts w:hint="eastAsia" w:asciiTheme="minorEastAsia" w:hAnsiTheme="minorEastAsia" w:eastAsiaTheme="minorEastAsia"/>
          <w:sz w:val="32"/>
          <w:szCs w:val="32"/>
        </w:rPr>
        <w:t>万元，主要用于以下方面：一般公共服务支出</w:t>
      </w:r>
      <w:r>
        <w:rPr>
          <w:rFonts w:hint="eastAsia" w:asciiTheme="minorEastAsia" w:hAnsiTheme="minorEastAsia" w:eastAsiaTheme="minorEastAsia"/>
          <w:sz w:val="32"/>
          <w:szCs w:val="32"/>
          <w:lang w:val="en-US" w:eastAsia="zh-CN"/>
        </w:rPr>
        <w:t>42.16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3.96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社会保障和就业支出128.51万元，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12.05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lang w:val="en-US" w:eastAsia="zh-CN"/>
        </w:rPr>
        <w:t>844.58万元，占79.21%；住房保障支出51.02万元，占4.78%。</w:t>
      </w:r>
    </w:p>
    <w:p>
      <w:pPr>
        <w:pStyle w:val="12"/>
        <w:ind w:firstLine="640" w:firstLineChars="200"/>
        <w:outlineLvl w:val="1"/>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年度财政拨款支出年初预算数为</w:t>
      </w:r>
      <w:r>
        <w:rPr>
          <w:rFonts w:hint="eastAsia" w:asciiTheme="minorEastAsia" w:hAnsiTheme="minorEastAsia" w:eastAsiaTheme="minorEastAsia"/>
          <w:sz w:val="32"/>
          <w:szCs w:val="32"/>
          <w:lang w:val="en-US" w:eastAsia="zh-CN"/>
        </w:rPr>
        <w:t>1058.28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支出决算数为</w:t>
      </w:r>
      <w:r>
        <w:rPr>
          <w:rFonts w:hint="eastAsia" w:asciiTheme="minorEastAsia" w:hAnsiTheme="minorEastAsia" w:eastAsiaTheme="minorEastAsia"/>
          <w:sz w:val="32"/>
          <w:szCs w:val="32"/>
          <w:lang w:val="en-US" w:eastAsia="zh-CN"/>
        </w:rPr>
        <w:t>1066.27</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val="en-US" w:eastAsia="zh-CN"/>
        </w:rPr>
        <w:t>年初结转115.53万元。</w:t>
      </w:r>
      <w:r>
        <w:rPr>
          <w:rFonts w:hint="eastAsia" w:asciiTheme="minorEastAsia" w:hAnsiTheme="minorEastAsia" w:eastAsiaTheme="minorEastAsia"/>
          <w:sz w:val="32"/>
          <w:szCs w:val="32"/>
        </w:rPr>
        <w:t>其中：</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lang w:val="en-US" w:eastAsia="zh-CN"/>
        </w:rPr>
        <w:t>（1）一般公共服务支出（类）人大事务（款）行政运行（项）。</w:t>
      </w:r>
      <w:r>
        <w:rPr>
          <w:rFonts w:hint="eastAsia" w:ascii="仿宋_GB2312" w:hAnsi="仿宋_GB2312" w:eastAsia="仿宋_GB2312" w:cs="仿宋_GB2312"/>
          <w:b w:val="0"/>
          <w:bCs/>
          <w:sz w:val="32"/>
          <w:szCs w:val="32"/>
          <w:lang w:val="en-US" w:eastAsia="zh-CN"/>
        </w:rPr>
        <w:t>上年结转59.9万元，本年支出42.16万元，预算执行率70.38%。</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eastAsia" w:ascii="仿宋_GB2312" w:eastAsia="仿宋_GB2312"/>
          <w:b w:val="0"/>
          <w:bCs w:val="0"/>
          <w:color w:val="000000"/>
          <w:kern w:val="0"/>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eastAsia="仿宋_GB2312"/>
          <w:b/>
          <w:bCs/>
          <w:color w:val="000000"/>
          <w:kern w:val="0"/>
          <w:sz w:val="32"/>
          <w:szCs w:val="32"/>
        </w:rPr>
        <w:t>社会保障和就业支出</w:t>
      </w:r>
      <w:r>
        <w:rPr>
          <w:rFonts w:hint="eastAsia" w:ascii="仿宋_GB2312" w:eastAsia="仿宋_GB2312"/>
          <w:b/>
          <w:bCs/>
          <w:color w:val="000000"/>
          <w:kern w:val="0"/>
          <w:sz w:val="32"/>
          <w:szCs w:val="32"/>
          <w:lang w:val="en-US" w:eastAsia="zh-CN"/>
        </w:rPr>
        <w:t>（类）行政事业单位养老支出（款）机关事业单位基本养老保险缴费支出（项）。</w:t>
      </w:r>
      <w:r>
        <w:rPr>
          <w:rFonts w:hint="eastAsia" w:ascii="仿宋_GB2312" w:eastAsia="仿宋_GB2312"/>
          <w:b w:val="0"/>
          <w:bCs w:val="0"/>
          <w:color w:val="000000"/>
          <w:kern w:val="0"/>
          <w:sz w:val="32"/>
          <w:szCs w:val="32"/>
          <w:lang w:val="en-US" w:eastAsia="zh-CN"/>
        </w:rPr>
        <w:t>本年预算134万元，本年支出128.51万元，预算执行率95.90%。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default" w:ascii="仿宋_GB2312" w:eastAsia="仿宋_GB2312"/>
          <w:b w:val="0"/>
          <w:bCs w:val="0"/>
          <w:color w:val="000000"/>
          <w:kern w:val="0"/>
          <w:sz w:val="32"/>
          <w:szCs w:val="32"/>
          <w:lang w:val="en-US" w:eastAsia="zh-CN"/>
        </w:rPr>
      </w:pPr>
      <w:r>
        <w:rPr>
          <w:rFonts w:hint="eastAsia" w:ascii="仿宋_GB2312" w:eastAsia="仿宋_GB2312"/>
          <w:b/>
          <w:bCs/>
          <w:color w:val="000000"/>
          <w:kern w:val="0"/>
          <w:sz w:val="32"/>
          <w:szCs w:val="32"/>
          <w:lang w:val="en-US" w:eastAsia="zh-CN"/>
        </w:rPr>
        <w:t>（3）节能环保支出（类）环境保护管理事务（款）行政运行（项）。</w:t>
      </w:r>
      <w:r>
        <w:rPr>
          <w:rFonts w:hint="eastAsia" w:ascii="仿宋_GB2312" w:eastAsia="仿宋_GB2312"/>
          <w:b w:val="0"/>
          <w:bCs w:val="0"/>
          <w:color w:val="000000"/>
          <w:kern w:val="0"/>
          <w:sz w:val="32"/>
          <w:szCs w:val="32"/>
          <w:lang w:val="en-US" w:eastAsia="zh-CN"/>
        </w:rPr>
        <w:t>上年结转8.25万元，本年预算702.28万元，</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jc w:val="left"/>
        <w:textAlignment w:val="auto"/>
        <w:outlineLvl w:val="9"/>
        <w:rPr>
          <w:rFonts w:hint="default" w:ascii="仿宋_GB2312" w:eastAsia="仿宋_GB2312"/>
          <w:b w:val="0"/>
          <w:bCs w:val="0"/>
          <w:color w:val="000000"/>
          <w:kern w:val="0"/>
          <w:sz w:val="32"/>
          <w:szCs w:val="32"/>
          <w:lang w:val="en-US" w:eastAsia="zh-CN"/>
        </w:rPr>
      </w:pPr>
      <w:r>
        <w:rPr>
          <w:rFonts w:hint="eastAsia" w:ascii="仿宋_GB2312" w:eastAsia="仿宋_GB2312"/>
          <w:b w:val="0"/>
          <w:bCs w:val="0"/>
          <w:color w:val="000000"/>
          <w:kern w:val="0"/>
          <w:sz w:val="32"/>
          <w:szCs w:val="32"/>
          <w:lang w:val="en-US" w:eastAsia="zh-CN"/>
        </w:rPr>
        <w:t>本年支出666.04万元，预算执行率93.74%。</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eastAsia" w:ascii="仿宋_GB2312" w:eastAsia="仿宋_GB2312"/>
          <w:b w:val="0"/>
          <w:bCs w:val="0"/>
          <w:color w:val="000000"/>
          <w:kern w:val="0"/>
          <w:sz w:val="32"/>
          <w:szCs w:val="32"/>
          <w:lang w:val="en-US" w:eastAsia="zh-CN"/>
        </w:rPr>
      </w:pPr>
      <w:r>
        <w:rPr>
          <w:rFonts w:hint="eastAsia" w:ascii="仿宋_GB2312" w:eastAsia="仿宋_GB2312"/>
          <w:b/>
          <w:bCs/>
          <w:color w:val="000000"/>
          <w:kern w:val="0"/>
          <w:sz w:val="32"/>
          <w:szCs w:val="32"/>
          <w:lang w:eastAsia="zh-CN"/>
        </w:rPr>
        <w:t>（</w:t>
      </w:r>
      <w:r>
        <w:rPr>
          <w:rFonts w:hint="eastAsia" w:ascii="仿宋_GB2312" w:eastAsia="仿宋_GB2312"/>
          <w:b/>
          <w:bCs/>
          <w:color w:val="000000"/>
          <w:kern w:val="0"/>
          <w:sz w:val="32"/>
          <w:szCs w:val="32"/>
          <w:lang w:val="en-US" w:eastAsia="zh-CN"/>
        </w:rPr>
        <w:t>4</w:t>
      </w:r>
      <w:r>
        <w:rPr>
          <w:rFonts w:hint="eastAsia" w:ascii="仿宋_GB2312" w:eastAsia="仿宋_GB2312"/>
          <w:b/>
          <w:bCs/>
          <w:color w:val="000000"/>
          <w:kern w:val="0"/>
          <w:sz w:val="32"/>
          <w:szCs w:val="32"/>
          <w:lang w:eastAsia="zh-CN"/>
        </w:rPr>
        <w:t>）</w:t>
      </w:r>
      <w:r>
        <w:rPr>
          <w:rFonts w:hint="eastAsia" w:ascii="仿宋_GB2312" w:eastAsia="仿宋_GB2312"/>
          <w:b/>
          <w:bCs/>
          <w:color w:val="000000"/>
          <w:kern w:val="0"/>
          <w:sz w:val="32"/>
          <w:szCs w:val="32"/>
        </w:rPr>
        <w:t>节能环保支出</w:t>
      </w:r>
      <w:r>
        <w:rPr>
          <w:rFonts w:hint="eastAsia" w:ascii="仿宋_GB2312" w:eastAsia="仿宋_GB2312"/>
          <w:b/>
          <w:bCs/>
          <w:color w:val="000000"/>
          <w:kern w:val="0"/>
          <w:sz w:val="32"/>
          <w:szCs w:val="32"/>
          <w:lang w:val="en-US" w:eastAsia="zh-CN"/>
        </w:rPr>
        <w:t>（类）污染减排（款）生态环境监测与信息（项）。</w:t>
      </w:r>
      <w:r>
        <w:rPr>
          <w:rFonts w:hint="eastAsia" w:ascii="仿宋_GB2312" w:eastAsia="仿宋_GB2312"/>
          <w:b w:val="0"/>
          <w:bCs w:val="0"/>
          <w:color w:val="000000"/>
          <w:kern w:val="0"/>
          <w:sz w:val="32"/>
          <w:szCs w:val="32"/>
          <w:lang w:val="en-US" w:eastAsia="zh-CN"/>
        </w:rPr>
        <w:t>上年结转47.38万元，本年预算162万元，本年支出178.54万元，预算执行率85.27%。</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640" w:firstLineChars="200"/>
        <w:jc w:val="left"/>
        <w:textAlignment w:val="auto"/>
        <w:outlineLvl w:val="9"/>
        <w:rPr>
          <w:rFonts w:hint="eastAsia" w:ascii="仿宋_GB2312" w:eastAsia="仿宋_GB2312"/>
          <w:b w:val="0"/>
          <w:bCs w:val="0"/>
          <w:color w:val="000000"/>
          <w:kern w:val="0"/>
          <w:sz w:val="32"/>
          <w:szCs w:val="32"/>
          <w:lang w:val="en-US" w:eastAsia="zh-CN"/>
        </w:rPr>
      </w:pPr>
      <w:r>
        <w:rPr>
          <w:rFonts w:hint="eastAsia" w:ascii="仿宋_GB2312" w:eastAsia="仿宋_GB2312"/>
          <w:b/>
          <w:bCs/>
          <w:color w:val="000000"/>
          <w:kern w:val="0"/>
          <w:sz w:val="32"/>
          <w:szCs w:val="32"/>
          <w:lang w:eastAsia="zh-CN"/>
        </w:rPr>
        <w:t>（</w:t>
      </w:r>
      <w:r>
        <w:rPr>
          <w:rFonts w:hint="eastAsia" w:ascii="仿宋_GB2312" w:eastAsia="仿宋_GB2312"/>
          <w:b/>
          <w:bCs/>
          <w:color w:val="000000"/>
          <w:kern w:val="0"/>
          <w:sz w:val="32"/>
          <w:szCs w:val="32"/>
          <w:lang w:val="en-US" w:eastAsia="zh-CN"/>
        </w:rPr>
        <w:t>5</w:t>
      </w:r>
      <w:r>
        <w:rPr>
          <w:rFonts w:hint="eastAsia" w:ascii="仿宋_GB2312" w:eastAsia="仿宋_GB2312"/>
          <w:b/>
          <w:bCs/>
          <w:color w:val="000000"/>
          <w:kern w:val="0"/>
          <w:sz w:val="32"/>
          <w:szCs w:val="32"/>
          <w:lang w:eastAsia="zh-CN"/>
        </w:rPr>
        <w:t>）</w:t>
      </w:r>
      <w:r>
        <w:rPr>
          <w:rFonts w:hint="eastAsia" w:ascii="仿宋_GB2312" w:eastAsia="仿宋_GB2312"/>
          <w:b/>
          <w:bCs/>
          <w:color w:val="000000"/>
          <w:kern w:val="0"/>
          <w:sz w:val="32"/>
          <w:szCs w:val="32"/>
        </w:rPr>
        <w:t>住房保障支出</w:t>
      </w:r>
      <w:r>
        <w:rPr>
          <w:rFonts w:hint="eastAsia" w:ascii="仿宋_GB2312" w:eastAsia="仿宋_GB2312"/>
          <w:b/>
          <w:bCs/>
          <w:color w:val="000000"/>
          <w:kern w:val="0"/>
          <w:sz w:val="32"/>
          <w:szCs w:val="32"/>
          <w:lang w:val="en-US" w:eastAsia="zh-CN"/>
        </w:rPr>
        <w:t>（类）住房改革支出（款）住房公积金（项）。</w:t>
      </w:r>
      <w:r>
        <w:rPr>
          <w:rFonts w:hint="eastAsia" w:ascii="仿宋_GB2312" w:eastAsia="仿宋_GB2312"/>
          <w:b w:val="0"/>
          <w:bCs w:val="0"/>
          <w:color w:val="000000"/>
          <w:kern w:val="0"/>
          <w:sz w:val="32"/>
          <w:szCs w:val="32"/>
          <w:lang w:val="en-US" w:eastAsia="zh-CN"/>
        </w:rPr>
        <w:t>本年预算60万元，本年支出51.02万元，预算执行率85.03%。</w:t>
      </w:r>
    </w:p>
    <w:p>
      <w:pPr>
        <w:pStyle w:val="12"/>
        <w:ind w:firstLine="640" w:firstLineChars="200"/>
        <w:outlineLvl w:val="0"/>
        <w:rPr>
          <w:rFonts w:hAnsi="黑体"/>
          <w:b/>
          <w:sz w:val="32"/>
          <w:szCs w:val="32"/>
        </w:rPr>
      </w:pPr>
      <w:r>
        <w:rPr>
          <w:rFonts w:hint="eastAsia" w:hAnsi="黑体"/>
          <w:b/>
          <w:sz w:val="32"/>
          <w:szCs w:val="32"/>
        </w:rPr>
        <w:t>六、一般公共预算财政拨款基本支出决算情况说明</w:t>
      </w:r>
    </w:p>
    <w:p>
      <w:pPr>
        <w:pStyle w:val="13"/>
        <w:widowControl/>
        <w:numPr>
          <w:ilvl w:val="0"/>
          <w:numId w:val="0"/>
        </w:numPr>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年度财政拨款基本支出</w:t>
      </w:r>
      <w:r>
        <w:rPr>
          <w:rFonts w:hint="eastAsia" w:asciiTheme="minorEastAsia" w:hAnsiTheme="minorEastAsia" w:eastAsiaTheme="minorEastAsia"/>
          <w:sz w:val="32"/>
          <w:szCs w:val="32"/>
          <w:lang w:val="en-US" w:eastAsia="zh-CN"/>
        </w:rPr>
        <w:t>887.73</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731.58</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82.41</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基本养老保险缴费、基本医疗保险缴费、住房公积金</w:t>
      </w:r>
      <w:r>
        <w:rPr>
          <w:rFonts w:hint="eastAsia" w:asciiTheme="minorEastAsia" w:hAnsiTheme="minorEastAsia" w:eastAsiaTheme="minorEastAsia"/>
          <w:sz w:val="32"/>
          <w:szCs w:val="32"/>
          <w:lang w:eastAsia="zh-CN"/>
        </w:rPr>
        <w:t>等人员经费支出</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156.15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17.59</w:t>
      </w:r>
      <w:r>
        <w:rPr>
          <w:rFonts w:hint="eastAsia" w:asciiTheme="minorEastAsia" w:hAnsiTheme="minorEastAsia" w:eastAsiaTheme="minorEastAsia"/>
          <w:sz w:val="32"/>
          <w:szCs w:val="32"/>
        </w:rPr>
        <w:t>%，</w:t>
      </w:r>
      <w:r>
        <w:rPr>
          <w:rFonts w:hint="eastAsia" w:ascii="宋体" w:hAnsi="宋体" w:eastAsia="宋体" w:cs="宋体"/>
          <w:color w:val="000000"/>
          <w:sz w:val="32"/>
          <w:szCs w:val="32"/>
          <w:lang w:val="en-US" w:eastAsia="zh-CN"/>
        </w:rPr>
        <w:t>主要包括办公费、水电费、物业费、维修费、劳务费等日常公用经费支出</w:t>
      </w:r>
      <w:r>
        <w:rPr>
          <w:rFonts w:hint="eastAsia" w:ascii="宋体" w:hAnsi="宋体" w:eastAsia="宋体" w:cs="宋体"/>
          <w:color w:val="000000"/>
          <w:sz w:val="32"/>
          <w:szCs w:val="32"/>
          <w:lang w:eastAsia="zh-CN"/>
        </w:rPr>
        <w:t>。</w:t>
      </w:r>
    </w:p>
    <w:p>
      <w:pPr>
        <w:pStyle w:val="12"/>
        <w:ind w:firstLine="640" w:firstLineChars="200"/>
        <w:outlineLvl w:val="0"/>
        <w:rPr>
          <w:rFonts w:hAnsi="黑体"/>
          <w:b/>
          <w:sz w:val="32"/>
          <w:szCs w:val="32"/>
        </w:rPr>
      </w:pPr>
      <w:r>
        <w:rPr>
          <w:rFonts w:hint="eastAsia" w:hAnsi="黑体"/>
          <w:b/>
          <w:sz w:val="32"/>
          <w:szCs w:val="32"/>
        </w:rPr>
        <w:t>七、一般公共预算财政拨款</w:t>
      </w:r>
      <w:r>
        <w:rPr>
          <w:rFonts w:hint="eastAsia" w:hAnsi="黑体"/>
          <w:b/>
          <w:sz w:val="32"/>
          <w:szCs w:val="32"/>
          <w:lang w:eastAsia="zh-CN"/>
        </w:rPr>
        <w:t>“</w:t>
      </w:r>
      <w:r>
        <w:rPr>
          <w:rFonts w:hint="eastAsia" w:hAnsi="黑体"/>
          <w:b/>
          <w:sz w:val="32"/>
          <w:szCs w:val="32"/>
        </w:rPr>
        <w:t>三公</w:t>
      </w:r>
      <w:r>
        <w:rPr>
          <w:rFonts w:hint="eastAsia" w:hAnsi="黑体"/>
          <w:b/>
          <w:sz w:val="32"/>
          <w:szCs w:val="32"/>
          <w:lang w:eastAsia="zh-CN"/>
        </w:rPr>
        <w:t>”</w:t>
      </w:r>
      <w:r>
        <w:rPr>
          <w:rFonts w:hint="eastAsia" w:hAnsi="黑体"/>
          <w:b/>
          <w:sz w:val="32"/>
          <w:szCs w:val="32"/>
        </w:rPr>
        <w:t>经费支出决算情况说明</w:t>
      </w:r>
    </w:p>
    <w:p>
      <w:pPr>
        <w:pStyle w:val="12"/>
        <w:ind w:firstLine="640" w:firstLineChars="200"/>
        <w:outlineLvl w:val="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48.2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37.64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78.09</w:t>
      </w:r>
      <w:r>
        <w:rPr>
          <w:rFonts w:hint="eastAsia" w:asciiTheme="minorEastAsia" w:hAnsiTheme="minorEastAsia" w:eastAsiaTheme="minorEastAsia"/>
          <w:sz w:val="32"/>
          <w:szCs w:val="32"/>
        </w:rPr>
        <w:t>%，其中：</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10.36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46.73</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eastAsia="zh-CN"/>
        </w:rPr>
        <w:t>贯彻落实厉行节约精神，压减了不必要的接待开支</w:t>
      </w:r>
      <w:r>
        <w:rPr>
          <w:rFonts w:hint="eastAsia" w:asciiTheme="minorEastAsia" w:hAnsiTheme="minorEastAsia" w:eastAsiaTheme="minorEastAsia"/>
          <w:sz w:val="32"/>
          <w:szCs w:val="32"/>
        </w:rPr>
        <w:t>。</w:t>
      </w:r>
    </w:p>
    <w:p>
      <w:pPr>
        <w:pStyle w:val="12"/>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37.2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36.5</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98.12</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val="en-US" w:eastAsia="zh-CN"/>
        </w:rPr>
        <w:t>增加公务用车购置费21.3万元</w:t>
      </w:r>
      <w:r>
        <w:rPr>
          <w:rFonts w:hint="eastAsia" w:asciiTheme="minorEastAsia" w:hAnsiTheme="minorEastAsia" w:eastAsiaTheme="minorEastAsia"/>
          <w:sz w:val="32"/>
          <w:szCs w:val="32"/>
          <w:lang w:eastAsia="zh-CN"/>
        </w:rPr>
        <w:t>。</w:t>
      </w:r>
    </w:p>
    <w:p>
      <w:pPr>
        <w:pStyle w:val="12"/>
        <w:ind w:firstLine="640" w:firstLineChars="200"/>
        <w:outlineLvl w:val="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2020</w:t>
      </w:r>
      <w:r>
        <w:rPr>
          <w:rFonts w:hint="eastAsia" w:asciiTheme="minorEastAsia" w:hAnsiTheme="minorEastAsia" w:eastAsiaTheme="minorEastAsia"/>
          <w:sz w:val="32"/>
          <w:szCs w:val="32"/>
        </w:rPr>
        <w:t>年度“三公”经费财政拨款支出决算中，公务接待费支出决算</w:t>
      </w:r>
      <w:r>
        <w:rPr>
          <w:rFonts w:hint="eastAsia" w:asciiTheme="minorEastAsia" w:hAnsiTheme="minorEastAsia" w:eastAsiaTheme="minorEastAsia"/>
          <w:sz w:val="32"/>
          <w:szCs w:val="32"/>
          <w:lang w:val="en-US" w:eastAsia="zh-CN"/>
        </w:rPr>
        <w:t>1.14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3.03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36.5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96.97</w:t>
      </w:r>
      <w:r>
        <w:rPr>
          <w:rFonts w:hint="eastAsia" w:asciiTheme="minorEastAsia" w:hAnsiTheme="minorEastAsia" w:eastAsiaTheme="minorEastAsia"/>
          <w:sz w:val="32"/>
          <w:szCs w:val="32"/>
        </w:rPr>
        <w:t>%。其中：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、公务接待费支出决算为</w:t>
      </w:r>
      <w:r>
        <w:rPr>
          <w:rFonts w:hint="eastAsia" w:asciiTheme="minorEastAsia" w:hAnsiTheme="minorEastAsia" w:eastAsiaTheme="minorEastAsia"/>
          <w:sz w:val="32"/>
          <w:szCs w:val="32"/>
          <w:lang w:val="en-US" w:eastAsia="zh-CN"/>
        </w:rPr>
        <w:t>1.14</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19</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86</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公务接待</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lang w:val="en-US" w:eastAsia="zh-CN"/>
        </w:rPr>
        <w:t>2</w:t>
      </w:r>
      <w:r>
        <w:rPr>
          <w:rFonts w:hint="eastAsia" w:asciiTheme="minorEastAsia" w:hAnsiTheme="minorEastAsia"/>
          <w:sz w:val="32"/>
          <w:szCs w:val="32"/>
        </w:rPr>
        <w:t>、公务用车购置费及运行维护费支出决算为</w:t>
      </w:r>
      <w:r>
        <w:rPr>
          <w:rFonts w:hint="eastAsia" w:asciiTheme="minorEastAsia" w:hAnsiTheme="minorEastAsia"/>
          <w:sz w:val="32"/>
          <w:szCs w:val="32"/>
          <w:lang w:val="en-US" w:eastAsia="zh-CN"/>
        </w:rPr>
        <w:t>36.5</w:t>
      </w:r>
      <w:r>
        <w:rPr>
          <w:rFonts w:hint="eastAsia" w:asciiTheme="minorEastAsia" w:hAnsiTheme="minorEastAsia"/>
          <w:sz w:val="32"/>
          <w:szCs w:val="32"/>
        </w:rPr>
        <w:t>万元，其中：公务用车运行维护费</w:t>
      </w:r>
      <w:r>
        <w:rPr>
          <w:rFonts w:hint="eastAsia" w:asciiTheme="minorEastAsia" w:hAnsiTheme="minorEastAsia"/>
          <w:sz w:val="32"/>
          <w:szCs w:val="32"/>
          <w:lang w:val="en-US" w:eastAsia="zh-CN"/>
        </w:rPr>
        <w:t>15.2</w:t>
      </w:r>
      <w:r>
        <w:rPr>
          <w:rFonts w:hint="eastAsia" w:asciiTheme="minorEastAsia" w:hAnsiTheme="minorEastAsia"/>
          <w:sz w:val="32"/>
          <w:szCs w:val="32"/>
        </w:rPr>
        <w:t>万元，主要是</w:t>
      </w:r>
      <w:r>
        <w:rPr>
          <w:rFonts w:hint="eastAsia" w:asciiTheme="minorEastAsia" w:hAnsiTheme="minorEastAsia"/>
          <w:sz w:val="32"/>
          <w:szCs w:val="32"/>
          <w:lang w:eastAsia="zh-CN"/>
        </w:rPr>
        <w:t>保险油料费等</w:t>
      </w:r>
      <w:r>
        <w:rPr>
          <w:rFonts w:hint="eastAsia" w:asciiTheme="minorEastAsia" w:hAnsiTheme="minorEastAsia"/>
          <w:sz w:val="32"/>
          <w:szCs w:val="32"/>
        </w:rPr>
        <w:t>支出，截止</w:t>
      </w:r>
      <w:r>
        <w:rPr>
          <w:rFonts w:hint="eastAsia" w:asciiTheme="minorEastAsia" w:hAnsiTheme="minorEastAsia"/>
          <w:sz w:val="32"/>
          <w:szCs w:val="32"/>
          <w:lang w:val="en-US" w:eastAsia="zh-CN"/>
        </w:rPr>
        <w:t>2020</w:t>
      </w:r>
      <w:r>
        <w:rPr>
          <w:rFonts w:hint="eastAsia" w:asciiTheme="minorEastAsia" w:hAnsiTheme="minorEastAsia"/>
          <w:sz w:val="32"/>
          <w:szCs w:val="32"/>
        </w:rPr>
        <w:t>年12月31日，</w:t>
      </w:r>
      <w:r>
        <w:rPr>
          <w:rFonts w:hint="eastAsia" w:asciiTheme="minorEastAsia" w:hAnsiTheme="minorEastAsia"/>
          <w:sz w:val="32"/>
          <w:szCs w:val="32"/>
          <w:lang w:val="en-US" w:eastAsia="zh-CN"/>
        </w:rPr>
        <w:t>本中心</w:t>
      </w:r>
      <w:r>
        <w:rPr>
          <w:rFonts w:hint="eastAsia" w:asciiTheme="minorEastAsia" w:hAnsiTheme="minorEastAsia"/>
          <w:sz w:val="32"/>
          <w:szCs w:val="32"/>
        </w:rPr>
        <w:t>开支财政拨款的公务用车保有量为</w:t>
      </w:r>
      <w:r>
        <w:rPr>
          <w:rFonts w:hint="eastAsia" w:asciiTheme="minorEastAsia" w:hAnsiTheme="minorEastAsia"/>
          <w:sz w:val="32"/>
          <w:szCs w:val="32"/>
          <w:lang w:val="en-US" w:eastAsia="zh-CN"/>
        </w:rPr>
        <w:t>3</w:t>
      </w:r>
      <w:r>
        <w:rPr>
          <w:rFonts w:hint="eastAsia" w:asciiTheme="minorEastAsia" w:hAnsiTheme="minorEastAsia"/>
          <w:sz w:val="32"/>
          <w:szCs w:val="32"/>
        </w:rPr>
        <w:t>辆。</w:t>
      </w:r>
    </w:p>
    <w:p>
      <w:pPr>
        <w:pStyle w:val="12"/>
        <w:ind w:firstLine="640" w:firstLineChars="200"/>
        <w:outlineLvl w:val="0"/>
        <w:rPr>
          <w:rFonts w:hAnsi="黑体"/>
          <w:b/>
          <w:sz w:val="32"/>
          <w:szCs w:val="32"/>
        </w:rPr>
      </w:pPr>
      <w:r>
        <w:rPr>
          <w:rFonts w:hint="eastAsia" w:hAnsi="黑体"/>
          <w:b/>
          <w:sz w:val="32"/>
          <w:szCs w:val="32"/>
        </w:rPr>
        <w:t>八、政府性基金预算收入支出决算情况</w:t>
      </w:r>
    </w:p>
    <w:p>
      <w:pPr>
        <w:pStyle w:val="12"/>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val="en-US" w:eastAsia="zh-CN"/>
        </w:rPr>
        <w:t>2020</w:t>
      </w:r>
      <w:r>
        <w:rPr>
          <w:rFonts w:hint="eastAsia" w:asciiTheme="minorEastAsia" w:hAnsiTheme="minorEastAsia" w:eastAsiaTheme="minorEastAsia"/>
          <w:sz w:val="32"/>
          <w:szCs w:val="32"/>
        </w:rPr>
        <w:t>年度</w:t>
      </w:r>
      <w:r>
        <w:rPr>
          <w:rFonts w:hint="eastAsia" w:asciiTheme="minorEastAsia" w:hAnsiTheme="minorEastAsia" w:eastAsiaTheme="minorEastAsia"/>
          <w:sz w:val="32"/>
          <w:szCs w:val="32"/>
          <w:lang w:val="en-US" w:eastAsia="zh-CN"/>
        </w:rPr>
        <w:t>本中心</w:t>
      </w:r>
      <w:r>
        <w:rPr>
          <w:rFonts w:hint="eastAsia" w:asciiTheme="minorEastAsia" w:hAnsiTheme="minorEastAsia" w:eastAsiaTheme="minorEastAsia"/>
          <w:sz w:val="32"/>
          <w:szCs w:val="32"/>
        </w:rPr>
        <w:t>无政府性基金收支</w:t>
      </w:r>
      <w:r>
        <w:rPr>
          <w:rFonts w:hint="eastAsia" w:asciiTheme="minorEastAsia" w:hAnsiTheme="minorEastAsia" w:eastAsiaTheme="minorEastAsia"/>
          <w:sz w:val="32"/>
          <w:szCs w:val="32"/>
          <w:lang w:eastAsia="zh-CN"/>
        </w:rPr>
        <w:t>。</w:t>
      </w:r>
    </w:p>
    <w:p>
      <w:pPr>
        <w:pStyle w:val="12"/>
        <w:ind w:firstLine="640" w:firstLineChars="200"/>
        <w:rPr>
          <w:rFonts w:hAnsi="黑体"/>
          <w:b/>
          <w:sz w:val="32"/>
          <w:szCs w:val="32"/>
        </w:rPr>
      </w:pPr>
      <w:r>
        <w:rPr>
          <w:rFonts w:hint="eastAsia" w:hAnsi="黑体"/>
          <w:b/>
          <w:sz w:val="32"/>
          <w:szCs w:val="32"/>
          <w:lang w:val="en-US" w:eastAsia="zh-CN"/>
        </w:rPr>
        <w:t>九</w:t>
      </w:r>
      <w:r>
        <w:rPr>
          <w:rFonts w:hint="eastAsia" w:hAnsi="黑体"/>
          <w:b/>
          <w:sz w:val="32"/>
          <w:szCs w:val="32"/>
        </w:rPr>
        <w:t>、机关运行经费支出说明</w:t>
      </w:r>
    </w:p>
    <w:p>
      <w:pPr>
        <w:pStyle w:val="12"/>
        <w:ind w:firstLine="640" w:firstLineChars="200"/>
        <w:outlineLvl w:val="0"/>
        <w:rPr>
          <w:rFonts w:hint="default" w:ascii="宋体" w:hAnsi="宋体" w:eastAsia="宋体" w:cs="宋体"/>
          <w:b w:val="0"/>
          <w:bCs/>
          <w:sz w:val="32"/>
          <w:szCs w:val="32"/>
          <w:lang w:val="en-US" w:eastAsia="zh-CN"/>
        </w:rPr>
      </w:pPr>
      <w:r>
        <w:rPr>
          <w:rFonts w:hint="eastAsia" w:ascii="宋体" w:hAnsi="宋体" w:eastAsia="宋体" w:cs="宋体"/>
          <w:b w:val="0"/>
          <w:bCs/>
          <w:sz w:val="32"/>
          <w:szCs w:val="32"/>
          <w:lang w:val="en-US" w:eastAsia="zh-CN"/>
        </w:rPr>
        <w:t>本中心为公益一类事业单位，无机关运行经费支出。</w:t>
      </w:r>
      <w:bookmarkStart w:id="2" w:name="_GoBack"/>
      <w:bookmarkEnd w:id="2"/>
    </w:p>
    <w:p>
      <w:pPr>
        <w:pStyle w:val="12"/>
        <w:ind w:firstLine="640" w:firstLineChars="200"/>
        <w:outlineLvl w:val="0"/>
        <w:rPr>
          <w:rFonts w:hAnsi="黑体"/>
          <w:b/>
          <w:sz w:val="32"/>
          <w:szCs w:val="32"/>
        </w:rPr>
      </w:pPr>
      <w:r>
        <w:rPr>
          <w:rFonts w:hint="eastAsia" w:hAnsi="黑体"/>
          <w:b/>
          <w:sz w:val="32"/>
          <w:szCs w:val="32"/>
          <w:lang w:val="en-US" w:eastAsia="zh-CN"/>
        </w:rPr>
        <w:t>十、</w:t>
      </w:r>
      <w:r>
        <w:rPr>
          <w:rFonts w:hint="eastAsia" w:hAnsi="黑体"/>
          <w:b/>
          <w:sz w:val="32"/>
          <w:szCs w:val="32"/>
        </w:rPr>
        <w:t>关于政府采购支出说明</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本</w:t>
      </w:r>
      <w:r>
        <w:rPr>
          <w:rFonts w:hint="eastAsia" w:cs="黑体" w:asciiTheme="minorEastAsia" w:hAnsiTheme="minorEastAsia"/>
          <w:color w:val="000000"/>
          <w:kern w:val="0"/>
          <w:sz w:val="32"/>
          <w:szCs w:val="32"/>
          <w:lang w:val="en-US" w:eastAsia="zh-CN"/>
        </w:rPr>
        <w:t>中心2020</w:t>
      </w:r>
      <w:r>
        <w:rPr>
          <w:rFonts w:hint="eastAsia" w:cs="黑体" w:asciiTheme="minorEastAsia" w:hAnsiTheme="minorEastAsia"/>
          <w:color w:val="000000"/>
          <w:kern w:val="0"/>
          <w:sz w:val="32"/>
          <w:szCs w:val="32"/>
        </w:rPr>
        <w:t>年度政府采购支出总额</w:t>
      </w:r>
      <w:r>
        <w:rPr>
          <w:rFonts w:hint="eastAsia" w:cs="黑体" w:asciiTheme="minorEastAsia" w:hAnsiTheme="minorEastAsia"/>
          <w:color w:val="000000"/>
          <w:kern w:val="0"/>
          <w:sz w:val="32"/>
          <w:szCs w:val="32"/>
          <w:lang w:val="en-US" w:eastAsia="zh-CN"/>
        </w:rPr>
        <w:t>138.28</w:t>
      </w:r>
      <w:r>
        <w:rPr>
          <w:rFonts w:hint="eastAsia" w:cs="黑体" w:asciiTheme="minorEastAsia" w:hAnsiTheme="minorEastAsia"/>
          <w:color w:val="000000"/>
          <w:kern w:val="0"/>
          <w:sz w:val="32"/>
          <w:szCs w:val="32"/>
        </w:rPr>
        <w:t>万元，其中：政府采购货物支出</w:t>
      </w:r>
      <w:r>
        <w:rPr>
          <w:rFonts w:hint="eastAsia" w:cs="黑体" w:asciiTheme="minorEastAsia" w:hAnsiTheme="minorEastAsia"/>
          <w:color w:val="000000"/>
          <w:kern w:val="0"/>
          <w:sz w:val="32"/>
          <w:szCs w:val="32"/>
          <w:lang w:val="en-US" w:eastAsia="zh-CN"/>
        </w:rPr>
        <w:t>138.28</w:t>
      </w:r>
      <w:r>
        <w:rPr>
          <w:rFonts w:hint="eastAsia" w:cs="黑体" w:asciiTheme="minorEastAsia" w:hAnsiTheme="minorEastAsia"/>
          <w:color w:val="000000"/>
          <w:kern w:val="0"/>
          <w:sz w:val="32"/>
          <w:szCs w:val="32"/>
        </w:rPr>
        <w:t>万元。</w:t>
      </w:r>
      <w:r>
        <w:rPr>
          <w:rFonts w:hint="eastAsia" w:cs="黑体" w:asciiTheme="minorEastAsia" w:hAnsiTheme="minorEastAsia"/>
          <w:color w:val="000000"/>
          <w:kern w:val="0"/>
          <w:sz w:val="32"/>
          <w:szCs w:val="32"/>
          <w:lang w:eastAsia="zh-CN"/>
        </w:rPr>
        <w:t>本年授予中小企业合同金额为</w:t>
      </w:r>
      <w:r>
        <w:rPr>
          <w:rFonts w:hint="eastAsia" w:cs="黑体" w:asciiTheme="minorEastAsia" w:hAnsiTheme="minorEastAsia"/>
          <w:color w:val="000000"/>
          <w:kern w:val="0"/>
          <w:sz w:val="32"/>
          <w:szCs w:val="32"/>
          <w:lang w:val="en-US" w:eastAsia="zh-CN"/>
        </w:rPr>
        <w:t>138.28万元，占政府采购金额的100%。</w:t>
      </w:r>
      <w:r>
        <w:rPr>
          <w:rFonts w:hint="eastAsia" w:cs="黑体" w:asciiTheme="minorEastAsia" w:hAnsiTheme="minorEastAsia"/>
          <w:color w:val="000000"/>
          <w:kern w:val="0"/>
          <w:sz w:val="32"/>
          <w:szCs w:val="32"/>
        </w:rPr>
        <w:t>（政府采购金额的计算口径为：本部门纳入</w:t>
      </w:r>
      <w:r>
        <w:rPr>
          <w:rFonts w:hint="eastAsia" w:cs="黑体" w:asciiTheme="minorEastAsia" w:hAnsiTheme="minorEastAsia"/>
          <w:color w:val="000000"/>
          <w:kern w:val="0"/>
          <w:sz w:val="32"/>
          <w:szCs w:val="32"/>
          <w:lang w:val="en-US" w:eastAsia="zh-CN"/>
        </w:rPr>
        <w:t>2020</w:t>
      </w:r>
      <w:r>
        <w:rPr>
          <w:rFonts w:hint="eastAsia" w:cs="黑体" w:asciiTheme="minorEastAsia" w:hAnsiTheme="minorEastAsia"/>
          <w:color w:val="000000"/>
          <w:kern w:val="0"/>
          <w:sz w:val="32"/>
          <w:szCs w:val="32"/>
        </w:rPr>
        <w:t>年度部门预算范围的各项政府采购支出金额之和，不包括涉密采购项目的支出金额）</w:t>
      </w:r>
    </w:p>
    <w:p>
      <w:pPr>
        <w:pStyle w:val="12"/>
        <w:ind w:firstLine="640" w:firstLineChars="200"/>
        <w:outlineLvl w:val="0"/>
        <w:rPr>
          <w:rFonts w:hAnsi="黑体"/>
          <w:b/>
          <w:sz w:val="32"/>
          <w:szCs w:val="32"/>
        </w:rPr>
      </w:pPr>
      <w:r>
        <w:rPr>
          <w:rFonts w:hint="eastAsia" w:hAnsi="黑体"/>
          <w:b/>
          <w:sz w:val="32"/>
          <w:szCs w:val="32"/>
          <w:lang w:val="en-US" w:eastAsia="zh-CN"/>
        </w:rPr>
        <w:t>十一</w:t>
      </w:r>
      <w:r>
        <w:rPr>
          <w:rFonts w:hint="eastAsia" w:hAnsi="黑体"/>
          <w:b/>
          <w:sz w:val="32"/>
          <w:szCs w:val="32"/>
        </w:rPr>
        <w:t>、关于国有资产占用情况说明</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w:t>
      </w:r>
      <w:r>
        <w:rPr>
          <w:rFonts w:hint="eastAsia" w:cs="黑体" w:asciiTheme="minorEastAsia" w:hAnsiTheme="minorEastAsia"/>
          <w:color w:val="000000"/>
          <w:kern w:val="0"/>
          <w:sz w:val="32"/>
          <w:szCs w:val="32"/>
          <w:lang w:val="en-US" w:eastAsia="zh-CN"/>
        </w:rPr>
        <w:t>20</w:t>
      </w:r>
      <w:r>
        <w:rPr>
          <w:rFonts w:hint="eastAsia" w:cs="黑体" w:asciiTheme="minorEastAsia" w:hAnsiTheme="minorEastAsia"/>
          <w:color w:val="000000"/>
          <w:kern w:val="0"/>
          <w:sz w:val="32"/>
          <w:szCs w:val="32"/>
        </w:rPr>
        <w:t>年12月31日，本单位共有车辆</w:t>
      </w:r>
      <w:r>
        <w:rPr>
          <w:rFonts w:hint="eastAsia" w:cs="黑体" w:asciiTheme="minorEastAsia" w:hAnsiTheme="minorEastAsia"/>
          <w:color w:val="000000"/>
          <w:kern w:val="0"/>
          <w:sz w:val="32"/>
          <w:szCs w:val="32"/>
          <w:lang w:val="en-US" w:eastAsia="zh-CN"/>
        </w:rPr>
        <w:t>3</w:t>
      </w:r>
      <w:r>
        <w:rPr>
          <w:rFonts w:hint="eastAsia" w:cs="黑体" w:asciiTheme="minorEastAsia" w:hAnsiTheme="minorEastAsia"/>
          <w:color w:val="000000"/>
          <w:kern w:val="0"/>
          <w:sz w:val="32"/>
          <w:szCs w:val="32"/>
        </w:rPr>
        <w:t>辆，其中，</w:t>
      </w:r>
      <w:r>
        <w:rPr>
          <w:rFonts w:hint="eastAsia" w:cs="黑体" w:asciiTheme="minorEastAsia" w:hAnsiTheme="minorEastAsia"/>
          <w:color w:val="000000"/>
          <w:kern w:val="0"/>
          <w:sz w:val="32"/>
          <w:szCs w:val="32"/>
          <w:lang w:val="en-US" w:eastAsia="zh-CN"/>
        </w:rPr>
        <w:t>应急通讯</w:t>
      </w:r>
      <w:r>
        <w:rPr>
          <w:rFonts w:hint="eastAsia" w:cs="黑体" w:asciiTheme="minorEastAsia" w:hAnsiTheme="minorEastAsia"/>
          <w:color w:val="000000"/>
          <w:kern w:val="0"/>
          <w:sz w:val="32"/>
          <w:szCs w:val="32"/>
        </w:rPr>
        <w:t>用车</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辆、</w:t>
      </w:r>
      <w:r>
        <w:rPr>
          <w:rFonts w:hint="eastAsia" w:cs="黑体" w:asciiTheme="minorEastAsia" w:hAnsiTheme="minorEastAsia"/>
          <w:color w:val="000000"/>
          <w:kern w:val="0"/>
          <w:sz w:val="32"/>
          <w:szCs w:val="32"/>
          <w:lang w:val="en-US" w:eastAsia="zh-CN"/>
        </w:rPr>
        <w:t>监测业务用车2辆</w:t>
      </w:r>
      <w:r>
        <w:rPr>
          <w:rFonts w:hint="eastAsia" w:cs="黑体" w:asciiTheme="minorEastAsia" w:hAnsiTheme="minorEastAsia"/>
          <w:color w:val="000000"/>
          <w:kern w:val="0"/>
          <w:sz w:val="32"/>
          <w:szCs w:val="32"/>
        </w:rPr>
        <w:t>；单位价值100万元以上专用设备</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台（套）。</w:t>
      </w:r>
    </w:p>
    <w:p>
      <w:pPr>
        <w:numPr>
          <w:numId w:val="0"/>
        </w:numPr>
        <w:ind w:firstLine="640" w:firstLineChars="200"/>
        <w:rPr>
          <w:rFonts w:hint="eastAsia" w:ascii="黑体" w:hAnsi="黑体" w:eastAsia="黑体" w:cs="黑体"/>
          <w:b/>
          <w:sz w:val="32"/>
          <w:szCs w:val="32"/>
        </w:rPr>
      </w:pPr>
      <w:r>
        <w:rPr>
          <w:rFonts w:hint="eastAsia" w:ascii="黑体" w:hAnsi="黑体" w:eastAsia="黑体" w:cs="黑体"/>
          <w:b/>
          <w:sz w:val="32"/>
          <w:szCs w:val="32"/>
          <w:lang w:val="en-US" w:eastAsia="zh-CN"/>
        </w:rPr>
        <w:t>十二、</w:t>
      </w:r>
      <w:r>
        <w:rPr>
          <w:rFonts w:hint="eastAsia" w:ascii="黑体" w:hAnsi="黑体" w:eastAsia="黑体" w:cs="黑体"/>
          <w:b/>
          <w:sz w:val="32"/>
          <w:szCs w:val="32"/>
        </w:rPr>
        <w:t>关于2020年度预算绩效情况的说明</w:t>
      </w:r>
    </w:p>
    <w:p>
      <w:pPr>
        <w:pStyle w:val="12"/>
        <w:ind w:firstLine="640" w:firstLineChars="200"/>
        <w:rPr>
          <w:rFonts w:hAnsi="黑体"/>
          <w:b/>
          <w:sz w:val="32"/>
          <w:szCs w:val="32"/>
        </w:rPr>
      </w:pPr>
      <w:r>
        <w:rPr>
          <w:rFonts w:hint="eastAsia" w:asciiTheme="minorEastAsia" w:hAnsiTheme="minorEastAsia" w:eastAsiaTheme="minorEastAsia"/>
          <w:sz w:val="32"/>
          <w:szCs w:val="32"/>
          <w:lang w:eastAsia="zh-CN"/>
        </w:rPr>
        <w:t>根据财政预算管理要求，</w:t>
      </w:r>
      <w:r>
        <w:rPr>
          <w:rFonts w:hint="eastAsia" w:asciiTheme="minorEastAsia" w:hAnsiTheme="minorEastAsia" w:eastAsiaTheme="minorEastAsia"/>
          <w:sz w:val="32"/>
          <w:szCs w:val="32"/>
          <w:lang w:val="en-US" w:eastAsia="zh-CN"/>
        </w:rPr>
        <w:t>本中心</w:t>
      </w:r>
      <w:r>
        <w:rPr>
          <w:rFonts w:hint="eastAsia" w:asciiTheme="minorEastAsia" w:hAnsiTheme="minorEastAsia" w:eastAsiaTheme="minorEastAsia"/>
          <w:sz w:val="32"/>
          <w:szCs w:val="32"/>
          <w:lang w:eastAsia="zh-CN"/>
        </w:rPr>
        <w:t>组织对20</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lang w:eastAsia="zh-CN"/>
        </w:rPr>
        <w:t>年度部门整体支出及环境保护专项支出全面开展了绩效自评，自评资金覆盖率达到100%。</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both"/>
        <w:rPr>
          <w:sz w:val="72"/>
          <w:szCs w:val="72"/>
        </w:rPr>
      </w:pPr>
    </w:p>
    <w:p>
      <w:pPr>
        <w:pStyle w:val="12"/>
        <w:jc w:val="center"/>
        <w:rPr>
          <w:sz w:val="72"/>
          <w:szCs w:val="72"/>
        </w:r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outlineLvl w:val="0"/>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财政拨款收入：指本级财政当年拨付的资金。</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其他收入：指除上述“财政拨款收入”、“上级补助收入”、“事业收入”、“经营收入”、“附属单位上缴收入”等以外的收入。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上年结转和结余：指以前年度尚未完成、结转到本年按有关规定继续使用的资金。</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年末结转和结余资金：指本年度或以前年度预算安排、因客观条件发生变化无法按原计划实施，需要延迟到以后年度按有关规定继续使用的资金。</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基本支出：指保障机构正常运转、完成支日常工作任务而发生的人员支出和公用支出。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项目支出：指在基本支出之外为完成特定行政任务和事业发展目标所发生的支出。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商品和服务支出：反映单位购买商品和服务的支出（不包括用于购置固定资产的支出、战略性和应急储备支出）。</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其他商品和服务支出：反映上述科目未包括的日常公用支出。如行政赔偿费和诉讼费、国内组织的会员费、来访费、广告宣传、其他劳务费及离休人员特需费、公用经费等。</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公务用车购置：反映公务用车车辆购置支出（含车辆购置税）。</w:t>
      </w:r>
    </w:p>
    <w:p>
      <w:pPr>
        <w:ind w:firstLine="640" w:firstLineChars="200"/>
        <w:jc w:val="left"/>
        <w:rPr>
          <w:rFonts w:cs="黑体" w:asciiTheme="minorEastAsia" w:hAnsiTheme="minorEastAsia"/>
          <w:color w:val="000000"/>
          <w:kern w:val="0"/>
          <w:sz w:val="32"/>
          <w:szCs w:val="3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outlineLvl w:val="0"/>
        <w:rPr>
          <w:rFonts w:ascii="黑体" w:eastAsia="黑体" w:cs="黑体"/>
          <w:color w:val="000000"/>
          <w:kern w:val="0"/>
          <w:sz w:val="70"/>
          <w:szCs w:val="70"/>
        </w:rPr>
      </w:pPr>
      <w:r>
        <w:rPr>
          <w:rFonts w:hint="eastAsia" w:ascii="黑体" w:eastAsia="黑体" w:cs="黑体"/>
          <w:color w:val="000000"/>
          <w:kern w:val="0"/>
          <w:sz w:val="70"/>
          <w:szCs w:val="70"/>
        </w:rPr>
        <w:t>附</w:t>
      </w:r>
      <w:r>
        <w:rPr>
          <w:rFonts w:hint="eastAsia" w:ascii="黑体" w:eastAsia="黑体" w:cs="黑体"/>
          <w:color w:val="000000"/>
          <w:kern w:val="0"/>
          <w:sz w:val="70"/>
          <w:szCs w:val="70"/>
          <w:lang w:val="en-US" w:eastAsia="zh-CN"/>
        </w:rPr>
        <w:t xml:space="preserve"> </w:t>
      </w:r>
      <w:r>
        <w:rPr>
          <w:rFonts w:hint="eastAsia" w:ascii="黑体" w:eastAsia="黑体" w:cs="黑体"/>
          <w:color w:val="000000"/>
          <w:kern w:val="0"/>
          <w:sz w:val="70"/>
          <w:szCs w:val="70"/>
        </w:rPr>
        <w:t>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hint="eastAsia" w:ascii="方正小标宋_GBK" w:eastAsia="方正小标宋_GBK"/>
          <w:sz w:val="48"/>
          <w:szCs w:val="48"/>
        </w:rPr>
      </w:pPr>
    </w:p>
    <w:p>
      <w:pPr>
        <w:jc w:val="center"/>
        <w:rPr>
          <w:rFonts w:hint="eastAsia" w:ascii="方正小标宋_GBK" w:eastAsia="方正小标宋_GBK"/>
          <w:sz w:val="48"/>
          <w:szCs w:val="48"/>
        </w:rPr>
      </w:pPr>
      <w:r>
        <w:rPr>
          <w:rFonts w:hint="eastAsia" w:ascii="方正小标宋_GBK" w:eastAsia="方正小标宋_GBK"/>
          <w:sz w:val="48"/>
          <w:szCs w:val="48"/>
        </w:rPr>
        <w:t>20</w:t>
      </w:r>
      <w:r>
        <w:rPr>
          <w:rFonts w:hint="eastAsia" w:ascii="方正小标宋_GBK" w:eastAsia="方正小标宋_GBK"/>
          <w:sz w:val="48"/>
          <w:szCs w:val="48"/>
          <w:lang w:val="en-US" w:eastAsia="zh-CN"/>
        </w:rPr>
        <w:t>20</w:t>
      </w:r>
      <w:r>
        <w:rPr>
          <w:rFonts w:hint="eastAsia" w:ascii="方正小标宋_GBK" w:eastAsia="方正小标宋_GBK"/>
          <w:sz w:val="48"/>
          <w:szCs w:val="48"/>
        </w:rPr>
        <w:t>年度部门整体支出绩效自评报告</w:t>
      </w: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both"/>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both"/>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p>
    <w:p>
      <w:pPr>
        <w:jc w:val="center"/>
        <w:rPr>
          <w:rFonts w:hint="default" w:ascii="黑体" w:eastAsia="黑体"/>
          <w:sz w:val="44"/>
          <w:szCs w:val="44"/>
          <w:lang w:val="en-US" w:eastAsia="zh-CN"/>
        </w:rPr>
      </w:pPr>
      <w:r>
        <w:rPr>
          <w:rFonts w:hint="eastAsia" w:ascii="黑体" w:eastAsia="黑体"/>
          <w:sz w:val="44"/>
          <w:szCs w:val="44"/>
        </w:rPr>
        <w:t>单位名称</w:t>
      </w:r>
      <w:r>
        <w:rPr>
          <w:rFonts w:hint="eastAsia" w:ascii="黑体" w:eastAsia="黑体"/>
          <w:sz w:val="44"/>
          <w:szCs w:val="44"/>
          <w:lang w:eastAsia="zh-CN"/>
        </w:rPr>
        <w:t>：</w:t>
      </w:r>
      <w:r>
        <w:rPr>
          <w:rFonts w:hint="eastAsia" w:ascii="黑体" w:eastAsia="黑体"/>
          <w:sz w:val="44"/>
          <w:szCs w:val="44"/>
          <w:lang w:val="en-US" w:eastAsia="zh-CN"/>
        </w:rPr>
        <w:t>湖南省洞庭湖生态环境监测中心</w:t>
      </w:r>
    </w:p>
    <w:p>
      <w:pPr>
        <w:pStyle w:val="13"/>
        <w:widowControl/>
        <w:numPr>
          <w:ilvl w:val="0"/>
          <w:numId w:val="0"/>
        </w:numPr>
        <w:spacing w:line="600" w:lineRule="exact"/>
        <w:rPr>
          <w:rFonts w:ascii="黑体" w:eastAsia="黑体"/>
          <w:sz w:val="32"/>
          <w:szCs w:val="32"/>
        </w:rPr>
      </w:pPr>
      <w:r>
        <w:rPr>
          <w:rFonts w:ascii="黑体" w:eastAsia="黑体"/>
          <w:sz w:val="32"/>
          <w:szCs w:val="32"/>
        </w:rPr>
        <w:br w:type="page"/>
      </w:r>
    </w:p>
    <w:p>
      <w:pPr>
        <w:pStyle w:val="13"/>
        <w:widowControl/>
        <w:numPr>
          <w:ilvl w:val="0"/>
          <w:numId w:val="0"/>
        </w:numPr>
        <w:spacing w:line="600" w:lineRule="exact"/>
        <w:ind w:firstLine="640" w:firstLineChars="200"/>
        <w:rPr>
          <w:rFonts w:hint="eastAsia" w:ascii="宋体" w:hAnsi="宋体" w:eastAsia="宋体" w:cs="宋体"/>
          <w:kern w:val="2"/>
          <w:sz w:val="32"/>
          <w:szCs w:val="32"/>
          <w:lang w:val="en-US" w:eastAsia="zh-CN" w:bidi="ar-SA"/>
        </w:rPr>
      </w:pPr>
      <w:r>
        <w:rPr>
          <w:rFonts w:hint="eastAsia" w:ascii="黑体" w:eastAsia="黑体"/>
          <w:sz w:val="32"/>
          <w:szCs w:val="32"/>
          <w:lang w:val="en-US" w:eastAsia="zh-CN"/>
        </w:rPr>
        <w:t>一、</w:t>
      </w:r>
      <w:r>
        <w:rPr>
          <w:rFonts w:hint="eastAsia" w:ascii="黑体" w:hAnsi="黑体" w:eastAsia="黑体" w:cs="黑体"/>
          <w:kern w:val="2"/>
          <w:sz w:val="32"/>
          <w:szCs w:val="32"/>
          <w:lang w:val="en-US" w:eastAsia="zh-CN" w:bidi="ar-SA"/>
        </w:rPr>
        <w:t>单位基本情况</w:t>
      </w:r>
    </w:p>
    <w:p>
      <w:pPr>
        <w:pStyle w:val="13"/>
        <w:widowControl/>
        <w:numPr>
          <w:ilvl w:val="0"/>
          <w:numId w:val="0"/>
        </w:numPr>
        <w:spacing w:line="600" w:lineRule="exact"/>
        <w:ind w:firstLine="640" w:firstLineChars="200"/>
        <w:rPr>
          <w:rFonts w:hint="default"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（一）职责职能</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kern w:val="2"/>
          <w:sz w:val="32"/>
          <w:szCs w:val="32"/>
          <w:lang w:val="en-US" w:eastAsia="zh-CN" w:bidi="ar-SA"/>
        </w:rPr>
        <w:t>湖南省洞庭</w:t>
      </w:r>
      <w:r>
        <w:rPr>
          <w:rFonts w:hint="eastAsia" w:ascii="宋体" w:hAnsi="宋体" w:eastAsia="宋体" w:cs="宋体"/>
          <w:sz w:val="32"/>
          <w:szCs w:val="32"/>
        </w:rPr>
        <w:t>湖生态环境监测中心</w:t>
      </w:r>
      <w:r>
        <w:rPr>
          <w:rFonts w:hint="eastAsia" w:ascii="宋体" w:hAnsi="宋体" w:eastAsia="宋体" w:cs="宋体"/>
          <w:sz w:val="32"/>
          <w:szCs w:val="32"/>
          <w:lang w:val="en-US" w:eastAsia="zh-CN"/>
        </w:rPr>
        <w:t>作为</w:t>
      </w:r>
      <w:r>
        <w:rPr>
          <w:rFonts w:hint="eastAsia" w:ascii="宋体" w:hAnsi="宋体" w:eastAsia="宋体" w:cs="宋体"/>
          <w:sz w:val="32"/>
          <w:szCs w:val="32"/>
        </w:rPr>
        <w:t>湖南省</w:t>
      </w:r>
      <w:r>
        <w:rPr>
          <w:rFonts w:hint="eastAsia" w:ascii="宋体" w:hAnsi="宋体" w:eastAsia="宋体" w:cs="宋体"/>
          <w:sz w:val="32"/>
          <w:szCs w:val="32"/>
          <w:lang w:val="en-US" w:eastAsia="zh-CN"/>
        </w:rPr>
        <w:t>生态环境</w:t>
      </w:r>
      <w:r>
        <w:rPr>
          <w:rFonts w:hint="eastAsia" w:ascii="宋体" w:hAnsi="宋体" w:eastAsia="宋体" w:cs="宋体"/>
          <w:sz w:val="32"/>
          <w:szCs w:val="32"/>
        </w:rPr>
        <w:t>厅</w:t>
      </w:r>
      <w:r>
        <w:rPr>
          <w:rFonts w:hint="eastAsia" w:ascii="宋体" w:hAnsi="宋体" w:eastAsia="宋体" w:cs="宋体"/>
          <w:sz w:val="32"/>
          <w:szCs w:val="32"/>
          <w:lang w:val="en-US" w:eastAsia="zh-CN"/>
        </w:rPr>
        <w:t>直属的</w:t>
      </w:r>
      <w:r>
        <w:rPr>
          <w:rFonts w:hint="eastAsia" w:ascii="宋体" w:hAnsi="宋体" w:eastAsia="宋体" w:cs="宋体"/>
          <w:sz w:val="32"/>
          <w:szCs w:val="32"/>
        </w:rPr>
        <w:t>二级</w:t>
      </w:r>
      <w:r>
        <w:rPr>
          <w:rFonts w:hint="eastAsia" w:ascii="宋体" w:hAnsi="宋体" w:eastAsia="宋体" w:cs="宋体"/>
          <w:sz w:val="32"/>
          <w:szCs w:val="32"/>
          <w:lang w:val="en-US" w:eastAsia="zh-CN"/>
        </w:rPr>
        <w:t>机构</w:t>
      </w:r>
      <w:r>
        <w:rPr>
          <w:rFonts w:hint="eastAsia" w:ascii="宋体" w:hAnsi="宋体" w:eastAsia="宋体" w:cs="宋体"/>
          <w:sz w:val="32"/>
          <w:szCs w:val="32"/>
        </w:rPr>
        <w:t>，</w:t>
      </w:r>
      <w:r>
        <w:rPr>
          <w:rFonts w:hint="eastAsia" w:ascii="宋体" w:hAnsi="宋体" w:eastAsia="宋体" w:cs="宋体"/>
          <w:sz w:val="32"/>
          <w:szCs w:val="32"/>
          <w:lang w:val="en-US" w:eastAsia="zh-CN"/>
        </w:rPr>
        <w:t>其主要职能是：</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1、贯彻执行《中华人民共和国环境保护法》及有关环境保护和环境监测的法律、法规、标准、技术规范和管理制度。</w:t>
      </w:r>
    </w:p>
    <w:p>
      <w:pPr>
        <w:pStyle w:val="13"/>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2、参与洞庭湖生态环境监测规划和方案的制定，并贯彻执行。</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按照国家环境监测技术规范的要求，开展洞庭湖水环境质量监测、洞庭湖湿地生态系统地面定位监测、长江及重要支流水生生物监测、区域性生态环境预警监测和突发性环境污染事故应急监测等工作，以科学有效的监测数据为环境管理提供依据，为社会公众提供服务。</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4、牵头全省水生生物监测技术拓展工作，组织开展各类环境监测机构的技术指导、人员培训，推进水生生物监测技术规范化。</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5、负责收集、整理、储存洞庭湖生态环境监测数据、资料，建立洞庭湖生态环境监测数据库和档案资料库。按生态环境信息发布有关规定，按时上报有关监测数据报告，并对洞庭湖生态环境质量进行综合分析，为生态环境保护与管理提供技术支持、技术监督和技术服务。</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6、开展国家和地方各类洞庭湖相关的生态环境保护专项课题研究，参与分析方法开发与验证、监测技术的研究工作。</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7、配合开展生态环境保护督察工作。</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8、完成省生态环境厅和上级部门交办的其他工作任务。</w:t>
      </w:r>
    </w:p>
    <w:p>
      <w:pPr>
        <w:widowControl/>
        <w:spacing w:line="600" w:lineRule="exact"/>
        <w:ind w:firstLine="640" w:firstLineChars="200"/>
        <w:rPr>
          <w:rFonts w:hint="default" w:asciiTheme="minorEastAsia" w:hAnsiTheme="minorEastAsia" w:eastAsiaTheme="minorEastAsia" w:cstheme="minorEastAsia"/>
          <w:b/>
          <w:bCs w:val="0"/>
          <w:kern w:val="0"/>
          <w:sz w:val="32"/>
          <w:szCs w:val="32"/>
          <w:lang w:val="en-US" w:eastAsia="zh-CN"/>
        </w:rPr>
      </w:pPr>
      <w:r>
        <w:rPr>
          <w:rFonts w:hint="eastAsia" w:asciiTheme="minorEastAsia" w:hAnsiTheme="minorEastAsia" w:eastAsiaTheme="minorEastAsia" w:cstheme="minorEastAsia"/>
          <w:b/>
          <w:bCs w:val="0"/>
          <w:kern w:val="0"/>
          <w:sz w:val="32"/>
          <w:szCs w:val="32"/>
        </w:rPr>
        <w:t>（</w:t>
      </w:r>
      <w:r>
        <w:rPr>
          <w:rFonts w:hint="eastAsia" w:asciiTheme="minorEastAsia" w:hAnsiTheme="minorEastAsia" w:cstheme="minorEastAsia"/>
          <w:b/>
          <w:bCs w:val="0"/>
          <w:kern w:val="0"/>
          <w:sz w:val="32"/>
          <w:szCs w:val="32"/>
          <w:lang w:val="en-US" w:eastAsia="zh-CN"/>
        </w:rPr>
        <w:t>二</w:t>
      </w:r>
      <w:r>
        <w:rPr>
          <w:rFonts w:hint="eastAsia" w:asciiTheme="minorEastAsia" w:hAnsiTheme="minorEastAsia" w:eastAsiaTheme="minorEastAsia" w:cstheme="minorEastAsia"/>
          <w:b/>
          <w:bCs w:val="0"/>
          <w:kern w:val="0"/>
          <w:sz w:val="32"/>
          <w:szCs w:val="32"/>
        </w:rPr>
        <w:t>）</w:t>
      </w:r>
      <w:r>
        <w:rPr>
          <w:rFonts w:hint="eastAsia" w:asciiTheme="minorEastAsia" w:hAnsiTheme="minorEastAsia" w:cstheme="minorEastAsia"/>
          <w:b/>
          <w:bCs w:val="0"/>
          <w:kern w:val="0"/>
          <w:sz w:val="32"/>
          <w:szCs w:val="32"/>
          <w:lang w:val="en-US" w:eastAsia="zh-CN"/>
        </w:rPr>
        <w:t>科室</w:t>
      </w:r>
      <w:r>
        <w:rPr>
          <w:rFonts w:hint="eastAsia" w:asciiTheme="minorEastAsia" w:hAnsiTheme="minorEastAsia" w:eastAsiaTheme="minorEastAsia" w:cstheme="minorEastAsia"/>
          <w:b/>
          <w:bCs w:val="0"/>
          <w:kern w:val="0"/>
          <w:sz w:val="32"/>
          <w:szCs w:val="32"/>
        </w:rPr>
        <w:t>设置</w:t>
      </w:r>
      <w:r>
        <w:rPr>
          <w:rFonts w:hint="eastAsia" w:asciiTheme="minorEastAsia" w:hAnsiTheme="minorEastAsia" w:cstheme="minorEastAsia"/>
          <w:b/>
          <w:bCs w:val="0"/>
          <w:kern w:val="0"/>
          <w:sz w:val="32"/>
          <w:szCs w:val="32"/>
          <w:lang w:val="en-US" w:eastAsia="zh-CN"/>
        </w:rPr>
        <w:t>和人员情况</w:t>
      </w:r>
    </w:p>
    <w:p>
      <w:pPr>
        <w:widowControl/>
        <w:spacing w:line="600" w:lineRule="exact"/>
        <w:ind w:firstLine="640" w:firstLineChars="200"/>
        <w:rPr>
          <w:rFonts w:hint="eastAsia" w:asciiTheme="minorEastAsia" w:hAnsiTheme="minorEastAsia" w:eastAsiaTheme="minorEastAsia" w:cstheme="minorEastAsia"/>
          <w:bCs/>
          <w:kern w:val="0"/>
          <w:sz w:val="32"/>
          <w:szCs w:val="32"/>
        </w:rPr>
      </w:pPr>
      <w:r>
        <w:rPr>
          <w:rFonts w:hint="eastAsia" w:asciiTheme="minorEastAsia" w:hAnsiTheme="minorEastAsia" w:eastAsiaTheme="minorEastAsia" w:cstheme="minorEastAsia"/>
          <w:i w:val="0"/>
          <w:iCs w:val="0"/>
          <w:caps w:val="0"/>
          <w:color w:val="000000"/>
          <w:spacing w:val="0"/>
          <w:sz w:val="32"/>
          <w:szCs w:val="32"/>
          <w:shd w:val="clear" w:fill="FFFFFF"/>
          <w:lang w:val="en-US" w:eastAsia="zh-CN"/>
        </w:rPr>
        <w:t>中心</w:t>
      </w:r>
      <w:r>
        <w:rPr>
          <w:rFonts w:hint="eastAsia" w:asciiTheme="minorEastAsia" w:hAnsiTheme="minorEastAsia" w:eastAsiaTheme="minorEastAsia" w:cstheme="minorEastAsia"/>
          <w:i w:val="0"/>
          <w:iCs w:val="0"/>
          <w:caps w:val="0"/>
          <w:color w:val="000000"/>
          <w:spacing w:val="0"/>
          <w:sz w:val="32"/>
          <w:szCs w:val="32"/>
          <w:shd w:val="clear" w:fill="FFFFFF"/>
        </w:rPr>
        <w:t>内设</w:t>
      </w:r>
      <w:r>
        <w:rPr>
          <w:rFonts w:hint="eastAsia" w:asciiTheme="minorEastAsia" w:hAnsiTheme="minorEastAsia" w:cstheme="minorEastAsia"/>
          <w:i w:val="0"/>
          <w:iCs w:val="0"/>
          <w:caps w:val="0"/>
          <w:color w:val="000000"/>
          <w:spacing w:val="0"/>
          <w:sz w:val="32"/>
          <w:szCs w:val="32"/>
          <w:shd w:val="clear" w:fill="FFFFFF"/>
          <w:lang w:val="en-US" w:eastAsia="zh-CN"/>
        </w:rPr>
        <w:t>办</w:t>
      </w:r>
      <w:r>
        <w:rPr>
          <w:rFonts w:hint="eastAsia" w:asciiTheme="minorEastAsia" w:hAnsiTheme="minorEastAsia" w:eastAsiaTheme="minorEastAsia" w:cstheme="minorEastAsia"/>
          <w:color w:val="000000"/>
          <w:sz w:val="32"/>
          <w:szCs w:val="32"/>
        </w:rPr>
        <w:t>公室、人事教育科（纪检监察室）、计划财务科、质量控制科、综合技术科（现场监测</w:t>
      </w:r>
      <w:r>
        <w:rPr>
          <w:rFonts w:hint="eastAsia" w:asciiTheme="minorEastAsia" w:hAnsiTheme="minorEastAsia" w:cstheme="minorEastAsia"/>
          <w:color w:val="000000"/>
          <w:sz w:val="32"/>
          <w:szCs w:val="32"/>
          <w:lang w:val="en-US" w:eastAsia="zh-CN"/>
        </w:rPr>
        <w:t>科</w:t>
      </w:r>
      <w:r>
        <w:rPr>
          <w:rFonts w:hint="eastAsia" w:asciiTheme="minorEastAsia" w:hAnsiTheme="minorEastAsia" w:eastAsiaTheme="minorEastAsia" w:cstheme="minorEastAsia"/>
          <w:color w:val="000000"/>
          <w:sz w:val="32"/>
          <w:szCs w:val="32"/>
        </w:rPr>
        <w:t>）、分析室、生态监测科</w:t>
      </w:r>
      <w:r>
        <w:rPr>
          <w:rFonts w:hint="eastAsia" w:asciiTheme="minorEastAsia" w:hAnsiTheme="minorEastAsia" w:eastAsiaTheme="minorEastAsia" w:cstheme="minorEastAsia"/>
          <w:i w:val="0"/>
          <w:iCs w:val="0"/>
          <w:caps w:val="0"/>
          <w:color w:val="000000"/>
          <w:spacing w:val="0"/>
          <w:sz w:val="32"/>
          <w:szCs w:val="32"/>
          <w:shd w:val="clear" w:fill="FFFFFF"/>
        </w:rPr>
        <w:t>。</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本单位人员编制数为49人，</w:t>
      </w:r>
      <w:r>
        <w:rPr>
          <w:rFonts w:hint="eastAsia" w:asciiTheme="minorEastAsia" w:hAnsiTheme="minorEastAsia" w:eastAsiaTheme="minorEastAsia" w:cstheme="minorEastAsia"/>
          <w:sz w:val="32"/>
          <w:szCs w:val="32"/>
          <w:lang w:val="en-US" w:eastAsia="zh-CN"/>
        </w:rPr>
        <w:t>2020年底实有</w:t>
      </w:r>
      <w:r>
        <w:rPr>
          <w:rFonts w:hint="eastAsia" w:asciiTheme="minorEastAsia" w:hAnsiTheme="minorEastAsia" w:eastAsiaTheme="minorEastAsia" w:cstheme="minorEastAsia"/>
          <w:sz w:val="32"/>
          <w:szCs w:val="32"/>
        </w:rPr>
        <w:t>在职人员</w:t>
      </w:r>
      <w:r>
        <w:rPr>
          <w:rFonts w:hint="eastAsia" w:asciiTheme="minorEastAsia" w:hAnsiTheme="minorEastAsia" w:eastAsiaTheme="minorEastAsia" w:cstheme="minorEastAsia"/>
          <w:sz w:val="32"/>
          <w:szCs w:val="32"/>
          <w:lang w:val="en-US" w:eastAsia="zh-CN"/>
        </w:rPr>
        <w:t>41</w:t>
      </w:r>
      <w:r>
        <w:rPr>
          <w:rFonts w:hint="eastAsia" w:asciiTheme="minorEastAsia" w:hAnsiTheme="minorEastAsia" w:eastAsiaTheme="minorEastAsia" w:cstheme="minorEastAsia"/>
          <w:sz w:val="32"/>
          <w:szCs w:val="32"/>
        </w:rPr>
        <w:t>人，退休人员</w:t>
      </w:r>
      <w:r>
        <w:rPr>
          <w:rFonts w:hint="eastAsia" w:asciiTheme="minorEastAsia" w:hAnsiTheme="minorEastAsia" w:eastAsiaTheme="minorEastAsia" w:cstheme="minorEastAsia"/>
          <w:sz w:val="32"/>
          <w:szCs w:val="32"/>
          <w:lang w:val="en-US" w:eastAsia="zh-CN"/>
        </w:rPr>
        <w:t>22</w:t>
      </w:r>
      <w:r>
        <w:rPr>
          <w:rFonts w:hint="eastAsia" w:asciiTheme="minorEastAsia" w:hAnsiTheme="minorEastAsia" w:eastAsiaTheme="minorEastAsia" w:cstheme="minorEastAsia"/>
          <w:sz w:val="32"/>
          <w:szCs w:val="32"/>
        </w:rPr>
        <w:t>人。</w:t>
      </w:r>
    </w:p>
    <w:p>
      <w:pPr>
        <w:pStyle w:val="13"/>
        <w:widowControl/>
        <w:numPr>
          <w:ilvl w:val="0"/>
          <w:numId w:val="0"/>
        </w:numPr>
        <w:spacing w:line="600" w:lineRule="exact"/>
        <w:ind w:leftChars="300"/>
        <w:rPr>
          <w:rFonts w:hint="eastAsia" w:asciiTheme="minorEastAsia" w:hAnsiTheme="minorEastAsia" w:eastAsiaTheme="minorEastAsia" w:cstheme="minorEastAsia"/>
          <w:b/>
          <w:bCs/>
          <w:sz w:val="32"/>
          <w:szCs w:val="32"/>
          <w:lang w:val="en-US" w:eastAsia="zh-CN"/>
        </w:rPr>
      </w:pPr>
      <w:r>
        <w:rPr>
          <w:rFonts w:hint="eastAsia" w:ascii="黑体" w:hAnsi="黑体" w:eastAsia="黑体" w:cs="黑体"/>
          <w:b/>
          <w:bCs/>
          <w:sz w:val="32"/>
          <w:szCs w:val="32"/>
          <w:lang w:val="en-US" w:eastAsia="zh-CN"/>
        </w:rPr>
        <w:t>二、一般公共预算支出情况</w:t>
      </w:r>
    </w:p>
    <w:p>
      <w:pPr>
        <w:pStyle w:val="2"/>
        <w:spacing w:before="0" w:after="0" w:line="360" w:lineRule="auto"/>
        <w:ind w:firstLine="640" w:firstLineChars="200"/>
        <w:rPr>
          <w:rFonts w:hint="eastAsia" w:ascii="宋体" w:hAnsi="宋体" w:eastAsia="宋体" w:cs="宋体"/>
          <w:b/>
          <w:bCs/>
          <w:lang w:eastAsia="zh-CN"/>
        </w:rPr>
      </w:pPr>
      <w:r>
        <w:rPr>
          <w:rFonts w:hint="eastAsia" w:ascii="宋体" w:hAnsi="宋体" w:eastAsia="宋体" w:cs="宋体"/>
          <w:b/>
          <w:bCs/>
          <w:lang w:eastAsia="zh-CN"/>
        </w:rPr>
        <w:t>1、资金来源及主要用途</w:t>
      </w:r>
    </w:p>
    <w:p>
      <w:pPr>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val="en-US" w:eastAsia="zh-CN"/>
        </w:rPr>
        <w:t>2020年</w:t>
      </w:r>
      <w:r>
        <w:rPr>
          <w:rFonts w:hint="eastAsia" w:asciiTheme="minorEastAsia" w:hAnsiTheme="minorEastAsia" w:eastAsiaTheme="minorEastAsia" w:cstheme="minorEastAsia"/>
          <w:sz w:val="32"/>
          <w:szCs w:val="32"/>
        </w:rPr>
        <w:t>年初财政预算收入为</w:t>
      </w:r>
      <w:r>
        <w:rPr>
          <w:rFonts w:hint="eastAsia" w:asciiTheme="minorEastAsia" w:hAnsiTheme="minorEastAsia" w:cstheme="minorEastAsia"/>
          <w:sz w:val="32"/>
          <w:szCs w:val="32"/>
          <w:lang w:val="en-US" w:eastAsia="zh-CN"/>
        </w:rPr>
        <w:t>1058.28</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其中基本支出预算</w:t>
      </w:r>
      <w:r>
        <w:rPr>
          <w:rFonts w:hint="eastAsia" w:asciiTheme="minorEastAsia" w:hAnsiTheme="minorEastAsia" w:cstheme="minorEastAsia"/>
          <w:sz w:val="32"/>
          <w:szCs w:val="32"/>
          <w:lang w:val="en-US" w:eastAsia="zh-CN"/>
        </w:rPr>
        <w:t>896.28</w:t>
      </w:r>
      <w:r>
        <w:rPr>
          <w:rFonts w:hint="eastAsia" w:asciiTheme="minorEastAsia" w:hAnsiTheme="minorEastAsia" w:eastAsiaTheme="minorEastAsia" w:cstheme="minorEastAsia"/>
          <w:sz w:val="32"/>
          <w:szCs w:val="32"/>
          <w:lang w:val="en-US" w:eastAsia="zh-CN"/>
        </w:rPr>
        <w:t>万元（含</w:t>
      </w:r>
      <w:r>
        <w:rPr>
          <w:rFonts w:hint="eastAsia" w:asciiTheme="minorEastAsia" w:hAnsiTheme="minorEastAsia" w:eastAsiaTheme="minorEastAsia" w:cstheme="minorEastAsia"/>
          <w:sz w:val="32"/>
          <w:szCs w:val="32"/>
        </w:rPr>
        <w:t>纳入预算管理的国有资产有偿使用收入</w:t>
      </w:r>
      <w:r>
        <w:rPr>
          <w:rFonts w:hint="eastAsia" w:asciiTheme="minorEastAsia" w:hAnsiTheme="minorEastAsia" w:eastAsiaTheme="minorEastAsia" w:cstheme="minorEastAsia"/>
          <w:sz w:val="32"/>
          <w:szCs w:val="32"/>
          <w:lang w:val="en-US" w:eastAsia="zh-CN"/>
        </w:rPr>
        <w:t>7.3</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val="en-US" w:eastAsia="zh-CN"/>
        </w:rPr>
        <w:t>），项目支出预算</w:t>
      </w:r>
      <w:r>
        <w:rPr>
          <w:rFonts w:hint="eastAsia" w:asciiTheme="minorEastAsia" w:hAnsiTheme="minorEastAsia" w:cstheme="minorEastAsia"/>
          <w:sz w:val="32"/>
          <w:szCs w:val="32"/>
          <w:lang w:val="en-US" w:eastAsia="zh-CN"/>
        </w:rPr>
        <w:t>162</w:t>
      </w:r>
      <w:r>
        <w:rPr>
          <w:rFonts w:hint="eastAsia" w:asciiTheme="minorEastAsia" w:hAnsiTheme="minorEastAsia" w:eastAsiaTheme="minorEastAsia" w:cstheme="minorEastAsia"/>
          <w:sz w:val="32"/>
          <w:szCs w:val="32"/>
          <w:lang w:val="en-US" w:eastAsia="zh-CN"/>
        </w:rPr>
        <w:t>万元，上年结转资金</w:t>
      </w:r>
      <w:r>
        <w:rPr>
          <w:rFonts w:hint="eastAsia" w:asciiTheme="minorEastAsia" w:hAnsiTheme="minorEastAsia" w:cstheme="minorEastAsia"/>
          <w:sz w:val="32"/>
          <w:szCs w:val="32"/>
          <w:lang w:val="en-US" w:eastAsia="zh-CN"/>
        </w:rPr>
        <w:t>115.53</w:t>
      </w:r>
      <w:r>
        <w:rPr>
          <w:rFonts w:hint="eastAsia" w:asciiTheme="minorEastAsia" w:hAnsiTheme="minorEastAsia" w:eastAsiaTheme="minorEastAsia" w:cstheme="minorEastAsia"/>
          <w:sz w:val="32"/>
          <w:szCs w:val="32"/>
          <w:lang w:val="en-US" w:eastAsia="zh-CN"/>
        </w:rPr>
        <w:t>万元。全年财政补助</w:t>
      </w:r>
      <w:r>
        <w:rPr>
          <w:rFonts w:hint="eastAsia" w:asciiTheme="minorEastAsia" w:hAnsiTheme="minorEastAsia" w:eastAsiaTheme="minorEastAsia" w:cstheme="minorEastAsia"/>
          <w:sz w:val="32"/>
          <w:szCs w:val="32"/>
        </w:rPr>
        <w:t>收入</w:t>
      </w:r>
      <w:r>
        <w:rPr>
          <w:rFonts w:hint="eastAsia" w:asciiTheme="minorEastAsia" w:hAnsiTheme="minorEastAsia" w:cstheme="minorEastAsia"/>
          <w:sz w:val="32"/>
          <w:szCs w:val="32"/>
          <w:lang w:val="en-US" w:eastAsia="zh-CN"/>
        </w:rPr>
        <w:t>1173.81</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w:t>
      </w:r>
    </w:p>
    <w:p>
      <w:p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本中心</w:t>
      </w:r>
      <w:r>
        <w:rPr>
          <w:rFonts w:hint="eastAsia" w:ascii="宋体" w:hAnsi="宋体" w:eastAsia="宋体" w:cs="宋体"/>
          <w:sz w:val="32"/>
          <w:szCs w:val="32"/>
          <w:lang w:eastAsia="zh-CN"/>
        </w:rPr>
        <w:t>预算资金主要支出科目为：一般公共服务支出、社会保障和就业支出、节能环保支出、住房保障支出等，其中节能环保支出所占比重最大。</w:t>
      </w:r>
    </w:p>
    <w:p>
      <w:pPr>
        <w:pStyle w:val="13"/>
        <w:widowControl/>
        <w:numPr>
          <w:ilvl w:val="0"/>
          <w:numId w:val="1"/>
        </w:numPr>
        <w:spacing w:line="600" w:lineRule="exact"/>
        <w:ind w:left="790" w:leftChars="0" w:firstLine="0" w:firstLineChars="0"/>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基本支出情况</w:t>
      </w:r>
    </w:p>
    <w:p>
      <w:pPr>
        <w:pStyle w:val="13"/>
        <w:widowControl/>
        <w:numPr>
          <w:ilvl w:val="0"/>
          <w:numId w:val="0"/>
        </w:numPr>
        <w:spacing w:line="600" w:lineRule="exact"/>
        <w:ind w:firstLine="640" w:firstLineChars="200"/>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val="en-US" w:eastAsia="zh-CN"/>
        </w:rPr>
        <w:t>2020</w:t>
      </w:r>
      <w:r>
        <w:rPr>
          <w:rFonts w:hint="eastAsia" w:ascii="宋体" w:hAnsi="宋体" w:eastAsia="宋体" w:cs="宋体"/>
          <w:color w:val="000000"/>
          <w:sz w:val="32"/>
          <w:szCs w:val="32"/>
          <w:lang w:eastAsia="zh-CN"/>
        </w:rPr>
        <w:t>年，</w:t>
      </w:r>
      <w:r>
        <w:rPr>
          <w:rFonts w:hint="eastAsia" w:ascii="宋体" w:hAnsi="宋体" w:eastAsia="宋体" w:cs="宋体"/>
          <w:color w:val="000000"/>
          <w:sz w:val="32"/>
          <w:szCs w:val="32"/>
          <w:lang w:val="en-US" w:eastAsia="zh-CN"/>
        </w:rPr>
        <w:t>本中心</w:t>
      </w:r>
      <w:r>
        <w:rPr>
          <w:rFonts w:hint="eastAsia" w:ascii="宋体" w:hAnsi="宋体" w:eastAsia="宋体" w:cs="宋体"/>
          <w:color w:val="000000"/>
          <w:sz w:val="32"/>
          <w:szCs w:val="32"/>
          <w:lang w:eastAsia="zh-CN"/>
        </w:rPr>
        <w:t>发生基本支出决算数为</w:t>
      </w:r>
      <w:r>
        <w:rPr>
          <w:rFonts w:hint="eastAsia" w:ascii="宋体" w:hAnsi="宋体" w:eastAsia="宋体" w:cs="宋体"/>
          <w:color w:val="000000"/>
          <w:sz w:val="32"/>
          <w:szCs w:val="32"/>
          <w:lang w:val="en-US" w:eastAsia="zh-CN"/>
        </w:rPr>
        <w:t>887.73</w:t>
      </w:r>
      <w:r>
        <w:rPr>
          <w:rFonts w:hint="eastAsia" w:ascii="宋体" w:hAnsi="宋体" w:eastAsia="宋体" w:cs="宋体"/>
          <w:color w:val="000000"/>
          <w:sz w:val="32"/>
          <w:szCs w:val="32"/>
          <w:lang w:eastAsia="zh-CN"/>
        </w:rPr>
        <w:t>万元，其中：</w:t>
      </w:r>
      <w:r>
        <w:rPr>
          <w:rFonts w:hint="eastAsia" w:ascii="宋体" w:hAnsi="宋体" w:eastAsia="宋体" w:cs="宋体"/>
          <w:color w:val="000000"/>
          <w:sz w:val="32"/>
          <w:szCs w:val="32"/>
          <w:lang w:val="en-US" w:eastAsia="zh-CN"/>
        </w:rPr>
        <w:t>人员经费731.58</w:t>
      </w:r>
      <w:r>
        <w:rPr>
          <w:rFonts w:hint="eastAsia" w:ascii="宋体" w:hAnsi="宋体" w:eastAsia="宋体" w:cs="宋体"/>
          <w:color w:val="000000"/>
          <w:sz w:val="32"/>
          <w:szCs w:val="32"/>
          <w:lang w:eastAsia="zh-CN"/>
        </w:rPr>
        <w:t>万元，</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基本养老保险缴费、基本医疗保险缴费、住房公积金</w:t>
      </w:r>
      <w:r>
        <w:rPr>
          <w:rFonts w:hint="eastAsia" w:asciiTheme="minorEastAsia" w:hAnsiTheme="minorEastAsia" w:eastAsiaTheme="minorEastAsia"/>
          <w:sz w:val="32"/>
          <w:szCs w:val="32"/>
          <w:lang w:eastAsia="zh-CN"/>
        </w:rPr>
        <w:t>等人员经费支出</w:t>
      </w:r>
      <w:r>
        <w:rPr>
          <w:rFonts w:hint="eastAsia" w:asciiTheme="minorEastAsia" w:hAnsiTheme="minorEastAsia" w:eastAsiaTheme="minorEastAsia"/>
          <w:sz w:val="32"/>
          <w:szCs w:val="32"/>
        </w:rPr>
        <w:t>；</w:t>
      </w:r>
      <w:r>
        <w:rPr>
          <w:rFonts w:hint="eastAsia" w:ascii="宋体" w:hAnsi="宋体" w:eastAsia="宋体" w:cs="宋体"/>
          <w:color w:val="000000"/>
          <w:sz w:val="32"/>
          <w:szCs w:val="32"/>
          <w:lang w:val="en-US" w:eastAsia="zh-CN"/>
        </w:rPr>
        <w:t>公用经费156.15万元，主要包括办公费、水电费、物业费、维修费、劳务费等日常公用经费支出</w:t>
      </w:r>
      <w:r>
        <w:rPr>
          <w:rFonts w:hint="eastAsia" w:ascii="宋体" w:hAnsi="宋体" w:eastAsia="宋体" w:cs="宋体"/>
          <w:color w:val="000000"/>
          <w:sz w:val="32"/>
          <w:szCs w:val="32"/>
          <w:lang w:eastAsia="zh-CN"/>
        </w:rPr>
        <w:t>。</w:t>
      </w:r>
    </w:p>
    <w:p>
      <w:pPr>
        <w:pStyle w:val="2"/>
        <w:tabs>
          <w:tab w:val="left" w:pos="4680"/>
        </w:tabs>
        <w:spacing w:before="0" w:after="0" w:line="360" w:lineRule="auto"/>
        <w:ind w:firstLine="640" w:firstLineChars="200"/>
        <w:rPr>
          <w:rFonts w:hint="eastAsia" w:ascii="宋体" w:hAnsi="宋体" w:eastAsia="宋体" w:cs="宋体"/>
          <w:lang w:eastAsia="zh-CN"/>
        </w:rPr>
      </w:pPr>
      <w:r>
        <w:rPr>
          <w:rFonts w:hint="eastAsia" w:ascii="宋体" w:hAnsi="宋体" w:eastAsia="宋体" w:cs="宋体"/>
          <w:lang w:eastAsia="zh-CN"/>
        </w:rPr>
        <w:t>3、项目支出情况</w:t>
      </w:r>
    </w:p>
    <w:p>
      <w:pPr>
        <w:spacing w:line="360" w:lineRule="auto"/>
        <w:ind w:firstLine="640" w:firstLineChars="200"/>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val="en-US" w:eastAsia="zh-CN"/>
        </w:rPr>
        <w:t>2020</w:t>
      </w:r>
      <w:r>
        <w:rPr>
          <w:rFonts w:hint="eastAsia" w:ascii="宋体" w:hAnsi="宋体" w:eastAsia="宋体" w:cs="宋体"/>
          <w:color w:val="000000"/>
          <w:sz w:val="32"/>
          <w:szCs w:val="32"/>
          <w:lang w:eastAsia="zh-CN"/>
        </w:rPr>
        <w:t>年，</w:t>
      </w:r>
      <w:r>
        <w:rPr>
          <w:rFonts w:hint="eastAsia" w:ascii="宋体" w:hAnsi="宋体" w:eastAsia="宋体" w:cs="宋体"/>
          <w:color w:val="000000"/>
          <w:sz w:val="32"/>
          <w:szCs w:val="32"/>
          <w:lang w:val="en-US" w:eastAsia="zh-CN"/>
        </w:rPr>
        <w:t>本中心</w:t>
      </w:r>
      <w:r>
        <w:rPr>
          <w:rFonts w:hint="eastAsia" w:ascii="宋体" w:hAnsi="宋体" w:eastAsia="宋体" w:cs="宋体"/>
          <w:color w:val="000000"/>
          <w:sz w:val="32"/>
          <w:szCs w:val="32"/>
          <w:lang w:eastAsia="zh-CN"/>
        </w:rPr>
        <w:t>共发生项目支出决算数为</w:t>
      </w:r>
      <w:r>
        <w:rPr>
          <w:rFonts w:hint="eastAsia" w:ascii="宋体" w:hAnsi="宋体" w:eastAsia="宋体" w:cs="宋体"/>
          <w:color w:val="000000"/>
          <w:sz w:val="32"/>
          <w:szCs w:val="32"/>
          <w:lang w:val="en-US" w:eastAsia="zh-CN"/>
        </w:rPr>
        <w:t>178.54</w:t>
      </w:r>
      <w:r>
        <w:rPr>
          <w:rFonts w:hint="eastAsia" w:ascii="宋体" w:hAnsi="宋体" w:eastAsia="宋体" w:cs="宋体"/>
          <w:color w:val="000000"/>
          <w:sz w:val="32"/>
          <w:szCs w:val="32"/>
          <w:lang w:eastAsia="zh-CN"/>
        </w:rPr>
        <w:t>万元，主要为</w:t>
      </w:r>
      <w:r>
        <w:rPr>
          <w:rFonts w:hint="eastAsia" w:ascii="宋体" w:hAnsi="宋体" w:cs="宋体"/>
          <w:color w:val="000000"/>
          <w:sz w:val="32"/>
          <w:szCs w:val="32"/>
          <w:lang w:eastAsia="zh-CN" w:bidi="ar"/>
        </w:rPr>
        <w:t>实验室仪器维护运行与更新</w:t>
      </w:r>
      <w:r>
        <w:rPr>
          <w:rFonts w:hint="eastAsia" w:ascii="宋体" w:hAnsi="宋体" w:cs="宋体"/>
          <w:color w:val="000000"/>
          <w:sz w:val="32"/>
          <w:szCs w:val="32"/>
          <w:lang w:val="en-US" w:eastAsia="zh-CN" w:bidi="ar"/>
        </w:rPr>
        <w:t>、</w:t>
      </w:r>
      <w:r>
        <w:rPr>
          <w:rFonts w:hint="eastAsia" w:ascii="宋体" w:hAnsi="宋体" w:cs="宋体"/>
          <w:color w:val="000000"/>
          <w:sz w:val="32"/>
          <w:szCs w:val="32"/>
          <w:lang w:eastAsia="zh-CN" w:bidi="ar"/>
        </w:rPr>
        <w:t>环境质量水质和土壤监测网运行补助</w:t>
      </w:r>
      <w:r>
        <w:rPr>
          <w:rFonts w:hint="eastAsia" w:ascii="宋体" w:hAnsi="宋体" w:cs="宋体"/>
          <w:color w:val="000000"/>
          <w:sz w:val="32"/>
          <w:szCs w:val="32"/>
          <w:lang w:val="en-US" w:eastAsia="zh-CN" w:bidi="ar"/>
        </w:rPr>
        <w:t>等</w:t>
      </w:r>
      <w:r>
        <w:rPr>
          <w:rFonts w:hint="eastAsia" w:ascii="宋体" w:hAnsi="宋体" w:eastAsia="宋体" w:cs="宋体"/>
          <w:color w:val="000000"/>
          <w:sz w:val="32"/>
          <w:szCs w:val="32"/>
          <w:lang w:eastAsia="zh-CN"/>
        </w:rPr>
        <w:t>专项支出。</w:t>
      </w:r>
    </w:p>
    <w:p>
      <w:pPr>
        <w:adjustRightInd/>
        <w:snapToGrid/>
        <w:spacing w:line="360" w:lineRule="auto"/>
        <w:ind w:firstLine="640" w:firstLineChars="200"/>
        <w:rPr>
          <w:rFonts w:hint="default" w:ascii="黑体" w:hAnsi="黑体" w:eastAsia="黑体" w:cs="黑体"/>
          <w:bCs/>
          <w:color w:val="000000"/>
          <w:sz w:val="32"/>
          <w:szCs w:val="32"/>
          <w:lang w:val="en-US" w:eastAsia="zh-CN" w:bidi="ar-SA"/>
        </w:rPr>
      </w:pPr>
      <w:r>
        <w:rPr>
          <w:rFonts w:hint="eastAsia" w:ascii="黑体" w:hAnsi="黑体" w:eastAsia="黑体" w:cs="黑体"/>
          <w:bCs/>
          <w:color w:val="000000"/>
          <w:sz w:val="32"/>
          <w:szCs w:val="32"/>
          <w:lang w:val="en-US" w:eastAsia="zh-CN" w:bidi="ar-SA"/>
        </w:rPr>
        <w:t>三</w:t>
      </w:r>
      <w:r>
        <w:rPr>
          <w:rFonts w:hint="eastAsia" w:ascii="黑体" w:hAnsi="黑体" w:eastAsia="黑体" w:cs="黑体"/>
          <w:bCs/>
          <w:color w:val="000000"/>
          <w:sz w:val="32"/>
          <w:szCs w:val="32"/>
          <w:lang w:eastAsia="zh-CN" w:bidi="ar-SA"/>
        </w:rPr>
        <w:t>、</w:t>
      </w:r>
      <w:r>
        <w:rPr>
          <w:rFonts w:hint="eastAsia" w:ascii="黑体" w:hAnsi="黑体" w:eastAsia="黑体" w:cs="黑体"/>
          <w:bCs/>
          <w:color w:val="000000"/>
          <w:sz w:val="32"/>
          <w:szCs w:val="32"/>
          <w:lang w:val="en-US" w:eastAsia="zh-CN" w:bidi="ar-SA"/>
        </w:rPr>
        <w:t>绩效目标完成情况</w:t>
      </w:r>
    </w:p>
    <w:p>
      <w:pPr>
        <w:adjustRightInd/>
        <w:snapToGrid/>
        <w:spacing w:line="360" w:lineRule="auto"/>
        <w:ind w:firstLine="640" w:firstLineChars="200"/>
        <w:rPr>
          <w:rFonts w:hint="eastAsia" w:ascii="宋体" w:hAnsi="宋体" w:eastAsia="宋体" w:cs="宋体"/>
          <w:b w:val="0"/>
          <w:bCs w:val="0"/>
          <w:color w:val="auto"/>
          <w:sz w:val="32"/>
          <w:szCs w:val="32"/>
          <w:lang w:eastAsia="zh-CN"/>
        </w:rPr>
      </w:pPr>
      <w:r>
        <w:rPr>
          <w:rFonts w:hint="eastAsia" w:ascii="宋体" w:hAnsi="宋体" w:eastAsia="宋体" w:cs="宋体"/>
          <w:color w:val="auto"/>
          <w:sz w:val="32"/>
          <w:szCs w:val="32"/>
          <w:lang w:eastAsia="zh-CN"/>
        </w:rPr>
        <w:t>总体来说，</w:t>
      </w:r>
      <w:r>
        <w:rPr>
          <w:rFonts w:hint="eastAsia" w:ascii="宋体" w:hAnsi="宋体" w:eastAsia="宋体" w:cs="宋体"/>
          <w:color w:val="auto"/>
          <w:sz w:val="32"/>
          <w:szCs w:val="32"/>
          <w:lang w:val="en-US" w:eastAsia="zh-CN"/>
        </w:rPr>
        <w:t>2020</w:t>
      </w:r>
      <w:r>
        <w:rPr>
          <w:rFonts w:hint="eastAsia" w:ascii="宋体" w:hAnsi="宋体" w:eastAsia="宋体" w:cs="宋体"/>
          <w:color w:val="auto"/>
          <w:sz w:val="32"/>
          <w:szCs w:val="32"/>
          <w:lang w:eastAsia="zh-CN"/>
        </w:rPr>
        <w:t>年</w:t>
      </w:r>
      <w:r>
        <w:rPr>
          <w:rFonts w:hint="eastAsia" w:ascii="宋体" w:hAnsi="宋体" w:eastAsia="宋体" w:cs="宋体"/>
          <w:sz w:val="32"/>
          <w:szCs w:val="32"/>
          <w:lang w:eastAsia="zh-CN"/>
        </w:rPr>
        <w:t>部门整体</w:t>
      </w:r>
      <w:r>
        <w:rPr>
          <w:rFonts w:hint="eastAsia" w:ascii="宋体" w:hAnsi="宋体" w:eastAsia="宋体" w:cs="宋体"/>
          <w:color w:val="auto"/>
          <w:sz w:val="32"/>
          <w:szCs w:val="32"/>
          <w:lang w:eastAsia="zh-CN"/>
        </w:rPr>
        <w:t>绩效目标完成情况较好</w:t>
      </w:r>
      <w:r>
        <w:rPr>
          <w:rFonts w:hint="eastAsia" w:ascii="宋体" w:hAnsi="宋体" w:eastAsia="宋体" w:cs="宋体"/>
          <w:b w:val="0"/>
          <w:bCs w:val="0"/>
          <w:color w:val="auto"/>
          <w:sz w:val="32"/>
          <w:szCs w:val="32"/>
          <w:lang w:eastAsia="zh-CN"/>
        </w:rPr>
        <w:t>：</w:t>
      </w:r>
    </w:p>
    <w:p>
      <w:pPr>
        <w:adjustRightInd w:val="0"/>
        <w:snapToGrid w:val="0"/>
        <w:spacing w:line="600" w:lineRule="exact"/>
        <w:ind w:firstLine="640" w:firstLineChars="200"/>
        <w:rPr>
          <w:rFonts w:hint="eastAsia" w:ascii="宋体" w:hAnsi="宋体" w:eastAsia="宋体" w:cs="宋体"/>
          <w:sz w:val="32"/>
          <w:szCs w:val="32"/>
        </w:rPr>
      </w:pPr>
      <w:r>
        <w:rPr>
          <w:rFonts w:hint="eastAsia" w:ascii="宋体" w:hAnsi="宋体" w:eastAsia="宋体" w:cs="宋体"/>
          <w:b/>
          <w:sz w:val="32"/>
          <w:szCs w:val="32"/>
          <w:lang w:val="en-US" w:eastAsia="zh-CN"/>
        </w:rPr>
        <w:t>1、</w:t>
      </w:r>
      <w:r>
        <w:rPr>
          <w:rFonts w:hint="eastAsia" w:ascii="宋体" w:hAnsi="宋体" w:eastAsia="宋体" w:cs="宋体"/>
          <w:b/>
          <w:sz w:val="32"/>
          <w:szCs w:val="32"/>
        </w:rPr>
        <w:t>完成了省控断面的地表水水质监测任务。</w:t>
      </w:r>
      <w:r>
        <w:rPr>
          <w:rFonts w:hint="eastAsia" w:ascii="宋体" w:hAnsi="宋体" w:eastAsia="宋体" w:cs="宋体"/>
          <w:sz w:val="32"/>
          <w:szCs w:val="32"/>
          <w:lang w:val="en-US" w:eastAsia="zh-CN"/>
        </w:rPr>
        <w:t>2020</w:t>
      </w:r>
      <w:r>
        <w:rPr>
          <w:rFonts w:hint="eastAsia" w:ascii="宋体" w:hAnsi="宋体" w:eastAsia="宋体" w:cs="宋体"/>
          <w:sz w:val="32"/>
          <w:szCs w:val="32"/>
        </w:rPr>
        <w:t>年中心顺利完成</w:t>
      </w:r>
      <w:r>
        <w:rPr>
          <w:rFonts w:hint="eastAsia" w:ascii="宋体" w:hAnsi="宋体" w:eastAsia="宋体" w:cs="宋体"/>
          <w:sz w:val="32"/>
          <w:szCs w:val="32"/>
          <w:lang w:val="en-US" w:eastAsia="zh-CN"/>
        </w:rPr>
        <w:t>洞庭湖</w:t>
      </w:r>
      <w:r>
        <w:rPr>
          <w:rFonts w:hint="eastAsia" w:ascii="宋体" w:hAnsi="宋体" w:eastAsia="宋体" w:cs="宋体"/>
          <w:sz w:val="32"/>
          <w:szCs w:val="32"/>
        </w:rPr>
        <w:t>地表水常规水质监测</w:t>
      </w:r>
      <w:r>
        <w:rPr>
          <w:rFonts w:hint="eastAsia" w:ascii="宋体" w:hAnsi="宋体" w:eastAsia="宋体" w:cs="宋体"/>
          <w:sz w:val="32"/>
          <w:szCs w:val="32"/>
          <w:lang w:val="en-US" w:eastAsia="zh-CN"/>
        </w:rPr>
        <w:t>工作</w:t>
      </w:r>
      <w:r>
        <w:rPr>
          <w:rFonts w:hint="eastAsia" w:ascii="宋体" w:hAnsi="宋体" w:eastAsia="宋体" w:cs="宋体"/>
          <w:sz w:val="32"/>
          <w:szCs w:val="32"/>
        </w:rPr>
        <w:t>，全年完成12次水质监测，共产生了1044个水质分析项目监测数据和相应实验室质控数据，质控样品的合格率为100%，并按照时间节点要求完成了常规水质数据上报、数据共享、归档整理等工作。</w:t>
      </w:r>
    </w:p>
    <w:p>
      <w:pPr>
        <w:adjustRightInd w:val="0"/>
        <w:snapToGrid w:val="0"/>
        <w:spacing w:line="600" w:lineRule="exact"/>
        <w:ind w:firstLine="640" w:firstLineChars="200"/>
        <w:rPr>
          <w:rFonts w:hint="eastAsia" w:ascii="宋体" w:hAnsi="宋体" w:eastAsia="宋体" w:cs="宋体"/>
          <w:sz w:val="32"/>
          <w:szCs w:val="32"/>
        </w:rPr>
      </w:pPr>
      <w:r>
        <w:rPr>
          <w:rFonts w:hint="eastAsia" w:ascii="宋体" w:hAnsi="宋体" w:eastAsia="宋体" w:cs="宋体"/>
          <w:b/>
          <w:sz w:val="32"/>
          <w:szCs w:val="32"/>
          <w:lang w:val="en-US" w:eastAsia="zh-CN"/>
        </w:rPr>
        <w:t>2</w:t>
      </w:r>
      <w:r>
        <w:rPr>
          <w:rFonts w:hint="eastAsia" w:ascii="宋体" w:hAnsi="宋体" w:eastAsia="宋体" w:cs="宋体"/>
          <w:b/>
          <w:sz w:val="32"/>
          <w:szCs w:val="32"/>
        </w:rPr>
        <w:t>、做好生态环境地面监测工作。</w:t>
      </w:r>
      <w:r>
        <w:rPr>
          <w:rFonts w:hint="eastAsia" w:ascii="宋体" w:hAnsi="宋体" w:eastAsia="宋体" w:cs="宋体"/>
          <w:sz w:val="32"/>
          <w:szCs w:val="32"/>
        </w:rPr>
        <w:t>为配合做好国家生态质量监测网构建工作</w:t>
      </w:r>
      <w:r>
        <w:rPr>
          <w:rFonts w:hint="eastAsia" w:ascii="宋体" w:hAnsi="宋体" w:eastAsia="宋体" w:cs="宋体"/>
          <w:sz w:val="32"/>
          <w:szCs w:val="32"/>
          <w:lang w:eastAsia="zh-CN"/>
        </w:rPr>
        <w:t>，</w:t>
      </w:r>
      <w:r>
        <w:rPr>
          <w:rFonts w:hint="eastAsia" w:ascii="宋体" w:hAnsi="宋体" w:eastAsia="宋体" w:cs="宋体"/>
          <w:sz w:val="32"/>
          <w:szCs w:val="32"/>
        </w:rPr>
        <w:t>完成国家生态环境地面试点监测工作，包括洞庭湖</w:t>
      </w:r>
      <w:r>
        <w:rPr>
          <w:rFonts w:hint="eastAsia" w:ascii="宋体" w:hAnsi="宋体" w:eastAsia="宋体" w:cs="宋体"/>
          <w:sz w:val="32"/>
          <w:szCs w:val="32"/>
          <w:lang w:val="en-US" w:eastAsia="zh-CN"/>
        </w:rPr>
        <w:t>15</w:t>
      </w:r>
      <w:r>
        <w:rPr>
          <w:rFonts w:hint="eastAsia" w:ascii="宋体" w:hAnsi="宋体" w:eastAsia="宋体" w:cs="宋体"/>
          <w:sz w:val="32"/>
          <w:szCs w:val="32"/>
        </w:rPr>
        <w:t>个断面的采样和监测分析，生物监测项目为浮游植物、浮游动物和底栖动物，合计完成</w:t>
      </w:r>
      <w:r>
        <w:rPr>
          <w:rFonts w:hint="eastAsia" w:ascii="宋体" w:hAnsi="宋体" w:eastAsia="宋体" w:cs="宋体"/>
          <w:sz w:val="32"/>
          <w:szCs w:val="32"/>
          <w:lang w:val="en-US" w:eastAsia="zh-CN"/>
        </w:rPr>
        <w:t>2000</w:t>
      </w:r>
      <w:r>
        <w:rPr>
          <w:rFonts w:hint="eastAsia" w:ascii="宋体" w:hAnsi="宋体" w:eastAsia="宋体" w:cs="宋体"/>
          <w:sz w:val="32"/>
          <w:szCs w:val="32"/>
        </w:rPr>
        <w:t>多个生物样品的分析。底泥监测项目包括pH值、有机质、总氮、总磷、重金属5项（汞、铬、镉、砷、铅）等，监测频次为一年</w:t>
      </w:r>
      <w:r>
        <w:rPr>
          <w:rFonts w:hint="eastAsia" w:ascii="宋体" w:hAnsi="宋体" w:eastAsia="宋体" w:cs="宋体"/>
          <w:sz w:val="32"/>
          <w:szCs w:val="32"/>
          <w:lang w:val="en-US" w:eastAsia="zh-CN"/>
        </w:rPr>
        <w:t>四</w:t>
      </w:r>
      <w:r>
        <w:rPr>
          <w:rFonts w:hint="eastAsia" w:ascii="宋体" w:hAnsi="宋体" w:eastAsia="宋体" w:cs="宋体"/>
          <w:sz w:val="32"/>
          <w:szCs w:val="32"/>
        </w:rPr>
        <w:t>次。</w:t>
      </w:r>
    </w:p>
    <w:p>
      <w:pPr>
        <w:adjustRightInd w:val="0"/>
        <w:snapToGrid w:val="0"/>
        <w:spacing w:line="600" w:lineRule="exact"/>
        <w:ind w:firstLine="640" w:firstLineChars="200"/>
        <w:rPr>
          <w:rFonts w:hint="eastAsia" w:ascii="宋体" w:hAnsi="宋体" w:eastAsia="宋体" w:cs="宋体"/>
          <w:sz w:val="32"/>
          <w:szCs w:val="32"/>
        </w:rPr>
      </w:pPr>
      <w:r>
        <w:rPr>
          <w:rFonts w:hint="eastAsia" w:ascii="宋体" w:hAnsi="宋体" w:eastAsia="宋体" w:cs="宋体"/>
          <w:b/>
          <w:sz w:val="32"/>
          <w:szCs w:val="32"/>
          <w:lang w:val="en-US" w:eastAsia="zh-CN"/>
        </w:rPr>
        <w:t>3</w:t>
      </w:r>
      <w:r>
        <w:rPr>
          <w:rFonts w:hint="eastAsia" w:ascii="宋体" w:hAnsi="宋体" w:eastAsia="宋体" w:cs="宋体"/>
          <w:b/>
          <w:sz w:val="32"/>
          <w:szCs w:val="32"/>
        </w:rPr>
        <w:t>、推进长江经济带水生生物多样性试点监测。</w:t>
      </w:r>
      <w:r>
        <w:rPr>
          <w:rFonts w:hint="eastAsia" w:ascii="宋体" w:hAnsi="宋体" w:eastAsia="宋体" w:cs="宋体"/>
          <w:sz w:val="32"/>
          <w:szCs w:val="32"/>
        </w:rPr>
        <w:t>中心严格按国家总站《2020年长江及重要支流水生态环境质量专项监测实施方案》要求，制定了详细的监测工作计划，并分别于6月、9月按照相关要求完成了洞庭湖春、秋季水生生物样品的采集与现场生境调查工作，与对应实验室</w:t>
      </w:r>
      <w:r>
        <w:rPr>
          <w:rFonts w:hint="eastAsia" w:ascii="宋体" w:hAnsi="宋体" w:eastAsia="宋体" w:cs="宋体"/>
          <w:sz w:val="32"/>
          <w:szCs w:val="32"/>
          <w:lang w:val="en-US" w:eastAsia="zh-CN"/>
        </w:rPr>
        <w:t>的分析比对工作</w:t>
      </w:r>
      <w:r>
        <w:rPr>
          <w:rFonts w:hint="eastAsia" w:ascii="宋体" w:hAnsi="宋体" w:eastAsia="宋体" w:cs="宋体"/>
          <w:b/>
          <w:sz w:val="32"/>
          <w:szCs w:val="32"/>
        </w:rPr>
        <w:t>，</w:t>
      </w:r>
      <w:r>
        <w:rPr>
          <w:rFonts w:hint="eastAsia" w:ascii="宋体" w:hAnsi="宋体" w:eastAsia="宋体" w:cs="宋体"/>
          <w:sz w:val="32"/>
          <w:szCs w:val="32"/>
        </w:rPr>
        <w:t>为长江生态修复保护提供了有力的技术支撑。</w:t>
      </w:r>
    </w:p>
    <w:p>
      <w:pPr>
        <w:adjustRightInd w:val="0"/>
        <w:snapToGrid w:val="0"/>
        <w:spacing w:line="600" w:lineRule="exact"/>
        <w:ind w:firstLine="640" w:firstLineChars="200"/>
        <w:rPr>
          <w:rFonts w:hint="eastAsia" w:ascii="宋体" w:hAnsi="宋体" w:eastAsia="宋体" w:cs="宋体"/>
          <w:sz w:val="32"/>
          <w:szCs w:val="32"/>
        </w:rPr>
      </w:pPr>
      <w:r>
        <w:rPr>
          <w:rFonts w:hint="eastAsia" w:ascii="宋体" w:hAnsi="宋体" w:eastAsia="宋体" w:cs="宋体"/>
          <w:b/>
          <w:sz w:val="32"/>
          <w:szCs w:val="32"/>
          <w:lang w:val="en-US" w:eastAsia="zh-CN"/>
        </w:rPr>
        <w:t>4</w:t>
      </w:r>
      <w:r>
        <w:rPr>
          <w:rFonts w:hint="eastAsia" w:ascii="宋体" w:hAnsi="宋体" w:eastAsia="宋体" w:cs="宋体"/>
          <w:b/>
          <w:sz w:val="32"/>
          <w:szCs w:val="32"/>
        </w:rPr>
        <w:t>、做好湘江流域水生生物监测工作。</w:t>
      </w:r>
      <w:r>
        <w:rPr>
          <w:rFonts w:hint="eastAsia" w:ascii="宋体" w:hAnsi="宋体" w:eastAsia="宋体" w:cs="宋体"/>
          <w:sz w:val="32"/>
          <w:szCs w:val="32"/>
        </w:rPr>
        <w:t>按照《2020年湖南省生态环境监测方案》以及2020年湖南省生态环境监测工作要点的要求，完成了湘江流域水生生物监测工作，主要承担湘江流域</w:t>
      </w:r>
      <w:r>
        <w:rPr>
          <w:rFonts w:hint="eastAsia" w:ascii="宋体" w:hAnsi="宋体" w:eastAsia="宋体" w:cs="宋体"/>
          <w:sz w:val="32"/>
          <w:szCs w:val="32"/>
          <w:lang w:val="en-US" w:eastAsia="zh-CN"/>
        </w:rPr>
        <w:t>9个</w:t>
      </w:r>
      <w:r>
        <w:rPr>
          <w:rFonts w:hint="eastAsia" w:ascii="宋体" w:hAnsi="宋体" w:eastAsia="宋体" w:cs="宋体"/>
          <w:sz w:val="32"/>
          <w:szCs w:val="32"/>
        </w:rPr>
        <w:t>生物监测断面的水生生物的生物多样性指标分析任务。</w:t>
      </w:r>
    </w:p>
    <w:p>
      <w:pPr>
        <w:adjustRightInd w:val="0"/>
        <w:snapToGrid w:val="0"/>
        <w:spacing w:line="600" w:lineRule="exact"/>
        <w:ind w:firstLine="640" w:firstLineChars="200"/>
        <w:rPr>
          <w:rFonts w:hint="eastAsia" w:ascii="宋体" w:hAnsi="宋体" w:eastAsia="宋体" w:cs="宋体"/>
          <w:sz w:val="32"/>
          <w:szCs w:val="32"/>
        </w:rPr>
      </w:pPr>
      <w:r>
        <w:rPr>
          <w:rFonts w:hint="eastAsia" w:ascii="宋体" w:hAnsi="宋体" w:eastAsia="宋体" w:cs="宋体"/>
          <w:b/>
          <w:sz w:val="32"/>
          <w:szCs w:val="32"/>
          <w:lang w:val="en-US" w:eastAsia="zh-CN"/>
        </w:rPr>
        <w:t>5</w:t>
      </w:r>
      <w:r>
        <w:rPr>
          <w:rFonts w:hint="eastAsia" w:ascii="宋体" w:hAnsi="宋体" w:eastAsia="宋体" w:cs="宋体"/>
          <w:b/>
          <w:sz w:val="32"/>
          <w:szCs w:val="32"/>
        </w:rPr>
        <w:t>、组织开展“东洞庭湖富营养预警监测”。</w:t>
      </w:r>
      <w:r>
        <w:rPr>
          <w:rFonts w:hint="eastAsia" w:ascii="宋体" w:hAnsi="宋体" w:eastAsia="宋体" w:cs="宋体"/>
          <w:sz w:val="32"/>
          <w:szCs w:val="32"/>
        </w:rPr>
        <w:t>为更好给管理部门科学决策提供依据，针对东洞庭湖自然保护区核心区局部水域夏、秋季富营养严重的问题，中心制定并落实了《2020年东洞庭湖富营养预警监测方案》。对东洞庭湖区11个监测点位与富营养相关的水质理化和生物指标完成了7期采样及分析工作，并已编写《洞庭湖水体的富营养化现状及变化趋势》《洞庭湖总磷污染情况初步分析》两份专报，进一步摸清了东洞庭湖的富营养状况及其潜在水华风险水平。</w:t>
      </w:r>
    </w:p>
    <w:p>
      <w:pPr>
        <w:adjustRightInd w:val="0"/>
        <w:snapToGrid w:val="0"/>
        <w:spacing w:line="600" w:lineRule="exact"/>
        <w:ind w:firstLine="640" w:firstLineChars="200"/>
        <w:rPr>
          <w:rFonts w:hint="eastAsia" w:asciiTheme="minorEastAsia" w:hAnsiTheme="minorEastAsia" w:eastAsiaTheme="minorEastAsia" w:cstheme="minorEastAsia"/>
          <w:sz w:val="32"/>
          <w:szCs w:val="32"/>
        </w:rPr>
      </w:pPr>
      <w:r>
        <w:rPr>
          <w:rFonts w:hint="eastAsia" w:ascii="宋体" w:hAnsi="宋体" w:eastAsia="宋体" w:cs="宋体"/>
          <w:b/>
          <w:sz w:val="32"/>
          <w:szCs w:val="32"/>
          <w:lang w:val="en-US" w:eastAsia="zh-CN"/>
        </w:rPr>
        <w:t>6</w:t>
      </w:r>
      <w:r>
        <w:rPr>
          <w:rFonts w:hint="eastAsia" w:ascii="宋体" w:hAnsi="宋体" w:eastAsia="宋体" w:cs="宋体"/>
          <w:b/>
          <w:sz w:val="32"/>
          <w:szCs w:val="32"/>
        </w:rPr>
        <w:t>、</w:t>
      </w:r>
      <w:r>
        <w:rPr>
          <w:rFonts w:hint="eastAsia" w:ascii="宋体" w:hAnsi="宋体" w:eastAsia="宋体" w:cs="宋体"/>
          <w:b/>
          <w:bCs/>
          <w:sz w:val="32"/>
          <w:szCs w:val="32"/>
        </w:rPr>
        <w:t>积极完成上级部门下达的其他工作任务。一是</w:t>
      </w:r>
      <w:r>
        <w:rPr>
          <w:rFonts w:hint="eastAsia" w:ascii="宋体" w:hAnsi="宋体" w:eastAsia="宋体" w:cs="宋体"/>
          <w:sz w:val="32"/>
          <w:szCs w:val="32"/>
        </w:rPr>
        <w:t>积极参与完成省中心要求的洞庭湖底泥重金属污染监测分析、报告资料统计，提交了省厅要求的十四五规划相关调研等资料；</w:t>
      </w:r>
      <w:r>
        <w:rPr>
          <w:rFonts w:hint="eastAsia" w:ascii="宋体" w:hAnsi="宋体" w:eastAsia="宋体" w:cs="宋体"/>
          <w:b/>
          <w:sz w:val="32"/>
          <w:szCs w:val="32"/>
          <w:lang w:val="en-US" w:eastAsia="zh-CN"/>
        </w:rPr>
        <w:t>二</w:t>
      </w:r>
      <w:r>
        <w:rPr>
          <w:rFonts w:hint="eastAsia" w:ascii="宋体" w:hAnsi="宋体" w:eastAsia="宋体" w:cs="宋体"/>
          <w:b/>
          <w:sz w:val="32"/>
          <w:szCs w:val="32"/>
        </w:rPr>
        <w:t>是</w:t>
      </w:r>
      <w:r>
        <w:rPr>
          <w:rFonts w:hint="eastAsia" w:ascii="宋体" w:hAnsi="宋体" w:eastAsia="宋体" w:cs="宋体"/>
          <w:sz w:val="32"/>
          <w:szCs w:val="32"/>
        </w:rPr>
        <w:t>参加了《湖库水生态环境质量监测与评价技术指南》编制和省厅生态环境保护“十四五规划”的编制；</w:t>
      </w:r>
      <w:r>
        <w:rPr>
          <w:rFonts w:hint="eastAsia" w:ascii="宋体" w:hAnsi="宋体" w:eastAsia="宋体" w:cs="宋体"/>
          <w:b/>
          <w:sz w:val="32"/>
          <w:szCs w:val="32"/>
          <w:lang w:val="en-US" w:eastAsia="zh-CN"/>
        </w:rPr>
        <w:t>三</w:t>
      </w:r>
      <w:r>
        <w:rPr>
          <w:rFonts w:hint="eastAsia" w:ascii="宋体" w:hAnsi="宋体" w:eastAsia="宋体" w:cs="宋体"/>
          <w:b/>
          <w:sz w:val="32"/>
          <w:szCs w:val="32"/>
        </w:rPr>
        <w:t>是</w:t>
      </w:r>
      <w:r>
        <w:rPr>
          <w:rFonts w:hint="eastAsia" w:ascii="宋体" w:hAnsi="宋体" w:eastAsia="宋体" w:cs="宋体"/>
          <w:sz w:val="32"/>
          <w:szCs w:val="32"/>
        </w:rPr>
        <w:t>参与了国家总站牵头的《中国流域常见水生生物图集》专著编写工作，提供湘江水系常见浮游动物名录及图谱；</w:t>
      </w:r>
      <w:r>
        <w:rPr>
          <w:rFonts w:hint="eastAsia" w:ascii="宋体" w:hAnsi="宋体" w:eastAsia="宋体" w:cs="宋体"/>
          <w:b/>
          <w:sz w:val="32"/>
          <w:szCs w:val="32"/>
          <w:lang w:val="en-US" w:eastAsia="zh-CN"/>
        </w:rPr>
        <w:t>四</w:t>
      </w:r>
      <w:r>
        <w:rPr>
          <w:rFonts w:hint="eastAsia" w:ascii="宋体" w:hAnsi="宋体" w:eastAsia="宋体" w:cs="宋体"/>
          <w:b/>
          <w:sz w:val="32"/>
          <w:szCs w:val="32"/>
        </w:rPr>
        <w:t>是</w:t>
      </w:r>
      <w:r>
        <w:rPr>
          <w:rFonts w:hint="eastAsia" w:ascii="宋体" w:hAnsi="宋体" w:eastAsia="宋体" w:cs="宋体"/>
          <w:sz w:val="32"/>
          <w:szCs w:val="32"/>
        </w:rPr>
        <w:t>根据省厅工作要求，中心先后派出11人次参加中央环保督查和</w:t>
      </w:r>
      <w:r>
        <w:rPr>
          <w:rFonts w:hint="eastAsia" w:asciiTheme="minorEastAsia" w:hAnsiTheme="minorEastAsia" w:eastAsiaTheme="minorEastAsia" w:cstheme="minorEastAsia"/>
          <w:sz w:val="32"/>
          <w:szCs w:val="32"/>
        </w:rPr>
        <w:t>省级环保督。</w:t>
      </w:r>
    </w:p>
    <w:p>
      <w:p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环境监测是环境保护与环境管理的基础性工作，是为政府环境管理部门提供依据与决策的技术支撑。因此环境监测部门不产生直接经济效益，只有社会效益和环境效益。</w:t>
      </w:r>
    </w:p>
    <w:p>
      <w:pPr>
        <w:pStyle w:val="7"/>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shd w:val="clear" w:fill="FFFFFF"/>
          <w:lang w:val="en-US" w:eastAsia="zh-CN"/>
        </w:rPr>
      </w:pPr>
      <w:r>
        <w:rPr>
          <w:rFonts w:hint="eastAsia" w:ascii="黑体" w:hAnsi="黑体" w:eastAsia="黑体" w:cs="黑体"/>
          <w:i w:val="0"/>
          <w:iCs w:val="0"/>
          <w:caps w:val="0"/>
          <w:color w:val="000000"/>
          <w:spacing w:val="0"/>
          <w:sz w:val="32"/>
          <w:szCs w:val="32"/>
          <w:shd w:val="clear" w:fill="FFFFFF"/>
        </w:rPr>
        <w:t>存在的主要问题</w:t>
      </w:r>
    </w:p>
    <w:p>
      <w:pPr>
        <w:pStyle w:val="7"/>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rightChars="0" w:firstLine="640" w:firstLineChars="200"/>
        <w:jc w:val="both"/>
        <w:rPr>
          <w:rFonts w:hint="eastAsia" w:ascii="宋体" w:hAnsi="宋体" w:eastAsia="宋体" w:cs="宋体"/>
          <w:i w:val="0"/>
          <w:iCs w:val="0"/>
          <w:caps w:val="0"/>
          <w:color w:val="000000"/>
          <w:spacing w:val="0"/>
          <w:sz w:val="32"/>
          <w:szCs w:val="32"/>
          <w:shd w:val="clear" w:fill="FFFFFF"/>
          <w:lang w:val="en-US" w:eastAsia="zh-CN"/>
        </w:rPr>
      </w:pPr>
      <w:r>
        <w:rPr>
          <w:rFonts w:hint="eastAsia" w:ascii="宋体" w:hAnsi="宋体" w:eastAsia="宋体" w:cs="宋体"/>
          <w:sz w:val="32"/>
          <w:szCs w:val="32"/>
          <w:lang w:val="en-US" w:eastAsia="zh-CN"/>
        </w:rPr>
        <w:t>2020年9月份才完成</w:t>
      </w:r>
      <w:r>
        <w:rPr>
          <w:rFonts w:hint="eastAsia" w:ascii="宋体" w:hAnsi="宋体" w:eastAsia="宋体" w:cs="宋体"/>
          <w:sz w:val="32"/>
          <w:szCs w:val="32"/>
        </w:rPr>
        <w:t>“实验室仪器维护运行与更新”</w:t>
      </w:r>
      <w:r>
        <w:rPr>
          <w:rFonts w:hint="eastAsia" w:ascii="宋体" w:hAnsi="宋体" w:eastAsia="宋体" w:cs="宋体"/>
          <w:sz w:val="32"/>
          <w:szCs w:val="32"/>
          <w:lang w:val="en-US" w:eastAsia="zh-CN"/>
        </w:rPr>
        <w:t>的政府采购招投标工作，导致按付款进度，还有部分货款和保证金需在2021年执行完毕。</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lang w:val="en-US" w:eastAsia="zh-CN"/>
        </w:rPr>
        <w:t>2</w:t>
      </w:r>
      <w:r>
        <w:rPr>
          <w:rFonts w:hint="eastAsia" w:ascii="宋体" w:hAnsi="宋体" w:eastAsia="宋体" w:cs="宋体"/>
          <w:i w:val="0"/>
          <w:iCs w:val="0"/>
          <w:caps w:val="0"/>
          <w:color w:val="000000"/>
          <w:spacing w:val="0"/>
          <w:sz w:val="32"/>
          <w:szCs w:val="32"/>
          <w:shd w:val="clear" w:fill="FFFFFF"/>
        </w:rPr>
        <w:t>、预算执行进度有待进一步提高。</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黑体" w:hAnsi="黑体" w:eastAsia="黑体" w:cs="黑体"/>
          <w:b w:val="0"/>
          <w:bCs w:val="0"/>
          <w:i w:val="0"/>
          <w:iCs w:val="0"/>
          <w:caps w:val="0"/>
          <w:color w:val="000000"/>
          <w:spacing w:val="0"/>
          <w:sz w:val="32"/>
          <w:szCs w:val="32"/>
          <w:shd w:val="clear" w:fill="FFFFFF"/>
        </w:rPr>
      </w:pPr>
      <w:r>
        <w:rPr>
          <w:rFonts w:hint="eastAsia" w:ascii="黑体" w:hAnsi="黑体" w:eastAsia="黑体" w:cs="黑体"/>
          <w:b w:val="0"/>
          <w:bCs w:val="0"/>
          <w:i w:val="0"/>
          <w:iCs w:val="0"/>
          <w:caps w:val="0"/>
          <w:color w:val="000000"/>
          <w:spacing w:val="0"/>
          <w:sz w:val="32"/>
          <w:szCs w:val="32"/>
          <w:shd w:val="clear" w:fill="FFFFFF"/>
          <w:lang w:val="en-US" w:eastAsia="zh-CN"/>
        </w:rPr>
        <w:t>五</w:t>
      </w:r>
      <w:r>
        <w:rPr>
          <w:rFonts w:hint="eastAsia" w:ascii="黑体" w:hAnsi="黑体" w:eastAsia="黑体" w:cs="黑体"/>
          <w:b w:val="0"/>
          <w:bCs w:val="0"/>
          <w:i w:val="0"/>
          <w:iCs w:val="0"/>
          <w:caps w:val="0"/>
          <w:color w:val="000000"/>
          <w:spacing w:val="0"/>
          <w:sz w:val="32"/>
          <w:szCs w:val="32"/>
          <w:shd w:val="clear" w:fill="FFFFFF"/>
        </w:rPr>
        <w:t>、改进措施和有关建议</w:t>
      </w:r>
    </w:p>
    <w:p>
      <w:pPr>
        <w:adjustRightInd/>
        <w:snapToGrid/>
        <w:spacing w:line="360" w:lineRule="auto"/>
        <w:ind w:firstLine="640" w:firstLineChars="200"/>
        <w:rPr>
          <w:rFonts w:hint="eastAsia" w:ascii="宋体" w:hAnsi="宋体" w:eastAsia="宋体" w:cs="宋体"/>
          <w:b/>
          <w:bCs/>
          <w:sz w:val="32"/>
          <w:szCs w:val="32"/>
          <w:lang w:eastAsia="zh-CN" w:bidi="en-US"/>
        </w:rPr>
      </w:pPr>
      <w:r>
        <w:rPr>
          <w:rFonts w:hint="eastAsia" w:ascii="宋体" w:hAnsi="宋体" w:eastAsia="宋体" w:cs="宋体"/>
          <w:b/>
          <w:bCs/>
          <w:i w:val="0"/>
          <w:iCs w:val="0"/>
          <w:caps w:val="0"/>
          <w:color w:val="000000"/>
          <w:spacing w:val="0"/>
          <w:sz w:val="32"/>
          <w:szCs w:val="32"/>
          <w:shd w:val="clear" w:fill="FFFFFF"/>
          <w:lang w:val="en-US" w:eastAsia="zh-CN"/>
        </w:rPr>
        <w:t>1、</w:t>
      </w:r>
      <w:r>
        <w:rPr>
          <w:rFonts w:hint="eastAsia" w:ascii="宋体" w:hAnsi="宋体" w:eastAsia="宋体" w:cs="宋体"/>
          <w:b/>
          <w:bCs/>
          <w:sz w:val="32"/>
          <w:szCs w:val="32"/>
          <w:lang w:eastAsia="zh-CN" w:bidi="en-US"/>
        </w:rPr>
        <w:t>细化绩效目标，完善考核指标</w:t>
      </w:r>
    </w:p>
    <w:p>
      <w:pPr>
        <w:adjustRightInd/>
        <w:snapToGrid/>
        <w:spacing w:line="360" w:lineRule="auto"/>
        <w:ind w:firstLine="640" w:firstLineChars="200"/>
        <w:rPr>
          <w:rFonts w:hint="eastAsia" w:ascii="宋体" w:hAnsi="宋体" w:eastAsia="宋体" w:cs="宋体"/>
          <w:sz w:val="32"/>
          <w:szCs w:val="32"/>
          <w:lang w:eastAsia="zh-CN" w:bidi="en-US"/>
        </w:rPr>
      </w:pPr>
      <w:r>
        <w:rPr>
          <w:rFonts w:hint="eastAsia" w:ascii="宋体" w:hAnsi="宋体" w:eastAsia="宋体" w:cs="宋体"/>
          <w:sz w:val="32"/>
          <w:szCs w:val="32"/>
          <w:lang w:val="en-US" w:eastAsia="zh-CN" w:bidi="en-US"/>
        </w:rPr>
        <w:t>本中心</w:t>
      </w:r>
      <w:r>
        <w:rPr>
          <w:rFonts w:hint="eastAsia" w:ascii="宋体" w:hAnsi="宋体" w:eastAsia="宋体" w:cs="宋体"/>
          <w:sz w:val="32"/>
          <w:szCs w:val="32"/>
          <w:lang w:eastAsia="zh-CN" w:bidi="en-US"/>
        </w:rPr>
        <w:t>将加大预算绩效管理的学习，吸取成功单位的绩效管理经验，从申报项目的规范要求到过程管理直至最后项目的绩效评价，形成整套的系统流程。</w:t>
      </w:r>
    </w:p>
    <w:p>
      <w:pPr>
        <w:adjustRightInd/>
        <w:snapToGrid/>
        <w:spacing w:line="360" w:lineRule="auto"/>
        <w:ind w:firstLine="640" w:firstLineChars="200"/>
        <w:rPr>
          <w:rFonts w:hint="eastAsia" w:ascii="仿宋_GB2312" w:hAnsi="仿宋_GB2312" w:eastAsia="仿宋_GB2312" w:cs="仿宋_GB2312"/>
          <w:b/>
          <w:bCs/>
          <w:sz w:val="32"/>
          <w:szCs w:val="32"/>
          <w:lang w:eastAsia="zh-CN" w:bidi="en-US"/>
        </w:rPr>
      </w:pPr>
      <w:r>
        <w:rPr>
          <w:rFonts w:hint="eastAsia" w:ascii="宋体" w:hAnsi="宋体" w:eastAsia="宋体" w:cs="宋体"/>
          <w:b/>
          <w:bCs/>
          <w:sz w:val="32"/>
          <w:szCs w:val="32"/>
          <w:lang w:val="en-US" w:eastAsia="zh-CN" w:bidi="en-US"/>
        </w:rPr>
        <w:t>2、</w:t>
      </w:r>
      <w:r>
        <w:rPr>
          <w:rFonts w:hint="eastAsia" w:ascii="宋体" w:hAnsi="宋体" w:eastAsia="宋体" w:cs="宋体"/>
          <w:b/>
          <w:bCs/>
          <w:i w:val="0"/>
          <w:iCs w:val="0"/>
          <w:caps w:val="0"/>
          <w:color w:val="000000"/>
          <w:spacing w:val="0"/>
          <w:sz w:val="32"/>
          <w:szCs w:val="32"/>
          <w:shd w:val="clear" w:fill="FFFFFF"/>
        </w:rPr>
        <w:t>进一步加快预算执行进度</w:t>
      </w:r>
    </w:p>
    <w:p>
      <w:pPr>
        <w:adjustRightInd/>
        <w:snapToGrid/>
        <w:spacing w:line="360" w:lineRule="auto"/>
        <w:ind w:firstLine="640" w:firstLineChars="200"/>
        <w:rPr>
          <w:rFonts w:hint="eastAsia" w:ascii="宋体" w:hAnsi="宋体" w:eastAsia="宋体" w:cs="宋体"/>
          <w:i w:val="0"/>
          <w:iCs w:val="0"/>
          <w:caps w:val="0"/>
          <w:color w:val="000000"/>
          <w:spacing w:val="0"/>
          <w:sz w:val="32"/>
          <w:szCs w:val="32"/>
          <w:shd w:val="clear" w:fill="FFFFFF"/>
          <w:lang w:eastAsia="zh-CN"/>
        </w:rPr>
      </w:pPr>
      <w:r>
        <w:rPr>
          <w:rFonts w:hint="eastAsia" w:ascii="宋体" w:hAnsi="宋体" w:eastAsia="宋体" w:cs="宋体"/>
          <w:i w:val="0"/>
          <w:iCs w:val="0"/>
          <w:caps w:val="0"/>
          <w:color w:val="000000"/>
          <w:spacing w:val="0"/>
          <w:sz w:val="32"/>
          <w:szCs w:val="32"/>
          <w:shd w:val="clear" w:fill="FFFFFF"/>
        </w:rPr>
        <w:t>一是改进预算安排，坚持当年形成支出的当年安排，当年不能形成支出的不予安排；二是盘活存量资金，能用存量结转（结余）资金解决的，用存量结转（结余）解决，努力盘活存量资金。三是加快预算执行，加快资金结算进度，严控项目结转结余</w:t>
      </w:r>
      <w:r>
        <w:rPr>
          <w:rFonts w:hint="eastAsia" w:ascii="宋体" w:hAnsi="宋体" w:eastAsia="宋体" w:cs="宋体"/>
          <w:i w:val="0"/>
          <w:iCs w:val="0"/>
          <w:caps w:val="0"/>
          <w:color w:val="000000"/>
          <w:spacing w:val="0"/>
          <w:sz w:val="32"/>
          <w:szCs w:val="32"/>
          <w:shd w:val="clear" w:fill="FFFFFF"/>
          <w:lang w:eastAsia="zh-CN"/>
        </w:rPr>
        <w:t>。</w:t>
      </w:r>
    </w:p>
    <w:p>
      <w:pPr>
        <w:adjustRightInd/>
        <w:snapToGrid/>
        <w:spacing w:line="360" w:lineRule="auto"/>
        <w:ind w:firstLine="640" w:firstLineChars="200"/>
        <w:rPr>
          <w:rFonts w:hint="eastAsia" w:ascii="宋体" w:hAnsi="宋体" w:eastAsia="宋体" w:cs="宋体"/>
          <w:b/>
          <w:bCs/>
          <w:sz w:val="32"/>
          <w:szCs w:val="32"/>
          <w:lang w:eastAsia="zh-CN" w:bidi="en-US"/>
        </w:rPr>
      </w:pPr>
      <w:r>
        <w:rPr>
          <w:rFonts w:hint="eastAsia" w:ascii="宋体" w:hAnsi="宋体" w:eastAsia="宋体" w:cs="宋体"/>
          <w:b/>
          <w:bCs/>
          <w:sz w:val="32"/>
          <w:szCs w:val="32"/>
          <w:lang w:val="en-US" w:eastAsia="zh-CN" w:bidi="en-US"/>
        </w:rPr>
        <w:t>3、</w:t>
      </w:r>
      <w:r>
        <w:rPr>
          <w:rFonts w:hint="eastAsia" w:ascii="宋体" w:hAnsi="宋体" w:eastAsia="宋体" w:cs="宋体"/>
          <w:b/>
          <w:bCs/>
          <w:sz w:val="32"/>
          <w:szCs w:val="32"/>
          <w:lang w:eastAsia="zh-CN" w:bidi="en-US"/>
        </w:rPr>
        <w:t>积极运用绩效评价结果</w:t>
      </w:r>
    </w:p>
    <w:p>
      <w:pPr>
        <w:adjustRightInd/>
        <w:snapToGrid/>
        <w:spacing w:line="360" w:lineRule="auto"/>
        <w:ind w:firstLine="640" w:firstLineChars="200"/>
        <w:rPr>
          <w:rFonts w:hint="eastAsia" w:ascii="宋体" w:hAnsi="宋体" w:eastAsia="宋体" w:cs="宋体"/>
          <w:sz w:val="32"/>
          <w:szCs w:val="32"/>
          <w:lang w:eastAsia="zh-CN" w:bidi="en-US"/>
        </w:rPr>
      </w:pPr>
      <w:r>
        <w:rPr>
          <w:rFonts w:hint="eastAsia" w:ascii="宋体" w:hAnsi="宋体" w:eastAsia="宋体" w:cs="宋体"/>
          <w:sz w:val="32"/>
          <w:szCs w:val="32"/>
          <w:lang w:eastAsia="zh-CN" w:bidi="en-US"/>
        </w:rPr>
        <w:t>2</w:t>
      </w:r>
      <w:r>
        <w:rPr>
          <w:rFonts w:hint="eastAsia" w:ascii="宋体" w:hAnsi="宋体" w:eastAsia="宋体" w:cs="宋体"/>
          <w:sz w:val="32"/>
          <w:szCs w:val="32"/>
          <w:lang w:eastAsia="zh-CN"/>
        </w:rPr>
        <w:t>021</w:t>
      </w:r>
      <w:r>
        <w:rPr>
          <w:rFonts w:hint="eastAsia" w:ascii="宋体" w:hAnsi="宋体" w:eastAsia="宋体" w:cs="宋体"/>
          <w:sz w:val="32"/>
          <w:szCs w:val="32"/>
          <w:lang w:eastAsia="zh-CN" w:bidi="en-US"/>
        </w:rPr>
        <w:t>年有关专项资金安排将充分吸纳、运用本次绩效评价结果</w:t>
      </w:r>
      <w:r>
        <w:rPr>
          <w:rFonts w:hint="eastAsia" w:ascii="宋体" w:hAnsi="宋体" w:eastAsia="宋体" w:cs="宋体"/>
          <w:sz w:val="32"/>
          <w:szCs w:val="32"/>
          <w:lang w:eastAsia="zh-CN"/>
        </w:rPr>
        <w:t>，</w:t>
      </w:r>
      <w:r>
        <w:rPr>
          <w:rFonts w:hint="eastAsia" w:ascii="宋体" w:hAnsi="宋体" w:eastAsia="宋体" w:cs="宋体"/>
          <w:sz w:val="32"/>
          <w:szCs w:val="32"/>
          <w:lang w:eastAsia="zh-CN" w:bidi="en-US"/>
        </w:rPr>
        <w:t>进一步促进项目单位加强项目及专项资金管理。</w:t>
      </w:r>
    </w:p>
    <w:p>
      <w:pPr>
        <w:jc w:val="left"/>
        <w:rPr>
          <w:rFonts w:cs="黑体" w:asciiTheme="minorEastAsia" w:hAnsiTheme="minorEastAsia"/>
          <w:color w:val="000000"/>
          <w:kern w:val="0"/>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70B3B"/>
    <w:multiLevelType w:val="singleLevel"/>
    <w:tmpl w:val="87370B3B"/>
    <w:lvl w:ilvl="0" w:tentative="0">
      <w:start w:val="1"/>
      <w:numFmt w:val="decimal"/>
      <w:suff w:val="nothing"/>
      <w:lvlText w:val="%1、"/>
      <w:lvlJc w:val="left"/>
      <w:rPr>
        <w:rFonts w:hint="default" w:ascii="宋体" w:hAnsi="宋体" w:eastAsia="宋体" w:cs="宋体"/>
      </w:rPr>
    </w:lvl>
  </w:abstractNum>
  <w:abstractNum w:abstractNumId="1">
    <w:nsid w:val="8910D4DF"/>
    <w:multiLevelType w:val="singleLevel"/>
    <w:tmpl w:val="8910D4DF"/>
    <w:lvl w:ilvl="0" w:tentative="0">
      <w:start w:val="4"/>
      <w:numFmt w:val="chineseCounting"/>
      <w:suff w:val="nothing"/>
      <w:lvlText w:val="%1、"/>
      <w:lvlJc w:val="left"/>
      <w:rPr>
        <w:rFonts w:hint="eastAsia" w:ascii="黑体" w:hAnsi="黑体" w:eastAsia="黑体" w:cs="黑体"/>
      </w:rPr>
    </w:lvl>
  </w:abstractNum>
  <w:abstractNum w:abstractNumId="2">
    <w:nsid w:val="24DB8466"/>
    <w:multiLevelType w:val="singleLevel"/>
    <w:tmpl w:val="24DB8466"/>
    <w:lvl w:ilvl="0" w:tentative="0">
      <w:start w:val="2"/>
      <w:numFmt w:val="decimal"/>
      <w:suff w:val="nothing"/>
      <w:lvlText w:val="%1、"/>
      <w:lvlJc w:val="left"/>
      <w:pPr>
        <w:ind w:left="790" w:leftChars="0" w:firstLine="0" w:firstLineChars="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YmU3ZmMyMTEwMWJmNDk4MTUwMjQxYzlmOWI5MjI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5124C"/>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1114F31"/>
    <w:rsid w:val="07464BEA"/>
    <w:rsid w:val="07E31748"/>
    <w:rsid w:val="08BC4747"/>
    <w:rsid w:val="09775F0C"/>
    <w:rsid w:val="0D2D7ED0"/>
    <w:rsid w:val="0D313052"/>
    <w:rsid w:val="0D3844DF"/>
    <w:rsid w:val="0F484CB6"/>
    <w:rsid w:val="10340D74"/>
    <w:rsid w:val="13A90902"/>
    <w:rsid w:val="160B1348"/>
    <w:rsid w:val="176E4503"/>
    <w:rsid w:val="17913557"/>
    <w:rsid w:val="17F04B5D"/>
    <w:rsid w:val="18786EA4"/>
    <w:rsid w:val="1BE751E1"/>
    <w:rsid w:val="1C0627D5"/>
    <w:rsid w:val="1C705A90"/>
    <w:rsid w:val="1C8272A5"/>
    <w:rsid w:val="1D6B7C4F"/>
    <w:rsid w:val="20361CBE"/>
    <w:rsid w:val="22586F52"/>
    <w:rsid w:val="2282016A"/>
    <w:rsid w:val="24993518"/>
    <w:rsid w:val="24ED10C4"/>
    <w:rsid w:val="264A6BF3"/>
    <w:rsid w:val="2676373F"/>
    <w:rsid w:val="26943958"/>
    <w:rsid w:val="269817A2"/>
    <w:rsid w:val="28286A39"/>
    <w:rsid w:val="28C53C33"/>
    <w:rsid w:val="2C4C4315"/>
    <w:rsid w:val="2DD12716"/>
    <w:rsid w:val="30085DDD"/>
    <w:rsid w:val="30535608"/>
    <w:rsid w:val="332171A0"/>
    <w:rsid w:val="33B018F3"/>
    <w:rsid w:val="36E72571"/>
    <w:rsid w:val="382120F2"/>
    <w:rsid w:val="395A49E3"/>
    <w:rsid w:val="3AF83161"/>
    <w:rsid w:val="3B327167"/>
    <w:rsid w:val="3FAD672D"/>
    <w:rsid w:val="40281B2C"/>
    <w:rsid w:val="40491F2D"/>
    <w:rsid w:val="422A71F9"/>
    <w:rsid w:val="428C277C"/>
    <w:rsid w:val="42921525"/>
    <w:rsid w:val="43103F9B"/>
    <w:rsid w:val="456538A7"/>
    <w:rsid w:val="48100A53"/>
    <w:rsid w:val="48722B6A"/>
    <w:rsid w:val="49853F47"/>
    <w:rsid w:val="49C10891"/>
    <w:rsid w:val="4A557194"/>
    <w:rsid w:val="4B34491F"/>
    <w:rsid w:val="4B5E7E66"/>
    <w:rsid w:val="4D75560E"/>
    <w:rsid w:val="506C1431"/>
    <w:rsid w:val="51E77981"/>
    <w:rsid w:val="52A82E8C"/>
    <w:rsid w:val="5BBF5A8F"/>
    <w:rsid w:val="5DE17C5D"/>
    <w:rsid w:val="5E9B5A6E"/>
    <w:rsid w:val="60F83E8A"/>
    <w:rsid w:val="63E930E6"/>
    <w:rsid w:val="65DE7F32"/>
    <w:rsid w:val="66D76FBB"/>
    <w:rsid w:val="68F73F4A"/>
    <w:rsid w:val="692E407A"/>
    <w:rsid w:val="6D730695"/>
    <w:rsid w:val="6EEE3D17"/>
    <w:rsid w:val="70BE1FC7"/>
    <w:rsid w:val="710F728C"/>
    <w:rsid w:val="73EC3773"/>
    <w:rsid w:val="763D5037"/>
    <w:rsid w:val="77E47032"/>
    <w:rsid w:val="78057F18"/>
    <w:rsid w:val="79CD46E0"/>
    <w:rsid w:val="7AA8700F"/>
    <w:rsid w:val="7BA85DFB"/>
    <w:rsid w:val="7D70790B"/>
    <w:rsid w:val="7F7B76EF"/>
    <w:rsid w:val="7F8D3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spacing w:before="240" w:after="60"/>
      <w:outlineLvl w:val="0"/>
    </w:pPr>
    <w:rPr>
      <w:rFonts w:ascii="Cambria" w:hAnsi="Cambria" w:eastAsia="宋体"/>
      <w:b/>
      <w:bCs/>
      <w:kern w:val="32"/>
      <w:sz w:val="32"/>
      <w:szCs w:val="32"/>
    </w:rPr>
  </w:style>
  <w:style w:type="paragraph" w:styleId="3">
    <w:name w:val="heading 2"/>
    <w:basedOn w:val="1"/>
    <w:next w:val="1"/>
    <w:unhideWhenUsed/>
    <w:qFormat/>
    <w:uiPriority w:val="9"/>
    <w:pPr>
      <w:keepNext/>
      <w:keepLines/>
      <w:outlineLvl w:val="1"/>
    </w:pPr>
    <w:rPr>
      <w:rFonts w:eastAsia="仿宋_GB2312" w:asciiTheme="majorHAnsi" w:hAnsiTheme="majorHAnsi"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32</Pages>
  <Words>9057</Words>
  <Characters>11025</Characters>
  <Lines>61</Lines>
  <Paragraphs>17</Paragraphs>
  <TotalTime>1</TotalTime>
  <ScaleCrop>false</ScaleCrop>
  <LinksUpToDate>false</LinksUpToDate>
  <CharactersWithSpaces>12578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Vina</cp:lastModifiedBy>
  <cp:lastPrinted>2021-08-26T01:42:00Z</cp:lastPrinted>
  <dcterms:modified xsi:type="dcterms:W3CDTF">2022-09-28T02:50:00Z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A0B00DCAF3444CBD89B9A10AB1F466D6</vt:lpwstr>
  </property>
</Properties>
</file>