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sz w:val="56"/>
          <w:szCs w:val="56"/>
        </w:rPr>
      </w:pPr>
      <w:bookmarkStart w:id="2" w:name="_GoBack"/>
      <w:bookmarkEnd w:id="2"/>
    </w:p>
    <w:p>
      <w:pPr>
        <w:pStyle w:val="13"/>
        <w:jc w:val="center"/>
        <w:rPr>
          <w:sz w:val="56"/>
          <w:szCs w:val="56"/>
        </w:rPr>
      </w:pPr>
    </w:p>
    <w:p>
      <w:pPr>
        <w:pStyle w:val="13"/>
        <w:jc w:val="center"/>
        <w:rPr>
          <w:sz w:val="84"/>
          <w:szCs w:val="84"/>
        </w:rPr>
      </w:pPr>
    </w:p>
    <w:p>
      <w:pPr>
        <w:pStyle w:val="13"/>
        <w:jc w:val="center"/>
        <w:rPr>
          <w:sz w:val="84"/>
          <w:szCs w:val="84"/>
        </w:rPr>
      </w:pPr>
    </w:p>
    <w:p>
      <w:pPr>
        <w:pStyle w:val="13"/>
        <w:jc w:val="center"/>
        <w:rPr>
          <w:sz w:val="84"/>
          <w:szCs w:val="84"/>
        </w:rPr>
      </w:pPr>
      <w:r>
        <w:rPr>
          <w:rFonts w:hint="eastAsia"/>
          <w:sz w:val="84"/>
          <w:szCs w:val="84"/>
        </w:rPr>
        <w:t>2020年度</w:t>
      </w:r>
    </w:p>
    <w:p>
      <w:pPr>
        <w:pStyle w:val="13"/>
        <w:jc w:val="center"/>
        <w:rPr>
          <w:sz w:val="84"/>
          <w:szCs w:val="84"/>
        </w:rPr>
      </w:pPr>
      <w:r>
        <w:rPr>
          <w:rFonts w:hint="eastAsia"/>
          <w:sz w:val="84"/>
          <w:szCs w:val="84"/>
          <w:lang w:eastAsia="zh-CN"/>
        </w:rPr>
        <w:t>湖南省生态环境农村工作站</w:t>
      </w:r>
      <w:r>
        <w:rPr>
          <w:rFonts w:hint="eastAsia"/>
          <w:sz w:val="84"/>
          <w:szCs w:val="84"/>
        </w:rPr>
        <w:t>部门决算</w:t>
      </w:r>
    </w:p>
    <w:p>
      <w:pPr>
        <w:pStyle w:val="13"/>
        <w:jc w:val="center"/>
        <w:rPr>
          <w:sz w:val="56"/>
          <w:szCs w:val="56"/>
        </w:rPr>
      </w:pPr>
    </w:p>
    <w:p>
      <w:pPr>
        <w:pStyle w:val="13"/>
        <w:jc w:val="center"/>
        <w:rPr>
          <w:sz w:val="56"/>
          <w:szCs w:val="56"/>
        </w:rPr>
      </w:pPr>
    </w:p>
    <w:p>
      <w:pPr>
        <w:pStyle w:val="13"/>
        <w:jc w:val="center"/>
        <w:rPr>
          <w:sz w:val="56"/>
          <w:szCs w:val="56"/>
        </w:rPr>
      </w:pPr>
    </w:p>
    <w:p>
      <w:pPr>
        <w:pStyle w:val="13"/>
        <w:jc w:val="center"/>
        <w:rPr>
          <w:sz w:val="56"/>
          <w:szCs w:val="56"/>
        </w:rPr>
      </w:pPr>
    </w:p>
    <w:p>
      <w:pPr>
        <w:pStyle w:val="13"/>
        <w:jc w:val="center"/>
        <w:rPr>
          <w:rFonts w:hint="eastAsia"/>
          <w:sz w:val="32"/>
          <w:szCs w:val="32"/>
        </w:rPr>
      </w:pPr>
    </w:p>
    <w:p>
      <w:pPr>
        <w:pStyle w:val="13"/>
        <w:jc w:val="center"/>
        <w:rPr>
          <w:rFonts w:hint="eastAsia"/>
          <w:sz w:val="32"/>
          <w:szCs w:val="32"/>
        </w:rPr>
      </w:pPr>
    </w:p>
    <w:p>
      <w:pPr>
        <w:pStyle w:val="13"/>
        <w:jc w:val="center"/>
        <w:rPr>
          <w:sz w:val="32"/>
          <w:szCs w:val="32"/>
        </w:rPr>
      </w:pPr>
    </w:p>
    <w:p>
      <w:pPr>
        <w:pStyle w:val="13"/>
        <w:jc w:val="center"/>
        <w:rPr>
          <w:sz w:val="32"/>
          <w:szCs w:val="32"/>
        </w:rPr>
      </w:pPr>
    </w:p>
    <w:p>
      <w:pPr>
        <w:pStyle w:val="13"/>
        <w:jc w:val="center"/>
        <w:rPr>
          <w:sz w:val="32"/>
          <w:szCs w:val="32"/>
        </w:rPr>
      </w:pPr>
    </w:p>
    <w:p>
      <w:pPr>
        <w:pStyle w:val="13"/>
        <w:spacing w:line="540" w:lineRule="exact"/>
        <w:jc w:val="center"/>
        <w:rPr>
          <w:sz w:val="56"/>
          <w:szCs w:val="56"/>
        </w:rPr>
      </w:pPr>
    </w:p>
    <w:p>
      <w:pPr>
        <w:pStyle w:val="13"/>
        <w:spacing w:line="500" w:lineRule="exact"/>
        <w:jc w:val="center"/>
        <w:rPr>
          <w:b/>
          <w:sz w:val="36"/>
          <w:szCs w:val="28"/>
        </w:rPr>
      </w:pPr>
    </w:p>
    <w:p>
      <w:pPr>
        <w:pStyle w:val="13"/>
        <w:spacing w:line="500" w:lineRule="exact"/>
        <w:jc w:val="center"/>
        <w:rPr>
          <w:b/>
          <w:sz w:val="36"/>
          <w:szCs w:val="28"/>
        </w:rPr>
      </w:pPr>
    </w:p>
    <w:p>
      <w:pPr>
        <w:pStyle w:val="13"/>
        <w:spacing w:line="500" w:lineRule="exact"/>
        <w:jc w:val="center"/>
        <w:rPr>
          <w:b/>
          <w:sz w:val="36"/>
          <w:szCs w:val="28"/>
        </w:rPr>
      </w:pPr>
      <w:r>
        <w:rPr>
          <w:rFonts w:hint="eastAsia"/>
          <w:b/>
          <w:sz w:val="36"/>
          <w:szCs w:val="28"/>
        </w:rPr>
        <w:t>目录</w:t>
      </w:r>
    </w:p>
    <w:p>
      <w:pPr>
        <w:pStyle w:val="13"/>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eastAsia="zh-CN"/>
        </w:rPr>
        <w:t>湖南省生态环境农村工作站</w:t>
      </w:r>
      <w:r>
        <w:rPr>
          <w:rFonts w:hint="eastAsia"/>
          <w:b/>
          <w:sz w:val="28"/>
          <w:szCs w:val="28"/>
        </w:rPr>
        <w:t>概况</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3"/>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20年度部门决算表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3"/>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3"/>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20年度部门决算情况说明</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关于机关运行经费支出说明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十一、关于政府采购支出说明</w:t>
      </w:r>
    </w:p>
    <w:p>
      <w:pPr>
        <w:pStyle w:val="13"/>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十二、关于国有资产占用情况说明</w:t>
      </w:r>
    </w:p>
    <w:p>
      <w:pPr>
        <w:pStyle w:val="13"/>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十三、关</w:t>
      </w:r>
      <w:r>
        <w:rPr>
          <w:rFonts w:hint="eastAsia" w:cs="仿宋_GB2312" w:asciiTheme="minorEastAsia" w:hAnsiTheme="minorEastAsia" w:eastAsiaTheme="minorEastAsia"/>
          <w:sz w:val="28"/>
          <w:szCs w:val="28"/>
        </w:rPr>
        <w:t>于2020年</w:t>
      </w:r>
      <w:r>
        <w:rPr>
          <w:rFonts w:hint="eastAsia" w:ascii="仿宋_GB2312" w:hAnsi="仿宋_GB2312" w:cs="仿宋_GB2312" w:eastAsiaTheme="minorEastAsia"/>
          <w:sz w:val="28"/>
          <w:szCs w:val="28"/>
        </w:rPr>
        <w:t>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rPr>
          <w:sz w:val="72"/>
          <w:szCs w:val="72"/>
        </w:rPr>
      </w:pPr>
    </w:p>
    <w:p>
      <w:pPr>
        <w:pStyle w:val="13"/>
        <w:jc w:val="center"/>
        <w:rPr>
          <w:sz w:val="84"/>
          <w:szCs w:val="84"/>
        </w:rPr>
      </w:pPr>
      <w:r>
        <w:rPr>
          <w:rFonts w:hint="eastAsia"/>
          <w:sz w:val="84"/>
          <w:szCs w:val="84"/>
        </w:rPr>
        <w:t>第一部分</w:t>
      </w:r>
      <w:r>
        <w:rPr>
          <w:sz w:val="84"/>
          <w:szCs w:val="84"/>
        </w:rPr>
        <w:t xml:space="preserve"> </w:t>
      </w:r>
    </w:p>
    <w:p>
      <w:pPr>
        <w:pStyle w:val="13"/>
        <w:jc w:val="center"/>
        <w:rPr>
          <w:sz w:val="84"/>
          <w:szCs w:val="84"/>
        </w:rPr>
      </w:pPr>
    </w:p>
    <w:p>
      <w:pPr>
        <w:pStyle w:val="13"/>
        <w:jc w:val="center"/>
        <w:rPr>
          <w:rFonts w:hint="eastAsia"/>
          <w:sz w:val="84"/>
          <w:szCs w:val="84"/>
          <w:lang w:eastAsia="zh-CN"/>
        </w:rPr>
      </w:pPr>
      <w:r>
        <w:rPr>
          <w:rFonts w:hint="eastAsia"/>
          <w:sz w:val="84"/>
          <w:szCs w:val="84"/>
          <w:lang w:eastAsia="zh-CN"/>
        </w:rPr>
        <w:t>湖南省生态环境农村工作站</w:t>
      </w:r>
    </w:p>
    <w:p>
      <w:pPr>
        <w:pStyle w:val="13"/>
        <w:jc w:val="center"/>
        <w:rPr>
          <w:sz w:val="84"/>
          <w:szCs w:val="84"/>
        </w:rPr>
      </w:pP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4"/>
        <w:ind w:left="720" w:firstLine="0" w:firstLineChars="0"/>
        <w:jc w:val="left"/>
        <w:rPr>
          <w:rFonts w:ascii="黑体" w:hAnsi="黑体" w:eastAsia="黑体"/>
          <w:sz w:val="32"/>
          <w:szCs w:val="32"/>
        </w:rPr>
      </w:pPr>
    </w:p>
    <w:p>
      <w:pPr>
        <w:pStyle w:val="14"/>
        <w:ind w:left="720" w:firstLine="0" w:firstLineChars="0"/>
        <w:jc w:val="left"/>
        <w:rPr>
          <w:rFonts w:ascii="黑体" w:hAnsi="黑体" w:eastAsia="黑体"/>
          <w:sz w:val="32"/>
          <w:szCs w:val="32"/>
        </w:rPr>
      </w:pPr>
    </w:p>
    <w:p>
      <w:pPr>
        <w:pStyle w:val="14"/>
        <w:ind w:left="720" w:firstLine="0" w:firstLineChars="0"/>
        <w:jc w:val="left"/>
        <w:rPr>
          <w:rFonts w:ascii="黑体" w:hAnsi="黑体" w:eastAsia="黑体"/>
          <w:sz w:val="32"/>
          <w:szCs w:val="32"/>
        </w:rPr>
      </w:pPr>
    </w:p>
    <w:p>
      <w:pPr>
        <w:pStyle w:val="14"/>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pStyle w:val="14"/>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承担全省农村生态环境保护相关事务性工作。提供全省农村环境污染防治相关技术服务，制定全省农村环境污染防治相关规划、方案和项目的技术审查和评估；参与相关项目的技术指导和检查验收；承担土壤、地下水等污染防治和生态保护的技术支持等工作；</w:t>
      </w:r>
    </w:p>
    <w:p>
      <w:pPr>
        <w:pStyle w:val="14"/>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（二）指导全省农村面源污染防治工作，组织开展农村面源污染治理试点示范、技术推广和效果评估，指导并参与全省农村环境综合整治、农村生活污水治理验收和评估等工作；</w:t>
      </w:r>
    </w:p>
    <w:p>
      <w:pPr>
        <w:pStyle w:val="14"/>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负责全省农用地土壤及农产品污染状况调查和风险评估，指导全省农用地土壤污染防治和农村环境污染事故纠纷仲裁调查、跨区域农村环境污染事故调查，参与农用地环境风险管控和修复效果评估，开展农用地土壤污染修复治理试点示范与推广；</w:t>
      </w:r>
    </w:p>
    <w:p>
      <w:pPr>
        <w:pStyle w:val="14"/>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（四）负责全省农业面源污染、农用地土壤、地下水等监测预警网络建设，开展农村污染现状调查评价；</w:t>
      </w:r>
    </w:p>
    <w:p>
      <w:pPr>
        <w:pStyle w:val="14"/>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（五）协助开展全省农村生物多样性基础调查、濒危评估、修复保护等工作，配合农村物种资源管理，参与农村生物安全工作；</w:t>
      </w:r>
    </w:p>
    <w:p>
      <w:pPr>
        <w:pStyle w:val="14"/>
        <w:tabs>
          <w:tab w:val="left" w:pos="7655"/>
        </w:tabs>
        <w:adjustRightInd w:val="0"/>
        <w:snapToGrid w:val="0"/>
        <w:spacing w:line="600" w:lineRule="exact"/>
        <w:ind w:firstLine="636"/>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（六）承办厅党组及领导交办的其他事项。</w:t>
      </w:r>
    </w:p>
    <w:p>
      <w:pPr>
        <w:pStyle w:val="14"/>
        <w:tabs>
          <w:tab w:val="left" w:pos="7655"/>
        </w:tabs>
        <w:adjustRightInd w:val="0"/>
        <w:snapToGrid w:val="0"/>
        <w:spacing w:line="600" w:lineRule="exact"/>
        <w:ind w:firstLine="636"/>
        <w:rPr>
          <w:rFonts w:hint="eastAsia" w:ascii="仿宋_GB2312" w:hAnsi="仿宋_GB2312" w:eastAsia="仿宋_GB2312" w:cs="仿宋_GB2312"/>
          <w:color w:val="000000"/>
          <w:sz w:val="32"/>
          <w:szCs w:val="32"/>
        </w:rPr>
      </w:pPr>
    </w:p>
    <w:p>
      <w:pPr>
        <w:pStyle w:val="14"/>
        <w:tabs>
          <w:tab w:val="left" w:pos="7655"/>
        </w:tabs>
        <w:adjustRightInd w:val="0"/>
        <w:snapToGrid w:val="0"/>
        <w:spacing w:line="600" w:lineRule="exact"/>
        <w:ind w:firstLine="636"/>
        <w:rPr>
          <w:rFonts w:hint="eastAsia" w:ascii="仿宋_GB2312" w:hAnsi="仿宋_GB2312" w:eastAsia="仿宋_GB2312" w:cs="仿宋_GB2312"/>
          <w:color w:val="000000"/>
          <w:sz w:val="32"/>
          <w:szCs w:val="32"/>
        </w:rPr>
      </w:pPr>
    </w:p>
    <w:p>
      <w:pPr>
        <w:pStyle w:val="14"/>
        <w:tabs>
          <w:tab w:val="left" w:pos="7655"/>
        </w:tabs>
        <w:adjustRightInd w:val="0"/>
        <w:snapToGrid w:val="0"/>
        <w:spacing w:line="600" w:lineRule="exact"/>
        <w:ind w:firstLine="636"/>
        <w:rPr>
          <w:rFonts w:hint="eastAsia" w:ascii="仿宋_GB2312" w:hAnsi="仿宋_GB2312" w:eastAsia="仿宋_GB2312" w:cs="仿宋_GB2312"/>
          <w:color w:val="000000"/>
          <w:sz w:val="32"/>
          <w:szCs w:val="32"/>
        </w:rPr>
      </w:pPr>
    </w:p>
    <w:p>
      <w:pPr>
        <w:pStyle w:val="14"/>
        <w:tabs>
          <w:tab w:val="left" w:pos="7655"/>
        </w:tabs>
        <w:adjustRightInd w:val="0"/>
        <w:snapToGrid w:val="0"/>
        <w:spacing w:line="600" w:lineRule="exact"/>
        <w:ind w:firstLine="636"/>
        <w:rPr>
          <w:rFonts w:hint="eastAsia" w:ascii="仿宋_GB2312" w:hAnsi="仿宋_GB2312" w:eastAsia="仿宋_GB2312" w:cs="仿宋_GB2312"/>
          <w:color w:val="000000"/>
          <w:sz w:val="32"/>
          <w:szCs w:val="32"/>
        </w:rPr>
      </w:pPr>
    </w:p>
    <w:p>
      <w:pPr>
        <w:pStyle w:val="14"/>
        <w:tabs>
          <w:tab w:val="left" w:pos="7655"/>
        </w:tabs>
        <w:adjustRightInd w:val="0"/>
        <w:snapToGrid w:val="0"/>
        <w:spacing w:line="600" w:lineRule="exact"/>
        <w:ind w:firstLine="636"/>
        <w:rPr>
          <w:rFonts w:hint="eastAsia" w:ascii="仿宋_GB2312" w:hAnsi="仿宋_GB2312" w:eastAsia="仿宋_GB2312" w:cs="仿宋_GB2312"/>
          <w:color w:val="000000"/>
          <w:sz w:val="32"/>
          <w:szCs w:val="32"/>
        </w:rPr>
      </w:pPr>
    </w:p>
    <w:p>
      <w:pPr>
        <w:pStyle w:val="14"/>
        <w:tabs>
          <w:tab w:val="left" w:pos="7655"/>
        </w:tabs>
        <w:adjustRightInd w:val="0"/>
        <w:snapToGrid w:val="0"/>
        <w:spacing w:line="600" w:lineRule="exact"/>
        <w:ind w:firstLine="636"/>
        <w:rPr>
          <w:rFonts w:hint="eastAsia" w:ascii="仿宋_GB2312" w:hAnsi="仿宋_GB2312" w:eastAsia="仿宋_GB2312" w:cs="仿宋_GB2312"/>
          <w:color w:val="000000"/>
          <w:sz w:val="32"/>
          <w:szCs w:val="32"/>
        </w:rPr>
      </w:pPr>
    </w:p>
    <w:p>
      <w:pPr>
        <w:pStyle w:val="14"/>
        <w:tabs>
          <w:tab w:val="left" w:pos="7655"/>
        </w:tabs>
        <w:adjustRightInd w:val="0"/>
        <w:snapToGrid w:val="0"/>
        <w:spacing w:line="600" w:lineRule="exact"/>
        <w:ind w:firstLine="636"/>
        <w:rPr>
          <w:rFonts w:hint="eastAsia" w:ascii="仿宋_GB2312" w:hAnsi="仿宋_GB2312" w:eastAsia="仿宋_GB2312" w:cs="仿宋_GB2312"/>
          <w:color w:val="000000"/>
          <w:sz w:val="32"/>
          <w:szCs w:val="32"/>
        </w:rPr>
      </w:pPr>
    </w:p>
    <w:p>
      <w:pPr>
        <w:pStyle w:val="14"/>
        <w:tabs>
          <w:tab w:val="left" w:pos="7655"/>
        </w:tabs>
        <w:adjustRightInd w:val="0"/>
        <w:snapToGrid w:val="0"/>
        <w:spacing w:line="600" w:lineRule="exact"/>
        <w:ind w:firstLine="636"/>
        <w:rPr>
          <w:rFonts w:hint="eastAsia" w:ascii="仿宋_GB2312" w:hAnsi="仿宋_GB2312" w:eastAsia="仿宋_GB2312" w:cs="仿宋_GB2312"/>
          <w:color w:val="000000"/>
          <w:sz w:val="32"/>
          <w:szCs w:val="32"/>
        </w:rPr>
      </w:pPr>
    </w:p>
    <w:p>
      <w:pPr>
        <w:pStyle w:val="14"/>
        <w:tabs>
          <w:tab w:val="left" w:pos="7655"/>
        </w:tabs>
        <w:adjustRightInd w:val="0"/>
        <w:snapToGrid w:val="0"/>
        <w:spacing w:line="600" w:lineRule="exact"/>
        <w:ind w:firstLine="636"/>
        <w:rPr>
          <w:rFonts w:hint="eastAsia" w:ascii="仿宋_GB2312" w:hAnsi="仿宋_GB2312" w:eastAsia="仿宋_GB2312" w:cs="仿宋_GB2312"/>
          <w:color w:val="000000"/>
          <w:sz w:val="32"/>
          <w:szCs w:val="32"/>
        </w:rPr>
      </w:pP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（一）内设机构设置。</w:t>
      </w:r>
      <w:r>
        <w:rPr>
          <w:rFonts w:hint="eastAsia" w:asciiTheme="minorEastAsia" w:hAnsiTheme="minorEastAsia"/>
          <w:bCs/>
          <w:kern w:val="0"/>
          <w:sz w:val="32"/>
          <w:szCs w:val="32"/>
          <w:lang w:eastAsia="zh-CN"/>
        </w:rPr>
        <w:t>湖南省生态环境农村工作站</w:t>
      </w:r>
      <w:r>
        <w:rPr>
          <w:rFonts w:hint="eastAsia" w:asciiTheme="minorEastAsia" w:hAnsiTheme="minorEastAsia"/>
          <w:bCs/>
          <w:kern w:val="0"/>
          <w:sz w:val="32"/>
          <w:szCs w:val="32"/>
        </w:rPr>
        <w:t>内设机构包括：综合财务科、面源污染防治科、</w:t>
      </w:r>
      <w:r>
        <w:rPr>
          <w:rFonts w:hint="eastAsia" w:asciiTheme="minorEastAsia" w:hAnsiTheme="minorEastAsia"/>
          <w:bCs/>
          <w:kern w:val="0"/>
          <w:sz w:val="32"/>
          <w:szCs w:val="32"/>
          <w:lang w:val="en-US" w:eastAsia="zh-CN"/>
        </w:rPr>
        <w:t>农用地土壤污染防治</w:t>
      </w:r>
      <w:r>
        <w:rPr>
          <w:rFonts w:hint="eastAsia" w:asciiTheme="minorEastAsia" w:hAnsiTheme="minorEastAsia"/>
          <w:bCs/>
          <w:kern w:val="0"/>
          <w:sz w:val="32"/>
          <w:szCs w:val="32"/>
        </w:rPr>
        <w:t>、</w:t>
      </w:r>
      <w:r>
        <w:rPr>
          <w:rFonts w:hint="eastAsia" w:asciiTheme="minorEastAsia" w:hAnsiTheme="minorEastAsia"/>
          <w:bCs/>
          <w:kern w:val="0"/>
          <w:sz w:val="32"/>
          <w:szCs w:val="32"/>
          <w:lang w:val="en-US" w:eastAsia="zh-CN"/>
        </w:rPr>
        <w:t>农村生物安全管理</w:t>
      </w:r>
      <w:r>
        <w:rPr>
          <w:rFonts w:hint="eastAsia" w:asciiTheme="minorEastAsia" w:hAnsiTheme="minorEastAsia"/>
          <w:bCs/>
          <w:kern w:val="0"/>
          <w:sz w:val="32"/>
          <w:szCs w:val="32"/>
        </w:rPr>
        <w:t>、</w:t>
      </w:r>
      <w:r>
        <w:rPr>
          <w:rFonts w:hint="eastAsia" w:asciiTheme="minorEastAsia" w:hAnsiTheme="minorEastAsia"/>
          <w:bCs/>
          <w:kern w:val="0"/>
          <w:sz w:val="32"/>
          <w:szCs w:val="32"/>
          <w:lang w:val="en-US" w:eastAsia="zh-CN"/>
        </w:rPr>
        <w:t>农村生态环境监测预警</w:t>
      </w:r>
      <w:r>
        <w:rPr>
          <w:rFonts w:hint="eastAsia" w:asciiTheme="minorEastAsia" w:hAnsiTheme="minorEastAsia"/>
          <w:bCs/>
          <w:kern w:val="0"/>
          <w:sz w:val="32"/>
          <w:szCs w:val="32"/>
        </w:rPr>
        <w:t>。</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（二）决算单位构成。</w:t>
      </w:r>
      <w:r>
        <w:rPr>
          <w:rFonts w:hint="eastAsia" w:asciiTheme="minorEastAsia" w:hAnsiTheme="minorEastAsia"/>
          <w:bCs/>
          <w:kern w:val="0"/>
          <w:sz w:val="32"/>
          <w:szCs w:val="32"/>
          <w:lang w:eastAsia="zh-CN"/>
        </w:rPr>
        <w:t>湖南省生态环境农村工作站</w:t>
      </w:r>
      <w:r>
        <w:rPr>
          <w:rFonts w:asciiTheme="minorEastAsia" w:hAnsiTheme="minorEastAsia"/>
          <w:bCs/>
          <w:kern w:val="0"/>
          <w:sz w:val="32"/>
          <w:szCs w:val="32"/>
        </w:rPr>
        <w:t>20</w:t>
      </w:r>
      <w:r>
        <w:rPr>
          <w:rFonts w:hint="eastAsia" w:asciiTheme="minorEastAsia" w:hAnsiTheme="minorEastAsia"/>
          <w:bCs/>
          <w:kern w:val="0"/>
          <w:sz w:val="32"/>
          <w:szCs w:val="32"/>
        </w:rPr>
        <w:t>20年部门决算汇总公开单位构成包括：</w:t>
      </w:r>
      <w:r>
        <w:rPr>
          <w:rFonts w:hint="eastAsia" w:asciiTheme="minorEastAsia" w:hAnsiTheme="minorEastAsia"/>
          <w:bCs/>
          <w:kern w:val="0"/>
          <w:sz w:val="32"/>
          <w:szCs w:val="32"/>
          <w:lang w:eastAsia="zh-CN"/>
        </w:rPr>
        <w:t>湖南省生态环境农村工作站</w:t>
      </w:r>
      <w:r>
        <w:rPr>
          <w:rFonts w:hint="eastAsia" w:asciiTheme="minorEastAsia" w:hAnsiTheme="minorEastAsia"/>
          <w:bCs/>
          <w:kern w:val="0"/>
          <w:sz w:val="32"/>
          <w:szCs w:val="32"/>
        </w:rPr>
        <w:t>单位本级</w:t>
      </w:r>
      <w:r>
        <w:rPr>
          <w:rFonts w:hint="eastAsia" w:asciiTheme="minorEastAsia" w:hAnsiTheme="minorEastAsia"/>
          <w:bCs/>
          <w:kern w:val="0"/>
          <w:sz w:val="32"/>
          <w:szCs w:val="32"/>
          <w:lang w:eastAsia="zh-CN"/>
        </w:rPr>
        <w:t>。</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r>
        <w:drawing>
          <wp:inline distT="0" distB="0" distL="114300" distR="114300">
            <wp:extent cx="8427085" cy="5274945"/>
            <wp:effectExtent l="0" t="0" r="635" b="1333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8427085" cy="5274945"/>
                    </a:xfrm>
                    <a:prstGeom prst="rect">
                      <a:avLst/>
                    </a:prstGeom>
                    <a:noFill/>
                    <a:ln>
                      <a:noFill/>
                    </a:ln>
                  </pic:spPr>
                </pic:pic>
              </a:graphicData>
            </a:graphic>
          </wp:inline>
        </w:drawing>
      </w:r>
    </w:p>
    <w:p>
      <w:pPr>
        <w:widowControl/>
        <w:jc w:val="left"/>
        <w:rPr>
          <w:rFonts w:ascii="Times New Roman" w:hAnsi="Times New Roman" w:eastAsia="黑体" w:cs="Times New Roman"/>
          <w:bCs/>
          <w:kern w:val="0"/>
          <w:sz w:val="32"/>
          <w:szCs w:val="32"/>
        </w:rPr>
      </w:pPr>
      <w:r>
        <w:drawing>
          <wp:inline distT="0" distB="0" distL="114300" distR="114300">
            <wp:extent cx="9957435" cy="5636895"/>
            <wp:effectExtent l="0" t="0" r="9525" b="190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5"/>
                    <a:stretch>
                      <a:fillRect/>
                    </a:stretch>
                  </pic:blipFill>
                  <pic:spPr>
                    <a:xfrm>
                      <a:off x="0" y="0"/>
                      <a:ext cx="9957435" cy="5636895"/>
                    </a:xfrm>
                    <a:prstGeom prst="rect">
                      <a:avLst/>
                    </a:prstGeom>
                    <a:noFill/>
                    <a:ln>
                      <a:noFill/>
                    </a:ln>
                  </pic:spPr>
                </pic:pic>
              </a:graphicData>
            </a:graphic>
          </wp:inline>
        </w:drawing>
      </w:r>
      <w:r>
        <w:rPr>
          <w:rFonts w:ascii="Times New Roman" w:hAnsi="Times New Roman" w:eastAsia="黑体" w:cs="Times New Roman"/>
          <w:bCs/>
          <w:kern w:val="0"/>
          <w:sz w:val="32"/>
          <w:szCs w:val="32"/>
        </w:rPr>
        <w:t xml:space="preserve"> </w:t>
      </w:r>
      <w:r>
        <w:rPr>
          <w:rFonts w:hint="eastAsia"/>
        </w:rPr>
        <w:t>注：本表反映部门本年度取得的各项收入情况。</w:t>
      </w:r>
    </w:p>
    <w:p>
      <w:pPr>
        <w:widowControl/>
        <w:rPr>
          <w:rFonts w:ascii="Times New Roman" w:hAnsi="Times New Roman" w:eastAsia="方正小标宋_GBK" w:cs="Times New Roman"/>
          <w:color w:val="000000"/>
          <w:kern w:val="0"/>
          <w:sz w:val="36"/>
          <w:szCs w:val="36"/>
        </w:rPr>
      </w:pPr>
    </w:p>
    <w:p>
      <w:pPr>
        <w:widowControl/>
        <w:ind w:left="93"/>
        <w:jc w:val="center"/>
        <w:rPr>
          <w:rFonts w:ascii="Times New Roman" w:hAnsi="Times New Roman" w:eastAsia="方正小标宋_GBK" w:cs="Times New Roman"/>
          <w:color w:val="000000"/>
          <w:kern w:val="0"/>
          <w:sz w:val="36"/>
          <w:szCs w:val="21"/>
        </w:rPr>
      </w:pPr>
      <w:r>
        <w:drawing>
          <wp:inline distT="0" distB="0" distL="114300" distR="114300">
            <wp:extent cx="9729470" cy="5676265"/>
            <wp:effectExtent l="0" t="0" r="8890" b="825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6"/>
                    <a:stretch>
                      <a:fillRect/>
                    </a:stretch>
                  </pic:blipFill>
                  <pic:spPr>
                    <a:xfrm>
                      <a:off x="0" y="0"/>
                      <a:ext cx="9729470" cy="5676265"/>
                    </a:xfrm>
                    <a:prstGeom prst="rect">
                      <a:avLst/>
                    </a:prstGeom>
                    <a:noFill/>
                    <a:ln>
                      <a:noFill/>
                    </a:ln>
                  </pic:spPr>
                </pic:pic>
              </a:graphicData>
            </a:graphic>
          </wp:inline>
        </w:drawing>
      </w:r>
    </w:p>
    <w:p>
      <w:pPr>
        <w:widowControl/>
        <w:ind w:left="93"/>
        <w:jc w:val="left"/>
        <w:rPr>
          <w:rFonts w:ascii="Times New Roman" w:hAnsi="Times New Roman" w:eastAsia="方正小标宋_GBK" w:cs="Times New Roman"/>
          <w:color w:val="000000"/>
          <w:kern w:val="0"/>
          <w:sz w:val="36"/>
          <w:szCs w:val="21"/>
        </w:rPr>
      </w:pPr>
      <w:r>
        <w:rPr>
          <w:rFonts w:hint="eastAsia" w:ascii="宋体" w:hAnsi="宋体" w:eastAsia="宋体" w:cs="宋体"/>
          <w:kern w:val="0"/>
          <w:sz w:val="24"/>
          <w:szCs w:val="24"/>
        </w:rPr>
        <w:t>注：本表反映部门本年度各项支出情况。</w:t>
      </w: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jc w:val="center"/>
        <w:rPr>
          <w:rFonts w:ascii="Times New Roman" w:hAnsi="Times New Roman" w:eastAsia="方正小标宋_GBK" w:cs="Times New Roman"/>
          <w:kern w:val="0"/>
          <w:sz w:val="36"/>
          <w:szCs w:val="36"/>
        </w:rPr>
      </w:pPr>
      <w:bookmarkStart w:id="0" w:name="RANGE!A1:I22"/>
      <w:bookmarkEnd w:id="0"/>
      <w:bookmarkStart w:id="1" w:name="RANGE!A1:F16"/>
      <w:r>
        <w:drawing>
          <wp:inline distT="0" distB="0" distL="114300" distR="114300">
            <wp:extent cx="9109710" cy="5647690"/>
            <wp:effectExtent l="0" t="0" r="3810" b="635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7"/>
                    <a:stretch>
                      <a:fillRect/>
                    </a:stretch>
                  </pic:blipFill>
                  <pic:spPr>
                    <a:xfrm>
                      <a:off x="0" y="0"/>
                      <a:ext cx="9109710" cy="5647690"/>
                    </a:xfrm>
                    <a:prstGeom prst="rect">
                      <a:avLst/>
                    </a:prstGeom>
                    <a:noFill/>
                    <a:ln>
                      <a:noFill/>
                    </a:ln>
                  </pic:spPr>
                </pic:pic>
              </a:graphicData>
            </a:graphic>
          </wp:inline>
        </w:drawing>
      </w:r>
    </w:p>
    <w:p>
      <w:pPr>
        <w:widowControl/>
        <w:jc w:val="center"/>
        <w:rPr>
          <w:rFonts w:ascii="Times New Roman" w:hAnsi="Times New Roman" w:eastAsia="方正小标宋_GBK" w:cs="Times New Roman"/>
          <w:kern w:val="0"/>
          <w:sz w:val="36"/>
          <w:szCs w:val="36"/>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spacing w:before="156"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lang w:eastAsia="zh-CN"/>
        </w:rPr>
        <w:t>湖南省生态环境农村工作站</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单位：万元</w:t>
      </w:r>
    </w:p>
    <w:p>
      <w:pPr>
        <w:widowControl/>
        <w:jc w:val="left"/>
        <w:rPr>
          <w:rFonts w:ascii="Times New Roman" w:hAnsi="Times New Roman" w:eastAsia="仿宋_GB2312" w:cs="Times New Roman"/>
          <w:bCs/>
          <w:kern w:val="0"/>
          <w:szCs w:val="21"/>
        </w:rPr>
      </w:pPr>
      <w:r>
        <w:drawing>
          <wp:inline distT="0" distB="0" distL="114300" distR="114300">
            <wp:extent cx="9364345" cy="5433060"/>
            <wp:effectExtent l="0" t="0" r="8255"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9364345" cy="5433060"/>
                    </a:xfrm>
                    <a:prstGeom prst="rect">
                      <a:avLst/>
                    </a:prstGeom>
                    <a:noFill/>
                    <a:ln>
                      <a:noFill/>
                    </a:ln>
                  </pic:spPr>
                </pic:pic>
              </a:graphicData>
            </a:graphic>
          </wp:inline>
        </w:drawing>
      </w: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p>
      <w:pPr>
        <w:widowControl/>
        <w:jc w:val="center"/>
        <w:rPr>
          <w:rFonts w:ascii="Times New Roman" w:hAnsi="Times New Roman" w:eastAsia="方正小标宋_GBK" w:cs="Times New Roman"/>
          <w:color w:val="000000"/>
          <w:kern w:val="0"/>
          <w:sz w:val="36"/>
          <w:szCs w:val="36"/>
        </w:rPr>
      </w:pPr>
      <w:r>
        <w:drawing>
          <wp:inline distT="0" distB="0" distL="114300" distR="114300">
            <wp:extent cx="9834245" cy="6487795"/>
            <wp:effectExtent l="0" t="0" r="10795"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834245" cy="6487795"/>
                    </a:xfrm>
                    <a:prstGeom prst="rect">
                      <a:avLst/>
                    </a:prstGeom>
                    <a:noFill/>
                    <a:ln>
                      <a:noFill/>
                    </a:ln>
                  </pic:spPr>
                </pic:pic>
              </a:graphicData>
            </a:graphic>
          </wp:inline>
        </w:drawing>
      </w:r>
      <w:r>
        <w:rPr>
          <w:rFonts w:hint="eastAsia" w:ascii="Times New Roman" w:hAnsi="Times New Roman" w:eastAsia="方正小标宋_GBK" w:cs="Times New Roman"/>
          <w:color w:val="000000"/>
          <w:kern w:val="0"/>
          <w:sz w:val="36"/>
          <w:szCs w:val="36"/>
        </w:rPr>
        <w:t>一般公共预算财政拨款“三公”经费支出决算表</w:t>
      </w:r>
    </w:p>
    <w:p>
      <w:pPr>
        <w:widowControl/>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lang w:eastAsia="zh-CN"/>
        </w:rPr>
        <w:t>湖南省生态环境农村工作站</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ind w:right="42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9"/>
        <w:tblW w:w="14640" w:type="dxa"/>
        <w:jc w:val="center"/>
        <w:tblInd w:w="0" w:type="dxa"/>
        <w:tblLayout w:type="fixed"/>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Layout w:type="fixed"/>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tblPrEx>
          <w:tblLayout w:type="fixed"/>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tblPrEx>
          <w:tblLayout w:type="fixed"/>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tblPrEx>
          <w:tblLayout w:type="fixed"/>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11.00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6.50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6.50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4.50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5.30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3.24</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nil"/>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3.24</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2.06</w:t>
            </w:r>
          </w:p>
        </w:tc>
      </w:tr>
    </w:tbl>
    <w:p>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                                                                                                                       公开08表</w:t>
      </w:r>
    </w:p>
    <w:p>
      <w:pPr>
        <w:widowControl/>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9"/>
        <w:tblW w:w="14440"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000"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(若本单位无政府性基金收支</w:t>
      </w:r>
      <w:r>
        <w:rPr>
          <w:rFonts w:hint="eastAsia" w:ascii="Times New Roman" w:hAnsi="Times New Roman" w:eastAsia="仿宋_GB2312" w:cs="Times New Roman"/>
          <w:kern w:val="0"/>
          <w:szCs w:val="21"/>
        </w:rPr>
        <w:t>,请说明：XX单位没有政府性基金收入，也没有使用政府性基金安排的支出，故本表无数据</w:t>
      </w:r>
      <w:r>
        <w:rPr>
          <w:rFonts w:ascii="Times New Roman" w:hAnsi="Times New Roman" w:eastAsia="仿宋_GB2312" w:cs="Times New Roman"/>
          <w:kern w:val="0"/>
          <w:szCs w:val="21"/>
        </w:rPr>
        <w:t>)。</w:t>
      </w:r>
    </w:p>
    <w:p>
      <w:pPr>
        <w:widowControl/>
        <w:jc w:val="left"/>
        <w:rPr>
          <w:rFonts w:ascii="黑体" w:hAnsi="黑体" w:eastAsia="黑体"/>
          <w:szCs w:val="21"/>
        </w:rPr>
      </w:pPr>
      <w:r>
        <w:rPr>
          <w:rFonts w:ascii="黑体" w:hAnsi="黑体" w:eastAsia="黑体"/>
          <w:szCs w:val="21"/>
        </w:rPr>
        <w:br w:type="page"/>
      </w:r>
    </w:p>
    <w:tbl>
      <w:tblPr>
        <w:tblStyle w:val="9"/>
        <w:tblW w:w="14190" w:type="dxa"/>
        <w:tblInd w:w="93" w:type="dxa"/>
        <w:tblLayout w:type="fixed"/>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Layout w:type="fixed"/>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Layout w:type="fixed"/>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Layout w:type="fixed"/>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Layout w:type="fixed"/>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Layout w:type="fixed"/>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Layout w:type="fixed"/>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tc>
      </w:tr>
    </w:tbl>
    <w:p>
      <w:pPr>
        <w:pStyle w:val="13"/>
        <w:rPr>
          <w:sz w:val="72"/>
          <w:szCs w:val="72"/>
        </w:rPr>
        <w:sectPr>
          <w:pgSz w:w="16838" w:h="11906" w:orient="landscape"/>
          <w:pgMar w:top="720" w:right="720" w:bottom="720" w:left="720" w:header="851" w:footer="992" w:gutter="0"/>
          <w:cols w:space="425" w:num="1"/>
          <w:docGrid w:type="lines" w:linePitch="312" w:charSpace="0"/>
        </w:sectPr>
      </w:pPr>
    </w:p>
    <w:p>
      <w:pPr>
        <w:pStyle w:val="13"/>
        <w:rPr>
          <w:sz w:val="72"/>
          <w:szCs w:val="72"/>
        </w:rPr>
      </w:pPr>
    </w:p>
    <w:p>
      <w:pPr>
        <w:pStyle w:val="13"/>
        <w:rPr>
          <w:sz w:val="72"/>
          <w:szCs w:val="72"/>
        </w:rPr>
      </w:pPr>
    </w:p>
    <w:p>
      <w:pPr>
        <w:pStyle w:val="13"/>
        <w:rPr>
          <w:sz w:val="72"/>
          <w:szCs w:val="72"/>
        </w:rPr>
      </w:pPr>
    </w:p>
    <w:p>
      <w:pPr>
        <w:pStyle w:val="13"/>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r>
        <w:rPr>
          <w:rFonts w:hint="eastAsia"/>
          <w:sz w:val="72"/>
          <w:szCs w:val="72"/>
        </w:rPr>
        <w:t>第三部分</w:t>
      </w:r>
    </w:p>
    <w:p>
      <w:pPr>
        <w:pStyle w:val="13"/>
        <w:jc w:val="center"/>
        <w:rPr>
          <w:sz w:val="70"/>
          <w:szCs w:val="70"/>
        </w:rPr>
      </w:pPr>
    </w:p>
    <w:p>
      <w:pPr>
        <w:pStyle w:val="13"/>
        <w:jc w:val="center"/>
        <w:rPr>
          <w:sz w:val="70"/>
          <w:szCs w:val="70"/>
        </w:rPr>
      </w:pPr>
      <w:r>
        <w:rPr>
          <w:sz w:val="70"/>
          <w:szCs w:val="70"/>
        </w:rPr>
        <w:t>20</w:t>
      </w:r>
      <w:r>
        <w:rPr>
          <w:rFonts w:hint="eastAsia"/>
          <w:sz w:val="70"/>
          <w:szCs w:val="70"/>
        </w:rPr>
        <w:t>20年度部门决算情况说明</w:t>
      </w:r>
    </w:p>
    <w:p>
      <w:pPr>
        <w:widowControl/>
        <w:jc w:val="left"/>
        <w:rPr>
          <w:rFonts w:ascii="黑体" w:eastAsia="黑体" w:cs="黑体"/>
          <w:color w:val="000000"/>
          <w:kern w:val="0"/>
          <w:sz w:val="70"/>
          <w:szCs w:val="70"/>
        </w:rPr>
      </w:pPr>
      <w:r>
        <w:rPr>
          <w:sz w:val="70"/>
          <w:szCs w:val="70"/>
        </w:rPr>
        <w:br w:type="page"/>
      </w:r>
    </w:p>
    <w:p>
      <w:pPr>
        <w:pStyle w:val="13"/>
        <w:rPr>
          <w:rFonts w:asciiTheme="minorEastAsia" w:hAnsiTheme="minorEastAsia" w:eastAsiaTheme="minorEastAsia"/>
          <w:sz w:val="32"/>
          <w:szCs w:val="32"/>
        </w:rPr>
      </w:pPr>
    </w:p>
    <w:p>
      <w:pPr>
        <w:pStyle w:val="13"/>
        <w:rPr>
          <w:rFonts w:hAnsi="黑体"/>
          <w:b/>
          <w:sz w:val="32"/>
          <w:szCs w:val="32"/>
        </w:rPr>
      </w:pPr>
      <w:r>
        <w:rPr>
          <w:rFonts w:hint="eastAsia" w:hAnsi="黑体"/>
          <w:b/>
          <w:sz w:val="32"/>
          <w:szCs w:val="32"/>
        </w:rPr>
        <w:t>一、收入支出决算总体情况说明</w:t>
      </w:r>
    </w:p>
    <w:p>
      <w:pPr>
        <w:pStyle w:val="13"/>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2020年度收、支总计</w:t>
      </w:r>
      <w:r>
        <w:rPr>
          <w:rFonts w:hint="eastAsia" w:asciiTheme="minorEastAsia" w:hAnsiTheme="minorEastAsia" w:eastAsiaTheme="minorEastAsia"/>
          <w:sz w:val="32"/>
          <w:szCs w:val="32"/>
          <w:lang w:val="en-US" w:eastAsia="zh-CN"/>
        </w:rPr>
        <w:t>15228.80</w:t>
      </w:r>
      <w:r>
        <w:rPr>
          <w:rFonts w:hint="eastAsia" w:asciiTheme="minorEastAsia" w:hAnsiTheme="minorEastAsia" w:eastAsiaTheme="minorEastAsia"/>
          <w:sz w:val="32"/>
          <w:szCs w:val="32"/>
        </w:rPr>
        <w:t>万元。与上年相比，增加</w:t>
      </w:r>
      <w:r>
        <w:rPr>
          <w:rFonts w:hint="eastAsia" w:asciiTheme="minorEastAsia" w:hAnsiTheme="minorEastAsia" w:eastAsiaTheme="minorEastAsia"/>
          <w:sz w:val="32"/>
          <w:szCs w:val="32"/>
          <w:lang w:val="en-US" w:eastAsia="zh-CN"/>
        </w:rPr>
        <w:t>3924.12</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34.71</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本年增加了项目经费。</w:t>
      </w:r>
    </w:p>
    <w:p>
      <w:pPr>
        <w:pStyle w:val="13"/>
        <w:rPr>
          <w:rFonts w:hAnsi="黑体"/>
          <w:b/>
          <w:sz w:val="32"/>
          <w:szCs w:val="32"/>
        </w:rPr>
      </w:pPr>
      <w:r>
        <w:rPr>
          <w:rFonts w:hint="eastAsia" w:hAnsi="黑体"/>
          <w:b/>
          <w:sz w:val="32"/>
          <w:szCs w:val="32"/>
        </w:rPr>
        <w:t>二、收入决算情况说明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r>
        <w:rPr>
          <w:rFonts w:hint="eastAsia" w:asciiTheme="minorEastAsia" w:hAnsiTheme="minorEastAsia" w:eastAsiaTheme="minorEastAsia"/>
          <w:sz w:val="32"/>
          <w:szCs w:val="32"/>
          <w:lang w:val="en-US" w:eastAsia="zh-CN"/>
        </w:rPr>
        <w:t>12327.60</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12315.63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99.90</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11.97</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0.10</w:t>
      </w:r>
      <w:r>
        <w:rPr>
          <w:rFonts w:hint="eastAsia" w:asciiTheme="minorEastAsia" w:hAnsiTheme="minorEastAsia" w:eastAsiaTheme="minorEastAsia"/>
          <w:sz w:val="32"/>
          <w:szCs w:val="32"/>
        </w:rPr>
        <w:t>%。</w:t>
      </w:r>
    </w:p>
    <w:p>
      <w:pPr>
        <w:pStyle w:val="13"/>
        <w:rPr>
          <w:rFonts w:hAnsi="黑体"/>
          <w:b/>
          <w:sz w:val="32"/>
          <w:szCs w:val="32"/>
        </w:rPr>
      </w:pPr>
      <w:r>
        <w:rPr>
          <w:rFonts w:hint="eastAsia" w:hAnsi="黑体"/>
          <w:b/>
          <w:sz w:val="32"/>
          <w:szCs w:val="32"/>
        </w:rPr>
        <w:t>三、支出决算情况说明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w:t>
      </w:r>
      <w:r>
        <w:rPr>
          <w:rFonts w:hint="eastAsia" w:asciiTheme="minorEastAsia" w:hAnsiTheme="minorEastAsia" w:eastAsiaTheme="minorEastAsia"/>
          <w:sz w:val="32"/>
          <w:szCs w:val="32"/>
          <w:lang w:val="en-US" w:eastAsia="zh-CN"/>
        </w:rPr>
        <w:t>13708.87</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418.16</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3.05</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13290.71</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96.95</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3"/>
        <w:rPr>
          <w:rFonts w:hAnsi="黑体"/>
          <w:b/>
          <w:sz w:val="32"/>
          <w:szCs w:val="32"/>
        </w:rPr>
      </w:pPr>
      <w:r>
        <w:rPr>
          <w:rFonts w:hint="eastAsia" w:hAnsi="黑体"/>
          <w:b/>
          <w:sz w:val="32"/>
          <w:szCs w:val="32"/>
        </w:rPr>
        <w:t>四、财政拨款收入支出决算总体情况说明</w:t>
      </w:r>
    </w:p>
    <w:p>
      <w:pPr>
        <w:pStyle w:val="13"/>
        <w:ind w:firstLine="64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2020年度财政拨款收、支总计</w:t>
      </w:r>
      <w:r>
        <w:rPr>
          <w:rFonts w:hint="eastAsia" w:asciiTheme="minorEastAsia" w:hAnsiTheme="minorEastAsia" w:eastAsiaTheme="minorEastAsia"/>
          <w:sz w:val="32"/>
          <w:szCs w:val="32"/>
          <w:lang w:val="en-US" w:eastAsia="zh-CN"/>
        </w:rPr>
        <w:t>15175.10</w:t>
      </w:r>
      <w:r>
        <w:rPr>
          <w:rFonts w:hint="eastAsia" w:asciiTheme="minorEastAsia" w:hAnsiTheme="minorEastAsia" w:eastAsiaTheme="minorEastAsia"/>
          <w:sz w:val="32"/>
          <w:szCs w:val="32"/>
        </w:rPr>
        <w:t>万元，与上年相比，增加</w:t>
      </w:r>
      <w:r>
        <w:rPr>
          <w:rFonts w:hint="eastAsia" w:asciiTheme="minorEastAsia" w:hAnsiTheme="minorEastAsia" w:eastAsiaTheme="minorEastAsia"/>
          <w:sz w:val="32"/>
          <w:szCs w:val="32"/>
          <w:lang w:val="en-US" w:eastAsia="zh-CN"/>
        </w:rPr>
        <w:t>3912.25</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34.74</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本年增加了项目经费。</w:t>
      </w:r>
    </w:p>
    <w:p>
      <w:pPr>
        <w:pStyle w:val="13"/>
        <w:ind w:firstLine="640"/>
        <w:rPr>
          <w:rFonts w:hAnsi="黑体"/>
          <w:b/>
          <w:sz w:val="32"/>
          <w:szCs w:val="32"/>
        </w:rPr>
      </w:pPr>
      <w:r>
        <w:rPr>
          <w:rFonts w:hint="eastAsia" w:hAnsi="黑体"/>
          <w:b/>
          <w:sz w:val="32"/>
          <w:szCs w:val="32"/>
        </w:rPr>
        <w:t>五、一般公共预算财政拨款支出决算情况说明</w:t>
      </w:r>
    </w:p>
    <w:p>
      <w:pPr>
        <w:pStyle w:val="13"/>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13686.48</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99.84</w:t>
      </w:r>
      <w:r>
        <w:rPr>
          <w:rFonts w:hint="eastAsia" w:asciiTheme="minorEastAsia" w:hAnsiTheme="minorEastAsia" w:eastAsiaTheme="minorEastAsia"/>
          <w:sz w:val="32"/>
          <w:szCs w:val="32"/>
        </w:rPr>
        <w:t>%，与上年相比，财政拨款支出</w:t>
      </w:r>
      <w:r>
        <w:rPr>
          <w:rFonts w:hint="eastAsia" w:asciiTheme="minorEastAsia" w:hAnsiTheme="minorEastAsia" w:eastAsiaTheme="minorEastAsia"/>
          <w:sz w:val="32"/>
          <w:szCs w:val="32"/>
          <w:u w:val="none"/>
        </w:rPr>
        <w:t>增加</w:t>
      </w:r>
      <w:r>
        <w:rPr>
          <w:rFonts w:hint="eastAsia" w:asciiTheme="minorEastAsia" w:hAnsiTheme="minorEastAsia" w:eastAsiaTheme="minorEastAsia"/>
          <w:sz w:val="32"/>
          <w:szCs w:val="32"/>
          <w:u w:val="none"/>
          <w:lang w:val="en-US" w:eastAsia="zh-CN"/>
        </w:rPr>
        <w:t>5556.11</w:t>
      </w:r>
      <w:r>
        <w:rPr>
          <w:rFonts w:hint="eastAsia" w:asciiTheme="minorEastAsia" w:hAnsiTheme="minorEastAsia" w:eastAsiaTheme="minorEastAsia"/>
          <w:sz w:val="32"/>
          <w:szCs w:val="32"/>
          <w:u w:val="none"/>
        </w:rPr>
        <w:t>万元</w:t>
      </w:r>
      <w:r>
        <w:rPr>
          <w:rFonts w:hint="eastAsia" w:asciiTheme="minorEastAsia" w:hAnsiTheme="minorEastAsia" w:eastAsiaTheme="minorEastAsia"/>
          <w:sz w:val="32"/>
          <w:szCs w:val="32"/>
        </w:rPr>
        <w:t>，增长</w:t>
      </w:r>
      <w:r>
        <w:rPr>
          <w:rFonts w:hint="eastAsia" w:asciiTheme="minorEastAsia" w:hAnsiTheme="minorEastAsia" w:eastAsiaTheme="minorEastAsia"/>
          <w:sz w:val="32"/>
          <w:szCs w:val="32"/>
          <w:lang w:val="en-US" w:eastAsia="zh-CN"/>
        </w:rPr>
        <w:t>68.34</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增加了项目经费。</w:t>
      </w:r>
    </w:p>
    <w:p>
      <w:pPr>
        <w:pStyle w:val="13"/>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3"/>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13686.48</w:t>
      </w:r>
      <w:r>
        <w:rPr>
          <w:rFonts w:hint="eastAsia" w:asciiTheme="minorEastAsia" w:hAnsiTheme="minorEastAsia" w:eastAsiaTheme="minorEastAsia"/>
          <w:sz w:val="32"/>
          <w:szCs w:val="32"/>
        </w:rPr>
        <w:t>万元，主要用于以下方面：一般公共服务（类）支出</w:t>
      </w:r>
      <w:r>
        <w:rPr>
          <w:rFonts w:hint="eastAsia" w:asciiTheme="minorEastAsia" w:hAnsiTheme="minorEastAsia" w:eastAsiaTheme="minorEastAsia"/>
          <w:sz w:val="32"/>
          <w:szCs w:val="32"/>
          <w:lang w:val="en-US" w:eastAsia="zh-CN"/>
        </w:rPr>
        <w:t>28.10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0.21</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社会保障和就业</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支出</w:t>
      </w:r>
      <w:r>
        <w:rPr>
          <w:rFonts w:hint="eastAsia" w:asciiTheme="minorEastAsia" w:hAnsiTheme="minorEastAsia" w:eastAsiaTheme="minorEastAsia"/>
          <w:sz w:val="32"/>
          <w:szCs w:val="32"/>
          <w:lang w:val="en-US" w:eastAsia="zh-CN"/>
        </w:rPr>
        <w:t>27.00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0.20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节能环保</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支出</w:t>
      </w:r>
      <w:r>
        <w:rPr>
          <w:rFonts w:hint="eastAsia" w:asciiTheme="minorEastAsia" w:hAnsiTheme="minorEastAsia" w:eastAsiaTheme="minorEastAsia"/>
          <w:sz w:val="32"/>
          <w:szCs w:val="32"/>
          <w:lang w:val="en-US" w:eastAsia="zh-CN"/>
        </w:rPr>
        <w:t>11565.34万元，占84.50%；城乡社区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val="en-US" w:eastAsia="zh-CN"/>
        </w:rPr>
        <w:t>支出5.00万元，占0.04%，农林水</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val="en-US" w:eastAsia="zh-CN"/>
        </w:rPr>
        <w:t>支出2061.04万元，占15.06%。</w:t>
      </w:r>
    </w:p>
    <w:p>
      <w:pPr>
        <w:pStyle w:val="13"/>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2020年度财政拨款支出年初预算数为</w:t>
      </w:r>
      <w:r>
        <w:rPr>
          <w:rFonts w:hint="eastAsia" w:asciiTheme="minorEastAsia" w:hAnsiTheme="minorEastAsia" w:eastAsiaTheme="minorEastAsia"/>
          <w:sz w:val="32"/>
          <w:szCs w:val="32"/>
          <w:lang w:val="en-US" w:eastAsia="zh-CN"/>
        </w:rPr>
        <w:t>347.60</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13686.48</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%，其中：</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1、一般公共服务（类）</w:t>
      </w:r>
      <w:r>
        <w:rPr>
          <w:rFonts w:hint="eastAsia" w:asciiTheme="minorEastAsia" w:hAnsiTheme="minorEastAsia" w:eastAsiaTheme="minorEastAsia"/>
          <w:sz w:val="32"/>
          <w:szCs w:val="32"/>
          <w:lang w:eastAsia="zh-CN"/>
        </w:rPr>
        <w:t>人大事务</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行政运行</w:t>
      </w:r>
      <w:r>
        <w:rPr>
          <w:rFonts w:hint="eastAsia" w:asciiTheme="minorEastAsia" w:hAnsiTheme="minorEastAsia" w:eastAsiaTheme="minorEastAsia"/>
          <w:sz w:val="32"/>
          <w:szCs w:val="32"/>
        </w:rPr>
        <w:t>（项）。</w:t>
      </w:r>
    </w:p>
    <w:p>
      <w:pPr>
        <w:pStyle w:val="13"/>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28.10</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eastAsia="zh-CN"/>
        </w:rPr>
        <w:t>此项资金有年初结转和结余。</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w:t>
      </w:r>
      <w:r>
        <w:rPr>
          <w:rFonts w:hint="eastAsia" w:asciiTheme="minorEastAsia" w:hAnsiTheme="minorEastAsia" w:eastAsiaTheme="minorEastAsia"/>
          <w:sz w:val="32"/>
          <w:szCs w:val="32"/>
          <w:lang w:eastAsia="zh-CN"/>
        </w:rPr>
        <w:t>社会保障和就业支出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行政事业单位养老支出</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机关事业单位基本养老保险缴费支出</w:t>
      </w:r>
      <w:r>
        <w:rPr>
          <w:rFonts w:hint="eastAsia" w:asciiTheme="minorEastAsia" w:hAnsiTheme="minorEastAsia" w:eastAsiaTheme="minorEastAsia"/>
          <w:sz w:val="32"/>
          <w:szCs w:val="32"/>
        </w:rPr>
        <w:t>（项）。</w:t>
      </w:r>
    </w:p>
    <w:p>
      <w:pPr>
        <w:pStyle w:val="13"/>
        <w:numPr>
          <w:ilvl w:val="0"/>
          <w:numId w:val="0"/>
        </w:numPr>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27.00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27.00</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3"/>
        <w:numPr>
          <w:ilvl w:val="0"/>
          <w:numId w:val="0"/>
        </w:numPr>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3、节能环保支出（类）环境保护管理事务（款）行政运行（项）</w:t>
      </w:r>
    </w:p>
    <w:p>
      <w:pPr>
        <w:pStyle w:val="13"/>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315.60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357.95</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eastAsia="zh-CN"/>
        </w:rPr>
        <w:t>此项资金有年初结转和结余和年中追加。</w:t>
      </w:r>
    </w:p>
    <w:p>
      <w:pPr>
        <w:pStyle w:val="13"/>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4、节能环保支出（类）污染防治（款）水体（项）</w:t>
      </w:r>
    </w:p>
    <w:p>
      <w:pPr>
        <w:pStyle w:val="13"/>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3.03</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%，决算数大于大于年初预算数的主要原因是：</w:t>
      </w:r>
      <w:r>
        <w:rPr>
          <w:rFonts w:hint="eastAsia" w:asciiTheme="minorEastAsia" w:hAnsiTheme="minorEastAsia" w:eastAsiaTheme="minorEastAsia"/>
          <w:sz w:val="32"/>
          <w:szCs w:val="32"/>
          <w:lang w:eastAsia="zh-CN"/>
        </w:rPr>
        <w:t>此项资金有年初结转和结余。</w:t>
      </w:r>
    </w:p>
    <w:p>
      <w:pPr>
        <w:pStyle w:val="13"/>
        <w:numPr>
          <w:ilvl w:val="0"/>
          <w:numId w:val="0"/>
        </w:numPr>
        <w:ind w:left="640" w:leftChars="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5、节能环保支出（类）污染防治（款）其他污染防治（项）</w:t>
      </w:r>
    </w:p>
    <w:p>
      <w:pPr>
        <w:pStyle w:val="13"/>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267.60</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eastAsia="zh-CN"/>
        </w:rPr>
        <w:t>此项资金有年初结转和结余和年中追加。</w:t>
      </w:r>
    </w:p>
    <w:p>
      <w:pPr>
        <w:pStyle w:val="13"/>
        <w:numPr>
          <w:ilvl w:val="0"/>
          <w:numId w:val="0"/>
        </w:numPr>
        <w:ind w:left="640" w:leftChars="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6、节能环保支出（类）自然生态保护（款）农村环境保护（项）</w:t>
      </w:r>
    </w:p>
    <w:p>
      <w:pPr>
        <w:pStyle w:val="13"/>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222.46</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eastAsia="zh-CN"/>
        </w:rPr>
        <w:t>此项资金有年初结转和结余和年中追加。</w:t>
      </w:r>
    </w:p>
    <w:p>
      <w:pPr>
        <w:pStyle w:val="13"/>
        <w:numPr>
          <w:ilvl w:val="0"/>
          <w:numId w:val="0"/>
        </w:numPr>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7、节能环保支出（类）污染减排（款）生态环境监测与信息（项）</w:t>
      </w:r>
    </w:p>
    <w:p>
      <w:pPr>
        <w:pStyle w:val="13"/>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10714.30</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eastAsia="zh-CN"/>
        </w:rPr>
        <w:t>此项资金有年初结转和结余和年中追加。</w:t>
      </w:r>
    </w:p>
    <w:p>
      <w:pPr>
        <w:pStyle w:val="13"/>
        <w:numPr>
          <w:ilvl w:val="0"/>
          <w:numId w:val="0"/>
        </w:numPr>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8、城乡社区支出（类）城乡社区管理事务（款）行政运行（项）</w:t>
      </w:r>
    </w:p>
    <w:p>
      <w:pPr>
        <w:pStyle w:val="13"/>
        <w:numPr>
          <w:ilvl w:val="0"/>
          <w:numId w:val="0"/>
        </w:numPr>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3"/>
        <w:numPr>
          <w:ilvl w:val="0"/>
          <w:numId w:val="0"/>
        </w:numPr>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9、农林水支出（类）农业农村（款）其他农业农村支出（项）</w:t>
      </w:r>
    </w:p>
    <w:p>
      <w:pPr>
        <w:pStyle w:val="13"/>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2061.04</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eastAsia="zh-CN"/>
        </w:rPr>
        <w:t>资金来源于年中追加。</w:t>
      </w:r>
    </w:p>
    <w:p>
      <w:pPr>
        <w:pStyle w:val="13"/>
        <w:ind w:firstLine="640" w:firstLineChars="200"/>
        <w:rPr>
          <w:rFonts w:hAnsi="黑体"/>
          <w:b/>
          <w:sz w:val="32"/>
          <w:szCs w:val="32"/>
        </w:rPr>
      </w:pPr>
      <w:r>
        <w:rPr>
          <w:rFonts w:hint="eastAsia" w:hAnsi="黑体"/>
          <w:b/>
          <w:sz w:val="32"/>
          <w:szCs w:val="32"/>
        </w:rPr>
        <w:t>六、一般公共预算财政拨款基本支出决算情况说明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2020年度财政拨款基本支出</w:t>
      </w:r>
      <w:r>
        <w:rPr>
          <w:rFonts w:hint="eastAsia" w:asciiTheme="minorEastAsia" w:hAnsiTheme="minorEastAsia" w:eastAsiaTheme="minorEastAsia"/>
          <w:sz w:val="32"/>
          <w:szCs w:val="32"/>
          <w:lang w:val="en-US" w:eastAsia="zh-CN"/>
        </w:rPr>
        <w:t>418.05</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366.08</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87.57</w:t>
      </w:r>
      <w:r>
        <w:rPr>
          <w:rFonts w:hint="eastAsia" w:asciiTheme="minorEastAsia" w:hAnsiTheme="minorEastAsia" w:eastAsiaTheme="minorEastAsia"/>
          <w:sz w:val="32"/>
          <w:szCs w:val="32"/>
        </w:rPr>
        <w:t>%,主要包括基本工资、津贴补贴、奖金、伙食补助费</w:t>
      </w:r>
      <w:r>
        <w:rPr>
          <w:rFonts w:hint="eastAsia" w:asciiTheme="minorEastAsia" w:hAnsiTheme="minorEastAsia" w:eastAsiaTheme="minorEastAsia"/>
          <w:sz w:val="32"/>
          <w:szCs w:val="32"/>
          <w:lang w:eastAsia="zh-CN"/>
        </w:rPr>
        <w:t>、住房公积金、机关事业单位基本养老保险缴费等</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51.96</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12.43</w:t>
      </w:r>
      <w:r>
        <w:rPr>
          <w:rFonts w:hint="eastAsia" w:asciiTheme="minorEastAsia" w:hAnsiTheme="minorEastAsia" w:eastAsiaTheme="minorEastAsia"/>
          <w:sz w:val="32"/>
          <w:szCs w:val="32"/>
        </w:rPr>
        <w:t>%，主要包括办公费、印刷费、咨询费、手续费</w:t>
      </w:r>
      <w:r>
        <w:rPr>
          <w:rFonts w:hint="eastAsia" w:asciiTheme="minorEastAsia" w:hAnsiTheme="minorEastAsia" w:eastAsiaTheme="minorEastAsia"/>
          <w:sz w:val="32"/>
          <w:szCs w:val="32"/>
          <w:lang w:eastAsia="zh-CN"/>
        </w:rPr>
        <w:t>差旅费、租赁费、会议费、培训费等</w:t>
      </w:r>
      <w:r>
        <w:rPr>
          <w:rFonts w:hint="eastAsia" w:asciiTheme="minorEastAsia" w:hAnsiTheme="minorEastAsia" w:eastAsiaTheme="minorEastAsia"/>
          <w:sz w:val="32"/>
          <w:szCs w:val="32"/>
        </w:rPr>
        <w:t>。</w:t>
      </w:r>
    </w:p>
    <w:p>
      <w:pPr>
        <w:pStyle w:val="13"/>
        <w:rPr>
          <w:rFonts w:hAnsi="黑体"/>
          <w:b/>
          <w:sz w:val="32"/>
          <w:szCs w:val="32"/>
        </w:rPr>
      </w:pPr>
      <w:r>
        <w:rPr>
          <w:rFonts w:hint="eastAsia" w:hAnsi="黑体"/>
          <w:b/>
          <w:sz w:val="32"/>
          <w:szCs w:val="32"/>
        </w:rPr>
        <w:t>七、一般公共预算财政拨款三公经费支出决算情况说明</w:t>
      </w:r>
    </w:p>
    <w:p>
      <w:pPr>
        <w:pStyle w:val="13"/>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11.00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5.30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48.18</w:t>
      </w:r>
      <w:r>
        <w:rPr>
          <w:rFonts w:hint="eastAsia" w:asciiTheme="minorEastAsia" w:hAnsiTheme="minorEastAsia" w:eastAsiaTheme="minorEastAsia"/>
          <w:sz w:val="32"/>
          <w:szCs w:val="32"/>
        </w:rPr>
        <w:t>%，其中：</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p>
    <w:p>
      <w:pPr>
        <w:pStyle w:val="13"/>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4.50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2.06</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45.78</w:t>
      </w:r>
      <w:r>
        <w:rPr>
          <w:rFonts w:hint="eastAsia" w:asciiTheme="minorEastAsia" w:hAnsiTheme="minorEastAsia" w:eastAsiaTheme="minorEastAsia"/>
          <w:sz w:val="32"/>
          <w:szCs w:val="32"/>
        </w:rPr>
        <w:t>%，决算数小于预算数的主要原因是</w:t>
      </w:r>
      <w:r>
        <w:rPr>
          <w:rFonts w:hint="eastAsia" w:asciiTheme="minorEastAsia" w:hAnsiTheme="minorEastAsia" w:eastAsiaTheme="minorEastAsia"/>
          <w:sz w:val="32"/>
          <w:szCs w:val="32"/>
          <w:lang w:eastAsia="zh-CN"/>
        </w:rPr>
        <w:t>受疫情影响，接待支出减少</w:t>
      </w:r>
      <w:r>
        <w:rPr>
          <w:rFonts w:hint="eastAsia" w:asciiTheme="minorEastAsia" w:hAnsiTheme="minorEastAsia" w:eastAsiaTheme="minorEastAsia"/>
          <w:sz w:val="32"/>
          <w:szCs w:val="32"/>
        </w:rPr>
        <w:t>，与上年相比增加</w:t>
      </w:r>
      <w:r>
        <w:rPr>
          <w:rFonts w:hint="eastAsia" w:asciiTheme="minorEastAsia" w:hAnsiTheme="minorEastAsia" w:eastAsiaTheme="minorEastAsia"/>
          <w:sz w:val="32"/>
          <w:szCs w:val="32"/>
          <w:lang w:val="en-US" w:eastAsia="zh-CN"/>
        </w:rPr>
        <w:t>1.89</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269.28</w:t>
      </w:r>
      <w:r>
        <w:rPr>
          <w:rFonts w:hint="eastAsia" w:asciiTheme="minorEastAsia" w:hAnsiTheme="minorEastAsia" w:eastAsiaTheme="minorEastAsia"/>
          <w:sz w:val="32"/>
          <w:szCs w:val="32"/>
        </w:rPr>
        <w:t>%,增长的主要原因是是因为2019年我站刚转隶至省生态环境厅，相关业务还没有进入正轨，2020年我站各项业务工作逐渐开展起来，导致业务接待相应增多。</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w:t>
      </w:r>
      <w:r>
        <w:rPr>
          <w:rFonts w:hint="eastAsia" w:asciiTheme="minorEastAsia" w:hAnsiTheme="minorEastAsia" w:eastAsiaTheme="minorEastAsia"/>
          <w:sz w:val="32"/>
          <w:szCs w:val="32"/>
          <w:lang w:val="en-US" w:eastAsia="zh-CN"/>
        </w:rPr>
        <w:t>6.50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3.24</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51.38</w:t>
      </w:r>
      <w:r>
        <w:rPr>
          <w:rFonts w:hint="eastAsia" w:asciiTheme="minorEastAsia" w:hAnsiTheme="minorEastAsia" w:eastAsiaTheme="minorEastAsia"/>
          <w:sz w:val="32"/>
          <w:szCs w:val="32"/>
        </w:rPr>
        <w:t>%，决算数小于预算数的主要原因是</w:t>
      </w:r>
      <w:r>
        <w:rPr>
          <w:rFonts w:hint="eastAsia" w:asciiTheme="minorEastAsia" w:hAnsiTheme="minorEastAsia" w:eastAsiaTheme="minorEastAsia"/>
          <w:sz w:val="32"/>
          <w:szCs w:val="32"/>
          <w:lang w:eastAsia="zh-CN"/>
        </w:rPr>
        <w:t>单位厉行节约，压减经费所致</w:t>
      </w:r>
      <w:r>
        <w:rPr>
          <w:rFonts w:hint="eastAsia" w:asciiTheme="minorEastAsia" w:hAnsiTheme="minorEastAsia" w:eastAsiaTheme="minorEastAsia"/>
          <w:sz w:val="32"/>
          <w:szCs w:val="32"/>
        </w:rPr>
        <w:t>，与上年相比增加</w:t>
      </w:r>
      <w:r>
        <w:rPr>
          <w:rFonts w:hint="eastAsia" w:asciiTheme="minorEastAsia" w:hAnsiTheme="minorEastAsia" w:eastAsiaTheme="minorEastAsia"/>
          <w:sz w:val="32"/>
          <w:szCs w:val="32"/>
          <w:lang w:val="en-US" w:eastAsia="zh-CN"/>
        </w:rPr>
        <w:t>0.90</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38.46%</w:t>
      </w:r>
      <w:r>
        <w:rPr>
          <w:rFonts w:hint="eastAsia" w:asciiTheme="minorEastAsia" w:hAnsiTheme="minorEastAsia" w:eastAsiaTheme="minorEastAsia"/>
          <w:sz w:val="32"/>
          <w:szCs w:val="32"/>
        </w:rPr>
        <w:t>,增长的主要原因是</w:t>
      </w:r>
      <w:r>
        <w:rPr>
          <w:rFonts w:hint="eastAsia" w:asciiTheme="minorEastAsia" w:hAnsiTheme="minorEastAsia" w:eastAsiaTheme="minorEastAsia"/>
          <w:sz w:val="32"/>
          <w:szCs w:val="32"/>
          <w:lang w:eastAsia="zh-CN"/>
        </w:rPr>
        <w:t>本年承担的项目增加，因出差导致的公车运行维护费用增加</w:t>
      </w:r>
      <w:r>
        <w:rPr>
          <w:rFonts w:hint="eastAsia" w:asciiTheme="minorEastAsia" w:hAnsiTheme="minorEastAsia" w:eastAsiaTheme="minorEastAsia"/>
          <w:sz w:val="32"/>
          <w:szCs w:val="32"/>
        </w:rPr>
        <w:t>。</w:t>
      </w:r>
    </w:p>
    <w:p>
      <w:pPr>
        <w:pStyle w:val="13"/>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2020年度“三公”经费财政拨款支出决算中，公务接待费支出决算</w:t>
      </w:r>
      <w:r>
        <w:rPr>
          <w:rFonts w:hint="eastAsia" w:asciiTheme="minorEastAsia" w:hAnsiTheme="minorEastAsia" w:eastAsiaTheme="minorEastAsia"/>
          <w:sz w:val="32"/>
          <w:szCs w:val="32"/>
          <w:lang w:val="en-US" w:eastAsia="zh-CN"/>
        </w:rPr>
        <w:t>2.06</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37.94</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3.24</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62.07</w:t>
      </w:r>
      <w:r>
        <w:rPr>
          <w:rFonts w:hint="eastAsia" w:asciiTheme="minorEastAsia" w:hAnsiTheme="minorEastAsia" w:eastAsiaTheme="minorEastAsia"/>
          <w:sz w:val="32"/>
          <w:szCs w:val="32"/>
        </w:rPr>
        <w:t>%。其中：</w:t>
      </w:r>
    </w:p>
    <w:p>
      <w:pPr>
        <w:pStyle w:val="13"/>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2.06</w:t>
      </w:r>
      <w:r>
        <w:rPr>
          <w:rFonts w:hint="eastAsia" w:asciiTheme="minorEastAsia" w:hAnsiTheme="minorEastAsia" w:eastAsiaTheme="minorEastAsia"/>
          <w:sz w:val="32"/>
          <w:szCs w:val="32"/>
        </w:rPr>
        <w:t>万元，全年共接待来访团组72个、来宾352人次（精确到个位数），主要是加密调查质量控制技术培训人员餐费、样品制备流转会务接待、农村生活污水治理专项规划评审接待、农用地土壤重金属污染修复治理效果评价方法论证专家接待、加密调查成果集成专家及技术人员餐费、湖南省土壤未超标稻米镉超标成因分析与对策建议专家研讨接待费、接待市县生态环境局进行耕地土壤和农产品重金属污染加密调查等工作接洽、土壤样品保存库智能综合管理系统技术方案专家评审接待等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3.24</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3.24</w:t>
      </w:r>
      <w:r>
        <w:rPr>
          <w:rFonts w:hint="eastAsia" w:asciiTheme="minorEastAsia" w:hAnsiTheme="minorEastAsia"/>
          <w:sz w:val="32"/>
          <w:szCs w:val="32"/>
        </w:rPr>
        <w:t>万元，主要是</w:t>
      </w:r>
      <w:r>
        <w:rPr>
          <w:rFonts w:hint="eastAsia" w:asciiTheme="minorEastAsia" w:hAnsiTheme="minorEastAsia"/>
          <w:sz w:val="32"/>
          <w:szCs w:val="32"/>
          <w:lang w:eastAsia="zh-CN"/>
        </w:rPr>
        <w:t>车辆燃料、保险、维修等</w:t>
      </w:r>
      <w:r>
        <w:rPr>
          <w:rFonts w:hint="eastAsia" w:asciiTheme="minorEastAsia" w:hAnsiTheme="minorEastAsia"/>
          <w:sz w:val="32"/>
          <w:szCs w:val="32"/>
        </w:rPr>
        <w:t>支出，截止2020年12月31日，我单位开支财政拨款的公务用车保有量为</w:t>
      </w:r>
      <w:r>
        <w:rPr>
          <w:rFonts w:hint="eastAsia" w:asciiTheme="minorEastAsia" w:hAnsiTheme="minorEastAsia"/>
          <w:sz w:val="32"/>
          <w:szCs w:val="32"/>
          <w:lang w:val="en-US" w:eastAsia="zh-CN"/>
        </w:rPr>
        <w:t>1</w:t>
      </w:r>
      <w:r>
        <w:rPr>
          <w:rFonts w:hint="eastAsia" w:asciiTheme="minorEastAsia" w:hAnsiTheme="minorEastAsia"/>
          <w:sz w:val="32"/>
          <w:szCs w:val="32"/>
        </w:rPr>
        <w:t>辆。</w:t>
      </w:r>
    </w:p>
    <w:p>
      <w:pPr>
        <w:pStyle w:val="13"/>
        <w:rPr>
          <w:rFonts w:hAnsi="黑体"/>
          <w:b/>
          <w:sz w:val="32"/>
          <w:szCs w:val="32"/>
        </w:rPr>
      </w:pPr>
      <w:r>
        <w:rPr>
          <w:rFonts w:hint="eastAsia" w:hAnsi="黑体"/>
          <w:b/>
          <w:sz w:val="32"/>
          <w:szCs w:val="32"/>
        </w:rPr>
        <w:t>八、政府性基金预算收入支出决算情况</w:t>
      </w:r>
    </w:p>
    <w:p>
      <w:pPr>
        <w:pStyle w:val="13"/>
        <w:rPr>
          <w:rFonts w:hint="eastAsia" w:asciiTheme="minorEastAsia" w:hAnsiTheme="minorEastAsia" w:eastAsiaTheme="minorEastAsia" w:cstheme="minorBidi"/>
          <w:color w:val="auto"/>
          <w:kern w:val="2"/>
          <w:sz w:val="32"/>
          <w:szCs w:val="32"/>
          <w:lang w:val="en-US" w:eastAsia="zh-CN" w:bidi="ar-SA"/>
        </w:rPr>
      </w:pPr>
      <w:r>
        <w:rPr>
          <w:rFonts w:hint="eastAsia" w:asciiTheme="minorEastAsia" w:hAnsiTheme="minorEastAsia" w:eastAsiaTheme="minorEastAsia"/>
          <w:sz w:val="32"/>
          <w:szCs w:val="32"/>
        </w:rPr>
        <w:t xml:space="preserve">    </w:t>
      </w:r>
      <w:r>
        <w:rPr>
          <w:rFonts w:hint="eastAsia" w:asciiTheme="minorEastAsia" w:hAnsiTheme="minorEastAsia" w:eastAsiaTheme="minorEastAsia" w:cstheme="minorBidi"/>
          <w:color w:val="auto"/>
          <w:kern w:val="2"/>
          <w:sz w:val="32"/>
          <w:szCs w:val="32"/>
          <w:lang w:val="en-US" w:eastAsia="zh-CN" w:bidi="ar-SA"/>
        </w:rPr>
        <w:t xml:space="preserve"> 本单位无政府性基金收支。</w:t>
      </w:r>
    </w:p>
    <w:p>
      <w:pPr>
        <w:pStyle w:val="13"/>
        <w:rPr>
          <w:rFonts w:hAnsi="黑体"/>
          <w:b/>
          <w:sz w:val="32"/>
          <w:szCs w:val="32"/>
        </w:rPr>
      </w:pPr>
      <w:r>
        <w:rPr>
          <w:rFonts w:hint="eastAsia" w:hAnsi="黑体"/>
          <w:b/>
          <w:sz w:val="32"/>
          <w:szCs w:val="32"/>
        </w:rPr>
        <w:t>九、关于机关运行经费支出说明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本部门2020年度机关运行经费支出</w:t>
      </w:r>
      <w:r>
        <w:rPr>
          <w:rFonts w:hint="eastAsia" w:asciiTheme="minorEastAsia" w:hAnsiTheme="minorEastAsia" w:eastAsiaTheme="minorEastAsia"/>
          <w:sz w:val="32"/>
          <w:szCs w:val="32"/>
          <w:lang w:val="en-US" w:eastAsia="zh-CN"/>
        </w:rPr>
        <w:t>51.96</w:t>
      </w:r>
      <w:r>
        <w:rPr>
          <w:rFonts w:hint="eastAsia" w:asciiTheme="minorEastAsia" w:hAnsiTheme="minorEastAsia" w:eastAsiaTheme="minorEastAsia"/>
          <w:sz w:val="32"/>
          <w:szCs w:val="32"/>
        </w:rPr>
        <w:t>万元，比上年决算数减少</w:t>
      </w:r>
      <w:r>
        <w:rPr>
          <w:rFonts w:hint="eastAsia" w:asciiTheme="minorEastAsia" w:hAnsiTheme="minorEastAsia" w:eastAsiaTheme="minorEastAsia"/>
          <w:sz w:val="32"/>
          <w:szCs w:val="32"/>
          <w:lang w:val="en-US" w:eastAsia="zh-CN"/>
        </w:rPr>
        <w:t>34.62</w:t>
      </w:r>
      <w:r>
        <w:rPr>
          <w:rFonts w:hint="eastAsia" w:asciiTheme="minorEastAsia" w:hAnsiTheme="minorEastAsia" w:eastAsiaTheme="minorEastAsia"/>
          <w:sz w:val="32"/>
          <w:szCs w:val="32"/>
        </w:rPr>
        <w:t>万元，降低</w:t>
      </w:r>
      <w:r>
        <w:rPr>
          <w:rFonts w:hint="eastAsia" w:asciiTheme="minorEastAsia" w:hAnsiTheme="minorEastAsia" w:eastAsiaTheme="minorEastAsia"/>
          <w:sz w:val="32"/>
          <w:szCs w:val="32"/>
          <w:lang w:val="en-US" w:eastAsia="zh-CN"/>
        </w:rPr>
        <w:t>39.99</w:t>
      </w:r>
      <w:r>
        <w:rPr>
          <w:rFonts w:hint="eastAsia" w:asciiTheme="minorEastAsia" w:hAnsiTheme="minorEastAsia" w:eastAsiaTheme="minorEastAsia"/>
          <w:sz w:val="32"/>
          <w:szCs w:val="32"/>
        </w:rPr>
        <w:t>%。主要原因是：机构改革，人员异动，认真贯彻落实中央及省委省政府的树立过“紧日子”的思想要求，压减政府一般性支出。</w:t>
      </w:r>
    </w:p>
    <w:p>
      <w:pPr>
        <w:pStyle w:val="13"/>
        <w:rPr>
          <w:rFonts w:hAnsi="黑体"/>
          <w:b/>
          <w:sz w:val="32"/>
          <w:szCs w:val="32"/>
        </w:rPr>
      </w:pPr>
      <w:r>
        <w:rPr>
          <w:rFonts w:hint="eastAsia" w:hAnsi="黑体"/>
          <w:b/>
          <w:sz w:val="32"/>
          <w:szCs w:val="32"/>
        </w:rPr>
        <w:t>十、一般性支出情况</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020年本部门开支会议费7.21万元，用于召开全省土壤和农村污染防治培训会、耕地土壤与农产品重金属污染加密调查样品制备与流转工作验收会、湖南省益阳市耕地土壤污染成因排查和分析项目实施方案研讨会、湖南省《农用地土壤重金属污染修复治理效果评价方法》技术审查会、“四水共治”模式技术研讨会，人数154人，会议内容为解读土壤和农村污染防治相关政策与技术标准，交流典型经验，分析土壤、地下水、农村污染防治工作形势，安排部署下一步工作；耕地土壤与农产品重金属污染加密调查样品制备与流转验收；对湖南省益阳市耕地土壤污染成因排查和分析项目实施方案进行研讨、对湖南省《农用地土壤重金属污染修复治理效果评价方法》进行技术审查、开展“四水共治”模式技术研讨等。</w:t>
      </w:r>
      <w:r>
        <w:rPr>
          <w:rFonts w:hint="eastAsia" w:asciiTheme="minorEastAsia" w:hAnsiTheme="minorEastAsia" w:eastAsiaTheme="minorEastAsia"/>
          <w:sz w:val="32"/>
          <w:szCs w:val="32"/>
        </w:rPr>
        <w:br w:type="textWrapping"/>
      </w:r>
      <w:r>
        <w:rPr>
          <w:rFonts w:hint="eastAsia" w:asciiTheme="minorEastAsia" w:hAnsiTheme="minorEastAsia" w:eastAsiaTheme="minorEastAsia"/>
          <w:sz w:val="32"/>
          <w:szCs w:val="32"/>
          <w:lang w:val="en-US" w:eastAsia="zh-CN"/>
        </w:rPr>
        <w:t xml:space="preserve">   </w:t>
      </w:r>
      <w:r>
        <w:rPr>
          <w:rFonts w:hint="eastAsia" w:asciiTheme="minorEastAsia" w:hAnsiTheme="minorEastAsia" w:eastAsiaTheme="minorEastAsia"/>
          <w:sz w:val="32"/>
          <w:szCs w:val="32"/>
        </w:rPr>
        <w:t>开支培训费2.24万元，用于开展耕地土壤污染成因排查和分析试点工作部署暨培训会、监测片区农村生态环境基础情况调查与监测点位确定专家论证与监测片区建设技术培训，人数56人，培训内容为安排部署耕地土壤污染成因排查和分析试点工作，解读实施方案和相关技术规范，开展专题授课并交流讨论；监测片区农村生态环境基础情况调查与监测点位确定专家论证与监测片区建设技术培训。</w:t>
      </w:r>
    </w:p>
    <w:p>
      <w:pPr>
        <w:pStyle w:val="13"/>
        <w:rPr>
          <w:rFonts w:hAnsi="黑体"/>
          <w:b/>
          <w:sz w:val="32"/>
          <w:szCs w:val="32"/>
        </w:rPr>
      </w:pPr>
      <w:r>
        <w:rPr>
          <w:rFonts w:hint="eastAsia" w:hAnsi="黑体"/>
          <w:b/>
          <w:sz w:val="32"/>
          <w:szCs w:val="32"/>
        </w:rPr>
        <w:t>十一、关于政府采购支出说明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本部门2020年度政府采购支出总额</w:t>
      </w:r>
      <w:r>
        <w:rPr>
          <w:rFonts w:hint="eastAsia" w:asciiTheme="minorEastAsia" w:hAnsiTheme="minorEastAsia" w:eastAsiaTheme="minorEastAsia"/>
          <w:sz w:val="32"/>
          <w:szCs w:val="32"/>
          <w:lang w:val="en-US" w:eastAsia="zh-CN"/>
        </w:rPr>
        <w:t>416.22</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416.22</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98.72</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23.72</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3"/>
        <w:rPr>
          <w:rFonts w:hAnsi="黑体"/>
          <w:b/>
          <w:sz w:val="32"/>
          <w:szCs w:val="32"/>
        </w:rPr>
      </w:pPr>
      <w:r>
        <w:rPr>
          <w:rFonts w:hint="eastAsia" w:hAnsi="黑体"/>
          <w:b/>
          <w:sz w:val="32"/>
          <w:szCs w:val="32"/>
        </w:rPr>
        <w:t>十二、关于国有资产占用情况说明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截至2020年12月31日，本单位共有车辆</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辆，其中，其他用车</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辆，其他用车主要是</w:t>
      </w:r>
      <w:r>
        <w:rPr>
          <w:rFonts w:hint="eastAsia" w:asciiTheme="minorEastAsia" w:hAnsiTheme="minorEastAsia" w:eastAsiaTheme="minorEastAsia"/>
          <w:sz w:val="32"/>
          <w:szCs w:val="32"/>
          <w:lang w:eastAsia="zh-CN"/>
        </w:rPr>
        <w:t>到省内相关市县开展专业业务活动</w:t>
      </w:r>
      <w:r>
        <w:rPr>
          <w:rFonts w:hint="eastAsia" w:asciiTheme="minorEastAsia" w:hAnsiTheme="minorEastAsia" w:eastAsiaTheme="minorEastAsia"/>
          <w:sz w:val="32"/>
          <w:szCs w:val="32"/>
        </w:rPr>
        <w:t>；单位价值50万元以上通用设备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台（套）。</w:t>
      </w:r>
    </w:p>
    <w:p>
      <w:pPr>
        <w:pStyle w:val="13"/>
        <w:rPr>
          <w:rFonts w:hAnsi="黑体"/>
          <w:b/>
          <w:sz w:val="32"/>
          <w:szCs w:val="32"/>
        </w:rPr>
      </w:pPr>
      <w:r>
        <w:rPr>
          <w:rFonts w:hint="eastAsia" w:hAnsi="黑体"/>
          <w:b/>
          <w:sz w:val="32"/>
          <w:szCs w:val="32"/>
        </w:rPr>
        <w:t>十三、关于2020年度预算绩效情况的说明</w:t>
      </w:r>
    </w:p>
    <w:p>
      <w:pPr>
        <w:pStyle w:val="13"/>
        <w:ind w:firstLine="640" w:firstLineChars="200"/>
        <w:rPr>
          <w:rFonts w:hint="default" w:hAnsi="黑体" w:eastAsia="黑体"/>
          <w:b/>
          <w:sz w:val="32"/>
          <w:szCs w:val="32"/>
          <w:lang w:val="en-US" w:eastAsia="zh-CN"/>
        </w:rPr>
      </w:pPr>
      <w:r>
        <w:rPr>
          <w:rFonts w:hint="eastAsia" w:asciiTheme="minorEastAsia" w:hAnsiTheme="minorEastAsia" w:eastAsiaTheme="minorEastAsia"/>
          <w:sz w:val="32"/>
          <w:szCs w:val="32"/>
          <w:lang w:eastAsia="zh-CN"/>
        </w:rPr>
        <w:t>见附件</w:t>
      </w:r>
      <w:r>
        <w:rPr>
          <w:rFonts w:hint="eastAsia" w:asciiTheme="minorEastAsia" w:hAnsiTheme="minorEastAsia" w:eastAsiaTheme="minorEastAsia"/>
          <w:sz w:val="32"/>
          <w:szCs w:val="32"/>
          <w:lang w:val="en-US" w:eastAsia="zh-CN"/>
        </w:rPr>
        <w:t>1</w:t>
      </w: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三公”经费:纳入省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left"/>
        <w:rPr>
          <w:rFonts w:hint="default" w:ascii="Times New Roman" w:hAnsi="Times New Roman" w:eastAsia="仿宋" w:cs="Times New Roman"/>
          <w:kern w:val="2"/>
          <w:sz w:val="28"/>
          <w:szCs w:val="28"/>
          <w:lang w:val="en-US" w:eastAsia="zh-CN" w:bidi="ar-SA"/>
        </w:rPr>
      </w:pPr>
      <w:r>
        <w:rPr>
          <w:rFonts w:hint="eastAsia" w:ascii="Times New Roman" w:hAnsi="Times New Roman" w:eastAsia="仿宋" w:cs="Times New Roman"/>
          <w:kern w:val="2"/>
          <w:sz w:val="28"/>
          <w:szCs w:val="28"/>
          <w:lang w:val="en-US" w:eastAsia="zh-CN" w:bidi="ar-SA"/>
        </w:rPr>
        <w:t>附件1</w:t>
      </w: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2020年度部门整体支出绩效评价报告</w:t>
      </w:r>
    </w:p>
    <w:p>
      <w:pPr>
        <w:pStyle w:val="14"/>
        <w:keepNext w:val="0"/>
        <w:keepLines w:val="0"/>
        <w:pageBreakBefore w:val="0"/>
        <w:widowControl/>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根据《中共中央 国务院关于全面实施预算绩效管理的意见》和</w:t>
      </w:r>
      <w:r>
        <w:rPr>
          <w:rFonts w:ascii="Times New Roman" w:hAnsi="Times New Roman" w:eastAsia="仿宋" w:cs="Times New Roman"/>
          <w:sz w:val="32"/>
          <w:szCs w:val="32"/>
        </w:rPr>
        <w:t>《湖南省财政厅关于开展20</w:t>
      </w:r>
      <w:r>
        <w:rPr>
          <w:rFonts w:hint="eastAsia" w:ascii="Times New Roman" w:hAnsi="Times New Roman" w:eastAsia="仿宋" w:cs="Times New Roman"/>
          <w:sz w:val="32"/>
          <w:szCs w:val="32"/>
        </w:rPr>
        <w:t>20</w:t>
      </w:r>
      <w:r>
        <w:rPr>
          <w:rFonts w:ascii="Times New Roman" w:hAnsi="Times New Roman" w:eastAsia="仿宋" w:cs="Times New Roman"/>
          <w:sz w:val="32"/>
          <w:szCs w:val="32"/>
        </w:rPr>
        <w:t>年度部门绩效自评工作的通知》（湘财绩〔202</w:t>
      </w:r>
      <w:r>
        <w:rPr>
          <w:rFonts w:hint="eastAsia" w:ascii="Times New Roman" w:hAnsi="Times New Roman" w:eastAsia="仿宋" w:cs="Times New Roman"/>
          <w:sz w:val="32"/>
          <w:szCs w:val="32"/>
        </w:rPr>
        <w:t>1</w:t>
      </w:r>
      <w:r>
        <w:rPr>
          <w:rFonts w:ascii="Times New Roman" w:hAnsi="Times New Roman" w:eastAsia="仿宋" w:cs="Times New Roman"/>
          <w:sz w:val="32"/>
          <w:szCs w:val="32"/>
        </w:rPr>
        <w:t>〕</w:t>
      </w:r>
      <w:r>
        <w:rPr>
          <w:rFonts w:hint="eastAsia" w:ascii="Times New Roman" w:hAnsi="Times New Roman" w:eastAsia="仿宋" w:cs="Times New Roman"/>
          <w:sz w:val="32"/>
          <w:szCs w:val="32"/>
        </w:rPr>
        <w:t>1</w:t>
      </w:r>
      <w:r>
        <w:rPr>
          <w:rFonts w:ascii="Times New Roman" w:hAnsi="Times New Roman" w:eastAsia="仿宋" w:cs="Times New Roman"/>
          <w:sz w:val="32"/>
          <w:szCs w:val="32"/>
        </w:rPr>
        <w:t>号）</w:t>
      </w:r>
      <w:r>
        <w:rPr>
          <w:rFonts w:hint="eastAsia" w:ascii="Times New Roman" w:hAnsi="Times New Roman" w:eastAsia="仿宋_GB2312" w:cs="Times New Roman"/>
          <w:kern w:val="2"/>
          <w:sz w:val="32"/>
          <w:szCs w:val="32"/>
          <w:lang w:val="en-US" w:eastAsia="zh-CN" w:bidi="ar-SA"/>
        </w:rPr>
        <w:t>的文件精神，我单位对2020年度部门整体支出情况进行了绩效自评，现报告如下：</w:t>
      </w:r>
    </w:p>
    <w:p>
      <w:pPr>
        <w:pStyle w:val="14"/>
        <w:widowControl/>
        <w:spacing w:line="600" w:lineRule="exact"/>
        <w:ind w:firstLine="640"/>
        <w:rPr>
          <w:rFonts w:ascii="黑体" w:hAnsi="黑体" w:eastAsia="黑体"/>
          <w:sz w:val="32"/>
          <w:szCs w:val="32"/>
        </w:rPr>
      </w:pPr>
      <w:r>
        <w:rPr>
          <w:rFonts w:hint="eastAsia" w:ascii="黑体" w:hAnsi="黑体" w:eastAsia="黑体"/>
          <w:sz w:val="32"/>
          <w:szCs w:val="32"/>
        </w:rPr>
        <w:t>一、单位基本情况</w:t>
      </w:r>
    </w:p>
    <w:p>
      <w:pPr>
        <w:pStyle w:val="4"/>
        <w:numPr>
          <w:ilvl w:val="0"/>
          <w:numId w:val="2"/>
        </w:numPr>
        <w:bidi w:val="0"/>
        <w:rPr>
          <w:rFonts w:hint="default"/>
          <w:sz w:val="32"/>
          <w:szCs w:val="32"/>
          <w:lang w:val="en-US" w:eastAsia="zh-CN"/>
        </w:rPr>
      </w:pPr>
      <w:r>
        <w:rPr>
          <w:rFonts w:hint="eastAsia"/>
          <w:sz w:val="32"/>
          <w:szCs w:val="32"/>
          <w:lang w:val="en-US" w:eastAsia="zh-CN"/>
        </w:rPr>
        <w:t>单位简况</w:t>
      </w:r>
    </w:p>
    <w:p>
      <w:pPr>
        <w:pStyle w:val="14"/>
        <w:widowControl/>
        <w:spacing w:line="600" w:lineRule="exact"/>
        <w:ind w:firstLine="640"/>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湖南省生态环境农村工作站系湖南省生态环境厅二级预算单位，单位性质为参公管理，主要职能职责：1、承担全省农村生态环境保护相关事务性工作；2、指导全省农村面源污染防治、农村环境综合整治、农村生活污水治理验收和评估等工作；3、负责全省农用地土壤及农产品污染状况调查和风险评估，开展农用地土壤污染修复治理试点示范与推广；4、负责全省农业面源污染、农用地土壤、地下水等监测预警网络建设，开展农村污染现状调查评价；5、协助开展全省农村生物多样性基础调查、濒危评估、修复保护等工作，配合农村物种资源管理，参与农村生物安全工作；6、承办厅党组及领导交办的其他事项。</w:t>
      </w:r>
    </w:p>
    <w:p>
      <w:pPr>
        <w:pStyle w:val="4"/>
        <w:numPr>
          <w:ilvl w:val="0"/>
          <w:numId w:val="2"/>
        </w:numPr>
        <w:bidi w:val="0"/>
        <w:ind w:left="1710" w:leftChars="0" w:firstLineChars="0"/>
        <w:rPr>
          <w:rFonts w:hint="eastAsia"/>
          <w:sz w:val="32"/>
          <w:szCs w:val="32"/>
          <w:lang w:val="en-US" w:eastAsia="zh-CN"/>
        </w:rPr>
      </w:pPr>
      <w:r>
        <w:rPr>
          <w:rFonts w:hint="eastAsia"/>
          <w:sz w:val="32"/>
          <w:szCs w:val="32"/>
          <w:lang w:val="en-US" w:eastAsia="zh-CN"/>
        </w:rPr>
        <w:t>机构设置及人员情况</w:t>
      </w:r>
    </w:p>
    <w:p>
      <w:pPr>
        <w:pStyle w:val="14"/>
        <w:widowControl/>
        <w:spacing w:line="600" w:lineRule="exact"/>
        <w:ind w:firstLine="640"/>
        <w:rPr>
          <w:rFonts w:hint="default"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湖南省生态环境农村工作站内设机构包括：综合财务科、面源污染防治科、农用地土壤污染防治科、农村生物安全管理科、农村生态环境监测预警科</w:t>
      </w:r>
      <w:r>
        <w:rPr>
          <w:rFonts w:ascii="宋体" w:hAnsi="宋体" w:eastAsia="宋体" w:cs="宋体"/>
          <w:sz w:val="24"/>
          <w:szCs w:val="24"/>
        </w:rPr>
        <w:t>。</w:t>
      </w:r>
      <w:r>
        <w:rPr>
          <w:rFonts w:hint="eastAsia" w:ascii="仿宋_GB2312" w:hAnsi="黑体" w:eastAsia="仿宋_GB2312" w:cs="Times New Roman"/>
          <w:kern w:val="2"/>
          <w:sz w:val="32"/>
          <w:szCs w:val="32"/>
          <w:lang w:val="en-US" w:eastAsia="zh-CN" w:bidi="ar-SA"/>
        </w:rPr>
        <w:t>2020年总编制人数19人，目前在编人员17人，劳务派遣人员1人。</w:t>
      </w:r>
    </w:p>
    <w:p>
      <w:pPr>
        <w:pStyle w:val="14"/>
        <w:widowControl/>
        <w:spacing w:line="600" w:lineRule="exact"/>
        <w:ind w:firstLine="640"/>
        <w:rPr>
          <w:rFonts w:hint="eastAsia" w:ascii="黑体" w:hAnsi="黑体" w:eastAsia="黑体"/>
          <w:sz w:val="32"/>
          <w:szCs w:val="32"/>
        </w:rPr>
      </w:pPr>
      <w:r>
        <w:rPr>
          <w:rFonts w:hint="eastAsia" w:ascii="黑体" w:hAnsi="黑体" w:eastAsia="黑体"/>
          <w:sz w:val="32"/>
          <w:szCs w:val="32"/>
        </w:rPr>
        <w:t>二、基本支出情况</w:t>
      </w:r>
    </w:p>
    <w:p>
      <w:pPr>
        <w:pStyle w:val="14"/>
        <w:widowControl/>
        <w:spacing w:line="600" w:lineRule="exact"/>
        <w:ind w:firstLine="64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基本支出系保障我单位机构正常运转、完成日常工作任务而发生的各项支出，包括用于在职人员基本工资、津贴补贴等人员经费以及办公费、印刷费、水电费、办公设备购置等日常公用经费。</w:t>
      </w:r>
    </w:p>
    <w:p>
      <w:pPr>
        <w:pStyle w:val="14"/>
        <w:widowControl/>
        <w:spacing w:line="600" w:lineRule="exact"/>
        <w:ind w:firstLine="640"/>
        <w:rPr>
          <w:rFonts w:hint="eastAsia" w:ascii="楷体" w:hAnsi="楷体" w:eastAsia="楷体" w:cs="楷体"/>
          <w:sz w:val="32"/>
          <w:szCs w:val="32"/>
          <w:lang w:val="en-US"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一</w:t>
      </w: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基本支出预算情况</w:t>
      </w:r>
    </w:p>
    <w:p>
      <w:pPr>
        <w:ind w:firstLine="640" w:firstLineChars="200"/>
        <w:rPr>
          <w:rFonts w:hint="eastAsia" w:eastAsia="仿宋_GB2312" w:cs="Times New Roman"/>
          <w:color w:val="auto"/>
          <w:kern w:val="2"/>
          <w:sz w:val="32"/>
          <w:szCs w:val="32"/>
          <w:lang w:val="en-US" w:eastAsia="zh-CN" w:bidi="ar-SA"/>
        </w:rPr>
      </w:pPr>
      <w:r>
        <w:rPr>
          <w:rFonts w:hint="eastAsia" w:ascii="仿宋_GB2312" w:hAnsi="黑体" w:eastAsia="仿宋_GB2312" w:cs="Times New Roman"/>
          <w:kern w:val="2"/>
          <w:sz w:val="32"/>
          <w:szCs w:val="32"/>
          <w:lang w:val="en-US" w:eastAsia="zh-CN" w:bidi="ar-SA"/>
        </w:rPr>
        <w:t>我站2020年度部门基本支出</w:t>
      </w:r>
      <w:r>
        <w:rPr>
          <w:rFonts w:hint="eastAsia" w:eastAsia="仿宋_GB2312" w:cs="Times New Roman"/>
          <w:kern w:val="2"/>
          <w:sz w:val="32"/>
          <w:szCs w:val="32"/>
          <w:lang w:val="en-US" w:eastAsia="zh-CN" w:bidi="ar-SA"/>
        </w:rPr>
        <w:t>年初结余29.00万元，年初基本支出预</w:t>
      </w:r>
      <w:r>
        <w:rPr>
          <w:rFonts w:hint="eastAsia" w:ascii="Times New Roman" w:hAnsi="Times New Roman" w:eastAsia="仿宋_GB2312" w:cs="Times New Roman"/>
          <w:kern w:val="2"/>
          <w:sz w:val="32"/>
          <w:szCs w:val="32"/>
          <w:lang w:val="en-US" w:eastAsia="zh-CN" w:bidi="ar-SA"/>
        </w:rPr>
        <w:t>算指标下达数347.6万元，年中</w:t>
      </w:r>
      <w:r>
        <w:rPr>
          <w:rFonts w:hint="eastAsia" w:ascii="仿宋_GB2312" w:hAnsi="黑体" w:eastAsia="仿宋_GB2312" w:cs="Times New Roman"/>
          <w:kern w:val="2"/>
          <w:sz w:val="32"/>
          <w:szCs w:val="32"/>
          <w:lang w:val="en-US" w:eastAsia="zh-CN" w:bidi="ar-SA"/>
        </w:rPr>
        <w:t>追加人员经费42.9万元，共419.5万元。</w:t>
      </w:r>
      <w:r>
        <w:rPr>
          <w:rFonts w:hint="eastAsia" w:eastAsia="仿宋_GB2312" w:cs="Times New Roman"/>
          <w:kern w:val="2"/>
          <w:sz w:val="32"/>
          <w:szCs w:val="32"/>
          <w:highlight w:val="none"/>
          <w:lang w:val="en-US" w:eastAsia="zh-CN" w:bidi="ar-SA"/>
        </w:rPr>
        <w:t>2020年度基本支出全年预算数为</w:t>
      </w:r>
      <w:r>
        <w:rPr>
          <w:rFonts w:hint="eastAsia" w:eastAsia="仿宋_GB2312" w:cs="Times New Roman"/>
          <w:color w:val="auto"/>
          <w:kern w:val="2"/>
          <w:sz w:val="32"/>
          <w:szCs w:val="32"/>
          <w:highlight w:val="none"/>
          <w:lang w:val="en-US" w:eastAsia="zh-CN" w:bidi="ar-SA"/>
        </w:rPr>
        <w:t>419.50万元。2020年决算金额为418.05万</w:t>
      </w:r>
      <w:r>
        <w:rPr>
          <w:rFonts w:hint="eastAsia" w:eastAsia="仿宋_GB2312" w:cs="Times New Roman"/>
          <w:color w:val="auto"/>
          <w:kern w:val="2"/>
          <w:sz w:val="32"/>
          <w:szCs w:val="32"/>
          <w:lang w:val="en-US" w:eastAsia="zh-CN" w:bidi="ar-SA"/>
        </w:rPr>
        <w:t>元，结</w:t>
      </w:r>
      <w:r>
        <w:rPr>
          <w:rFonts w:hint="eastAsia" w:eastAsia="仿宋_GB2312" w:cs="Times New Roman"/>
          <w:color w:val="auto"/>
          <w:kern w:val="2"/>
          <w:sz w:val="32"/>
          <w:szCs w:val="32"/>
          <w:highlight w:val="none"/>
          <w:lang w:val="en-US" w:eastAsia="zh-CN" w:bidi="ar-SA"/>
        </w:rPr>
        <w:t>余1.45万</w:t>
      </w:r>
      <w:r>
        <w:rPr>
          <w:rFonts w:hint="eastAsia" w:eastAsia="仿宋_GB2312" w:cs="Times New Roman"/>
          <w:color w:val="auto"/>
          <w:kern w:val="2"/>
          <w:sz w:val="32"/>
          <w:szCs w:val="32"/>
          <w:lang w:val="en-US" w:eastAsia="zh-CN" w:bidi="ar-SA"/>
        </w:rPr>
        <w:t>元。具体明细见下表:</w:t>
      </w:r>
    </w:p>
    <w:p>
      <w:pPr>
        <w:ind w:firstLine="640" w:firstLineChars="200"/>
        <w:jc w:val="center"/>
        <w:rPr>
          <w:rFonts w:hint="eastAsia" w:eastAsia="仿宋_GB2312" w:cs="Times New Roman"/>
          <w:color w:val="auto"/>
          <w:kern w:val="2"/>
          <w:sz w:val="32"/>
          <w:szCs w:val="32"/>
          <w:lang w:val="en-US" w:eastAsia="zh-CN" w:bidi="ar-SA"/>
        </w:rPr>
      </w:pPr>
      <w:r>
        <w:rPr>
          <w:rFonts w:hint="eastAsia" w:eastAsia="仿宋_GB2312" w:cs="Times New Roman"/>
          <w:color w:val="auto"/>
          <w:kern w:val="2"/>
          <w:sz w:val="32"/>
          <w:szCs w:val="32"/>
          <w:lang w:val="en-US" w:eastAsia="zh-CN" w:bidi="ar-SA"/>
        </w:rPr>
        <w:t>2020年基本支出明细对比表</w:t>
      </w:r>
    </w:p>
    <w:p>
      <w:pPr>
        <w:ind w:firstLine="640" w:firstLineChars="200"/>
        <w:jc w:val="right"/>
        <w:rPr>
          <w:rFonts w:hint="default" w:eastAsia="仿宋_GB2312" w:cs="Times New Roman"/>
          <w:color w:val="auto"/>
          <w:kern w:val="2"/>
          <w:sz w:val="32"/>
          <w:szCs w:val="32"/>
          <w:lang w:val="en-US" w:eastAsia="zh-CN" w:bidi="ar-SA"/>
        </w:rPr>
      </w:pPr>
      <w:r>
        <w:rPr>
          <w:rFonts w:hint="eastAsia" w:eastAsia="仿宋_GB2312" w:cs="Times New Roman"/>
          <w:color w:val="auto"/>
          <w:kern w:val="2"/>
          <w:sz w:val="32"/>
          <w:szCs w:val="32"/>
          <w:lang w:val="en-US" w:eastAsia="zh-CN" w:bidi="ar-SA"/>
        </w:rPr>
        <w:t>单位：万元</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8"/>
        <w:gridCol w:w="1391"/>
        <w:gridCol w:w="1391"/>
        <w:gridCol w:w="1391"/>
        <w:gridCol w:w="13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4" w:hRule="atLeast"/>
        </w:trPr>
        <w:tc>
          <w:tcPr>
            <w:tcW w:w="2958" w:type="dxa"/>
            <w:vAlign w:val="center"/>
          </w:tcPr>
          <w:p>
            <w:pPr>
              <w:ind w:firstLine="420" w:firstLineChars="200"/>
              <w:rPr>
                <w:rFonts w:hint="default" w:eastAsia="仿宋_GB2312" w:cs="Times New Roman"/>
                <w:b/>
                <w:bCs/>
                <w:i w:val="0"/>
                <w:iCs w:val="0"/>
                <w:color w:val="auto"/>
                <w:kern w:val="2"/>
                <w:sz w:val="21"/>
                <w:szCs w:val="21"/>
                <w:lang w:val="en-US" w:eastAsia="zh-CN" w:bidi="ar-SA"/>
              </w:rPr>
            </w:pPr>
            <w:r>
              <w:rPr>
                <w:rFonts w:hint="eastAsia" w:eastAsia="仿宋_GB2312" w:cs="Times New Roman"/>
                <w:b/>
                <w:bCs/>
                <w:i w:val="0"/>
                <w:iCs w:val="0"/>
                <w:color w:val="auto"/>
                <w:kern w:val="2"/>
                <w:sz w:val="21"/>
                <w:szCs w:val="21"/>
                <w:lang w:val="en-US" w:eastAsia="zh-CN" w:bidi="ar-SA"/>
              </w:rPr>
              <w:t>科目</w:t>
            </w:r>
          </w:p>
        </w:tc>
        <w:tc>
          <w:tcPr>
            <w:tcW w:w="1391" w:type="dxa"/>
            <w:vAlign w:val="center"/>
          </w:tcPr>
          <w:p>
            <w:pPr>
              <w:keepNext w:val="0"/>
              <w:keepLines w:val="0"/>
              <w:widowControl/>
              <w:suppressLineNumbers w:val="0"/>
              <w:jc w:val="center"/>
              <w:textAlignment w:val="center"/>
              <w:rPr>
                <w:rFonts w:hint="default" w:eastAsia="仿宋_GB2312" w:cs="Times New Roman"/>
                <w:b/>
                <w:bCs/>
                <w:i w:val="0"/>
                <w:iCs w:val="0"/>
                <w:color w:val="auto"/>
                <w:kern w:val="2"/>
                <w:sz w:val="21"/>
                <w:szCs w:val="21"/>
                <w:lang w:val="en-US" w:eastAsia="zh-CN" w:bidi="ar-SA"/>
              </w:rPr>
            </w:pPr>
            <w:r>
              <w:rPr>
                <w:rFonts w:hint="eastAsia" w:ascii="宋体" w:hAnsi="宋体" w:cs="宋体"/>
                <w:b/>
                <w:bCs/>
                <w:i w:val="0"/>
                <w:color w:val="auto"/>
                <w:kern w:val="0"/>
                <w:sz w:val="21"/>
                <w:szCs w:val="21"/>
                <w:u w:val="none"/>
                <w:lang w:val="en-US" w:eastAsia="zh-CN" w:bidi="ar"/>
              </w:rPr>
              <w:t>2020年</w:t>
            </w:r>
            <w:r>
              <w:rPr>
                <w:rFonts w:hint="eastAsia" w:ascii="宋体" w:hAnsi="宋体" w:eastAsia="宋体" w:cs="宋体"/>
                <w:b/>
                <w:bCs/>
                <w:i w:val="0"/>
                <w:color w:val="auto"/>
                <w:kern w:val="0"/>
                <w:sz w:val="21"/>
                <w:szCs w:val="21"/>
                <w:u w:val="none"/>
                <w:lang w:val="en-US" w:eastAsia="zh-CN" w:bidi="ar"/>
              </w:rPr>
              <w:t>预算</w:t>
            </w:r>
          </w:p>
        </w:tc>
        <w:tc>
          <w:tcPr>
            <w:tcW w:w="1391" w:type="dxa"/>
            <w:vAlign w:val="center"/>
          </w:tcPr>
          <w:p>
            <w:pPr>
              <w:keepNext w:val="0"/>
              <w:keepLines w:val="0"/>
              <w:widowControl/>
              <w:suppressLineNumbers w:val="0"/>
              <w:jc w:val="center"/>
              <w:textAlignment w:val="center"/>
              <w:rPr>
                <w:rFonts w:hint="default" w:eastAsia="仿宋_GB2312" w:cs="Times New Roman"/>
                <w:b/>
                <w:bCs/>
                <w:i w:val="0"/>
                <w:iCs w:val="0"/>
                <w:color w:val="auto"/>
                <w:kern w:val="2"/>
                <w:sz w:val="21"/>
                <w:szCs w:val="21"/>
                <w:lang w:val="en-US" w:eastAsia="zh-CN" w:bidi="ar-SA"/>
              </w:rPr>
            </w:pPr>
            <w:r>
              <w:rPr>
                <w:rFonts w:hint="eastAsia" w:ascii="宋体" w:hAnsi="宋体" w:cs="宋体"/>
                <w:b/>
                <w:bCs/>
                <w:i w:val="0"/>
                <w:color w:val="auto"/>
                <w:kern w:val="0"/>
                <w:sz w:val="21"/>
                <w:szCs w:val="21"/>
                <w:u w:val="none"/>
                <w:lang w:val="en-US" w:eastAsia="zh-CN" w:bidi="ar"/>
              </w:rPr>
              <w:t>2020年</w:t>
            </w:r>
            <w:r>
              <w:rPr>
                <w:rFonts w:hint="eastAsia" w:ascii="宋体" w:hAnsi="宋体" w:eastAsia="宋体" w:cs="宋体"/>
                <w:b/>
                <w:bCs/>
                <w:i w:val="0"/>
                <w:color w:val="auto"/>
                <w:kern w:val="0"/>
                <w:sz w:val="21"/>
                <w:szCs w:val="21"/>
                <w:u w:val="none"/>
                <w:lang w:val="en-US" w:eastAsia="zh-CN" w:bidi="ar"/>
              </w:rPr>
              <w:t>决算</w:t>
            </w:r>
          </w:p>
        </w:tc>
        <w:tc>
          <w:tcPr>
            <w:tcW w:w="1391" w:type="dxa"/>
            <w:vAlign w:val="center"/>
          </w:tcPr>
          <w:p>
            <w:pPr>
              <w:keepNext w:val="0"/>
              <w:keepLines w:val="0"/>
              <w:widowControl/>
              <w:suppressLineNumbers w:val="0"/>
              <w:jc w:val="center"/>
              <w:textAlignment w:val="center"/>
              <w:rPr>
                <w:rFonts w:hint="default" w:eastAsia="仿宋_GB2312" w:cs="Times New Roman"/>
                <w:b/>
                <w:bCs/>
                <w:i w:val="0"/>
                <w:iCs w:val="0"/>
                <w:color w:val="auto"/>
                <w:kern w:val="2"/>
                <w:sz w:val="21"/>
                <w:szCs w:val="21"/>
                <w:lang w:val="en-US" w:eastAsia="zh-CN" w:bidi="ar-SA"/>
              </w:rPr>
            </w:pPr>
            <w:r>
              <w:rPr>
                <w:rFonts w:hint="eastAsia" w:ascii="宋体" w:hAnsi="宋体" w:eastAsia="宋体" w:cs="宋体"/>
                <w:b/>
                <w:bCs/>
                <w:i w:val="0"/>
                <w:color w:val="auto"/>
                <w:kern w:val="0"/>
                <w:sz w:val="21"/>
                <w:szCs w:val="21"/>
                <w:u w:val="none"/>
                <w:lang w:val="en-US" w:eastAsia="zh-CN" w:bidi="ar"/>
              </w:rPr>
              <w:t>结余数</w:t>
            </w:r>
          </w:p>
        </w:tc>
        <w:tc>
          <w:tcPr>
            <w:tcW w:w="1391" w:type="dxa"/>
            <w:vAlign w:val="center"/>
          </w:tcPr>
          <w:p>
            <w:pPr>
              <w:keepNext w:val="0"/>
              <w:keepLines w:val="0"/>
              <w:widowControl/>
              <w:suppressLineNumbers w:val="0"/>
              <w:jc w:val="center"/>
              <w:textAlignment w:val="center"/>
              <w:rPr>
                <w:rFonts w:hint="default" w:eastAsia="仿宋_GB2312" w:cs="Times New Roman"/>
                <w:b/>
                <w:bCs/>
                <w:i w:val="0"/>
                <w:iCs w:val="0"/>
                <w:color w:val="auto"/>
                <w:kern w:val="2"/>
                <w:sz w:val="21"/>
                <w:szCs w:val="21"/>
                <w:lang w:val="en-US" w:eastAsia="zh-CN" w:bidi="ar-SA"/>
              </w:rPr>
            </w:pPr>
            <w:r>
              <w:rPr>
                <w:rFonts w:hint="eastAsia" w:ascii="宋体" w:hAnsi="宋体" w:eastAsia="宋体" w:cs="宋体"/>
                <w:b/>
                <w:bCs/>
                <w:i w:val="0"/>
                <w:color w:val="auto"/>
                <w:kern w:val="0"/>
                <w:sz w:val="21"/>
                <w:szCs w:val="21"/>
                <w:u w:val="none"/>
                <w:lang w:val="en-US" w:eastAsia="zh-CN" w:bidi="ar"/>
              </w:rPr>
              <w:t>结余率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958" w:type="dxa"/>
            <w:vAlign w:val="center"/>
          </w:tcPr>
          <w:p>
            <w:pPr>
              <w:jc w:val="left"/>
              <w:rPr>
                <w:rFonts w:hint="default" w:eastAsia="仿宋_GB2312" w:cs="Times New Roman"/>
                <w:color w:val="auto"/>
                <w:kern w:val="2"/>
                <w:sz w:val="21"/>
                <w:szCs w:val="21"/>
                <w:lang w:val="en-US" w:eastAsia="zh-CN" w:bidi="ar-SA"/>
              </w:rPr>
            </w:pPr>
            <w:r>
              <w:rPr>
                <w:rFonts w:hint="eastAsia" w:eastAsia="仿宋_GB2312" w:cs="Times New Roman"/>
                <w:color w:val="auto"/>
                <w:kern w:val="2"/>
                <w:sz w:val="21"/>
                <w:szCs w:val="21"/>
                <w:lang w:val="en-US" w:eastAsia="zh-CN" w:bidi="ar-SA"/>
              </w:rPr>
              <w:t>基本支出</w:t>
            </w:r>
          </w:p>
        </w:tc>
        <w:tc>
          <w:tcPr>
            <w:tcW w:w="1391" w:type="dxa"/>
            <w:vAlign w:val="center"/>
          </w:tcPr>
          <w:p>
            <w:pPr>
              <w:keepNext w:val="0"/>
              <w:keepLines w:val="0"/>
              <w:widowControl/>
              <w:suppressLineNumbers w:val="0"/>
              <w:ind w:firstLine="420" w:firstLineChars="200"/>
              <w:jc w:val="center"/>
              <w:textAlignment w:val="center"/>
              <w:rPr>
                <w:rFonts w:hint="default" w:eastAsia="仿宋_GB2312" w:cs="Times New Roman"/>
                <w:color w:val="auto"/>
                <w:kern w:val="2"/>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 xml:space="preserve">419.50 </w:t>
            </w:r>
          </w:p>
        </w:tc>
        <w:tc>
          <w:tcPr>
            <w:tcW w:w="1391" w:type="dxa"/>
            <w:vAlign w:val="center"/>
          </w:tcPr>
          <w:p>
            <w:pPr>
              <w:keepNext w:val="0"/>
              <w:keepLines w:val="0"/>
              <w:widowControl/>
              <w:suppressLineNumbers w:val="0"/>
              <w:ind w:firstLine="420" w:firstLineChars="200"/>
              <w:jc w:val="center"/>
              <w:textAlignment w:val="center"/>
              <w:rPr>
                <w:rFonts w:hint="default" w:eastAsia="仿宋_GB2312" w:cs="Times New Roman"/>
                <w:color w:val="auto"/>
                <w:kern w:val="2"/>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 xml:space="preserve">418.05 </w:t>
            </w:r>
          </w:p>
        </w:tc>
        <w:tc>
          <w:tcPr>
            <w:tcW w:w="1391" w:type="dxa"/>
            <w:vAlign w:val="center"/>
          </w:tcPr>
          <w:p>
            <w:pPr>
              <w:keepNext w:val="0"/>
              <w:keepLines w:val="0"/>
              <w:widowControl/>
              <w:suppressLineNumbers w:val="0"/>
              <w:ind w:firstLine="420" w:firstLineChars="200"/>
              <w:jc w:val="center"/>
              <w:textAlignment w:val="center"/>
              <w:rPr>
                <w:rFonts w:hint="default" w:eastAsia="仿宋_GB2312" w:cs="Times New Roman"/>
                <w:color w:val="auto"/>
                <w:kern w:val="2"/>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1.45</w:t>
            </w:r>
          </w:p>
        </w:tc>
        <w:tc>
          <w:tcPr>
            <w:tcW w:w="1391" w:type="dxa"/>
            <w:vAlign w:val="center"/>
          </w:tcPr>
          <w:p>
            <w:pPr>
              <w:keepNext w:val="0"/>
              <w:keepLines w:val="0"/>
              <w:widowControl/>
              <w:suppressLineNumbers w:val="0"/>
              <w:ind w:firstLine="420" w:firstLineChars="200"/>
              <w:jc w:val="center"/>
              <w:textAlignment w:val="center"/>
              <w:rPr>
                <w:rFonts w:hint="default" w:eastAsia="仿宋_GB2312" w:cs="Times New Roman"/>
                <w:color w:val="auto"/>
                <w:kern w:val="2"/>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958" w:type="dxa"/>
            <w:vAlign w:val="center"/>
          </w:tcPr>
          <w:p>
            <w:pPr>
              <w:ind w:firstLine="420" w:firstLineChars="200"/>
              <w:rPr>
                <w:rFonts w:hint="default" w:eastAsia="仿宋_GB2312" w:cs="Times New Roman"/>
                <w:color w:val="auto"/>
                <w:kern w:val="2"/>
                <w:sz w:val="21"/>
                <w:szCs w:val="21"/>
                <w:lang w:val="en-US" w:eastAsia="zh-CN" w:bidi="ar-SA"/>
              </w:rPr>
            </w:pPr>
            <w:r>
              <w:rPr>
                <w:rFonts w:hint="eastAsia" w:eastAsia="仿宋_GB2312" w:cs="Times New Roman"/>
                <w:color w:val="auto"/>
                <w:kern w:val="2"/>
                <w:sz w:val="21"/>
                <w:szCs w:val="21"/>
                <w:lang w:val="en-US" w:eastAsia="zh-CN" w:bidi="ar-SA"/>
              </w:rPr>
              <w:t>人员经费</w:t>
            </w:r>
          </w:p>
        </w:tc>
        <w:tc>
          <w:tcPr>
            <w:tcW w:w="1391" w:type="dxa"/>
            <w:vAlign w:val="center"/>
          </w:tcPr>
          <w:p>
            <w:pPr>
              <w:keepNext w:val="0"/>
              <w:keepLines w:val="0"/>
              <w:widowControl/>
              <w:suppressLineNumbers w:val="0"/>
              <w:ind w:firstLine="420" w:firstLineChars="200"/>
              <w:jc w:val="center"/>
              <w:textAlignment w:val="center"/>
              <w:rPr>
                <w:rFonts w:hint="default" w:eastAsia="仿宋_GB2312" w:cs="Times New Roman"/>
                <w:color w:val="auto"/>
                <w:kern w:val="2"/>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 xml:space="preserve">352.10 </w:t>
            </w:r>
          </w:p>
        </w:tc>
        <w:tc>
          <w:tcPr>
            <w:tcW w:w="1391" w:type="dxa"/>
            <w:vAlign w:val="center"/>
          </w:tcPr>
          <w:p>
            <w:pPr>
              <w:keepNext w:val="0"/>
              <w:keepLines w:val="0"/>
              <w:widowControl/>
              <w:suppressLineNumbers w:val="0"/>
              <w:ind w:firstLine="420" w:firstLineChars="200"/>
              <w:jc w:val="center"/>
              <w:textAlignment w:val="center"/>
              <w:rPr>
                <w:rFonts w:hint="default" w:eastAsia="仿宋_GB2312" w:cs="Times New Roman"/>
                <w:color w:val="auto"/>
                <w:kern w:val="2"/>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 xml:space="preserve">350.65 </w:t>
            </w:r>
          </w:p>
        </w:tc>
        <w:tc>
          <w:tcPr>
            <w:tcW w:w="1391" w:type="dxa"/>
            <w:vAlign w:val="center"/>
          </w:tcPr>
          <w:p>
            <w:pPr>
              <w:keepNext w:val="0"/>
              <w:keepLines w:val="0"/>
              <w:widowControl/>
              <w:suppressLineNumbers w:val="0"/>
              <w:ind w:firstLine="420" w:firstLineChars="200"/>
              <w:jc w:val="center"/>
              <w:textAlignment w:val="center"/>
              <w:rPr>
                <w:rFonts w:hint="default" w:eastAsia="仿宋_GB2312" w:cs="Times New Roman"/>
                <w:color w:val="auto"/>
                <w:kern w:val="2"/>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1.45</w:t>
            </w:r>
          </w:p>
        </w:tc>
        <w:tc>
          <w:tcPr>
            <w:tcW w:w="1391" w:type="dxa"/>
            <w:vAlign w:val="center"/>
          </w:tcPr>
          <w:p>
            <w:pPr>
              <w:keepNext w:val="0"/>
              <w:keepLines w:val="0"/>
              <w:widowControl/>
              <w:suppressLineNumbers w:val="0"/>
              <w:ind w:firstLine="420" w:firstLineChars="200"/>
              <w:jc w:val="center"/>
              <w:textAlignment w:val="center"/>
              <w:rPr>
                <w:rFonts w:hint="default" w:eastAsia="仿宋_GB2312" w:cs="Times New Roman"/>
                <w:color w:val="auto"/>
                <w:kern w:val="2"/>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0.41%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958" w:type="dxa"/>
            <w:vAlign w:val="center"/>
          </w:tcPr>
          <w:p>
            <w:pPr>
              <w:ind w:firstLine="420" w:firstLineChars="200"/>
              <w:rPr>
                <w:rFonts w:hint="default" w:eastAsia="仿宋_GB2312" w:cs="Times New Roman"/>
                <w:color w:val="auto"/>
                <w:kern w:val="2"/>
                <w:sz w:val="21"/>
                <w:szCs w:val="21"/>
                <w:lang w:val="en-US" w:eastAsia="zh-CN" w:bidi="ar-SA"/>
              </w:rPr>
            </w:pPr>
            <w:r>
              <w:rPr>
                <w:rFonts w:hint="eastAsia" w:eastAsia="仿宋_GB2312" w:cs="Times New Roman"/>
                <w:color w:val="auto"/>
                <w:kern w:val="2"/>
                <w:sz w:val="21"/>
                <w:szCs w:val="21"/>
                <w:lang w:val="en-US" w:eastAsia="zh-CN" w:bidi="ar-SA"/>
              </w:rPr>
              <w:t>日常公用经费</w:t>
            </w:r>
          </w:p>
        </w:tc>
        <w:tc>
          <w:tcPr>
            <w:tcW w:w="1391" w:type="dxa"/>
            <w:vAlign w:val="center"/>
          </w:tcPr>
          <w:p>
            <w:pPr>
              <w:keepNext w:val="0"/>
              <w:keepLines w:val="0"/>
              <w:widowControl/>
              <w:suppressLineNumbers w:val="0"/>
              <w:ind w:firstLine="420" w:firstLineChars="200"/>
              <w:jc w:val="center"/>
              <w:textAlignment w:val="center"/>
              <w:rPr>
                <w:rFonts w:hint="default" w:eastAsia="仿宋_GB2312" w:cs="Times New Roman"/>
                <w:color w:val="auto"/>
                <w:kern w:val="2"/>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 xml:space="preserve">67.40 </w:t>
            </w:r>
          </w:p>
        </w:tc>
        <w:tc>
          <w:tcPr>
            <w:tcW w:w="1391" w:type="dxa"/>
            <w:vAlign w:val="center"/>
          </w:tcPr>
          <w:p>
            <w:pPr>
              <w:keepNext w:val="0"/>
              <w:keepLines w:val="0"/>
              <w:widowControl/>
              <w:suppressLineNumbers w:val="0"/>
              <w:ind w:firstLine="420" w:firstLineChars="200"/>
              <w:jc w:val="center"/>
              <w:textAlignment w:val="center"/>
              <w:rPr>
                <w:rFonts w:hint="default" w:eastAsia="仿宋_GB2312" w:cs="Times New Roman"/>
                <w:color w:val="auto"/>
                <w:kern w:val="2"/>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 xml:space="preserve">67.40 </w:t>
            </w:r>
          </w:p>
        </w:tc>
        <w:tc>
          <w:tcPr>
            <w:tcW w:w="1391" w:type="dxa"/>
            <w:vAlign w:val="center"/>
          </w:tcPr>
          <w:p>
            <w:pPr>
              <w:keepNext w:val="0"/>
              <w:keepLines w:val="0"/>
              <w:widowControl/>
              <w:suppressLineNumbers w:val="0"/>
              <w:ind w:firstLine="420" w:firstLineChars="200"/>
              <w:jc w:val="center"/>
              <w:textAlignment w:val="center"/>
              <w:rPr>
                <w:rFonts w:hint="default" w:eastAsia="仿宋_GB2312" w:cs="Times New Roman"/>
                <w:color w:val="auto"/>
                <w:kern w:val="2"/>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0</w:t>
            </w:r>
          </w:p>
        </w:tc>
        <w:tc>
          <w:tcPr>
            <w:tcW w:w="1391" w:type="dxa"/>
            <w:vAlign w:val="center"/>
          </w:tcPr>
          <w:p>
            <w:pPr>
              <w:keepNext w:val="0"/>
              <w:keepLines w:val="0"/>
              <w:widowControl/>
              <w:suppressLineNumbers w:val="0"/>
              <w:ind w:firstLine="420" w:firstLineChars="200"/>
              <w:jc w:val="center"/>
              <w:textAlignment w:val="center"/>
              <w:rPr>
                <w:rFonts w:hint="default" w:eastAsia="仿宋_GB2312" w:cs="Times New Roman"/>
                <w:color w:val="auto"/>
                <w:kern w:val="2"/>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0.00%</w:t>
            </w:r>
          </w:p>
        </w:tc>
      </w:tr>
    </w:tbl>
    <w:p>
      <w:pPr>
        <w:pStyle w:val="14"/>
        <w:widowControl/>
        <w:spacing w:line="600" w:lineRule="exact"/>
        <w:ind w:firstLine="640"/>
        <w:rPr>
          <w:rFonts w:hint="eastAsia" w:ascii="仿宋_GB2312" w:hAnsi="黑体" w:eastAsia="仿宋_GB2312" w:cs="Times New Roman"/>
          <w:color w:val="auto"/>
          <w:kern w:val="2"/>
          <w:sz w:val="32"/>
          <w:szCs w:val="32"/>
          <w:lang w:val="en-US" w:eastAsia="zh-CN" w:bidi="ar-SA"/>
        </w:rPr>
      </w:pPr>
      <w:r>
        <w:rPr>
          <w:rFonts w:hint="eastAsia" w:ascii="仿宋_GB2312" w:hAnsi="黑体" w:eastAsia="仿宋_GB2312" w:cs="Times New Roman"/>
          <w:color w:val="auto"/>
          <w:kern w:val="2"/>
          <w:sz w:val="32"/>
          <w:szCs w:val="32"/>
          <w:lang w:val="en-US" w:eastAsia="zh-CN" w:bidi="ar-SA"/>
        </w:rPr>
        <w:t>2020年度人员经费预算总额352.10万元，2020年实际执行350.65万元，执行率为99.59%。 日常公用支出预算为67.4万元，2020年实际支出67.4万元，执行率为100%。2020年度我站响应省财政的厉行节约号响，对三公经费预算执行，严格执行“八项规定”， 接待标准严格按省财政下发标准执行，2020年度三公经费的预算执行率和控制率为100%，未出现超标现象。</w:t>
      </w:r>
    </w:p>
    <w:p>
      <w:pPr>
        <w:pStyle w:val="4"/>
        <w:numPr>
          <w:ilvl w:val="0"/>
          <w:numId w:val="0"/>
        </w:numPr>
        <w:bidi w:val="0"/>
        <w:ind w:left="641" w:leftChars="0"/>
        <w:rPr>
          <w:rFonts w:hint="eastAsia"/>
          <w:color w:val="auto"/>
          <w:sz w:val="32"/>
          <w:szCs w:val="32"/>
          <w:lang w:eastAsia="zh-CN"/>
        </w:rPr>
      </w:pPr>
      <w:r>
        <w:rPr>
          <w:rFonts w:hint="eastAsia"/>
          <w:color w:val="auto"/>
          <w:sz w:val="32"/>
          <w:szCs w:val="32"/>
          <w:lang w:eastAsia="zh-CN"/>
        </w:rPr>
        <w:t>（二）项目支出情况</w:t>
      </w:r>
    </w:p>
    <w:p>
      <w:pPr>
        <w:widowControl/>
        <w:numPr>
          <w:ilvl w:val="0"/>
          <w:numId w:val="3"/>
        </w:numPr>
        <w:spacing w:line="600" w:lineRule="exact"/>
        <w:ind w:left="-10" w:leftChars="0" w:firstLine="640" w:firstLineChars="0"/>
        <w:jc w:val="left"/>
        <w:rPr>
          <w:rFonts w:hint="eastAsia" w:eastAsia="仿宋_GB2312" w:cs="Times New Roman"/>
          <w:color w:val="auto"/>
          <w:kern w:val="2"/>
          <w:sz w:val="32"/>
          <w:szCs w:val="32"/>
          <w:lang w:val="en-US" w:eastAsia="zh-CN" w:bidi="ar-SA"/>
        </w:rPr>
      </w:pPr>
      <w:r>
        <w:rPr>
          <w:rFonts w:eastAsia="仿宋_GB2312"/>
          <w:color w:val="auto"/>
          <w:sz w:val="32"/>
          <w:szCs w:val="32"/>
        </w:rPr>
        <w:t>省级专项资金项目支出情况。</w:t>
      </w:r>
    </w:p>
    <w:p>
      <w:pPr>
        <w:widowControl/>
        <w:numPr>
          <w:ilvl w:val="0"/>
          <w:numId w:val="0"/>
        </w:numPr>
        <w:spacing w:line="600" w:lineRule="exact"/>
        <w:ind w:firstLine="640" w:firstLineChars="200"/>
        <w:jc w:val="left"/>
        <w:rPr>
          <w:rFonts w:hint="default" w:eastAsia="仿宋_GB2312" w:cs="Times New Roman"/>
          <w:color w:val="auto"/>
          <w:kern w:val="2"/>
          <w:sz w:val="32"/>
          <w:szCs w:val="32"/>
          <w:lang w:val="en-US" w:eastAsia="zh-CN" w:bidi="ar-SA"/>
        </w:rPr>
      </w:pPr>
      <w:r>
        <w:rPr>
          <w:rFonts w:hint="eastAsia" w:eastAsia="仿宋_GB2312" w:cs="Times New Roman"/>
          <w:color w:val="auto"/>
          <w:kern w:val="2"/>
          <w:sz w:val="32"/>
          <w:szCs w:val="32"/>
          <w:lang w:val="en-US" w:eastAsia="zh-CN" w:bidi="ar-SA"/>
        </w:rPr>
        <w:t>2020年省财政预算安排资金14549.74万元，支出13127.63万元，其中：编制农村生活污水规划技术指南、生活污水考核标准等预算80.00万元，支出3.03万元；第二次全国污染源普查经费预算73.67万元，支出73.67万元，耕地土壤污染成因排查和试点预算250.00万元，实际支出126.79。耕地土壤与农产品加密调查资金预算10624.91万元，支出10537.02万元；省级农村生态环境保护资金预算238万元，支出 47.46万元；现代农业发展专项－农业资源与安全利用－农用地土壤污染59.60万元，支出59.60万元；重金属污染耕地修复及农作物种植结构调整试点预算3148.56万元，支出2205.05万元；现代农业发展专项－农业资源与安全利用－对省级支出预算35万元，支出35万元； 现代农业发展专项-农业资源与安全利用-农业生态环境保护预算40万元，支出40万元。</w:t>
      </w:r>
    </w:p>
    <w:p>
      <w:pPr>
        <w:widowControl/>
        <w:numPr>
          <w:ilvl w:val="0"/>
          <w:numId w:val="3"/>
        </w:numPr>
        <w:spacing w:line="600" w:lineRule="exact"/>
        <w:ind w:left="-10" w:leftChars="0" w:firstLine="640" w:firstLineChars="0"/>
        <w:jc w:val="left"/>
        <w:rPr>
          <w:rFonts w:hint="eastAsia"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2020年财政预算安排项目预算</w:t>
      </w:r>
      <w:r>
        <w:rPr>
          <w:rFonts w:hint="eastAsia" w:eastAsia="仿宋_GB2312" w:cs="Times New Roman"/>
          <w:color w:val="auto"/>
          <w:kern w:val="2"/>
          <w:sz w:val="32"/>
          <w:szCs w:val="32"/>
          <w:lang w:val="en-US" w:eastAsia="zh-CN" w:bidi="ar-SA"/>
        </w:rPr>
        <w:t>205.86万元，支出140.80万元，为2019年度中央土壤污染防治专项资金。</w:t>
      </w:r>
    </w:p>
    <w:p>
      <w:pPr>
        <w:widowControl/>
        <w:numPr>
          <w:ilvl w:val="0"/>
          <w:numId w:val="3"/>
        </w:numPr>
        <w:spacing w:line="600" w:lineRule="exact"/>
        <w:ind w:left="-10" w:leftChars="0" w:firstLine="640" w:firstLineChars="0"/>
        <w:jc w:val="left"/>
        <w:rPr>
          <w:rFonts w:hint="eastAsia" w:eastAsia="仿宋_GB2312" w:cs="Times New Roman"/>
          <w:kern w:val="2"/>
          <w:sz w:val="32"/>
          <w:szCs w:val="32"/>
          <w:lang w:val="en-US" w:eastAsia="zh-CN" w:bidi="ar-SA"/>
        </w:rPr>
      </w:pPr>
      <w:r>
        <w:rPr>
          <w:rFonts w:hint="eastAsia" w:eastAsia="仿宋_GB2312" w:cs="Times New Roman"/>
          <w:color w:val="auto"/>
          <w:kern w:val="2"/>
          <w:sz w:val="32"/>
          <w:szCs w:val="32"/>
          <w:lang w:val="en-US" w:eastAsia="zh-CN" w:bidi="ar-SA"/>
        </w:rPr>
        <w:t>其他资金预算安排53.26万元，支出22.28万元，为农业大学协作项目费用支出。</w:t>
      </w:r>
    </w:p>
    <w:p>
      <w:pPr>
        <w:pStyle w:val="14"/>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黑体"/>
          <w:sz w:val="32"/>
          <w:szCs w:val="32"/>
          <w:lang w:eastAsia="zh-CN"/>
        </w:rPr>
        <w:t>三、</w:t>
      </w:r>
      <w:r>
        <w:rPr>
          <w:rFonts w:ascii="Times New Roman" w:hAnsi="Times New Roman" w:eastAsia="黑体"/>
          <w:sz w:val="32"/>
          <w:szCs w:val="32"/>
        </w:rPr>
        <w:t>政府性基金预算支出情况</w:t>
      </w:r>
    </w:p>
    <w:p>
      <w:pPr>
        <w:pStyle w:val="14"/>
        <w:widowControl/>
        <w:numPr>
          <w:ilvl w:val="0"/>
          <w:numId w:val="0"/>
        </w:numPr>
        <w:spacing w:line="600" w:lineRule="exact"/>
        <w:ind w:left="640" w:leftChars="0"/>
        <w:jc w:val="left"/>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我站2020年无政府性基金预算支出。</w:t>
      </w:r>
    </w:p>
    <w:p>
      <w:pPr>
        <w:pStyle w:val="14"/>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黑体"/>
          <w:sz w:val="32"/>
          <w:szCs w:val="32"/>
          <w:lang w:eastAsia="zh-CN"/>
        </w:rPr>
        <w:t>四、</w:t>
      </w:r>
      <w:r>
        <w:rPr>
          <w:rFonts w:ascii="Times New Roman" w:hAnsi="Times New Roman" w:eastAsia="黑体"/>
          <w:sz w:val="32"/>
          <w:szCs w:val="32"/>
        </w:rPr>
        <w:t>国有资本经营预算支出情况</w:t>
      </w:r>
    </w:p>
    <w:p>
      <w:pPr>
        <w:pStyle w:val="14"/>
        <w:widowControl/>
        <w:numPr>
          <w:ilvl w:val="0"/>
          <w:numId w:val="0"/>
        </w:numPr>
        <w:spacing w:line="600" w:lineRule="exact"/>
        <w:ind w:left="640" w:leftChars="0"/>
        <w:jc w:val="left"/>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我站2020年无国有资本经营预算支出。</w:t>
      </w:r>
    </w:p>
    <w:p>
      <w:pPr>
        <w:pStyle w:val="14"/>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黑体"/>
          <w:sz w:val="32"/>
          <w:szCs w:val="32"/>
          <w:lang w:eastAsia="zh-CN"/>
        </w:rPr>
        <w:t>五、</w:t>
      </w:r>
      <w:r>
        <w:rPr>
          <w:rFonts w:ascii="Times New Roman" w:hAnsi="Times New Roman" w:eastAsia="黑体"/>
          <w:sz w:val="32"/>
          <w:szCs w:val="32"/>
        </w:rPr>
        <w:t>社会保险基金预算支出情况</w:t>
      </w:r>
    </w:p>
    <w:p>
      <w:pPr>
        <w:pStyle w:val="14"/>
        <w:widowControl/>
        <w:numPr>
          <w:ilvl w:val="0"/>
          <w:numId w:val="0"/>
        </w:numPr>
        <w:spacing w:line="600" w:lineRule="exact"/>
        <w:ind w:left="640" w:leftChars="0"/>
        <w:jc w:val="left"/>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我站2020年无社会保险基金预算支出。</w:t>
      </w:r>
    </w:p>
    <w:p>
      <w:pPr>
        <w:widowControl/>
        <w:spacing w:line="600" w:lineRule="exact"/>
        <w:ind w:firstLine="645"/>
        <w:jc w:val="left"/>
        <w:rPr>
          <w:rFonts w:hint="eastAsia" w:ascii="黑体" w:hAnsi="黑体" w:eastAsia="黑体"/>
          <w:sz w:val="32"/>
          <w:szCs w:val="32"/>
        </w:rPr>
      </w:pPr>
      <w:r>
        <w:rPr>
          <w:rFonts w:hint="eastAsia" w:ascii="黑体" w:hAnsi="黑体" w:eastAsia="黑体"/>
          <w:sz w:val="32"/>
          <w:szCs w:val="32"/>
          <w:lang w:eastAsia="zh-CN"/>
        </w:rPr>
        <w:t>六、</w:t>
      </w:r>
      <w:r>
        <w:rPr>
          <w:rFonts w:ascii="黑体" w:hAnsi="黑体" w:eastAsia="黑体"/>
          <w:sz w:val="32"/>
          <w:szCs w:val="32"/>
        </w:rPr>
        <w:t>部门</w:t>
      </w:r>
      <w:r>
        <w:rPr>
          <w:rFonts w:hint="eastAsia" w:ascii="黑体" w:hAnsi="黑体" w:eastAsia="黑体"/>
          <w:sz w:val="32"/>
          <w:szCs w:val="32"/>
          <w:lang w:val="en-US" w:eastAsia="zh-CN"/>
        </w:rPr>
        <w:t>基本</w:t>
      </w:r>
      <w:r>
        <w:rPr>
          <w:rFonts w:hint="eastAsia" w:ascii="黑体" w:hAnsi="黑体" w:eastAsia="黑体"/>
          <w:sz w:val="32"/>
          <w:szCs w:val="32"/>
        </w:rPr>
        <w:t>支出绩效情况</w:t>
      </w:r>
    </w:p>
    <w:p>
      <w:pPr>
        <w:widowControl/>
        <w:spacing w:line="600" w:lineRule="exact"/>
        <w:ind w:firstLine="645"/>
        <w:jc w:val="left"/>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我站部门整体支出绩效评价自评得分为98分。其中预算执行率得分为9.02分、产出指标类得分为49.98分、效益指标类得分为29分、满意度指标得分为10分。</w:t>
      </w:r>
    </w:p>
    <w:p>
      <w:pPr>
        <w:pStyle w:val="2"/>
        <w:keepNext w:val="0"/>
        <w:keepLines w:val="0"/>
        <w:pageBreakBefore w:val="0"/>
        <w:widowControl w:val="0"/>
        <w:kinsoku/>
        <w:wordWrap/>
        <w:overflowPunct/>
        <w:topLinePunct w:val="0"/>
        <w:autoSpaceDE/>
        <w:autoSpaceDN/>
        <w:bidi w:val="0"/>
        <w:adjustRightInd/>
        <w:snapToGrid/>
        <w:spacing w:after="0" w:line="580" w:lineRule="exact"/>
        <w:ind w:left="0" w:leftChars="0"/>
        <w:textAlignment w:val="auto"/>
        <w:rPr>
          <w:rFonts w:hint="default"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（一）全省耕地土壤与农产品重金属污染加密调查（以下简称“加密调查”）按要求完成，耕地农产品污染家底进一步摸清。</w:t>
      </w:r>
    </w:p>
    <w:p>
      <w:pPr>
        <w:pStyle w:val="2"/>
        <w:keepNext w:val="0"/>
        <w:keepLines w:val="0"/>
        <w:pageBreakBefore w:val="0"/>
        <w:widowControl w:val="0"/>
        <w:kinsoku/>
        <w:wordWrap/>
        <w:overflowPunct/>
        <w:topLinePunct w:val="0"/>
        <w:autoSpaceDE/>
        <w:autoSpaceDN/>
        <w:bidi w:val="0"/>
        <w:adjustRightInd/>
        <w:snapToGrid/>
        <w:spacing w:after="0" w:line="580" w:lineRule="exact"/>
        <w:ind w:left="0" w:leftChars="0"/>
        <w:textAlignment w:val="auto"/>
        <w:rPr>
          <w:rFonts w:hint="default"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1、按要求完成加密调查工作。一是完成加密调查第一阶段成果上报。加密调查第一阶段成果已于9月底通过厅党组会审议后上报省人民政府，完成了年度考核目标。二是开展加密调查专题研究。开展稻米重金属成因、含量与土壤性质、分布关系等5个专题研究，目前已完成野外调查采样、数据整理、文献收集等基础工作。三是加快推进二次加密调查工作。截至目前，二次加密调查已完成42001个样品的采集与检测，占计划任务数的96%，目前已进入成果集成环节，计划12月底前向省政府上报加密调查最终成果，全面完成省政府部署的工作任务。</w:t>
      </w:r>
    </w:p>
    <w:p>
      <w:pPr>
        <w:pStyle w:val="2"/>
        <w:keepNext w:val="0"/>
        <w:keepLines w:val="0"/>
        <w:pageBreakBefore w:val="0"/>
        <w:widowControl w:val="0"/>
        <w:kinsoku/>
        <w:wordWrap/>
        <w:overflowPunct/>
        <w:topLinePunct w:val="0"/>
        <w:autoSpaceDE/>
        <w:autoSpaceDN/>
        <w:bidi w:val="0"/>
        <w:adjustRightInd/>
        <w:snapToGrid/>
        <w:spacing w:after="0" w:line="580" w:lineRule="exact"/>
        <w:ind w:left="0" w:leftChars="0"/>
        <w:textAlignment w:val="auto"/>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2、深入开展农用地重金属污染成因排查与分析试点。以厅办名义印发《湖南省耕地土壤重金属污染成因排查和分析试点方案》，选定5个试点县市区开展试点工作，涵盖受污染耕地111万亩，划分为1182个试点地块调查单元。截至目前，5个试点县均已完成调查单元的外业核查工作，补充调查监测样品的采集和检测任务基本完成，污染源头管控示范区按要求开展。</w:t>
      </w:r>
    </w:p>
    <w:p>
      <w:pPr>
        <w:pStyle w:val="2"/>
        <w:keepNext w:val="0"/>
        <w:keepLines w:val="0"/>
        <w:pageBreakBefore w:val="0"/>
        <w:widowControl w:val="0"/>
        <w:kinsoku/>
        <w:wordWrap/>
        <w:overflowPunct/>
        <w:topLinePunct w:val="0"/>
        <w:autoSpaceDE/>
        <w:autoSpaceDN/>
        <w:bidi w:val="0"/>
        <w:adjustRightInd/>
        <w:snapToGrid/>
        <w:spacing w:after="0" w:line="580" w:lineRule="exact"/>
        <w:ind w:left="0" w:leftChars="0"/>
        <w:textAlignment w:val="auto"/>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3、建立农用地土壤污染防治示范试点。投入中央土壤污染防治专项资金中210万元、省级农村生态环境保护专项资金200万元，选择赫山区、桃江县、宁乡市等3个县市区的4片典型区域，开展“成因分析-源头防控-修复治理”的重金属污染耕地综合防控示范。组织编制《农用地土壤重金属污染修复治理效果评价技术规范》，年底即将正式发布。</w:t>
      </w:r>
    </w:p>
    <w:p>
      <w:pPr>
        <w:pStyle w:val="2"/>
        <w:keepNext w:val="0"/>
        <w:keepLines w:val="0"/>
        <w:pageBreakBefore w:val="0"/>
        <w:widowControl w:val="0"/>
        <w:kinsoku/>
        <w:wordWrap/>
        <w:overflowPunct/>
        <w:topLinePunct w:val="0"/>
        <w:autoSpaceDE/>
        <w:autoSpaceDN/>
        <w:bidi w:val="0"/>
        <w:adjustRightInd/>
        <w:snapToGrid/>
        <w:spacing w:after="0" w:line="580" w:lineRule="exact"/>
        <w:ind w:left="0" w:leftChars="0"/>
        <w:textAlignment w:val="auto"/>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（二）农村生活污水治理顺利推进，农村人居环境明显改善</w:t>
      </w:r>
    </w:p>
    <w:p>
      <w:pPr>
        <w:widowControl/>
        <w:spacing w:line="600" w:lineRule="exact"/>
        <w:ind w:firstLine="645"/>
        <w:jc w:val="left"/>
        <w:rPr>
          <w:rFonts w:hint="default"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截至目前，全省完成农村生活污水治理的行政村数为12318个，治理率达49.8%，完成了省里“2020年对污水进行处理的行政村比例达到50%左右”的考核目标。一是开展实地调研。多次组织队伍前往长沙、岳阳等市开展实地调研，形成调研报告。二是制定方案规范。编制并印发《湖南省农村生活污水治理专项规划指导意见》、《湖南省农村生活污水治理技术指南（试行）》和《湖南省农村生活污水治理村考核暂行办法》，目前121个县域农村生活污水处理专项规划已完成。三是完成黑臭水体排查。编制并下发《湖南省农村黑臭水体排查工作方案》，上报黑臭水体385条，已录入系统，形成治理清单。四是开展生活污水治理。今年开展的1000个村生活污水治理已完成977个，剩余23个将在12月底完成。五是争取资金投入。组织两批次全省2021年中央生态环境资金农村环境整治项目储备库入库专家评审，共推荐到中央库项目66个。</w:t>
      </w:r>
    </w:p>
    <w:p>
      <w:pPr>
        <w:widowControl/>
        <w:spacing w:line="600" w:lineRule="exact"/>
        <w:ind w:firstLine="645"/>
        <w:jc w:val="left"/>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（三）农村面源污染防治成效显著，生态环境监测预警网络逐步搭建</w:t>
      </w:r>
    </w:p>
    <w:p>
      <w:pPr>
        <w:widowControl/>
        <w:spacing w:line="600" w:lineRule="exact"/>
        <w:ind w:firstLine="645"/>
        <w:jc w:val="left"/>
        <w:rPr>
          <w:rFonts w:hint="default"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1、建立面源污染防治工程示范试点。组织2020年省级农村面源污染综合防控示范项目专家评审，共推荐通过20个项目；按期调度2019年14个农业面源污染防治工程示范村建设情况并组织验收工作。</w:t>
      </w:r>
    </w:p>
    <w:p>
      <w:pPr>
        <w:widowControl/>
        <w:spacing w:line="600" w:lineRule="exact"/>
        <w:ind w:firstLine="645"/>
        <w:jc w:val="left"/>
        <w:rPr>
          <w:rFonts w:hint="default"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2、开展畜禽养殖禁养区监管工作。全省禁养区个数由4851个减少为3214个，禁养区面积相应调整，全省未出现“无猪市”、“无猪县”的情况。根据生态环境部要求简化生猪规模养殖环评审批程序，做好环评管理常态化服务工作。</w:t>
      </w:r>
    </w:p>
    <w:p>
      <w:pPr>
        <w:widowControl/>
        <w:spacing w:line="600" w:lineRule="exact"/>
        <w:ind w:firstLine="645"/>
        <w:jc w:val="left"/>
        <w:rPr>
          <w:rFonts w:hint="default"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3、完成第二次全国污染源普查收尾工作。圆满完成验收工作，编制《湖南省第二次全国污染源普查农业源工作总结报告》和《湖南省第二次全国污染源普查农业源技术报告》。因普查工作表现突出，我站被评为第二次全国污染源普查表现突出集体，另有3人获表现突出个人称号。</w:t>
      </w:r>
    </w:p>
    <w:p>
      <w:pPr>
        <w:widowControl/>
        <w:spacing w:line="600" w:lineRule="exact"/>
        <w:ind w:firstLine="645"/>
        <w:jc w:val="left"/>
        <w:rPr>
          <w:rFonts w:hint="default"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4、开展农村生态环境监测预警。一是提升农村生态环境监测能力。参与厅监测处组织编制的《湖南省生态环境监测能力提升建设项目（2020-2022年）可行性研究报告》中农村生态环境监测能力建设部分，6月完成《湖南省农村生态环境监测能力建设可行性研究报告》。二是建设农村面源污染监测预警试点片区。计划在长沙县、南县、慈利市、涟源市开展片区建设，除长沙县受机构改革影响进度暂缓外，其余三个县市区已完成片区小流域筛选，明确监测点位及附属设施建设要求。</w:t>
      </w:r>
    </w:p>
    <w:p>
      <w:pPr>
        <w:widowControl/>
        <w:spacing w:line="600" w:lineRule="exact"/>
        <w:ind w:firstLine="645"/>
        <w:jc w:val="left"/>
        <w:rPr>
          <w:rFonts w:hint="default"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（四）样品库大楼顺利封顶，土壤质量监测基础更加牢固</w:t>
      </w:r>
    </w:p>
    <w:p>
      <w:pPr>
        <w:widowControl/>
        <w:spacing w:line="600" w:lineRule="exact"/>
        <w:ind w:firstLine="645"/>
        <w:jc w:val="left"/>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土壤样品保存库及配套工程建设项目于4月12日开工，工程进展顺利，10月23日样品库大楼封顶，完成了年度考核目标。目前样品库大楼、大门传达室、附属用房主体部分工程验收已完成，正在进行土壤样品库墙体砌筑、外墙干挂石材预埋件安装。</w:t>
      </w:r>
    </w:p>
    <w:p>
      <w:pPr>
        <w:widowControl/>
        <w:spacing w:line="600" w:lineRule="exact"/>
        <w:ind w:firstLine="645"/>
        <w:jc w:val="left"/>
        <w:rPr>
          <w:rFonts w:hint="default"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（五）农村生物安全工作顺利开展，生物资源档案不断完善</w:t>
      </w:r>
    </w:p>
    <w:p>
      <w:pPr>
        <w:widowControl/>
        <w:spacing w:line="600" w:lineRule="exact"/>
        <w:ind w:firstLine="645"/>
        <w:jc w:val="left"/>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一是建立农村生物安全管理试点。在邵阳、常德、张家界等三个试点市开展有害物种消灭及农村生物安全宣传活动，并在津市建立2个天敌繁育基地。二是开展农村生物资源调查。组织开展长江经济带湖南区域外来物种调查及洞庭湖区域农村生物多样性本底调查，形成调查总结报告。三是建立农村生物多样性保护试点。编制省级</w:t>
      </w:r>
      <w:r>
        <w:rPr>
          <w:rFonts w:hint="default" w:ascii="Times New Roman" w:hAnsi="Times New Roman" w:eastAsia="仿宋_GB2312" w:cs="Times New Roman"/>
          <w:color w:val="000000"/>
          <w:kern w:val="2"/>
          <w:sz w:val="32"/>
          <w:szCs w:val="32"/>
          <w:lang w:val="en-US" w:eastAsia="zh-CN" w:bidi="ar-SA"/>
        </w:rPr>
        <w:t>村域</w:t>
      </w:r>
      <w:r>
        <w:rPr>
          <w:rFonts w:hint="eastAsia" w:ascii="Times New Roman" w:hAnsi="Times New Roman" w:eastAsia="仿宋_GB2312" w:cs="Times New Roman"/>
          <w:color w:val="000000"/>
          <w:kern w:val="2"/>
          <w:sz w:val="32"/>
          <w:szCs w:val="32"/>
          <w:lang w:val="en-US" w:eastAsia="zh-CN" w:bidi="ar-SA"/>
        </w:rPr>
        <w:t>农村生物多样性保护试点实施方案，组织武冈市开展农村生物多样性试点，目前设计方案已完成。</w:t>
      </w:r>
    </w:p>
    <w:p>
      <w:pPr>
        <w:pStyle w:val="14"/>
        <w:widowControl/>
        <w:numPr>
          <w:ilvl w:val="0"/>
          <w:numId w:val="0"/>
        </w:numPr>
        <w:spacing w:line="600" w:lineRule="exact"/>
        <w:ind w:left="640" w:leftChars="0"/>
        <w:jc w:val="left"/>
        <w:rPr>
          <w:rFonts w:ascii="Times New Roman" w:hAnsi="Times New Roman" w:eastAsia="黑体"/>
          <w:color w:val="0000FF"/>
          <w:sz w:val="32"/>
          <w:szCs w:val="32"/>
        </w:rPr>
      </w:pPr>
      <w:r>
        <w:rPr>
          <w:rFonts w:hint="eastAsia" w:ascii="黑体" w:hAnsi="黑体" w:eastAsia="黑体" w:cs="Times New Roman"/>
          <w:kern w:val="2"/>
          <w:sz w:val="32"/>
          <w:szCs w:val="32"/>
          <w:lang w:val="en-US" w:eastAsia="zh-CN" w:bidi="ar-SA"/>
        </w:rPr>
        <w:t>七、绩效存在的问题及原因分析</w:t>
      </w:r>
    </w:p>
    <w:p>
      <w:pPr>
        <w:pStyle w:val="2"/>
        <w:keepNext w:val="0"/>
        <w:keepLines w:val="0"/>
        <w:pageBreakBefore w:val="0"/>
        <w:widowControl w:val="0"/>
        <w:kinsoku/>
        <w:wordWrap/>
        <w:overflowPunct/>
        <w:topLinePunct w:val="0"/>
        <w:autoSpaceDE/>
        <w:autoSpaceDN/>
        <w:bidi w:val="0"/>
        <w:adjustRightInd/>
        <w:snapToGrid/>
        <w:spacing w:after="0" w:line="580" w:lineRule="exact"/>
        <w:ind w:left="0" w:leftChars="0" w:firstLine="640" w:firstLineChars="200"/>
        <w:jc w:val="both"/>
        <w:textAlignment w:val="auto"/>
        <w:outlineLvl w:val="9"/>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一是能力建设相对薄弱，基层参与动力不足。</w:t>
      </w:r>
      <w:r>
        <w:rPr>
          <w:rFonts w:hint="eastAsia" w:ascii="仿宋" w:hAnsi="仿宋" w:eastAsia="仿宋" w:cs="仿宋"/>
          <w:sz w:val="32"/>
          <w:szCs w:val="32"/>
          <w:lang w:val="en-US" w:eastAsia="zh-CN"/>
        </w:rPr>
        <w:t>农村生态环境保护工作在我省起步较晚，经验不足</w:t>
      </w:r>
      <w:r>
        <w:rPr>
          <w:rFonts w:hint="eastAsia" w:ascii="仿宋_GB2312" w:hAnsi="仿宋_GB2312" w:eastAsia="仿宋_GB2312" w:cs="仿宋_GB2312"/>
          <w:kern w:val="2"/>
          <w:sz w:val="32"/>
          <w:szCs w:val="32"/>
          <w:lang w:val="en-US" w:eastAsia="zh-CN" w:bidi="ar-SA"/>
        </w:rPr>
        <w:t>，且专业人员严重匮乏，尤其是市县一级农环站机构不健全，基层力量薄弱。部分基层政府及领导对农村污染防治工作的意义认识不到位，存在着“等靠要”的思想，</w:t>
      </w:r>
      <w:r>
        <w:rPr>
          <w:rFonts w:hint="default" w:ascii="Times New Roman" w:hAnsi="Times New Roman" w:eastAsia="仿宋_GB2312" w:cs="Times New Roman"/>
          <w:b w:val="0"/>
          <w:sz w:val="32"/>
          <w:szCs w:val="32"/>
        </w:rPr>
        <w:t>基层党组织发挥领导核心作用</w:t>
      </w:r>
      <w:r>
        <w:rPr>
          <w:rFonts w:hint="eastAsia" w:ascii="Times New Roman" w:hAnsi="Times New Roman" w:eastAsia="仿宋_GB2312" w:cs="Times New Roman"/>
          <w:b w:val="0"/>
          <w:sz w:val="32"/>
          <w:szCs w:val="32"/>
          <w:lang w:val="en-US" w:eastAsia="zh-CN"/>
        </w:rPr>
        <w:t>不足</w:t>
      </w:r>
      <w:r>
        <w:rPr>
          <w:rFonts w:hint="default" w:ascii="Times New Roman" w:hAnsi="Times New Roman" w:eastAsia="仿宋_GB2312" w:cs="Times New Roman"/>
          <w:b w:val="0"/>
          <w:sz w:val="32"/>
          <w:szCs w:val="32"/>
        </w:rPr>
        <w:t>，</w:t>
      </w:r>
      <w:r>
        <w:rPr>
          <w:rFonts w:hint="eastAsia" w:eastAsia="仿宋_GB2312" w:cs="Times New Roman"/>
          <w:b w:val="0"/>
          <w:sz w:val="32"/>
          <w:szCs w:val="32"/>
          <w:lang w:val="en-US" w:eastAsia="zh-CN"/>
        </w:rPr>
        <w:t>没有充分</w:t>
      </w:r>
      <w:r>
        <w:rPr>
          <w:rFonts w:hint="eastAsia" w:ascii="仿宋_GB2312" w:hAnsi="仿宋_GB2312" w:eastAsia="仿宋_GB2312" w:cs="仿宋_GB2312"/>
          <w:kern w:val="2"/>
          <w:sz w:val="32"/>
          <w:szCs w:val="32"/>
          <w:lang w:val="en-US" w:eastAsia="zh-CN" w:bidi="ar-SA"/>
        </w:rPr>
        <w:t>调动农民积极性，导致农村生态环境保护工作开展受阻。</w:t>
      </w:r>
    </w:p>
    <w:p>
      <w:pPr>
        <w:pStyle w:val="2"/>
        <w:keepNext w:val="0"/>
        <w:keepLines w:val="0"/>
        <w:pageBreakBefore w:val="0"/>
        <w:widowControl w:val="0"/>
        <w:kinsoku/>
        <w:wordWrap/>
        <w:overflowPunct/>
        <w:topLinePunct w:val="0"/>
        <w:autoSpaceDE/>
        <w:autoSpaceDN/>
        <w:bidi w:val="0"/>
        <w:adjustRightInd/>
        <w:snapToGrid/>
        <w:spacing w:after="0" w:line="580" w:lineRule="exact"/>
        <w:ind w:left="0" w:leftChars="0" w:firstLine="640" w:firstLineChars="200"/>
        <w:jc w:val="both"/>
        <w:textAlignment w:val="auto"/>
        <w:outlineLvl w:val="9"/>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二是资金投入严重不足，治理工作难以开展。</w:t>
      </w:r>
      <w:r>
        <w:rPr>
          <w:rFonts w:hint="eastAsia" w:ascii="仿宋" w:hAnsi="仿宋" w:eastAsia="仿宋" w:cs="仿宋"/>
          <w:sz w:val="32"/>
          <w:szCs w:val="32"/>
          <w:lang w:val="en-US" w:eastAsia="zh-CN"/>
        </w:rPr>
        <w:t>受疫情影响，目前各级财政困难，加之农村收费难、项目小，只能依靠政府投入，而目前农村环境保护专项资金投入力度与实际需求差距较大。尤其是农村生物安全、农村生态环境监测预警等工作在中央财政专项上没有条目，只能在省级环保专项中解决。部分工作如农村生活污水治理设施建好后，后期运维费用较高，除极个别经济状况较好的乡镇和村集体能够自筹运维外，多数建成的设施后期运维艰难。</w:t>
      </w:r>
    </w:p>
    <w:p>
      <w:pPr>
        <w:pStyle w:val="2"/>
        <w:keepNext w:val="0"/>
        <w:keepLines w:val="0"/>
        <w:pageBreakBefore w:val="0"/>
        <w:widowControl w:val="0"/>
        <w:kinsoku/>
        <w:wordWrap/>
        <w:overflowPunct/>
        <w:topLinePunct w:val="0"/>
        <w:autoSpaceDE/>
        <w:autoSpaceDN/>
        <w:bidi w:val="0"/>
        <w:adjustRightInd/>
        <w:snapToGrid/>
        <w:spacing w:after="0" w:line="580" w:lineRule="exact"/>
        <w:ind w:left="0" w:leftChars="0" w:firstLine="640" w:firstLineChars="200"/>
        <w:jc w:val="both"/>
        <w:textAlignment w:val="auto"/>
        <w:outlineLvl w:val="9"/>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三是耕地污染成因复杂，技术手段有待提高</w:t>
      </w:r>
      <w:r>
        <w:rPr>
          <w:rFonts w:hint="eastAsia" w:ascii="仿宋" w:hAnsi="仿宋" w:eastAsia="仿宋" w:cs="仿宋"/>
          <w:b w:val="0"/>
          <w:bCs w:val="0"/>
          <w:sz w:val="32"/>
          <w:szCs w:val="32"/>
          <w:lang w:val="en-US" w:eastAsia="zh-CN"/>
        </w:rPr>
        <w:t>。我省是“有色金属之乡”，</w:t>
      </w:r>
      <w:r>
        <w:rPr>
          <w:rFonts w:hint="eastAsia" w:ascii="仿宋_GB2312" w:hAnsi="仿宋_GB2312" w:eastAsia="仿宋_GB2312" w:cs="仿宋_GB2312"/>
          <w:kern w:val="2"/>
          <w:sz w:val="32"/>
          <w:szCs w:val="32"/>
          <w:lang w:val="en-US" w:eastAsia="zh-CN" w:bidi="ar-SA"/>
        </w:rPr>
        <w:t>有色金属采、选、冶历史悠久</w:t>
      </w:r>
      <w:r>
        <w:rPr>
          <w:rFonts w:hint="eastAsia" w:ascii="仿宋" w:hAnsi="仿宋" w:eastAsia="仿宋" w:cs="仿宋"/>
          <w:sz w:val="32"/>
          <w:szCs w:val="32"/>
          <w:lang w:val="en-US" w:eastAsia="zh-CN"/>
        </w:rPr>
        <w:t>，是全国重金属污染防治任务最为繁重的省份之一。加密调查结果显示，全省耕地土壤</w:t>
      </w:r>
      <w:r>
        <w:rPr>
          <w:rFonts w:hint="eastAsia" w:ascii="仿宋_GB2312" w:hAnsi="仿宋_GB2312" w:eastAsia="仿宋_GB2312" w:cs="仿宋_GB2312"/>
          <w:kern w:val="2"/>
          <w:sz w:val="32"/>
          <w:szCs w:val="32"/>
          <w:lang w:val="en-US" w:eastAsia="zh-CN" w:bidi="ar-SA"/>
        </w:rPr>
        <w:t>镉、汞、砷、铅、铬</w:t>
      </w:r>
      <w:r>
        <w:rPr>
          <w:rFonts w:hint="eastAsia" w:ascii="仿宋" w:hAnsi="仿宋" w:eastAsia="仿宋" w:cs="仿宋"/>
          <w:sz w:val="32"/>
          <w:szCs w:val="32"/>
          <w:lang w:val="en-US" w:eastAsia="zh-CN"/>
        </w:rPr>
        <w:t>5项综合环境质量安全利用类耕地1975.30万亩，严格管控类耕地60.66万亩，耕地质量堪忧，治理任务艰巨。且土壤污染具有长期性、复杂性、累积性的特点，被发现时污染往往已难以逆转，治理难度大。</w:t>
      </w:r>
    </w:p>
    <w:p>
      <w:pPr>
        <w:pStyle w:val="2"/>
        <w:keepNext w:val="0"/>
        <w:keepLines w:val="0"/>
        <w:pageBreakBefore w:val="0"/>
        <w:widowControl w:val="0"/>
        <w:kinsoku/>
        <w:wordWrap/>
        <w:overflowPunct/>
        <w:topLinePunct w:val="0"/>
        <w:autoSpaceDE/>
        <w:autoSpaceDN/>
        <w:bidi w:val="0"/>
        <w:adjustRightInd/>
        <w:snapToGrid/>
        <w:spacing w:after="0" w:line="580" w:lineRule="exact"/>
        <w:ind w:left="0" w:leftChars="0"/>
        <w:textAlignment w:val="auto"/>
        <w:rPr>
          <w:rFonts w:ascii="Times New Roman" w:hAnsi="Times New Roman" w:eastAsia="黑体"/>
          <w:sz w:val="32"/>
          <w:szCs w:val="32"/>
        </w:rPr>
      </w:pPr>
      <w:r>
        <w:rPr>
          <w:rFonts w:hint="eastAsia" w:ascii="仿宋" w:hAnsi="仿宋" w:eastAsia="仿宋" w:cs="仿宋"/>
          <w:b/>
          <w:bCs/>
          <w:sz w:val="32"/>
          <w:szCs w:val="32"/>
          <w:lang w:val="en-US" w:eastAsia="zh-CN"/>
        </w:rPr>
        <w:t>四是协调机制尚未形成，工作开展独木难支。</w:t>
      </w:r>
      <w:r>
        <w:rPr>
          <w:rFonts w:hint="eastAsia" w:ascii="仿宋" w:hAnsi="仿宋" w:eastAsia="仿宋" w:cs="仿宋"/>
          <w:sz w:val="32"/>
          <w:szCs w:val="32"/>
          <w:lang w:val="en-US" w:eastAsia="zh-CN"/>
        </w:rPr>
        <w:t>农村生态环境保护工作是一项系统性工作，很多工作需要生态环境、农业农村、住房和城乡建设、财政等多个部门的衔接和配合。而目前部门间信息共享机制不健全，农村生态环境管理机构人员少，如何建立协调推进机制，避免资源、人力、物力的浪费是目前需要重点思考的问题。</w:t>
      </w:r>
    </w:p>
    <w:p>
      <w:pPr>
        <w:widowControl/>
        <w:numPr>
          <w:ilvl w:val="0"/>
          <w:numId w:val="0"/>
        </w:numPr>
        <w:spacing w:line="600" w:lineRule="exact"/>
        <w:ind w:left="640" w:leftChars="0"/>
        <w:jc w:val="left"/>
        <w:rPr>
          <w:rFonts w:eastAsia="黑体"/>
          <w:sz w:val="32"/>
          <w:szCs w:val="32"/>
        </w:rPr>
      </w:pPr>
      <w:r>
        <w:rPr>
          <w:rFonts w:hint="eastAsia" w:ascii="黑体" w:hAnsi="黑体" w:eastAsia="黑体"/>
          <w:sz w:val="32"/>
          <w:szCs w:val="32"/>
          <w:lang w:eastAsia="zh-CN"/>
        </w:rPr>
        <w:t>八、</w:t>
      </w:r>
      <w:r>
        <w:rPr>
          <w:rFonts w:ascii="黑体" w:hAnsi="黑体" w:eastAsia="黑体"/>
          <w:sz w:val="32"/>
          <w:szCs w:val="32"/>
        </w:rPr>
        <w:t>下一步</w:t>
      </w:r>
      <w:r>
        <w:rPr>
          <w:rFonts w:eastAsia="黑体"/>
          <w:sz w:val="32"/>
          <w:szCs w:val="32"/>
        </w:rPr>
        <w:t>改进措施</w:t>
      </w:r>
    </w:p>
    <w:p>
      <w:pPr>
        <w:pStyle w:val="2"/>
        <w:keepNext w:val="0"/>
        <w:keepLines w:val="0"/>
        <w:pageBreakBefore w:val="0"/>
        <w:widowControl w:val="0"/>
        <w:kinsoku/>
        <w:wordWrap/>
        <w:overflowPunct/>
        <w:topLinePunct w:val="0"/>
        <w:autoSpaceDE/>
        <w:autoSpaceDN/>
        <w:bidi w:val="0"/>
        <w:adjustRightInd/>
        <w:snapToGrid/>
        <w:spacing w:after="0" w:line="580" w:lineRule="exact"/>
        <w:ind w:left="0" w:leftChars="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认真学习贯彻习近平生态文明思想和党的十九大、十九届各中全会精神，坚决执行中央和省委、省政府关于农村生态环境保护工作的决策部署，坚持以党建为引领，以问题为导向，找差距补短板强弱项，有效管控农用地重金属污染、防治农村面源污染，全面推进农村生态环境保护各项工作。</w:t>
      </w:r>
    </w:p>
    <w:p>
      <w:pPr>
        <w:widowControl/>
        <w:numPr>
          <w:ilvl w:val="0"/>
          <w:numId w:val="0"/>
        </w:numPr>
        <w:spacing w:line="600" w:lineRule="exact"/>
        <w:ind w:left="640" w:leftChars="0"/>
        <w:jc w:val="left"/>
        <w:rPr>
          <w:rFonts w:hint="eastAsia" w:ascii="黑体" w:hAnsi="黑体" w:eastAsia="黑体"/>
          <w:sz w:val="32"/>
          <w:szCs w:val="32"/>
        </w:rPr>
      </w:pPr>
      <w:r>
        <w:rPr>
          <w:rFonts w:hint="eastAsia" w:ascii="黑体" w:hAnsi="黑体" w:eastAsia="黑体"/>
          <w:sz w:val="32"/>
          <w:szCs w:val="32"/>
          <w:lang w:eastAsia="zh-CN"/>
        </w:rPr>
        <w:t>九、</w:t>
      </w:r>
      <w:r>
        <w:rPr>
          <w:rFonts w:hint="eastAsia" w:ascii="黑体" w:hAnsi="黑体" w:eastAsia="黑体"/>
          <w:sz w:val="32"/>
          <w:szCs w:val="32"/>
        </w:rPr>
        <w:t>自评结果拟应用和公开情况</w:t>
      </w:r>
    </w:p>
    <w:p>
      <w:pPr>
        <w:widowControl/>
        <w:spacing w:line="600" w:lineRule="exact"/>
        <w:ind w:firstLine="645"/>
        <w:jc w:val="left"/>
        <w:rPr>
          <w:rFonts w:hint="eastAsia" w:eastAsia="仿宋_GB2312"/>
          <w:color w:val="000000"/>
          <w:sz w:val="32"/>
          <w:szCs w:val="32"/>
          <w:lang w:val="en-US" w:eastAsia="zh-CN"/>
        </w:rPr>
      </w:pPr>
      <w:r>
        <w:rPr>
          <w:rFonts w:hint="eastAsia" w:eastAsia="仿宋_GB2312"/>
          <w:color w:val="000000"/>
          <w:sz w:val="32"/>
          <w:szCs w:val="32"/>
          <w:lang w:val="en-US" w:eastAsia="zh-CN"/>
        </w:rPr>
        <w:t>（一）反馈整改。我站将对评价中发现的问题，及时进行督促整改。各内设机构要加强预算管理意识，严格按照预算编制的相关制度和要求，结合年度收支计划，科学编制预算，遵循预算管理办法。</w:t>
      </w:r>
    </w:p>
    <w:p>
      <w:pPr>
        <w:widowControl/>
        <w:spacing w:line="600" w:lineRule="exact"/>
        <w:ind w:firstLine="645"/>
        <w:jc w:val="left"/>
        <w:rPr>
          <w:rFonts w:hint="eastAsia" w:eastAsia="仿宋_GB2312"/>
          <w:color w:val="000000"/>
          <w:sz w:val="32"/>
          <w:szCs w:val="32"/>
          <w:lang w:val="en-US" w:eastAsia="zh-CN"/>
        </w:rPr>
      </w:pPr>
      <w:r>
        <w:rPr>
          <w:rFonts w:hint="eastAsia" w:eastAsia="仿宋_GB2312"/>
          <w:color w:val="000000"/>
          <w:sz w:val="32"/>
          <w:szCs w:val="32"/>
          <w:lang w:val="en-US" w:eastAsia="zh-CN"/>
        </w:rPr>
        <w:t>（二）考核通报。我站将绩效自评工作开展情况报省生态环境厅。</w:t>
      </w:r>
    </w:p>
    <w:p>
      <w:pPr>
        <w:widowControl/>
        <w:spacing w:line="600" w:lineRule="exact"/>
        <w:ind w:firstLine="645"/>
        <w:jc w:val="left"/>
        <w:rPr>
          <w:rFonts w:hint="eastAsia" w:eastAsia="仿宋_GB2312"/>
          <w:color w:val="000000"/>
          <w:sz w:val="32"/>
          <w:szCs w:val="32"/>
          <w:lang w:val="en-US" w:eastAsia="zh-CN"/>
        </w:rPr>
      </w:pPr>
      <w:r>
        <w:rPr>
          <w:rFonts w:hint="eastAsia" w:eastAsia="仿宋_GB2312"/>
          <w:color w:val="000000"/>
          <w:sz w:val="32"/>
          <w:szCs w:val="32"/>
          <w:lang w:val="en-US" w:eastAsia="zh-CN"/>
        </w:rPr>
        <w:t>（三）公开结果。除涉密信息外，我站于2021年9月30日前在门户网站全面公开2020年度部门支出绩效自评报告，接受社会监督。</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9AC1E24"/>
    <w:multiLevelType w:val="multilevel"/>
    <w:tmpl w:val="79AC1E24"/>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7A4F9EBE"/>
    <w:multiLevelType w:val="singleLevel"/>
    <w:tmpl w:val="7A4F9EBE"/>
    <w:lvl w:ilvl="0" w:tentative="0">
      <w:start w:val="1"/>
      <w:numFmt w:val="decimal"/>
      <w:suff w:val="nothing"/>
      <w:lvlText w:val="%1、"/>
      <w:lvlJc w:val="left"/>
      <w:pPr>
        <w:ind w:left="-1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dit="forms"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15B7"/>
    <w:rsid w:val="00041E3F"/>
    <w:rsid w:val="00055DAA"/>
    <w:rsid w:val="00061F7B"/>
    <w:rsid w:val="000658A3"/>
    <w:rsid w:val="00074155"/>
    <w:rsid w:val="000A3F69"/>
    <w:rsid w:val="00103957"/>
    <w:rsid w:val="00152C6D"/>
    <w:rsid w:val="00162D39"/>
    <w:rsid w:val="001678BD"/>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7E6"/>
    <w:rsid w:val="003C4FC2"/>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D4D55"/>
    <w:rsid w:val="005E2CFB"/>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44EE"/>
    <w:rsid w:val="00DD06FF"/>
    <w:rsid w:val="00DD5FE9"/>
    <w:rsid w:val="00E00C7A"/>
    <w:rsid w:val="00E37D6C"/>
    <w:rsid w:val="00E55B68"/>
    <w:rsid w:val="00E67BE6"/>
    <w:rsid w:val="00E8683C"/>
    <w:rsid w:val="00EA2B72"/>
    <w:rsid w:val="00F74360"/>
    <w:rsid w:val="00FB462F"/>
    <w:rsid w:val="00FE16FA"/>
    <w:rsid w:val="00FE328A"/>
    <w:rsid w:val="00FE6269"/>
    <w:rsid w:val="00FF5CD6"/>
    <w:rsid w:val="02E8344E"/>
    <w:rsid w:val="041912D1"/>
    <w:rsid w:val="06F74C4F"/>
    <w:rsid w:val="0850620C"/>
    <w:rsid w:val="11A03506"/>
    <w:rsid w:val="13983614"/>
    <w:rsid w:val="142A0FAD"/>
    <w:rsid w:val="16DC7E2D"/>
    <w:rsid w:val="19020C33"/>
    <w:rsid w:val="1AA94E33"/>
    <w:rsid w:val="1B11121E"/>
    <w:rsid w:val="24383888"/>
    <w:rsid w:val="27523467"/>
    <w:rsid w:val="2AA06DD0"/>
    <w:rsid w:val="2BC8368C"/>
    <w:rsid w:val="2FE3366C"/>
    <w:rsid w:val="386C32F4"/>
    <w:rsid w:val="3AF81131"/>
    <w:rsid w:val="447A31B7"/>
    <w:rsid w:val="4A2263F7"/>
    <w:rsid w:val="4A3C3AC9"/>
    <w:rsid w:val="4B552A62"/>
    <w:rsid w:val="530F2BB2"/>
    <w:rsid w:val="575A3529"/>
    <w:rsid w:val="5AA57006"/>
    <w:rsid w:val="5B0774E3"/>
    <w:rsid w:val="5C395A67"/>
    <w:rsid w:val="5FB03106"/>
    <w:rsid w:val="5FC167F2"/>
    <w:rsid w:val="64284529"/>
    <w:rsid w:val="66EE732C"/>
    <w:rsid w:val="696F0EF2"/>
    <w:rsid w:val="71F001EA"/>
    <w:rsid w:val="774140C7"/>
    <w:rsid w:val="78DC2C21"/>
    <w:rsid w:val="7A0C7383"/>
    <w:rsid w:val="7C8836BC"/>
    <w:rsid w:val="7D2D5265"/>
    <w:rsid w:val="7D3F05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2"/>
    <w:basedOn w:val="1"/>
    <w:next w:val="1"/>
    <w:unhideWhenUsed/>
    <w:qFormat/>
    <w:uiPriority w:val="0"/>
    <w:pPr>
      <w:keepNext/>
      <w:keepLines/>
      <w:spacing w:beforeLines="0" w:beforeAutospacing="0" w:afterLines="0" w:afterAutospacing="0" w:line="600" w:lineRule="exact"/>
      <w:ind w:left="641" w:firstLine="0"/>
      <w:outlineLvl w:val="1"/>
    </w:pPr>
    <w:rPr>
      <w:rFonts w:ascii="Arial" w:hAnsi="Arial" w:eastAsia="黑体"/>
      <w:sz w:val="32"/>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style>
  <w:style w:type="paragraph" w:styleId="5">
    <w:name w:val="Balloon Text"/>
    <w:basedOn w:val="1"/>
    <w:link w:val="15"/>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页眉 Char"/>
    <w:basedOn w:val="8"/>
    <w:link w:val="7"/>
    <w:qFormat/>
    <w:uiPriority w:val="99"/>
    <w:rPr>
      <w:sz w:val="18"/>
      <w:szCs w:val="18"/>
    </w:rPr>
  </w:style>
  <w:style w:type="character" w:customStyle="1" w:styleId="12">
    <w:name w:val="页脚 Char"/>
    <w:basedOn w:val="8"/>
    <w:link w:val="6"/>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8"/>
    <w:link w:val="5"/>
    <w:semiHidden/>
    <w:qFormat/>
    <w:uiPriority w:val="99"/>
    <w:rPr>
      <w:sz w:val="18"/>
      <w:szCs w:val="18"/>
    </w:rPr>
  </w:style>
  <w:style w:type="character" w:customStyle="1" w:styleId="16">
    <w:name w:val="font21"/>
    <w:basedOn w:val="8"/>
    <w:uiPriority w:val="0"/>
    <w:rPr>
      <w:rFonts w:hint="default" w:ascii="Times New Roman" w:hAnsi="Times New Roman" w:cs="Times New Roman"/>
      <w:color w:val="000000"/>
      <w:sz w:val="21"/>
      <w:szCs w:val="21"/>
      <w:u w:val="none"/>
    </w:rPr>
  </w:style>
  <w:style w:type="character" w:customStyle="1" w:styleId="17">
    <w:name w:val="font41"/>
    <w:basedOn w:val="8"/>
    <w:uiPriority w:val="0"/>
    <w:rPr>
      <w:rFonts w:ascii="仿宋_GB2312" w:eastAsia="仿宋_GB2312" w:cs="仿宋_GB2312"/>
      <w:color w:val="000000"/>
      <w:sz w:val="21"/>
      <w:szCs w:val="21"/>
      <w:u w:val="none"/>
    </w:rPr>
  </w:style>
  <w:style w:type="character" w:customStyle="1" w:styleId="18">
    <w:name w:val="font51"/>
    <w:basedOn w:val="8"/>
    <w:uiPriority w:val="0"/>
    <w:rPr>
      <w:rFonts w:hint="eastAsia" w:ascii="宋体" w:hAnsi="宋体" w:eastAsia="宋体" w:cs="宋体"/>
      <w:color w:val="000000"/>
      <w:sz w:val="21"/>
      <w:szCs w:val="21"/>
      <w:u w:val="none"/>
    </w:rPr>
  </w:style>
  <w:style w:type="character" w:customStyle="1" w:styleId="19">
    <w:name w:val="font81"/>
    <w:basedOn w:val="8"/>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9AD695-5494-44B7-BD4E-A342C0530F8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24</Pages>
  <Words>1300</Words>
  <Characters>7415</Characters>
  <Lines>61</Lines>
  <Paragraphs>17</Paragraphs>
  <TotalTime>28</TotalTime>
  <ScaleCrop>false</ScaleCrop>
  <LinksUpToDate>false</LinksUpToDate>
  <CharactersWithSpaces>8698</CharactersWithSpaces>
  <Application>WPS Office_10.8.2.7030_F1E327BC-269C-435d-A152-05C5408002CA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陈欣欣</cp:lastModifiedBy>
  <cp:lastPrinted>2021-08-05T08:54:00Z</cp:lastPrinted>
  <dcterms:modified xsi:type="dcterms:W3CDTF">2021-08-27T08:49:05Z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2052-10.8.2.7030</vt:lpwstr>
  </property>
  <property fmtid="{D5CDD505-2E9C-101B-9397-08002B2CF9AE}" pid="3" name="ICV">
    <vt:lpwstr>47185D24D6B54C81A73008DA20E57040</vt:lpwstr>
  </property>
</Properties>
</file>