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2020年度</w:t>
      </w:r>
    </w:p>
    <w:p>
      <w:pPr>
        <w:pStyle w:val="11"/>
        <w:jc w:val="center"/>
        <w:rPr>
          <w:sz w:val="84"/>
          <w:szCs w:val="84"/>
        </w:rPr>
      </w:pPr>
      <w:r>
        <w:rPr>
          <w:rFonts w:hint="eastAsia"/>
          <w:sz w:val="84"/>
          <w:szCs w:val="84"/>
          <w:lang w:eastAsia="zh-CN"/>
        </w:rPr>
        <w:t>湖南省固体废物管理站</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both"/>
        <w:rPr>
          <w:sz w:val="32"/>
          <w:szCs w:val="32"/>
        </w:rPr>
      </w:pPr>
    </w:p>
    <w:p>
      <w:pPr>
        <w:pStyle w:val="11"/>
        <w:jc w:val="both"/>
        <w:rPr>
          <w:sz w:val="32"/>
          <w:szCs w:val="32"/>
        </w:rPr>
      </w:pPr>
    </w:p>
    <w:p>
      <w:pPr>
        <w:pStyle w:val="11"/>
        <w:jc w:val="both"/>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bookmarkStart w:id="4" w:name="_GoBack"/>
      <w:bookmarkEnd w:id="4"/>
      <w:r>
        <w:rPr>
          <w:rFonts w:hint="eastAsia"/>
          <w:b/>
          <w:sz w:val="28"/>
          <w:szCs w:val="28"/>
        </w:rPr>
        <w:t>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b w:val="0"/>
          <w:bCs w:val="0"/>
          <w:sz w:val="84"/>
          <w:szCs w:val="84"/>
        </w:rPr>
      </w:pPr>
      <w:r>
        <w:rPr>
          <w:rFonts w:hint="eastAsia"/>
          <w:b w:val="0"/>
          <w:bCs w:val="0"/>
          <w:sz w:val="84"/>
          <w:szCs w:val="84"/>
        </w:rPr>
        <w:t>第一部分</w:t>
      </w:r>
      <w:r>
        <w:rPr>
          <w:b w:val="0"/>
          <w:bCs w:val="0"/>
          <w:sz w:val="84"/>
          <w:szCs w:val="84"/>
        </w:rPr>
        <w:t xml:space="preserve"> </w:t>
      </w:r>
    </w:p>
    <w:p>
      <w:pPr>
        <w:pStyle w:val="11"/>
        <w:jc w:val="center"/>
        <w:rPr>
          <w:b w:val="0"/>
          <w:bCs w:val="0"/>
          <w:sz w:val="84"/>
          <w:szCs w:val="84"/>
        </w:rPr>
      </w:pPr>
    </w:p>
    <w:p>
      <w:pPr>
        <w:pStyle w:val="11"/>
        <w:jc w:val="center"/>
        <w:rPr>
          <w:b w:val="0"/>
          <w:bCs w:val="0"/>
          <w:sz w:val="84"/>
          <w:szCs w:val="84"/>
        </w:rPr>
      </w:pPr>
      <w:r>
        <w:rPr>
          <w:rFonts w:hint="eastAsia"/>
          <w:b w:val="0"/>
          <w:bCs w:val="0"/>
          <w:sz w:val="84"/>
          <w:szCs w:val="84"/>
          <w:lang w:eastAsia="zh-CN"/>
        </w:rPr>
        <w:t>湖南省固体废物管理站</w:t>
      </w:r>
      <w:r>
        <w:rPr>
          <w:rFonts w:hint="eastAsia"/>
          <w:b w:val="0"/>
          <w:bCs w:val="0"/>
          <w:sz w:val="84"/>
          <w:szCs w:val="84"/>
        </w:rPr>
        <w:t>单位概况</w:t>
      </w:r>
    </w:p>
    <w:p>
      <w:pPr>
        <w:jc w:val="center"/>
        <w:rPr>
          <w:b w:val="0"/>
          <w:bCs w:val="0"/>
          <w:sz w:val="72"/>
          <w:szCs w:val="72"/>
        </w:rPr>
      </w:pPr>
    </w:p>
    <w:p>
      <w:pPr>
        <w:jc w:val="center"/>
        <w:rPr>
          <w:b w:val="0"/>
          <w:bCs w:val="0"/>
          <w:sz w:val="72"/>
          <w:szCs w:val="72"/>
        </w:rPr>
      </w:pPr>
    </w:p>
    <w:p>
      <w:pPr>
        <w:jc w:val="center"/>
        <w:rPr>
          <w:b w:val="0"/>
          <w:bCs w:val="0"/>
          <w:sz w:val="72"/>
          <w:szCs w:val="72"/>
        </w:rPr>
      </w:pPr>
    </w:p>
    <w:p>
      <w:pPr>
        <w:jc w:val="center"/>
        <w:rPr>
          <w:b w:val="0"/>
          <w:bCs w:val="0"/>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keepNext w:val="0"/>
        <w:keepLines w:val="0"/>
        <w:pageBreakBefore w:val="0"/>
        <w:numPr>
          <w:ilvl w:val="0"/>
          <w:numId w:val="0"/>
        </w:numPr>
        <w:kinsoku/>
        <w:wordWrap/>
        <w:overflowPunct/>
        <w:topLinePunct w:val="0"/>
        <w:autoSpaceDE/>
        <w:autoSpaceDN/>
        <w:bidi w:val="0"/>
        <w:adjustRightInd/>
        <w:snapToGrid/>
        <w:spacing w:line="620" w:lineRule="exact"/>
        <w:ind w:leftChars="200"/>
        <w:jc w:val="left"/>
        <w:textAlignment w:val="auto"/>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Theme="minorEastAsia" w:hAnsiTheme="minorEastAsia"/>
          <w:sz w:val="32"/>
          <w:szCs w:val="32"/>
        </w:rPr>
        <w:t>（一）</w:t>
      </w:r>
      <w:r>
        <w:rPr>
          <w:rFonts w:hint="eastAsia" w:ascii="仿宋_GB2312" w:hAnsi="仿宋_GB2312" w:eastAsia="仿宋_GB2312" w:cs="仿宋_GB2312"/>
          <w:sz w:val="32"/>
          <w:szCs w:val="32"/>
          <w:lang w:val="en-US" w:eastAsia="zh-CN"/>
        </w:rPr>
        <w:t>提供固体废物、化学品等环境管理方面的相关技术服务；参与制订固体废物、化学品等环境管理地方性法规、政策、标准、技术规范及规划、计划；组织对废弃电器电子产品处理企业拆解处理基金补贴的技术评审；承担电子废物环境管理其他相关技术支持工作；</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Theme="minorEastAsia" w:hAnsiTheme="minorEastAsia"/>
          <w:sz w:val="32"/>
          <w:szCs w:val="32"/>
        </w:rPr>
        <w:t>（二）</w:t>
      </w:r>
      <w:r>
        <w:rPr>
          <w:rFonts w:hint="eastAsia" w:ascii="仿宋_GB2312" w:hAnsi="仿宋_GB2312" w:eastAsia="仿宋_GB2312" w:cs="仿宋_GB2312"/>
          <w:sz w:val="32"/>
          <w:szCs w:val="32"/>
          <w:lang w:val="en-US" w:eastAsia="zh-CN"/>
        </w:rPr>
        <w:t>承担固体废物、化学品等污染防治工作的监督检查的技术服务工作，承担相关行政审批的技术审核；</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Theme="minorEastAsia" w:hAnsiTheme="minorEastAsia"/>
          <w:sz w:val="32"/>
          <w:szCs w:val="32"/>
          <w:lang w:eastAsia="zh-CN"/>
        </w:rPr>
        <w:t>（三）</w:t>
      </w:r>
      <w:r>
        <w:rPr>
          <w:rFonts w:hint="eastAsia" w:ascii="仿宋_GB2312" w:hAnsi="仿宋_GB2312" w:eastAsia="仿宋_GB2312" w:cs="仿宋_GB2312"/>
          <w:sz w:val="32"/>
          <w:szCs w:val="32"/>
          <w:lang w:val="en-US" w:eastAsia="zh-CN"/>
        </w:rPr>
        <w:t>指导企事业单位开展固体废物申报登记；协助处理固体废物污染环境事故；协助查处固体废物、化学品等方面的环境违法违规行为等工作；</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Theme="minorEastAsia" w:hAnsiTheme="minorEastAsia"/>
          <w:sz w:val="32"/>
          <w:szCs w:val="32"/>
          <w:lang w:val="en-US" w:eastAsia="zh-CN"/>
        </w:rPr>
        <w:t>（四）</w:t>
      </w:r>
      <w:r>
        <w:rPr>
          <w:rFonts w:hint="eastAsia" w:ascii="仿宋_GB2312" w:hAnsi="仿宋_GB2312" w:eastAsia="仿宋_GB2312" w:cs="仿宋_GB2312"/>
          <w:sz w:val="32"/>
          <w:szCs w:val="32"/>
          <w:lang w:val="en-US" w:eastAsia="zh-CN"/>
        </w:rPr>
        <w:t>建立完善全省固体废物和化学品环境管理信息系统工作；</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Theme="minorEastAsia" w:hAnsiTheme="minorEastAsia"/>
          <w:sz w:val="32"/>
          <w:szCs w:val="32"/>
          <w:lang w:val="en-US" w:eastAsia="zh-CN"/>
        </w:rPr>
        <w:t>（五）</w:t>
      </w:r>
      <w:r>
        <w:rPr>
          <w:rFonts w:hint="eastAsia" w:ascii="仿宋_GB2312" w:hAnsi="仿宋_GB2312" w:eastAsia="仿宋_GB2312" w:cs="仿宋_GB2312"/>
          <w:sz w:val="32"/>
          <w:szCs w:val="32"/>
          <w:lang w:val="en-US" w:eastAsia="zh-CN"/>
        </w:rPr>
        <w:t>协助承担新化学物质、危险化学品、有毒化学品进出口、易制毒化学品及毒品销毁信息报送；持久性有机污染物、POPs国际项目合作履约；侵权与假冒伪劣、走私毒品无害化处理信息报送工作；</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asciiTheme="minorEastAsia" w:hAnsiTheme="minorEastAsia"/>
          <w:sz w:val="32"/>
          <w:szCs w:val="32"/>
        </w:rPr>
      </w:pPr>
      <w:r>
        <w:rPr>
          <w:rFonts w:hint="eastAsia" w:asciiTheme="minorEastAsia" w:hAnsiTheme="minorEastAsia"/>
          <w:sz w:val="32"/>
          <w:szCs w:val="32"/>
          <w:lang w:val="en-US" w:eastAsia="zh-CN"/>
        </w:rPr>
        <w:t>（六）</w:t>
      </w:r>
      <w:r>
        <w:rPr>
          <w:rFonts w:hint="eastAsia" w:ascii="仿宋_GB2312" w:hAnsi="仿宋_GB2312" w:eastAsia="仿宋_GB2312" w:cs="仿宋_GB2312"/>
          <w:sz w:val="32"/>
          <w:szCs w:val="32"/>
          <w:lang w:val="en-US" w:eastAsia="zh-CN"/>
        </w:rPr>
        <w:t>承办厅党组及领导交办的其他事项。</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textAlignment w:val="auto"/>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textAlignment w:val="auto"/>
        <w:rPr>
          <w:rFonts w:hint="eastAsia" w:eastAsia="仿宋_GB2312"/>
          <w:color w:val="000000" w:themeColor="text1"/>
          <w:sz w:val="32"/>
          <w:szCs w:val="32"/>
          <w:lang w:eastAsia="zh-CN"/>
          <w14:textFill>
            <w14:solidFill>
              <w14:schemeClr w14:val="tx1"/>
            </w14:solidFill>
          </w14:textFill>
        </w:rPr>
      </w:pPr>
      <w:r>
        <w:rPr>
          <w:rFonts w:hint="eastAsia" w:asciiTheme="minorEastAsia" w:hAnsiTheme="minorEastAsia"/>
          <w:bCs/>
          <w:kern w:val="0"/>
          <w:sz w:val="32"/>
          <w:szCs w:val="32"/>
        </w:rPr>
        <w:t>（一）内设机构设置。</w:t>
      </w:r>
      <w:r>
        <w:rPr>
          <w:rFonts w:hint="eastAsia" w:eastAsia="仿宋_GB2312"/>
          <w:color w:val="000000" w:themeColor="text1"/>
          <w:sz w:val="32"/>
          <w:szCs w:val="32"/>
          <w:lang w:eastAsia="zh-CN"/>
          <w14:textFill>
            <w14:solidFill>
              <w14:schemeClr w14:val="tx1"/>
            </w14:solidFill>
          </w14:textFill>
        </w:rPr>
        <w:t>未设置内设科室。</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jc w:val="left"/>
        <w:textAlignment w:val="auto"/>
        <w:rPr>
          <w:rFonts w:hint="eastAsia" w:eastAsia="仿宋_GB2312"/>
          <w:color w:val="000000" w:themeColor="text1"/>
          <w:sz w:val="32"/>
          <w:szCs w:val="32"/>
          <w:lang w:eastAsia="zh-CN"/>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（二）决算单位构成。</w:t>
      </w:r>
      <w:r>
        <w:rPr>
          <w:rFonts w:eastAsia="仿宋_GB2312"/>
          <w:color w:val="000000" w:themeColor="text1"/>
          <w:sz w:val="32"/>
          <w:szCs w:val="32"/>
          <w14:textFill>
            <w14:solidFill>
              <w14:schemeClr w14:val="tx1"/>
            </w14:solidFill>
          </w14:textFill>
        </w:rPr>
        <w:t>本部门预算为</w:t>
      </w:r>
      <w:r>
        <w:rPr>
          <w:rFonts w:hint="eastAsia" w:eastAsia="仿宋_GB2312"/>
          <w:color w:val="000000" w:themeColor="text1"/>
          <w:sz w:val="32"/>
          <w:szCs w:val="32"/>
          <w:lang w:eastAsia="zh-CN"/>
          <w14:textFill>
            <w14:solidFill>
              <w14:schemeClr w14:val="tx1"/>
            </w14:solidFill>
          </w14:textFill>
        </w:rPr>
        <w:t>湖南省固体废物管理站</w:t>
      </w:r>
      <w:r>
        <w:rPr>
          <w:rFonts w:eastAsia="仿宋_GB2312"/>
          <w:color w:val="000000" w:themeColor="text1"/>
          <w:sz w:val="32"/>
          <w:szCs w:val="32"/>
          <w14:textFill>
            <w14:solidFill>
              <w14:schemeClr w14:val="tx1"/>
            </w14:solidFill>
          </w14:textFill>
        </w:rPr>
        <w:t>本级预算，纳入编制范围的预算单位包括：</w:t>
      </w:r>
      <w:r>
        <w:rPr>
          <w:rFonts w:hint="eastAsia" w:eastAsia="仿宋_GB2312"/>
          <w:color w:val="000000" w:themeColor="text1"/>
          <w:sz w:val="32"/>
          <w:szCs w:val="32"/>
          <w:lang w:eastAsia="zh-CN"/>
          <w14:textFill>
            <w14:solidFill>
              <w14:schemeClr w14:val="tx1"/>
            </w14:solidFill>
          </w14:textFill>
        </w:rPr>
        <w:t>湖南省固体废物管理站</w:t>
      </w:r>
      <w:r>
        <w:rPr>
          <w:rFonts w:eastAsia="仿宋_GB2312"/>
          <w:color w:val="000000" w:themeColor="text1"/>
          <w:sz w:val="32"/>
          <w:szCs w:val="32"/>
          <w14:textFill>
            <w14:solidFill>
              <w14:schemeClr w14:val="tx1"/>
            </w14:solidFill>
          </w14:textFill>
        </w:rPr>
        <w:t>本级</w:t>
      </w:r>
      <w:r>
        <w:rPr>
          <w:rFonts w:hint="eastAsia" w:eastAsia="仿宋_GB2312"/>
          <w:color w:val="000000" w:themeColor="text1"/>
          <w:sz w:val="32"/>
          <w:szCs w:val="32"/>
          <w:lang w:eastAsia="zh-CN"/>
          <w14:textFill>
            <w14:solidFill>
              <w14:schemeClr w14:val="tx1"/>
            </w14:solidFill>
          </w14:textFill>
        </w:rPr>
        <w:t>（仅含本级预算）。</w:t>
      </w:r>
    </w:p>
    <w:p>
      <w:pPr>
        <w:keepNext w:val="0"/>
        <w:keepLines w:val="0"/>
        <w:pageBreakBefore w:val="0"/>
        <w:kinsoku/>
        <w:wordWrap/>
        <w:overflowPunct/>
        <w:topLinePunct w:val="0"/>
        <w:autoSpaceDE/>
        <w:autoSpaceDN/>
        <w:bidi w:val="0"/>
        <w:adjustRightInd/>
        <w:snapToGrid/>
        <w:spacing w:line="620" w:lineRule="exact"/>
        <w:ind w:left="0" w:firstLine="560" w:firstLineChars="200"/>
        <w:jc w:val="center"/>
        <w:textAlignment w:val="auto"/>
        <w:rPr>
          <w:rFonts w:ascii="黑体" w:hAnsi="黑体" w:eastAsia="黑体"/>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20" w:lineRule="exact"/>
        <w:ind w:left="0" w:firstLine="560" w:firstLineChars="200"/>
        <w:jc w:val="center"/>
        <w:textAlignment w:val="auto"/>
        <w:rPr>
          <w:rFonts w:ascii="黑体" w:hAnsi="黑体" w:eastAsia="黑体"/>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20" w:lineRule="exact"/>
        <w:ind w:left="0" w:firstLine="560" w:firstLineChars="200"/>
        <w:jc w:val="center"/>
        <w:textAlignment w:val="auto"/>
        <w:rPr>
          <w:rFonts w:ascii="黑体" w:hAnsi="黑体" w:eastAsia="黑体"/>
          <w:sz w:val="28"/>
          <w:szCs w:val="28"/>
        </w:rPr>
      </w:pPr>
    </w:p>
    <w:p>
      <w:pPr>
        <w:keepNext w:val="0"/>
        <w:keepLines w:val="0"/>
        <w:pageBreakBefore w:val="0"/>
        <w:kinsoku/>
        <w:wordWrap/>
        <w:overflowPunct/>
        <w:topLinePunct w:val="0"/>
        <w:autoSpaceDE/>
        <w:autoSpaceDN/>
        <w:bidi w:val="0"/>
        <w:adjustRightInd/>
        <w:snapToGrid/>
        <w:spacing w:line="620" w:lineRule="exact"/>
        <w:ind w:left="0" w:firstLine="560" w:firstLineChars="200"/>
        <w:jc w:val="center"/>
        <w:textAlignment w:val="auto"/>
        <w:rPr>
          <w:rFonts w:ascii="黑体" w:hAnsi="黑体" w:eastAsia="黑体"/>
          <w:sz w:val="28"/>
          <w:szCs w:val="28"/>
        </w:rPr>
      </w:pPr>
    </w:p>
    <w:p>
      <w:pPr>
        <w:keepNext w:val="0"/>
        <w:keepLines w:val="0"/>
        <w:pageBreakBefore w:val="0"/>
        <w:kinsoku/>
        <w:wordWrap/>
        <w:overflowPunct/>
        <w:topLinePunct w:val="0"/>
        <w:autoSpaceDE/>
        <w:autoSpaceDN/>
        <w:bidi w:val="0"/>
        <w:adjustRightInd/>
        <w:snapToGrid/>
        <w:spacing w:line="620" w:lineRule="exact"/>
        <w:ind w:left="0" w:firstLine="560" w:firstLineChars="200"/>
        <w:jc w:val="center"/>
        <w:textAlignment w:val="auto"/>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b/>
          <w:bCs/>
          <w:sz w:val="72"/>
          <w:szCs w:val="72"/>
        </w:rPr>
      </w:pPr>
      <w:r>
        <w:rPr>
          <w:rFonts w:hint="eastAsia"/>
          <w:b/>
          <w:bCs/>
          <w:sz w:val="72"/>
          <w:szCs w:val="72"/>
        </w:rPr>
        <w:t>第二部分</w:t>
      </w:r>
    </w:p>
    <w:p>
      <w:pPr>
        <w:jc w:val="center"/>
        <w:rPr>
          <w:b/>
          <w:bCs/>
          <w:sz w:val="72"/>
          <w:szCs w:val="72"/>
        </w:rPr>
      </w:pPr>
    </w:p>
    <w:p>
      <w:pPr>
        <w:jc w:val="center"/>
        <w:rPr>
          <w:b/>
          <w:bCs/>
          <w:sz w:val="72"/>
          <w:szCs w:val="72"/>
        </w:rPr>
      </w:pPr>
      <w:r>
        <w:rPr>
          <w:rFonts w:hint="eastAsia"/>
          <w:b/>
          <w:bCs/>
          <w:sz w:val="72"/>
          <w:szCs w:val="72"/>
        </w:rPr>
        <w:t>部门决算表</w:t>
      </w:r>
    </w:p>
    <w:p>
      <w:pPr>
        <w:jc w:val="center"/>
        <w:rPr>
          <w:b/>
          <w:bCs/>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4081" w:type="dxa"/>
        <w:tblInd w:w="93" w:type="dxa"/>
        <w:tblLayout w:type="fixed"/>
        <w:tblCellMar>
          <w:top w:w="0" w:type="dxa"/>
          <w:left w:w="108" w:type="dxa"/>
          <w:bottom w:w="0" w:type="dxa"/>
          <w:right w:w="108" w:type="dxa"/>
        </w:tblCellMar>
      </w:tblPr>
      <w:tblGrid>
        <w:gridCol w:w="4126"/>
        <w:gridCol w:w="449"/>
        <w:gridCol w:w="631"/>
        <w:gridCol w:w="697"/>
        <w:gridCol w:w="232"/>
        <w:gridCol w:w="3468"/>
        <w:gridCol w:w="845"/>
        <w:gridCol w:w="1460"/>
        <w:gridCol w:w="657"/>
        <w:gridCol w:w="1516"/>
      </w:tblGrid>
      <w:tr>
        <w:tblPrEx>
          <w:tblLayout w:type="fixed"/>
          <w:tblCellMar>
            <w:top w:w="0" w:type="dxa"/>
            <w:left w:w="108" w:type="dxa"/>
            <w:bottom w:w="0" w:type="dxa"/>
            <w:right w:w="108" w:type="dxa"/>
          </w:tblCellMar>
        </w:tblPrEx>
        <w:trPr>
          <w:trHeight w:val="360" w:hRule="atLeast"/>
        </w:trPr>
        <w:tc>
          <w:tcPr>
            <w:tcW w:w="14081" w:type="dxa"/>
            <w:gridSpan w:val="10"/>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湖南省固体废物管理站</w:t>
            </w:r>
            <w:r>
              <w:rPr>
                <w:rFonts w:ascii="宋体" w:hAnsi="宋体" w:eastAsia="宋体" w:cs="宋体"/>
                <w:color w:val="000000"/>
                <w:kern w:val="0"/>
                <w:sz w:val="20"/>
                <w:szCs w:val="20"/>
              </w:rPr>
              <w:t xml:space="preserve"> </w:t>
            </w:r>
          </w:p>
        </w:tc>
        <w:tc>
          <w:tcPr>
            <w:tcW w:w="69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5903"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178" w:type="dxa"/>
            <w:gridSpan w:val="6"/>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328"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328"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395.08</w:t>
            </w: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10.70</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七、社会保障和就业支出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38.00</w:t>
            </w:r>
          </w:p>
        </w:tc>
      </w:tr>
      <w:tr>
        <w:tblPrEx>
          <w:tblLayout w:type="fixed"/>
          <w:tblCellMar>
            <w:top w:w="0" w:type="dxa"/>
            <w:left w:w="108" w:type="dxa"/>
            <w:bottom w:w="0" w:type="dxa"/>
            <w:right w:w="108" w:type="dxa"/>
          </w:tblCellMar>
        </w:tblPrEx>
        <w:trPr>
          <w:trHeight w:val="36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八、节能环保支出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343.08</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9</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九、住房公积金</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22</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14.00</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395.08</w:t>
            </w: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405.78</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10.70</w:t>
            </w:r>
          </w:p>
        </w:tc>
        <w:tc>
          <w:tcPr>
            <w:tcW w:w="370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32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b/>
                <w:bCs/>
                <w:kern w:val="0"/>
                <w:sz w:val="22"/>
                <w:lang w:val="en-US" w:eastAsia="zh-CN"/>
              </w:rPr>
              <w:t>405.78</w:t>
            </w:r>
          </w:p>
        </w:tc>
        <w:tc>
          <w:tcPr>
            <w:tcW w:w="370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405.78</w:t>
            </w:r>
          </w:p>
        </w:tc>
      </w:tr>
      <w:tr>
        <w:tblPrEx>
          <w:tblLayout w:type="fixed"/>
          <w:tblCellMar>
            <w:top w:w="0" w:type="dxa"/>
            <w:left w:w="108" w:type="dxa"/>
            <w:bottom w:w="0" w:type="dxa"/>
            <w:right w:w="108" w:type="dxa"/>
          </w:tblCellMar>
        </w:tblPrEx>
        <w:trPr>
          <w:trHeight w:val="1020" w:hRule="atLeast"/>
        </w:trPr>
        <w:tc>
          <w:tcPr>
            <w:tcW w:w="1408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8"/>
        <w:tblW w:w="14400" w:type="dxa"/>
        <w:tblInd w:w="0" w:type="dxa"/>
        <w:tblLayout w:type="fixed"/>
        <w:tblCellMar>
          <w:top w:w="0" w:type="dxa"/>
          <w:left w:w="0" w:type="dxa"/>
          <w:bottom w:w="0" w:type="dxa"/>
          <w:right w:w="0" w:type="dxa"/>
        </w:tblCellMar>
      </w:tblPr>
      <w:tblGrid>
        <w:gridCol w:w="315"/>
        <w:gridCol w:w="409"/>
        <w:gridCol w:w="1276"/>
        <w:gridCol w:w="1671"/>
        <w:gridCol w:w="1671"/>
        <w:gridCol w:w="1671"/>
        <w:gridCol w:w="1671"/>
        <w:gridCol w:w="1671"/>
        <w:gridCol w:w="1671"/>
        <w:gridCol w:w="2374"/>
      </w:tblGrid>
      <w:tr>
        <w:tblPrEx>
          <w:tblLayout w:type="fixed"/>
          <w:tblCellMar>
            <w:top w:w="0" w:type="dxa"/>
            <w:left w:w="0" w:type="dxa"/>
            <w:bottom w:w="0" w:type="dxa"/>
            <w:right w:w="0" w:type="dxa"/>
          </w:tblCellMar>
        </w:tblPrEx>
        <w:trPr>
          <w:trHeight w:val="43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09"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76"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611" w:hRule="atLeast"/>
        </w:trPr>
        <w:tc>
          <w:tcPr>
            <w:tcW w:w="724"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4618" w:type="dxa"/>
            <w:gridSpan w:val="3"/>
            <w:tcBorders>
              <w:top w:val="nil"/>
              <w:left w:val="nil"/>
              <w:bottom w:val="nil"/>
              <w:right w:val="nil"/>
            </w:tcBorders>
            <w:shd w:val="clear" w:color="000000" w:fill="FFFFFF"/>
            <w:tcMar>
              <w:top w:w="15" w:type="dxa"/>
              <w:left w:w="15" w:type="dxa"/>
              <w:bottom w:w="0" w:type="dxa"/>
              <w:right w:w="15" w:type="dxa"/>
            </w:tcMar>
            <w:vAlign w:val="center"/>
          </w:tcPr>
          <w:p>
            <w:pPr>
              <w:jc w:val="left"/>
              <w:rPr>
                <w:rFonts w:ascii="宋体" w:hAnsi="宋体" w:eastAsia="宋体" w:cs="宋体"/>
                <w:sz w:val="24"/>
                <w:szCs w:val="24"/>
              </w:rPr>
            </w:pPr>
            <w:r>
              <w:rPr>
                <w:rFonts w:hint="eastAsia" w:ascii="宋体" w:hAnsi="宋体" w:eastAsia="宋体" w:cs="宋体"/>
                <w:color w:val="000000"/>
                <w:kern w:val="0"/>
                <w:sz w:val="20"/>
                <w:szCs w:val="20"/>
                <w:lang w:eastAsia="zh-CN"/>
              </w:rPr>
              <w:t>湖南省固体废物管理站</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7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72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276"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72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76"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37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395.08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395.08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724"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2080505</w:t>
            </w:r>
          </w:p>
        </w:tc>
        <w:tc>
          <w:tcPr>
            <w:tcW w:w="12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机关事业单位基本养老保险缴费支出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38.00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38.00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724"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2110101</w:t>
            </w:r>
          </w:p>
        </w:tc>
        <w:tc>
          <w:tcPr>
            <w:tcW w:w="12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ascii="宋体" w:hAnsi="宋体" w:eastAsia="宋体" w:cs="宋体"/>
                <w:sz w:val="24"/>
                <w:szCs w:val="24"/>
                <w:lang w:eastAsia="zh-CN"/>
              </w:rPr>
            </w:pPr>
            <w:r>
              <w:rPr>
                <w:rFonts w:hint="eastAsia" w:eastAsia="宋体"/>
                <w:lang w:eastAsia="zh-CN"/>
              </w:rPr>
              <w:t>行政运行</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华文中宋" w:hAnsi="华文中宋" w:eastAsia="华文中宋" w:cs="宋体"/>
                <w:sz w:val="24"/>
                <w:szCs w:val="24"/>
              </w:rPr>
            </w:pPr>
            <w:r>
              <w:rPr>
                <w:rFonts w:hint="eastAsia" w:ascii="华文中宋" w:hAnsi="华文中宋" w:eastAsia="华文中宋"/>
                <w:lang w:val="en-US" w:eastAsia="zh-CN"/>
              </w:rPr>
              <w:t>168.08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168.08</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724"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2110304</w:t>
            </w:r>
          </w:p>
        </w:tc>
        <w:tc>
          <w:tcPr>
            <w:tcW w:w="12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固体废弃物与化学品</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175.00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175.00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450" w:hRule="atLeast"/>
        </w:trPr>
        <w:tc>
          <w:tcPr>
            <w:tcW w:w="724"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default" w:ascii="宋体" w:hAnsi="宋体" w:eastAsia="宋体" w:cs="宋体"/>
                <w:sz w:val="24"/>
                <w:szCs w:val="24"/>
                <w:lang w:val="en-US" w:eastAsia="zh-CN"/>
              </w:rPr>
            </w:pPr>
            <w:r>
              <w:rPr>
                <w:rFonts w:hint="eastAsia" w:eastAsia="宋体"/>
                <w:lang w:val="en-US" w:eastAsia="zh-CN"/>
              </w:rPr>
              <w:t>2210101</w:t>
            </w:r>
          </w:p>
        </w:tc>
        <w:tc>
          <w:tcPr>
            <w:tcW w:w="1276"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lang w:eastAsia="zh-CN"/>
              </w:rPr>
            </w:pPr>
            <w:r>
              <w:rPr>
                <w:rFonts w:hint="eastAsia"/>
                <w:lang w:eastAsia="zh-CN"/>
              </w:rPr>
              <w:t>住房公积金</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rPr>
            </w:pPr>
            <w:r>
              <w:rPr>
                <w:rFonts w:hint="eastAsia"/>
                <w:lang w:val="en-US" w:eastAsia="zh-CN"/>
              </w:rPr>
              <w:t>14.00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14.00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trHeight w:val="61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tbl>
      <w:tblPr>
        <w:tblStyle w:val="8"/>
        <w:tblpPr w:leftFromText="180" w:rightFromText="180" w:vertAnchor="text" w:horzAnchor="page" w:tblpX="1598" w:tblpY="622"/>
        <w:tblOverlap w:val="never"/>
        <w:tblW w:w="13183" w:type="dxa"/>
        <w:tblInd w:w="0" w:type="dxa"/>
        <w:tblLayout w:type="fixed"/>
        <w:tblCellMar>
          <w:top w:w="0" w:type="dxa"/>
          <w:left w:w="108" w:type="dxa"/>
          <w:bottom w:w="0" w:type="dxa"/>
          <w:right w:w="108" w:type="dxa"/>
        </w:tblCellMar>
      </w:tblPr>
      <w:tblGrid>
        <w:gridCol w:w="1024"/>
        <w:gridCol w:w="240"/>
        <w:gridCol w:w="1249"/>
        <w:gridCol w:w="1646"/>
        <w:gridCol w:w="1679"/>
        <w:gridCol w:w="1679"/>
        <w:gridCol w:w="1679"/>
        <w:gridCol w:w="1679"/>
        <w:gridCol w:w="2308"/>
      </w:tblGrid>
      <w:tr>
        <w:tblPrEx>
          <w:tblLayout w:type="fixed"/>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102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285" w:hRule="atLeast"/>
        </w:trPr>
        <w:tc>
          <w:tcPr>
            <w:tcW w:w="1024"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814" w:type="dxa"/>
            <w:gridSpan w:val="4"/>
            <w:tcBorders>
              <w:top w:val="nil"/>
              <w:left w:val="nil"/>
              <w:bottom w:val="nil"/>
              <w:right w:val="nil"/>
            </w:tcBorders>
            <w:shd w:val="clear" w:color="000000" w:fill="FFFFFF"/>
            <w:vAlign w:val="center"/>
          </w:tcPr>
          <w:p>
            <w:pPr>
              <w:widowControl/>
              <w:jc w:val="both"/>
              <w:rPr>
                <w:rFonts w:ascii="宋体" w:hAnsi="宋体" w:eastAsia="宋体" w:cs="宋体"/>
                <w:kern w:val="0"/>
                <w:sz w:val="24"/>
                <w:szCs w:val="24"/>
              </w:rPr>
            </w:pPr>
            <w:r>
              <w:rPr>
                <w:rFonts w:hint="eastAsia" w:ascii="宋体" w:hAnsi="宋体" w:eastAsia="宋体" w:cs="宋体"/>
                <w:color w:val="000000"/>
                <w:kern w:val="0"/>
                <w:sz w:val="20"/>
                <w:szCs w:val="20"/>
                <w:lang w:eastAsia="zh-CN"/>
              </w:rPr>
              <w:t>湖南省固体废物管理站</w:t>
            </w: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405.78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230.78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175.00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2010101</w:t>
            </w:r>
          </w:p>
        </w:tc>
        <w:tc>
          <w:tcPr>
            <w:tcW w:w="1249" w:type="dxa"/>
            <w:tcBorders>
              <w:top w:val="nil"/>
              <w:left w:val="nil"/>
              <w:bottom w:val="single" w:color="auto" w:sz="4" w:space="0"/>
              <w:right w:val="single" w:color="auto" w:sz="4" w:space="0"/>
            </w:tcBorders>
            <w:shd w:val="clear" w:color="000000" w:fill="FFFFFF"/>
            <w:vAlign w:val="center"/>
          </w:tcPr>
          <w:p>
            <w:pPr>
              <w:rPr>
                <w:rFonts w:hint="eastAsia"/>
                <w:lang w:eastAsia="zh-CN"/>
              </w:rPr>
            </w:pPr>
            <w:r>
              <w:rPr>
                <w:rFonts w:hint="eastAsia"/>
                <w:lang w:eastAsia="zh-CN"/>
              </w:rPr>
              <w:t>行政运行</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10.70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10.70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2080505</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rPr>
              <w:t>机关事业单位基本养老保险缴费支出</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38.00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38.00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2110101</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eastAsia="zh-CN"/>
              </w:rPr>
              <w:t>行政运行</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168.08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168.08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2110304</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rPr>
              <w:t>固体废弃物与化学品</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175.00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175.00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eastAsia="宋体"/>
                <w:lang w:val="en-US" w:eastAsia="zh-CN"/>
              </w:rPr>
              <w:t>2210101</w:t>
            </w:r>
          </w:p>
        </w:tc>
        <w:tc>
          <w:tcPr>
            <w:tcW w:w="1249"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kern w:val="0"/>
                <w:sz w:val="24"/>
                <w:szCs w:val="24"/>
              </w:rPr>
            </w:pPr>
            <w:r>
              <w:rPr>
                <w:rFonts w:hint="eastAsia"/>
                <w:lang w:eastAsia="zh-CN"/>
              </w:rPr>
              <w:t>住房公积金</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14.00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14.00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jc w:val="both"/>
        <w:rPr>
          <w:rFonts w:ascii="Times New Roman" w:hAnsi="Times New Roman" w:eastAsia="方正小标宋_GBK" w:cs="Times New Roman"/>
          <w:color w:val="000000"/>
          <w:kern w:val="0"/>
          <w:sz w:val="36"/>
          <w:szCs w:val="21"/>
        </w:rPr>
      </w:pPr>
    </w:p>
    <w:tbl>
      <w:tblPr>
        <w:tblStyle w:val="8"/>
        <w:tblW w:w="15521" w:type="dxa"/>
        <w:tblInd w:w="93" w:type="dxa"/>
        <w:tblLayout w:type="fixed"/>
        <w:tblCellMar>
          <w:top w:w="0" w:type="dxa"/>
          <w:left w:w="108" w:type="dxa"/>
          <w:bottom w:w="0" w:type="dxa"/>
          <w:right w:w="108" w:type="dxa"/>
        </w:tblCellMar>
      </w:tblPr>
      <w:tblGrid>
        <w:gridCol w:w="3595"/>
        <w:gridCol w:w="436"/>
        <w:gridCol w:w="1078"/>
        <w:gridCol w:w="3411"/>
        <w:gridCol w:w="632"/>
        <w:gridCol w:w="435"/>
        <w:gridCol w:w="1573"/>
        <w:gridCol w:w="1394"/>
        <w:gridCol w:w="1394"/>
        <w:gridCol w:w="1573"/>
      </w:tblGrid>
      <w:tr>
        <w:tblPrEx>
          <w:tblLayout w:type="fixed"/>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vAlign w:val="center"/>
          </w:tcPr>
          <w:p>
            <w:pPr>
              <w:widowControl/>
              <w:jc w:val="center"/>
              <w:rPr>
                <w:rFonts w:hint="eastAsia" w:ascii="华文中宋" w:hAnsi="华文中宋" w:eastAsia="华文中宋" w:cs="宋体"/>
                <w:color w:val="000000"/>
                <w:kern w:val="0"/>
                <w:sz w:val="32"/>
                <w:szCs w:val="32"/>
              </w:rPr>
            </w:pPr>
            <w:bookmarkStart w:id="0" w:name="RANGE!A1:I22"/>
            <w:bookmarkEnd w:id="0"/>
            <w:bookmarkStart w:id="1" w:name="RANGE!A1:F16"/>
          </w:p>
          <w:p>
            <w:pPr>
              <w:widowControl/>
              <w:jc w:val="center"/>
              <w:rPr>
                <w:rFonts w:hint="eastAsia"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湖南省固体废物管理站</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395.08</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10.70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10.70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r>
              <w:rPr>
                <w:rFonts w:hint="eastAsia" w:ascii="宋体" w:hAnsi="宋体" w:eastAsia="宋体" w:cs="宋体"/>
                <w:kern w:val="0"/>
                <w:sz w:val="22"/>
                <w:lang w:eastAsia="zh-CN"/>
              </w:rPr>
              <w:t>七、社会保障和就业支出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21</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38.00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38.00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2"/>
                <w:lang w:eastAsia="zh-CN"/>
              </w:rPr>
              <w:t>八、节能环保支出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2</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343.08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343.08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lang w:eastAsia="zh-CN"/>
              </w:rPr>
              <w:t>九、住房公积金</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3</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395.08</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405.78</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10.70</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8</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405.78</w:t>
            </w:r>
            <w:r>
              <w:rPr>
                <w:rFonts w:hint="eastAsia" w:ascii="宋体" w:hAnsi="宋体" w:eastAsia="宋体" w:cs="宋体"/>
                <w:kern w:val="0"/>
                <w:sz w:val="22"/>
              </w:rPr>
              <w:t>　</w:t>
            </w:r>
          </w:p>
        </w:tc>
        <w:tc>
          <w:tcPr>
            <w:tcW w:w="341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2</w:t>
            </w:r>
            <w:r>
              <w:rPr>
                <w:rFonts w:hint="eastAsia" w:ascii="宋体" w:hAnsi="宋体" w:eastAsia="宋体" w:cs="宋体"/>
                <w:kern w:val="0"/>
                <w:sz w:val="22"/>
                <w:lang w:val="en-US" w:eastAsia="zh-CN"/>
              </w:rPr>
              <w:t>9</w:t>
            </w:r>
          </w:p>
        </w:tc>
        <w:tc>
          <w:tcPr>
            <w:tcW w:w="1573"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405.78</w:t>
            </w:r>
          </w:p>
        </w:tc>
        <w:tc>
          <w:tcPr>
            <w:tcW w:w="1394" w:type="dxa"/>
            <w:tcBorders>
              <w:top w:val="nil"/>
              <w:left w:val="nil"/>
              <w:bottom w:val="single" w:color="auto" w:sz="4" w:space="0"/>
              <w:right w:val="single" w:color="auto" w:sz="4" w:space="0"/>
            </w:tcBorders>
            <w:shd w:val="clear" w:color="000000" w:fill="FFFFFF"/>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405.78</w:t>
            </w:r>
          </w:p>
        </w:tc>
        <w:tc>
          <w:tcPr>
            <w:tcW w:w="1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湖南省固体废物管理站</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8"/>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405.78</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230.78</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175.00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2010101</w:t>
            </w:r>
          </w:p>
        </w:tc>
        <w:tc>
          <w:tcPr>
            <w:tcW w:w="3527"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lang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10.70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10.70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eastAsia="宋体"/>
                <w:lang w:val="en-US" w:eastAsia="zh-CN"/>
              </w:rPr>
              <w:t>2080505</w:t>
            </w:r>
          </w:p>
        </w:tc>
        <w:tc>
          <w:tcPr>
            <w:tcW w:w="3527"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38.00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38.00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eastAsia="宋体"/>
                <w:lang w:val="en-US" w:eastAsia="zh-CN"/>
              </w:rPr>
              <w:t>2110101</w:t>
            </w:r>
          </w:p>
        </w:tc>
        <w:tc>
          <w:tcPr>
            <w:tcW w:w="3527"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eastAsia="宋体"/>
                <w:lang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168.08</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168.08</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eastAsia="宋体"/>
                <w:lang w:val="en-US" w:eastAsia="zh-CN"/>
              </w:rPr>
              <w:t>2110304</w:t>
            </w:r>
          </w:p>
        </w:tc>
        <w:tc>
          <w:tcPr>
            <w:tcW w:w="3527"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固体废弃物与化学品</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175.00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175.00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eastAsia="宋体"/>
                <w:lang w:val="en-US" w:eastAsia="zh-CN"/>
              </w:rPr>
              <w:t>2210101</w:t>
            </w:r>
          </w:p>
        </w:tc>
        <w:tc>
          <w:tcPr>
            <w:tcW w:w="3527"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lang w:eastAsia="zh-CN"/>
              </w:rPr>
              <w:t>住房公积金</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14.00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宋体" w:hAnsi="宋体" w:eastAsia="宋体" w:cs="宋体"/>
                <w:kern w:val="0"/>
                <w:sz w:val="24"/>
                <w:szCs w:val="24"/>
                <w:lang w:val="en-US" w:eastAsia="zh-CN"/>
              </w:rPr>
              <w:t>14.00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宋体" w:hAnsi="宋体" w:eastAsia="宋体" w:cs="宋体"/>
                <w:kern w:val="0"/>
                <w:sz w:val="24"/>
                <w:szCs w:val="24"/>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宋体" w:hAnsi="宋体" w:eastAsia="宋体" w:cs="宋体"/>
                <w:kern w:val="0"/>
                <w:sz w:val="24"/>
                <w:szCs w:val="24"/>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8"/>
        <w:tblW w:w="15614" w:type="dxa"/>
        <w:tblInd w:w="0" w:type="dxa"/>
        <w:tblLayout w:type="fixed"/>
        <w:tblCellMar>
          <w:top w:w="0" w:type="dxa"/>
          <w:left w:w="108" w:type="dxa"/>
          <w:bottom w:w="0" w:type="dxa"/>
          <w:right w:w="108" w:type="dxa"/>
        </w:tblCellMar>
      </w:tblPr>
      <w:tblGrid>
        <w:gridCol w:w="1197"/>
        <w:gridCol w:w="3123"/>
        <w:gridCol w:w="1065"/>
        <w:gridCol w:w="1072"/>
        <w:gridCol w:w="2300"/>
        <w:gridCol w:w="911"/>
        <w:gridCol w:w="1124"/>
        <w:gridCol w:w="3905"/>
        <w:gridCol w:w="917"/>
      </w:tblGrid>
      <w:tr>
        <w:tblPrEx>
          <w:tblLayout w:type="fixed"/>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湖南省固体废物管理站</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1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9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181.00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49.78</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38.00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46.00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32.20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7.50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38.00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0.60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2.10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18.00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14.00</w:t>
            </w: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0.70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4.50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9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10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3.88</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9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3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06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b/>
                <w:bCs/>
                <w:color w:val="000000"/>
                <w:kern w:val="0"/>
                <w:szCs w:val="20"/>
                <w:lang w:val="en-US" w:eastAsia="zh-CN"/>
              </w:rPr>
              <w:t>181.00</w:t>
            </w:r>
          </w:p>
        </w:tc>
        <w:tc>
          <w:tcPr>
            <w:tcW w:w="931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17"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b/>
                <w:bCs/>
                <w:color w:val="000000"/>
                <w:kern w:val="0"/>
                <w:szCs w:val="18"/>
                <w:lang w:val="en-US" w:eastAsia="zh-CN"/>
              </w:rPr>
              <w:t>49.78</w:t>
            </w:r>
          </w:p>
        </w:tc>
      </w:tr>
      <w:tr>
        <w:tblPrEx>
          <w:tblLayout w:type="fixed"/>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hint="eastAsia" w:ascii="宋体" w:hAnsi="宋体" w:eastAsia="宋体" w:cs="宋体"/>
                <w:color w:val="000000"/>
                <w:kern w:val="0"/>
                <w:szCs w:val="24"/>
                <w:lang w:eastAsia="zh-CN"/>
              </w:rPr>
            </w:pPr>
            <w:r>
              <w:rPr>
                <w:rFonts w:hint="eastAsia" w:ascii="宋体" w:hAnsi="宋体" w:eastAsia="宋体" w:cs="宋体"/>
                <w:color w:val="000000"/>
                <w:kern w:val="0"/>
                <w:szCs w:val="24"/>
                <w:lang w:val="en-US" w:eastAsia="zh-CN"/>
              </w:rPr>
              <w:t xml:space="preserve"> </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湖南省固体废物管理站</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6.50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4.50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hint="default" w:ascii="Times New Roman" w:hAnsi="Times New Roman" w:eastAsia="方正小标宋_GBK" w:cs="Times New Roman"/>
          <w:kern w:val="0"/>
          <w:sz w:val="36"/>
          <w:szCs w:val="36"/>
          <w:lang w:val="en-US" w:eastAsia="zh-CN"/>
        </w:rPr>
      </w:pPr>
      <w:r>
        <w:rPr>
          <w:rFonts w:ascii="Times New Roman" w:hAnsi="Times New Roman" w:eastAsia="方正小标宋_GBK" w:cs="Times New Roman"/>
          <w:kern w:val="0"/>
          <w:sz w:val="36"/>
          <w:szCs w:val="36"/>
        </w:rPr>
        <w:t>政府性基金预算财政拨款收入支出决算表</w:t>
      </w:r>
      <w:r>
        <w:rPr>
          <w:rFonts w:hint="eastAsia" w:ascii="Times New Roman" w:hAnsi="Times New Roman" w:eastAsia="方正小标宋_GBK" w:cs="Times New Roman"/>
          <w:kern w:val="0"/>
          <w:sz w:val="36"/>
          <w:szCs w:val="36"/>
          <w:lang w:val="en-US" w:eastAsia="zh-CN"/>
        </w:rPr>
        <w:t xml:space="preserve">  </w:t>
      </w:r>
    </w:p>
    <w:p>
      <w:pPr>
        <w:widowControl/>
        <w:wordWrap w:val="0"/>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湖南省固体废物管理站</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公开08表</w:t>
      </w:r>
    </w:p>
    <w:p>
      <w:pPr>
        <w:widowControl/>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单位：万元</w:t>
      </w:r>
    </w:p>
    <w:tbl>
      <w:tblPr>
        <w:tblStyle w:val="8"/>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说明：</w:t>
      </w:r>
      <w:r>
        <w:rPr>
          <w:rFonts w:hint="eastAsia" w:ascii="宋体" w:hAnsi="宋体" w:eastAsia="宋体" w:cs="宋体"/>
          <w:kern w:val="0"/>
          <w:sz w:val="24"/>
          <w:szCs w:val="24"/>
          <w:lang w:eastAsia="zh-CN"/>
        </w:rPr>
        <w:t>湖南省固体废物管理站</w:t>
      </w:r>
      <w:r>
        <w:rPr>
          <w:rFonts w:hint="eastAsia" w:ascii="宋体" w:hAnsi="宋体" w:eastAsia="宋体" w:cs="宋体"/>
          <w:kern w:val="0"/>
          <w:sz w:val="24"/>
          <w:szCs w:val="24"/>
        </w:rPr>
        <w:t>没有政府性基金收入，也没有使用政府性基金安排的支出，故本表无数据。</w:t>
      </w:r>
    </w:p>
    <w:p>
      <w:pPr>
        <w:widowControl/>
        <w:jc w:val="left"/>
        <w:rPr>
          <w:rFonts w:ascii="黑体" w:hAnsi="黑体" w:eastAsia="黑体"/>
          <w:szCs w:val="21"/>
        </w:rPr>
      </w:pPr>
      <w:r>
        <w:rPr>
          <w:rFonts w:ascii="黑体" w:hAnsi="黑体" w:eastAsia="黑体"/>
          <w:szCs w:val="21"/>
        </w:rPr>
        <w:br w:type="page"/>
      </w:r>
    </w:p>
    <w:tbl>
      <w:tblPr>
        <w:tblStyle w:val="8"/>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000" w:type="dxa"/>
            <w:gridSpan w:val="4"/>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0"/>
                <w:szCs w:val="20"/>
                <w:lang w:eastAsia="zh-CN"/>
              </w:rPr>
              <w:t>湖南省固体废物管理站</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说明</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湖南省固体废物管理站</w:t>
            </w:r>
            <w:r>
              <w:rPr>
                <w:rFonts w:hint="eastAsia" w:ascii="宋体" w:hAnsi="宋体" w:eastAsia="宋体" w:cs="宋体"/>
                <w:kern w:val="0"/>
                <w:sz w:val="24"/>
                <w:szCs w:val="24"/>
              </w:rPr>
              <w:t>本年度</w:t>
            </w:r>
            <w:r>
              <w:rPr>
                <w:rFonts w:hint="eastAsia" w:ascii="宋体" w:hAnsi="宋体" w:eastAsia="宋体" w:cs="宋体"/>
                <w:kern w:val="0"/>
                <w:sz w:val="24"/>
                <w:szCs w:val="24"/>
                <w:lang w:eastAsia="zh-CN"/>
              </w:rPr>
              <w:t>无</w:t>
            </w:r>
            <w:r>
              <w:rPr>
                <w:rFonts w:hint="eastAsia" w:ascii="宋体" w:hAnsi="宋体" w:eastAsia="宋体" w:cs="宋体"/>
                <w:kern w:val="0"/>
                <w:sz w:val="24"/>
                <w:szCs w:val="24"/>
              </w:rPr>
              <w:t>国有资本经营预算财政拨款支出情况</w:t>
            </w:r>
            <w:r>
              <w:rPr>
                <w:rFonts w:hint="eastAsia" w:ascii="宋体" w:hAnsi="宋体" w:eastAsia="宋体" w:cs="宋体"/>
                <w:kern w:val="0"/>
                <w:sz w:val="24"/>
                <w:szCs w:val="24"/>
                <w:lang w:eastAsia="zh-CN"/>
              </w:rPr>
              <w:t>，本表无数据</w:t>
            </w:r>
            <w:r>
              <w:rPr>
                <w:rFonts w:hint="eastAsia" w:ascii="宋体" w:hAnsi="宋体" w:eastAsia="宋体" w:cs="宋体"/>
                <w:kern w:val="0"/>
                <w:sz w:val="24"/>
                <w:szCs w:val="24"/>
              </w:rPr>
              <w:t>。</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一、收入支出决算总体情况说明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2020年度收、支总计</w:t>
      </w:r>
      <w:r>
        <w:rPr>
          <w:rFonts w:hint="eastAsia" w:asciiTheme="minorEastAsia" w:hAnsiTheme="minorEastAsia" w:eastAsiaTheme="minorEastAsia"/>
          <w:sz w:val="32"/>
          <w:szCs w:val="32"/>
          <w:lang w:val="en-US" w:eastAsia="zh-CN"/>
        </w:rPr>
        <w:t>359.08</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35.92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项目经费增加。</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二、收入决算情况说明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395.08</w:t>
      </w:r>
      <w:r>
        <w:rPr>
          <w:rFonts w:hint="eastAsia" w:asciiTheme="minorEastAsia" w:hAnsiTheme="minorEastAsia" w:eastAsiaTheme="minorEastAsia"/>
          <w:sz w:val="32"/>
          <w:szCs w:val="32"/>
        </w:rPr>
        <w:t>元，其中：财政拨款收入</w:t>
      </w:r>
      <w:r>
        <w:rPr>
          <w:rFonts w:hint="eastAsia" w:asciiTheme="minorEastAsia" w:hAnsiTheme="minorEastAsia" w:eastAsiaTheme="minorEastAsia"/>
          <w:sz w:val="32"/>
          <w:szCs w:val="32"/>
          <w:lang w:val="en-US" w:eastAsia="zh-CN"/>
        </w:rPr>
        <w:t>395.08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三、支出决算情况说明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405.78</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230.78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56.87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175.00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43.13</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四、财政拨款收入支出决算总体情况说明</w:t>
      </w:r>
    </w:p>
    <w:p>
      <w:pPr>
        <w:keepNext w:val="0"/>
        <w:keepLines w:val="0"/>
        <w:pageBreakBefore w:val="0"/>
        <w:widowControl/>
        <w:kinsoku/>
        <w:wordWrap/>
        <w:overflowPunct/>
        <w:topLinePunct w:val="0"/>
        <w:bidi w:val="0"/>
        <w:spacing w:line="620" w:lineRule="exact"/>
        <w:ind w:left="0" w:leftChars="0" w:firstLine="640" w:firstLineChars="200"/>
        <w:textAlignment w:val="auto"/>
        <w:rPr>
          <w:rFonts w:asciiTheme="minorEastAsia" w:hAnsiTheme="minorEastAsia" w:eastAsiaTheme="minorEastAsia"/>
          <w:b w:val="0"/>
          <w:bCs/>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2020年度财政拨款收、支总计</w:t>
      </w:r>
      <w:r>
        <w:rPr>
          <w:rFonts w:hint="eastAsia" w:asciiTheme="minorEastAsia" w:hAnsiTheme="minorEastAsia" w:eastAsiaTheme="minorEastAsia"/>
          <w:sz w:val="32"/>
          <w:szCs w:val="32"/>
          <w:lang w:val="en-US" w:eastAsia="zh-CN"/>
        </w:rPr>
        <w:t>405.78</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32.48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8.70</w:t>
      </w:r>
      <w:r>
        <w:rPr>
          <w:rFonts w:hint="eastAsia" w:asciiTheme="minorEastAsia" w:hAnsiTheme="minorEastAsia" w:eastAsiaTheme="minorEastAsia"/>
          <w:sz w:val="32"/>
          <w:szCs w:val="32"/>
        </w:rPr>
        <w:t>%，主要是因为</w:t>
      </w:r>
      <w:r>
        <w:rPr>
          <w:rFonts w:hint="eastAsia" w:ascii="宋体" w:hAnsi="宋体" w:eastAsia="宋体" w:cs="宋体"/>
          <w:b w:val="0"/>
          <w:bCs/>
          <w:color w:val="000000" w:themeColor="text1"/>
          <w:sz w:val="32"/>
          <w:szCs w:val="32"/>
          <w:lang w:eastAsia="zh-CN"/>
          <w14:textFill>
            <w14:solidFill>
              <w14:schemeClr w14:val="tx1"/>
            </w14:solidFill>
          </w14:textFill>
        </w:rPr>
        <w:t>为了摸清全省危险废物底数，全面排查隐患，增加了危险废物大调查大排查专项工作</w:t>
      </w:r>
      <w:r>
        <w:rPr>
          <w:rFonts w:hint="eastAsia" w:ascii="宋体" w:hAnsi="宋体" w:eastAsia="宋体" w:cs="宋体"/>
          <w:b w:val="0"/>
          <w:bCs/>
          <w:color w:val="000000" w:themeColor="text1"/>
          <w:sz w:val="32"/>
          <w:szCs w:val="32"/>
          <w14:textFill>
            <w14:solidFill>
              <w14:schemeClr w14:val="tx1"/>
            </w14:solidFill>
          </w14:textFill>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五、一般公共预算财政拨款支出决算情况说明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（一）财政拨款支出决算总体情况</w:t>
      </w:r>
    </w:p>
    <w:p>
      <w:pPr>
        <w:keepNext w:val="0"/>
        <w:keepLines w:val="0"/>
        <w:pageBreakBefore w:val="0"/>
        <w:widowControl/>
        <w:kinsoku/>
        <w:wordWrap/>
        <w:overflowPunct/>
        <w:topLinePunct w:val="0"/>
        <w:bidi w:val="0"/>
        <w:spacing w:line="620" w:lineRule="exact"/>
        <w:ind w:left="0" w:leftChars="0"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2020年度财政拨款支出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405.78</w:t>
      </w:r>
      <w:r>
        <w:rPr>
          <w:rFonts w:hint="eastAsia" w:asciiTheme="minorEastAsia" w:hAnsiTheme="minorEastAsia" w:eastAsiaTheme="minorEastAsia"/>
          <w:color w:val="000000" w:themeColor="text1"/>
          <w:sz w:val="32"/>
          <w:szCs w:val="32"/>
          <w14:textFill>
            <w14:solidFill>
              <w14:schemeClr w14:val="tx1"/>
            </w14:solidFill>
          </w14:textFill>
        </w:rPr>
        <w:t>万元，占本年支出合计的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%，与上年相比，财政拨款支出增加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32.48</w:t>
      </w:r>
      <w:r>
        <w:rPr>
          <w:rFonts w:hint="eastAsia" w:asciiTheme="minorEastAsia" w:hAnsiTheme="minorEastAsia" w:eastAsiaTheme="minorEastAsia"/>
          <w:color w:val="000000" w:themeColor="text1"/>
          <w:sz w:val="32"/>
          <w:szCs w:val="32"/>
          <w14:textFill>
            <w14:solidFill>
              <w14:schemeClr w14:val="tx1"/>
            </w14:solidFill>
          </w14:textFill>
        </w:rPr>
        <w:t>万元，增长</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8.7%</w:t>
      </w:r>
      <w:r>
        <w:rPr>
          <w:rFonts w:hint="eastAsia" w:asciiTheme="minorEastAsia" w:hAnsiTheme="minorEastAsia" w:eastAsiaTheme="minorEastAsia"/>
          <w:color w:val="000000" w:themeColor="text1"/>
          <w:sz w:val="32"/>
          <w:szCs w:val="32"/>
          <w14:textFill>
            <w14:solidFill>
              <w14:schemeClr w14:val="tx1"/>
            </w14:solidFill>
          </w14:textFill>
        </w:rPr>
        <w:t>%，主要是因为</w:t>
      </w:r>
      <w:r>
        <w:rPr>
          <w:rFonts w:hint="eastAsia" w:ascii="宋体" w:hAnsi="宋体" w:eastAsia="宋体" w:cs="宋体"/>
          <w:b w:val="0"/>
          <w:bCs/>
          <w:color w:val="000000" w:themeColor="text1"/>
          <w:sz w:val="32"/>
          <w:szCs w:val="32"/>
          <w:lang w:eastAsia="zh-CN"/>
          <w14:textFill>
            <w14:solidFill>
              <w14:schemeClr w14:val="tx1"/>
            </w14:solidFill>
          </w14:textFill>
        </w:rPr>
        <w:t>为了摸清全省危险废物底数，全面排查隐患，增加了危险废物大调查大排查专项工作</w:t>
      </w:r>
      <w:r>
        <w:rPr>
          <w:rFonts w:hint="eastAsia" w:ascii="宋体" w:hAnsi="宋体" w:eastAsia="宋体" w:cs="宋体"/>
          <w:b w:val="0"/>
          <w:bCs/>
          <w:color w:val="000000" w:themeColor="text1"/>
          <w:sz w:val="32"/>
          <w:szCs w:val="32"/>
          <w14:textFill>
            <w14:solidFill>
              <w14:schemeClr w14:val="tx1"/>
            </w14:solidFill>
          </w14:textFill>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（二）财政拨款支出决算结构情况</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405.78</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405.78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%；教育（类）支出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2020年度财政拨款支出年初预算数为</w:t>
      </w:r>
      <w:r>
        <w:rPr>
          <w:rFonts w:hint="eastAsia" w:ascii="宋体" w:hAnsi="宋体" w:eastAsia="宋体" w:cs="宋体"/>
          <w:sz w:val="32"/>
          <w:szCs w:val="32"/>
          <w:lang w:val="en-US" w:eastAsia="zh-CN"/>
        </w:rPr>
        <w:t>359.08</w:t>
      </w:r>
      <w:r>
        <w:rPr>
          <w:rFonts w:hint="eastAsia" w:ascii="宋体" w:hAnsi="宋体" w:eastAsia="宋体" w:cs="宋体"/>
          <w:sz w:val="32"/>
          <w:szCs w:val="32"/>
        </w:rPr>
        <w:t>万元，支出决算数为</w:t>
      </w:r>
      <w:r>
        <w:rPr>
          <w:rFonts w:hint="eastAsia" w:ascii="宋体" w:hAnsi="宋体" w:eastAsia="宋体" w:cs="宋体"/>
          <w:sz w:val="32"/>
          <w:szCs w:val="32"/>
          <w:lang w:val="en-US" w:eastAsia="zh-CN"/>
        </w:rPr>
        <w:t>359.08</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%，其中：</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0" w:leftChars="0" w:right="0" w:rightChars="0" w:firstLine="640" w:firstLineChars="200"/>
        <w:jc w:val="left"/>
        <w:textAlignment w:val="auto"/>
        <w:outlineLvl w:val="9"/>
        <w:rPr>
          <w:rFonts w:hint="eastAsia" w:ascii="宋体" w:hAnsi="宋体" w:eastAsia="宋体" w:cs="宋体"/>
          <w:b/>
          <w:bCs w:val="0"/>
          <w:sz w:val="32"/>
          <w:szCs w:val="32"/>
          <w:lang w:val="en-US" w:eastAsia="zh-CN"/>
        </w:rPr>
      </w:pPr>
      <w:r>
        <w:rPr>
          <w:rFonts w:hint="eastAsia" w:ascii="宋体" w:hAnsi="宋体" w:eastAsia="宋体" w:cs="宋体"/>
          <w:b/>
          <w:bCs w:val="0"/>
          <w:sz w:val="32"/>
          <w:szCs w:val="32"/>
          <w:lang w:val="en-US" w:eastAsia="zh-CN"/>
        </w:rPr>
        <w:t>1、一般公共服务支出（类）人大事务（款）行政运行（项）2010101。</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年初预算</w:t>
      </w:r>
      <w:r>
        <w:rPr>
          <w:rFonts w:hint="eastAsia" w:ascii="宋体" w:hAnsi="宋体" w:eastAsia="宋体" w:cs="宋体"/>
          <w:sz w:val="32"/>
          <w:szCs w:val="32"/>
          <w:lang w:eastAsia="zh-CN"/>
        </w:rPr>
        <w:t>（上年结转）</w:t>
      </w:r>
      <w:r>
        <w:rPr>
          <w:rFonts w:hint="eastAsia" w:ascii="宋体" w:hAnsi="宋体" w:eastAsia="宋体" w:cs="宋体"/>
          <w:sz w:val="32"/>
          <w:szCs w:val="32"/>
        </w:rPr>
        <w:t>为</w:t>
      </w:r>
      <w:r>
        <w:rPr>
          <w:rFonts w:hint="eastAsia" w:ascii="宋体" w:hAnsi="宋体" w:eastAsia="宋体" w:cs="宋体"/>
          <w:sz w:val="32"/>
          <w:szCs w:val="32"/>
          <w:lang w:val="en-US" w:eastAsia="zh-CN"/>
        </w:rPr>
        <w:t>10.70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10.70</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%，决算数</w:t>
      </w:r>
      <w:r>
        <w:rPr>
          <w:rFonts w:hint="eastAsia" w:ascii="宋体" w:hAnsi="宋体" w:eastAsia="宋体" w:cs="宋体"/>
          <w:sz w:val="32"/>
          <w:szCs w:val="32"/>
          <w:lang w:eastAsia="zh-CN"/>
        </w:rPr>
        <w:t>与</w:t>
      </w:r>
      <w:r>
        <w:rPr>
          <w:rFonts w:hint="eastAsia" w:ascii="宋体" w:hAnsi="宋体" w:eastAsia="宋体" w:cs="宋体"/>
          <w:sz w:val="32"/>
          <w:szCs w:val="32"/>
        </w:rPr>
        <w:t>年初预算数</w:t>
      </w:r>
      <w:r>
        <w:rPr>
          <w:rFonts w:hint="eastAsia" w:ascii="宋体" w:hAnsi="宋体" w:eastAsia="宋体" w:cs="宋体"/>
          <w:sz w:val="32"/>
          <w:szCs w:val="32"/>
          <w:lang w:eastAsia="zh-CN"/>
        </w:rPr>
        <w:t>一致。</w:t>
      </w:r>
    </w:p>
    <w:p>
      <w:pPr>
        <w:pStyle w:val="11"/>
        <w:keepNext w:val="0"/>
        <w:keepLines w:val="0"/>
        <w:pageBreakBefore w:val="0"/>
        <w:numPr>
          <w:ilvl w:val="0"/>
          <w:numId w:val="1"/>
        </w:numPr>
        <w:kinsoku/>
        <w:wordWrap/>
        <w:overflowPunct/>
        <w:topLinePunct w:val="0"/>
        <w:bidi w:val="0"/>
        <w:spacing w:line="620" w:lineRule="exact"/>
        <w:ind w:left="0" w:leftChars="0" w:firstLine="640" w:firstLineChars="200"/>
        <w:textAlignment w:val="auto"/>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rPr>
        <w:t>社会保障和就业支出</w:t>
      </w:r>
      <w:r>
        <w:rPr>
          <w:rFonts w:hint="eastAsia" w:ascii="宋体" w:hAnsi="宋体" w:eastAsia="宋体" w:cs="宋体"/>
          <w:b/>
          <w:bCs/>
          <w:color w:val="000000"/>
          <w:kern w:val="0"/>
          <w:sz w:val="32"/>
          <w:szCs w:val="32"/>
          <w:lang w:val="en-US" w:eastAsia="zh-CN"/>
        </w:rPr>
        <w:t>（类）行政事业单位离退休（款）机关事业单位基本养老保险缴费支出（项）2080505。</w:t>
      </w:r>
    </w:p>
    <w:p>
      <w:pPr>
        <w:pStyle w:val="11"/>
        <w:keepNext w:val="0"/>
        <w:keepLines w:val="0"/>
        <w:pageBreakBefore w:val="0"/>
        <w:numPr>
          <w:ilvl w:val="0"/>
          <w:numId w:val="0"/>
        </w:numPr>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年初预算为</w:t>
      </w:r>
      <w:r>
        <w:rPr>
          <w:rFonts w:hint="eastAsia" w:ascii="宋体" w:hAnsi="宋体" w:eastAsia="宋体" w:cs="宋体"/>
          <w:sz w:val="32"/>
          <w:szCs w:val="32"/>
          <w:lang w:val="en-US" w:eastAsia="zh-CN"/>
        </w:rPr>
        <w:t>38.00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38.00</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%，决算数</w:t>
      </w:r>
      <w:r>
        <w:rPr>
          <w:rFonts w:hint="eastAsia" w:ascii="宋体" w:hAnsi="宋体" w:eastAsia="宋体" w:cs="宋体"/>
          <w:sz w:val="32"/>
          <w:szCs w:val="32"/>
          <w:lang w:eastAsia="zh-CN"/>
        </w:rPr>
        <w:t>与</w:t>
      </w:r>
      <w:r>
        <w:rPr>
          <w:rFonts w:hint="eastAsia" w:ascii="宋体" w:hAnsi="宋体" w:eastAsia="宋体" w:cs="宋体"/>
          <w:sz w:val="32"/>
          <w:szCs w:val="32"/>
        </w:rPr>
        <w:t>年初预算数</w:t>
      </w:r>
      <w:r>
        <w:rPr>
          <w:rFonts w:hint="eastAsia" w:ascii="宋体" w:hAnsi="宋体" w:eastAsia="宋体" w:cs="宋体"/>
          <w:sz w:val="32"/>
          <w:szCs w:val="32"/>
          <w:lang w:eastAsia="zh-CN"/>
        </w:rPr>
        <w:t>一致。</w:t>
      </w:r>
    </w:p>
    <w:p>
      <w:pPr>
        <w:pStyle w:val="11"/>
        <w:keepNext w:val="0"/>
        <w:keepLines w:val="0"/>
        <w:pageBreakBefore w:val="0"/>
        <w:numPr>
          <w:ilvl w:val="0"/>
          <w:numId w:val="2"/>
        </w:numPr>
        <w:kinsoku/>
        <w:wordWrap/>
        <w:overflowPunct/>
        <w:topLinePunct w:val="0"/>
        <w:bidi w:val="0"/>
        <w:spacing w:line="620" w:lineRule="exact"/>
        <w:ind w:left="0" w:leftChars="0" w:firstLine="640" w:firstLineChars="200"/>
        <w:textAlignment w:val="auto"/>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rPr>
        <w:t>节能环保支出</w:t>
      </w:r>
      <w:r>
        <w:rPr>
          <w:rFonts w:hint="eastAsia" w:ascii="宋体" w:hAnsi="宋体" w:eastAsia="宋体" w:cs="宋体"/>
          <w:b/>
          <w:bCs/>
          <w:color w:val="000000"/>
          <w:kern w:val="0"/>
          <w:sz w:val="32"/>
          <w:szCs w:val="32"/>
          <w:lang w:val="en-US" w:eastAsia="zh-CN"/>
        </w:rPr>
        <w:t>（类）环境保护管理事务（款）行政运行（项）2110101。</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年初预算为</w:t>
      </w:r>
      <w:r>
        <w:rPr>
          <w:rFonts w:hint="eastAsia" w:ascii="宋体" w:hAnsi="宋体" w:eastAsia="宋体" w:cs="宋体"/>
          <w:sz w:val="32"/>
          <w:szCs w:val="32"/>
          <w:lang w:val="en-US" w:eastAsia="zh-CN"/>
        </w:rPr>
        <w:t>168.00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168.00</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%，决算数</w:t>
      </w:r>
      <w:r>
        <w:rPr>
          <w:rFonts w:hint="eastAsia" w:ascii="宋体" w:hAnsi="宋体" w:eastAsia="宋体" w:cs="宋体"/>
          <w:sz w:val="32"/>
          <w:szCs w:val="32"/>
          <w:lang w:eastAsia="zh-CN"/>
        </w:rPr>
        <w:t>与</w:t>
      </w:r>
      <w:r>
        <w:rPr>
          <w:rFonts w:hint="eastAsia" w:ascii="宋体" w:hAnsi="宋体" w:eastAsia="宋体" w:cs="宋体"/>
          <w:sz w:val="32"/>
          <w:szCs w:val="32"/>
        </w:rPr>
        <w:t>年初预算数</w:t>
      </w:r>
      <w:r>
        <w:rPr>
          <w:rFonts w:hint="eastAsia" w:ascii="宋体" w:hAnsi="宋体" w:eastAsia="宋体" w:cs="宋体"/>
          <w:sz w:val="32"/>
          <w:szCs w:val="32"/>
          <w:lang w:eastAsia="zh-CN"/>
        </w:rPr>
        <w:t>一致。</w:t>
      </w:r>
    </w:p>
    <w:p>
      <w:pPr>
        <w:pStyle w:val="11"/>
        <w:keepNext w:val="0"/>
        <w:keepLines w:val="0"/>
        <w:pageBreakBefore w:val="0"/>
        <w:numPr>
          <w:ilvl w:val="0"/>
          <w:numId w:val="2"/>
        </w:numPr>
        <w:kinsoku/>
        <w:wordWrap/>
        <w:overflowPunct/>
        <w:topLinePunct w:val="0"/>
        <w:bidi w:val="0"/>
        <w:spacing w:line="620" w:lineRule="exact"/>
        <w:ind w:left="0" w:leftChars="0" w:firstLine="640" w:firstLineChars="200"/>
        <w:textAlignment w:val="auto"/>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rPr>
        <w:t>节能环保支出</w:t>
      </w:r>
      <w:r>
        <w:rPr>
          <w:rFonts w:hint="eastAsia" w:ascii="宋体" w:hAnsi="宋体" w:eastAsia="宋体" w:cs="宋体"/>
          <w:b/>
          <w:bCs/>
          <w:color w:val="000000"/>
          <w:kern w:val="0"/>
          <w:sz w:val="32"/>
          <w:szCs w:val="32"/>
          <w:lang w:val="en-US" w:eastAsia="zh-CN"/>
        </w:rPr>
        <w:t>（类）污染防治（款</w:t>
      </w:r>
      <w:r>
        <w:rPr>
          <w:rFonts w:hint="eastAsia" w:ascii="宋体" w:hAnsi="宋体" w:eastAsia="宋体" w:cs="宋体"/>
          <w:b/>
          <w:bCs/>
          <w:color w:val="000000"/>
          <w:kern w:val="0"/>
          <w:sz w:val="32"/>
          <w:szCs w:val="32"/>
        </w:rPr>
        <w:t>）</w:t>
      </w:r>
      <w:r>
        <w:rPr>
          <w:rFonts w:hint="eastAsia" w:ascii="宋体" w:hAnsi="宋体" w:eastAsia="宋体" w:cs="宋体"/>
          <w:b/>
          <w:bCs/>
          <w:color w:val="000000"/>
          <w:kern w:val="0"/>
          <w:sz w:val="32"/>
          <w:szCs w:val="32"/>
          <w:lang w:eastAsia="zh-CN"/>
        </w:rPr>
        <w:t>固体废弃物与化学品（项）</w:t>
      </w:r>
      <w:r>
        <w:rPr>
          <w:rFonts w:hint="eastAsia" w:ascii="宋体" w:hAnsi="宋体" w:eastAsia="宋体" w:cs="宋体"/>
          <w:b/>
          <w:bCs/>
          <w:color w:val="000000"/>
          <w:kern w:val="0"/>
          <w:sz w:val="32"/>
          <w:szCs w:val="32"/>
          <w:lang w:val="en-US" w:eastAsia="zh-CN"/>
        </w:rPr>
        <w:t>2110304.</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年初预算为</w:t>
      </w:r>
      <w:r>
        <w:rPr>
          <w:rFonts w:hint="eastAsia" w:ascii="宋体" w:hAnsi="宋体" w:eastAsia="宋体" w:cs="宋体"/>
          <w:sz w:val="32"/>
          <w:szCs w:val="32"/>
          <w:lang w:val="en-US" w:eastAsia="zh-CN"/>
        </w:rPr>
        <w:t>175.00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175.00</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%，决算数</w:t>
      </w:r>
      <w:r>
        <w:rPr>
          <w:rFonts w:hint="eastAsia" w:ascii="宋体" w:hAnsi="宋体" w:eastAsia="宋体" w:cs="宋体"/>
          <w:sz w:val="32"/>
          <w:szCs w:val="32"/>
          <w:lang w:eastAsia="zh-CN"/>
        </w:rPr>
        <w:t>与</w:t>
      </w:r>
      <w:r>
        <w:rPr>
          <w:rFonts w:hint="eastAsia" w:ascii="宋体" w:hAnsi="宋体" w:eastAsia="宋体" w:cs="宋体"/>
          <w:sz w:val="32"/>
          <w:szCs w:val="32"/>
        </w:rPr>
        <w:t>年初预算数</w:t>
      </w:r>
      <w:r>
        <w:rPr>
          <w:rFonts w:hint="eastAsia" w:ascii="宋体" w:hAnsi="宋体" w:eastAsia="宋体" w:cs="宋体"/>
          <w:sz w:val="32"/>
          <w:szCs w:val="32"/>
          <w:lang w:eastAsia="zh-CN"/>
        </w:rPr>
        <w:t>一致。</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color w:val="000000"/>
          <w:kern w:val="0"/>
          <w:sz w:val="32"/>
          <w:szCs w:val="32"/>
          <w:lang w:val="en-US" w:eastAsia="zh-CN"/>
        </w:rPr>
        <w:t>5、住房保障支出（类）住房改革支出（款）住房公积金（项）2210201。</w:t>
      </w:r>
      <w:r>
        <w:rPr>
          <w:rFonts w:hint="eastAsia" w:ascii="宋体" w:hAnsi="宋体" w:eastAsia="宋体" w:cs="宋体"/>
          <w:sz w:val="32"/>
          <w:szCs w:val="32"/>
        </w:rPr>
        <w:t>年初预算为</w:t>
      </w:r>
      <w:r>
        <w:rPr>
          <w:rFonts w:hint="eastAsia" w:ascii="宋体" w:hAnsi="宋体" w:eastAsia="宋体" w:cs="宋体"/>
          <w:sz w:val="32"/>
          <w:szCs w:val="32"/>
          <w:lang w:val="en-US" w:eastAsia="zh-CN"/>
        </w:rPr>
        <w:t>14.00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14.00</w:t>
      </w:r>
      <w:r>
        <w:rPr>
          <w:rFonts w:hint="eastAsia" w:ascii="宋体" w:hAnsi="宋体" w:eastAsia="宋体" w:cs="宋体"/>
          <w:sz w:val="32"/>
          <w:szCs w:val="32"/>
        </w:rPr>
        <w:t>万元，完成年初预算的</w:t>
      </w:r>
      <w:r>
        <w:rPr>
          <w:rFonts w:hint="eastAsia" w:ascii="宋体" w:hAnsi="宋体" w:eastAsia="宋体" w:cs="宋体"/>
          <w:sz w:val="32"/>
          <w:szCs w:val="32"/>
          <w:lang w:val="en-US" w:eastAsia="zh-CN"/>
        </w:rPr>
        <w:t>100</w:t>
      </w:r>
      <w:r>
        <w:rPr>
          <w:rFonts w:hint="eastAsia" w:ascii="宋体" w:hAnsi="宋体" w:eastAsia="宋体" w:cs="宋体"/>
          <w:sz w:val="32"/>
          <w:szCs w:val="32"/>
        </w:rPr>
        <w:t>%，决算数</w:t>
      </w:r>
      <w:r>
        <w:rPr>
          <w:rFonts w:hint="eastAsia" w:ascii="宋体" w:hAnsi="宋体" w:eastAsia="宋体" w:cs="宋体"/>
          <w:sz w:val="32"/>
          <w:szCs w:val="32"/>
          <w:lang w:eastAsia="zh-CN"/>
        </w:rPr>
        <w:t>与</w:t>
      </w:r>
      <w:r>
        <w:rPr>
          <w:rFonts w:hint="eastAsia" w:ascii="宋体" w:hAnsi="宋体" w:eastAsia="宋体" w:cs="宋体"/>
          <w:sz w:val="32"/>
          <w:szCs w:val="32"/>
        </w:rPr>
        <w:t>年初预算数</w:t>
      </w:r>
      <w:r>
        <w:rPr>
          <w:rFonts w:hint="eastAsia" w:ascii="宋体" w:hAnsi="宋体" w:eastAsia="宋体" w:cs="宋体"/>
          <w:sz w:val="32"/>
          <w:szCs w:val="32"/>
          <w:lang w:eastAsia="zh-CN"/>
        </w:rPr>
        <w:t>一致。</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宋体" w:hAnsi="宋体" w:eastAsia="宋体" w:cs="宋体"/>
          <w:b/>
          <w:sz w:val="32"/>
          <w:szCs w:val="32"/>
        </w:rPr>
      </w:pPr>
      <w:r>
        <w:rPr>
          <w:rFonts w:hint="eastAsia" w:ascii="宋体" w:hAnsi="宋体" w:eastAsia="宋体" w:cs="宋体"/>
          <w:b/>
          <w:sz w:val="32"/>
          <w:szCs w:val="32"/>
        </w:rPr>
        <w:t>六、一般公共预算财政拨款基本支出决算情况说明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宋体" w:hAnsi="宋体" w:eastAsia="宋体" w:cs="宋体"/>
          <w:sz w:val="32"/>
          <w:szCs w:val="32"/>
        </w:rPr>
        <w:t>2020年度财政拨款基本支出</w:t>
      </w:r>
      <w:r>
        <w:rPr>
          <w:rFonts w:hint="eastAsia" w:ascii="宋体" w:hAnsi="宋体" w:eastAsia="宋体" w:cs="宋体"/>
          <w:sz w:val="32"/>
          <w:szCs w:val="32"/>
          <w:lang w:val="en-US" w:eastAsia="zh-CN"/>
        </w:rPr>
        <w:t>230.78</w:t>
      </w:r>
      <w:r>
        <w:rPr>
          <w:rFonts w:hint="eastAsia" w:ascii="宋体" w:hAnsi="宋体" w:eastAsia="宋体" w:cs="宋体"/>
          <w:sz w:val="32"/>
          <w:szCs w:val="32"/>
        </w:rPr>
        <w:t>万元，其中：人员经费</w:t>
      </w:r>
      <w:r>
        <w:rPr>
          <w:rFonts w:hint="eastAsia" w:ascii="宋体" w:hAnsi="宋体" w:eastAsia="宋体" w:cs="宋体"/>
          <w:sz w:val="32"/>
          <w:szCs w:val="32"/>
          <w:lang w:val="en-US" w:eastAsia="zh-CN"/>
        </w:rPr>
        <w:t>181.00</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78.43</w:t>
      </w:r>
      <w:r>
        <w:rPr>
          <w:rFonts w:hint="eastAsia" w:ascii="宋体" w:hAnsi="宋体" w:eastAsia="宋体" w:cs="宋体"/>
          <w:sz w:val="32"/>
          <w:szCs w:val="32"/>
        </w:rPr>
        <w:t>%,主要包括基本工资</w:t>
      </w:r>
      <w:r>
        <w:rPr>
          <w:rFonts w:hint="eastAsia" w:ascii="宋体" w:hAnsi="宋体" w:eastAsia="宋体" w:cs="宋体"/>
          <w:sz w:val="32"/>
          <w:szCs w:val="32"/>
          <w:lang w:val="en-US" w:eastAsia="zh-CN"/>
        </w:rPr>
        <w:t>38万元</w:t>
      </w:r>
      <w:r>
        <w:rPr>
          <w:rFonts w:hint="eastAsia" w:ascii="宋体" w:hAnsi="宋体" w:eastAsia="宋体" w:cs="宋体"/>
          <w:sz w:val="32"/>
          <w:szCs w:val="32"/>
        </w:rPr>
        <w:t>、津贴补贴</w:t>
      </w:r>
      <w:r>
        <w:rPr>
          <w:rFonts w:hint="eastAsia" w:ascii="宋体" w:hAnsi="宋体" w:eastAsia="宋体" w:cs="宋体"/>
          <w:sz w:val="32"/>
          <w:szCs w:val="32"/>
          <w:lang w:val="en-US" w:eastAsia="zh-CN"/>
        </w:rPr>
        <w:t>46.00万元</w:t>
      </w:r>
      <w:r>
        <w:rPr>
          <w:rFonts w:hint="eastAsia" w:ascii="宋体" w:hAnsi="宋体" w:eastAsia="宋体" w:cs="宋体"/>
          <w:sz w:val="32"/>
          <w:szCs w:val="32"/>
        </w:rPr>
        <w:t>、奖金</w:t>
      </w:r>
      <w:r>
        <w:rPr>
          <w:rFonts w:hint="eastAsia" w:ascii="宋体" w:hAnsi="宋体" w:eastAsia="宋体" w:cs="宋体"/>
          <w:sz w:val="32"/>
          <w:szCs w:val="32"/>
          <w:lang w:val="en-US" w:eastAsia="zh-CN"/>
        </w:rPr>
        <w:t>32.20万元</w:t>
      </w:r>
      <w:r>
        <w:rPr>
          <w:rFonts w:hint="eastAsia" w:ascii="宋体" w:hAnsi="宋体" w:eastAsia="宋体" w:cs="宋体"/>
          <w:sz w:val="32"/>
          <w:szCs w:val="32"/>
        </w:rPr>
        <w:t>、伙食补助费</w:t>
      </w:r>
      <w:r>
        <w:rPr>
          <w:rFonts w:hint="eastAsia" w:ascii="宋体" w:hAnsi="宋体" w:eastAsia="宋体" w:cs="宋体"/>
          <w:sz w:val="32"/>
          <w:szCs w:val="32"/>
          <w:lang w:val="en-US" w:eastAsia="zh-CN"/>
        </w:rPr>
        <w:t>7.50万元</w:t>
      </w:r>
      <w:r>
        <w:rPr>
          <w:rFonts w:hint="eastAsia" w:ascii="宋体" w:hAnsi="宋体" w:eastAsia="宋体" w:cs="宋体"/>
          <w:sz w:val="32"/>
          <w:szCs w:val="32"/>
        </w:rPr>
        <w:t>；公用经费</w:t>
      </w:r>
      <w:r>
        <w:rPr>
          <w:rFonts w:hint="eastAsia" w:ascii="宋体" w:hAnsi="宋体" w:eastAsia="宋体" w:cs="宋体"/>
          <w:sz w:val="32"/>
          <w:szCs w:val="32"/>
          <w:lang w:val="en-US" w:eastAsia="zh-CN"/>
        </w:rPr>
        <w:t>49.78</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21.57</w:t>
      </w:r>
      <w:r>
        <w:rPr>
          <w:rFonts w:hint="eastAsia" w:ascii="宋体" w:hAnsi="宋体" w:eastAsia="宋体" w:cs="宋体"/>
          <w:sz w:val="32"/>
          <w:szCs w:val="32"/>
        </w:rPr>
        <w:t>%，</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val="en-US" w:eastAsia="zh-CN"/>
        </w:rPr>
        <w:t>2万元</w:t>
      </w:r>
      <w:r>
        <w:rPr>
          <w:rFonts w:hint="eastAsia" w:asciiTheme="minorEastAsia" w:hAnsiTheme="minorEastAsia" w:eastAsiaTheme="minorEastAsia"/>
          <w:sz w:val="32"/>
          <w:szCs w:val="32"/>
        </w:rPr>
        <w:t>、印刷费</w:t>
      </w:r>
      <w:r>
        <w:rPr>
          <w:rFonts w:hint="eastAsia" w:asciiTheme="minorEastAsia" w:hAnsiTheme="minorEastAsia" w:eastAsiaTheme="minorEastAsia"/>
          <w:sz w:val="32"/>
          <w:szCs w:val="32"/>
          <w:lang w:val="en-US" w:eastAsia="zh-CN"/>
        </w:rPr>
        <w:t>2万元</w:t>
      </w:r>
      <w:r>
        <w:rPr>
          <w:rFonts w:hint="eastAsia" w:asciiTheme="minorEastAsia" w:hAnsiTheme="minorEastAsia" w:eastAsiaTheme="minorEastAsia"/>
          <w:sz w:val="32"/>
          <w:szCs w:val="32"/>
        </w:rPr>
        <w:t>、咨询费</w:t>
      </w:r>
      <w:r>
        <w:rPr>
          <w:rFonts w:hint="eastAsia" w:asciiTheme="minorEastAsia" w:hAnsiTheme="minorEastAsia" w:eastAsiaTheme="minorEastAsia"/>
          <w:sz w:val="32"/>
          <w:szCs w:val="32"/>
          <w:lang w:val="en-US" w:eastAsia="zh-CN"/>
        </w:rPr>
        <w:t>0万元</w:t>
      </w:r>
      <w:r>
        <w:rPr>
          <w:rFonts w:hint="eastAsia" w:asciiTheme="minorEastAsia" w:hAnsiTheme="minorEastAsia" w:eastAsiaTheme="minorEastAsia"/>
          <w:sz w:val="32"/>
          <w:szCs w:val="32"/>
        </w:rPr>
        <w:t>、手续费</w:t>
      </w:r>
      <w:r>
        <w:rPr>
          <w:rFonts w:hint="eastAsia" w:asciiTheme="minorEastAsia" w:hAnsiTheme="minorEastAsia" w:eastAsiaTheme="minorEastAsia"/>
          <w:sz w:val="32"/>
          <w:szCs w:val="32"/>
          <w:lang w:val="en-US" w:eastAsia="zh-CN"/>
        </w:rPr>
        <w:t>0万元、物业管理费2.10万元、差旅费18万元、会议费3万元、培训费2万元、公务接待费2万元、工会经费0.70万元、福利费1.00万元、公务用车运行维护费4.50万元、其他交通费用8.00万元、其他商品服务支出3.88万元</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七、一般公共预算财政拨款三公经费支出决算情况说明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6.50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2021年我单位无因公出国预算</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1.20</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150</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培训费预算不足，支付了废弃电器电子产品拆解审核管理培训人员餐费</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4.50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一致</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无增减变动</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30.77</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Theme="minorEastAsia" w:hAnsiTheme="minorEastAsia" w:eastAsiaTheme="minorEastAsia"/>
          <w:b/>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2020年我站无因公出国支出。</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115</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生态环境部对我省废弃电器电子产品拆解处理工作进行现场审核、市州环保部门汇报固体废物相关工作、废弃电器电子产品拆解管理培训人员餐费及加班工作餐等</w:t>
      </w:r>
      <w:r>
        <w:rPr>
          <w:rFonts w:hint="eastAsia" w:asciiTheme="minorEastAsia" w:hAnsiTheme="minorEastAsia" w:eastAsiaTheme="minorEastAsia"/>
          <w:sz w:val="32"/>
          <w:szCs w:val="32"/>
        </w:rPr>
        <w:t>发生的接待支出。</w:t>
      </w:r>
    </w:p>
    <w:p>
      <w:pPr>
        <w:keepNext w:val="0"/>
        <w:keepLines w:val="0"/>
        <w:pageBreakBefore w:val="0"/>
        <w:kinsoku/>
        <w:wordWrap/>
        <w:overflowPunct/>
        <w:topLinePunct w:val="0"/>
        <w:bidi w:val="0"/>
        <w:spacing w:line="620" w:lineRule="exact"/>
        <w:ind w:left="0" w:leftChars="0" w:firstLine="640" w:firstLineChars="200"/>
        <w:textAlignment w:val="auto"/>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4.50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sz w:val="32"/>
          <w:szCs w:val="32"/>
          <w:lang w:val="en-US" w:eastAsia="zh-CN"/>
        </w:rPr>
        <w:t>4.50</w:t>
      </w:r>
      <w:r>
        <w:rPr>
          <w:rFonts w:hint="eastAsia" w:asciiTheme="minorEastAsia" w:hAnsiTheme="minorEastAsia"/>
          <w:sz w:val="32"/>
          <w:szCs w:val="32"/>
        </w:rPr>
        <w:t>万元，主要是</w:t>
      </w:r>
      <w:r>
        <w:rPr>
          <w:rFonts w:hint="eastAsia" w:asciiTheme="minorEastAsia" w:hAnsiTheme="minorEastAsia"/>
          <w:sz w:val="32"/>
          <w:szCs w:val="32"/>
          <w:lang w:eastAsia="zh-CN"/>
        </w:rPr>
        <w:t>车辆加油、维修、保险、过路过桥费</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八、政府性基金预算收入支出决算情况</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2020年度政府性基金预算财政拨款收入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我站无政府性基金预算。</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九、关于机关运行经费支出说明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49.78</w:t>
      </w:r>
      <w:r>
        <w:rPr>
          <w:rFonts w:hint="eastAsia" w:asciiTheme="minorEastAsia" w:hAnsiTheme="minorEastAsia" w:eastAsiaTheme="minorEastAsia"/>
          <w:sz w:val="32"/>
          <w:szCs w:val="32"/>
        </w:rPr>
        <w:t>万元，比年初预算数减少</w:t>
      </w:r>
      <w:r>
        <w:rPr>
          <w:rFonts w:hint="eastAsia" w:asciiTheme="minorEastAsia" w:hAnsiTheme="minorEastAsia" w:eastAsiaTheme="minorEastAsia"/>
          <w:sz w:val="32"/>
          <w:szCs w:val="32"/>
          <w:lang w:val="en-US" w:eastAsia="zh-CN"/>
        </w:rPr>
        <w:t>21.42</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30.08</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根据省财政规定，每年压减一般公用支出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十、一般性支出情况</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3.00</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eastAsia="zh-CN"/>
        </w:rPr>
        <w:t>全省危险废物专项大调查大排查工作管理人员</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77</w:t>
      </w:r>
      <w:r>
        <w:rPr>
          <w:rFonts w:hint="eastAsia" w:asciiTheme="minorEastAsia" w:hAnsiTheme="minorEastAsia" w:eastAsiaTheme="minorEastAsia"/>
          <w:sz w:val="32"/>
          <w:szCs w:val="32"/>
        </w:rPr>
        <w:t>人，内容</w:t>
      </w:r>
      <w:r>
        <w:rPr>
          <w:rFonts w:hint="eastAsia" w:asciiTheme="minorEastAsia" w:hAnsiTheme="minorEastAsia" w:eastAsiaTheme="minorEastAsia"/>
          <w:sz w:val="32"/>
          <w:szCs w:val="32"/>
          <w:lang w:eastAsia="zh-CN"/>
        </w:rPr>
        <w:t>为</w:t>
      </w:r>
      <w:r>
        <w:rPr>
          <w:rFonts w:hint="eastAsia" w:ascii="宋体" w:hAnsi="宋体" w:eastAsia="宋体" w:cs="宋体"/>
          <w:b w:val="0"/>
          <w:bCs w:val="0"/>
          <w:sz w:val="32"/>
          <w:szCs w:val="32"/>
          <w:lang w:val="en-US" w:eastAsia="zh-CN"/>
        </w:rPr>
        <w:t>危险废物产生单位、经营单位、化工园区、重点工业污水处理设施、尾矿库（堆场）、重点流域、危险废物超期贮存整改等调查排查内容、方法及清单（表）填报要求、部门协作及违法线索移交移送工作</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2020年湖南省固体废物申报登记帮扶工作</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69</w:t>
      </w:r>
      <w:r>
        <w:rPr>
          <w:rFonts w:hint="eastAsia" w:asciiTheme="minorEastAsia" w:hAnsiTheme="minorEastAsia" w:eastAsiaTheme="minorEastAsia"/>
          <w:sz w:val="32"/>
          <w:szCs w:val="32"/>
        </w:rPr>
        <w:t>人，内容</w:t>
      </w:r>
      <w:r>
        <w:rPr>
          <w:rFonts w:hint="eastAsia" w:asciiTheme="minorEastAsia" w:hAnsiTheme="minorEastAsia" w:eastAsiaTheme="minorEastAsia"/>
          <w:sz w:val="32"/>
          <w:szCs w:val="32"/>
          <w:lang w:eastAsia="zh-CN"/>
        </w:rPr>
        <w:t>为“全国固体废物管理信息系统”新旧系统操作、申报登记工作要求和危险废物规范化管理等</w:t>
      </w:r>
      <w:r>
        <w:rPr>
          <w:rFonts w:hint="eastAsia" w:asciiTheme="minorEastAsia" w:hAnsiTheme="minorEastAsia" w:eastAsiaTheme="minorEastAsia"/>
          <w:sz w:val="32"/>
          <w:szCs w:val="32"/>
        </w:rPr>
        <w:t>；举办</w:t>
      </w:r>
      <w:r>
        <w:rPr>
          <w:rFonts w:hint="eastAsia" w:asciiTheme="minorEastAsia" w:hAnsiTheme="minorEastAsia" w:eastAsiaTheme="minorEastAsia"/>
          <w:sz w:val="32"/>
          <w:szCs w:val="32"/>
          <w:lang w:val="en-US" w:eastAsia="zh-CN"/>
        </w:rPr>
        <w:t>0次</w:t>
      </w:r>
      <w:r>
        <w:rPr>
          <w:rFonts w:hint="eastAsia" w:asciiTheme="minorEastAsia" w:hAnsiTheme="minorEastAsia" w:eastAsiaTheme="minorEastAsia"/>
          <w:sz w:val="32"/>
          <w:szCs w:val="32"/>
        </w:rPr>
        <w:t>等节庆、晚会、论坛、赛事活动，开支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十一、关于政府采购支出说明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79.80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79.8</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79.80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79.80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十二、关于国有资产占用情况说明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r>
        <w:rPr>
          <w:rFonts w:hint="eastAsia" w:hAnsi="黑体"/>
          <w:b/>
          <w:sz w:val="32"/>
          <w:szCs w:val="32"/>
        </w:rPr>
        <w:t>十三、关于2020年度预算绩效情况的说明</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详见附件</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pacing w:line="620" w:lineRule="exact"/>
        <w:ind w:left="0" w:leftChars="0" w:firstLine="640" w:firstLineChars="200"/>
        <w:textAlignment w:val="auto"/>
        <w:rPr>
          <w:rFonts w:hAnsi="黑体"/>
          <w:b/>
          <w:sz w:val="32"/>
          <w:szCs w:val="3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keepNext w:val="0"/>
        <w:keepLines w:val="0"/>
        <w:pageBreakBefore w:val="0"/>
        <w:kinsoku/>
        <w:wordWrap/>
        <w:overflowPunct/>
        <w:topLinePunct w:val="0"/>
        <w:bidi w:val="0"/>
        <w:spacing w:line="620" w:lineRule="exact"/>
        <w:ind w:left="0" w:leftChars="0" w:firstLine="1440" w:firstLineChars="200"/>
        <w:jc w:val="center"/>
        <w:textAlignment w:val="auto"/>
        <w:rPr>
          <w:sz w:val="72"/>
          <w:szCs w:val="72"/>
        </w:rPr>
      </w:pPr>
    </w:p>
    <w:p>
      <w:pPr>
        <w:pStyle w:val="11"/>
        <w:jc w:val="center"/>
        <w:rPr>
          <w:sz w:val="72"/>
          <w:szCs w:val="72"/>
        </w:rPr>
      </w:pPr>
    </w:p>
    <w:p>
      <w:pPr>
        <w:pStyle w:val="11"/>
        <w:jc w:val="center"/>
        <w:rPr>
          <w:sz w:val="72"/>
          <w:szCs w:val="72"/>
        </w:rPr>
      </w:pPr>
    </w:p>
    <w:p>
      <w:pPr>
        <w:jc w:val="left"/>
        <w:rPr>
          <w:rFonts w:hint="eastAsia" w:ascii="方正小标宋_GBK" w:eastAsia="方正小标宋_GBK"/>
          <w:sz w:val="32"/>
          <w:szCs w:val="32"/>
          <w:lang w:val="en-US" w:eastAsia="zh-CN"/>
        </w:rPr>
      </w:pPr>
    </w:p>
    <w:p>
      <w:pPr>
        <w:jc w:val="left"/>
        <w:rPr>
          <w:rFonts w:hint="eastAsia" w:ascii="方正小标宋_GBK" w:eastAsia="方正小标宋_GBK"/>
          <w:sz w:val="32"/>
          <w:szCs w:val="32"/>
          <w:lang w:val="en-US" w:eastAsia="zh-CN"/>
        </w:rPr>
      </w:pPr>
    </w:p>
    <w:p>
      <w:pPr>
        <w:jc w:val="left"/>
        <w:rPr>
          <w:rFonts w:hint="eastAsia" w:ascii="方正小标宋_GBK" w:eastAsia="方正小标宋_GBK"/>
          <w:sz w:val="32"/>
          <w:szCs w:val="32"/>
          <w:lang w:val="en-US" w:eastAsia="zh-CN"/>
        </w:rPr>
      </w:pPr>
    </w:p>
    <w:p>
      <w:pPr>
        <w:jc w:val="left"/>
        <w:rPr>
          <w:rFonts w:hint="eastAsia" w:ascii="方正小标宋_GBK" w:eastAsia="方正小标宋_GBK"/>
          <w:sz w:val="32"/>
          <w:szCs w:val="32"/>
          <w:lang w:val="en-US" w:eastAsia="zh-CN"/>
        </w:rPr>
      </w:pPr>
      <w:r>
        <w:rPr>
          <w:rFonts w:hint="eastAsia" w:ascii="方正小标宋_GBK" w:eastAsia="方正小标宋_GBK"/>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outlineLvl w:val="9"/>
        <w:rPr>
          <w:rFonts w:hint="eastAsia" w:ascii="方正小标宋_GBK" w:eastAsia="方正小标宋_GBK"/>
          <w:b w:val="0"/>
          <w:bCs w:val="0"/>
          <w:sz w:val="44"/>
          <w:szCs w:val="44"/>
        </w:rPr>
      </w:pPr>
      <w:r>
        <w:rPr>
          <w:rFonts w:hint="eastAsia" w:ascii="方正小标宋_GBK" w:eastAsia="方正小标宋_GBK"/>
          <w:b w:val="0"/>
          <w:bCs w:val="0"/>
          <w:sz w:val="44"/>
          <w:szCs w:val="44"/>
          <w:lang w:val="en-US" w:eastAsia="zh-CN"/>
        </w:rPr>
        <w:t>湖南省固体废物管理站2020</w:t>
      </w:r>
      <w:r>
        <w:rPr>
          <w:rFonts w:hint="eastAsia" w:ascii="方正小标宋_GBK" w:eastAsia="方正小标宋_GBK"/>
          <w:b w:val="0"/>
          <w:bCs w:val="0"/>
          <w:sz w:val="44"/>
          <w:szCs w:val="44"/>
        </w:rPr>
        <w:t>年度</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outlineLvl w:val="9"/>
        <w:rPr>
          <w:rFonts w:hint="eastAsia" w:ascii="方正小标宋_GBK" w:eastAsia="方正小标宋_GBK"/>
          <w:b w:val="0"/>
          <w:bCs w:val="0"/>
          <w:sz w:val="44"/>
          <w:szCs w:val="44"/>
        </w:rPr>
      </w:pPr>
      <w:r>
        <w:rPr>
          <w:rFonts w:hint="eastAsia" w:ascii="方正小标宋_GBK" w:eastAsia="方正小标宋_GBK"/>
          <w:b w:val="0"/>
          <w:bCs w:val="0"/>
          <w:sz w:val="44"/>
          <w:szCs w:val="44"/>
        </w:rPr>
        <w:t>部门整体支出绩效</w:t>
      </w:r>
      <w:r>
        <w:rPr>
          <w:rFonts w:hint="eastAsia" w:ascii="方正小标宋_GBK" w:eastAsia="方正小标宋_GBK"/>
          <w:b w:val="0"/>
          <w:bCs w:val="0"/>
          <w:sz w:val="44"/>
          <w:szCs w:val="44"/>
          <w:lang w:eastAsia="zh-CN"/>
        </w:rPr>
        <w:t>评价</w:t>
      </w:r>
      <w:r>
        <w:rPr>
          <w:rFonts w:hint="eastAsia" w:ascii="方正小标宋_GBK" w:eastAsia="方正小标宋_GBK"/>
          <w:b w:val="0"/>
          <w:bCs w:val="0"/>
          <w:sz w:val="44"/>
          <w:szCs w:val="44"/>
        </w:rPr>
        <w:t>报告</w:t>
      </w:r>
    </w:p>
    <w:p>
      <w:pPr>
        <w:pStyle w:val="12"/>
        <w:keepNext w:val="0"/>
        <w:keepLines w:val="0"/>
        <w:pageBreakBefore w:val="0"/>
        <w:widowControl/>
        <w:numPr>
          <w:ilvl w:val="0"/>
          <w:numId w:val="0"/>
        </w:numPr>
        <w:kinsoku/>
        <w:wordWrap/>
        <w:overflowPunct/>
        <w:topLinePunct w:val="0"/>
        <w:autoSpaceDE/>
        <w:autoSpaceDN/>
        <w:bidi w:val="0"/>
        <w:adjustRightInd/>
        <w:spacing w:line="62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部门、单位基本情况</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rPr>
        <w:t>湖南省固体废物管理站(以下简称”固废站”)，属于参照公务员法管理的事业单位。人员编制12名，年末</w:t>
      </w:r>
      <w:r>
        <w:rPr>
          <w:rFonts w:hint="eastAsia" w:ascii="宋体" w:hAnsi="宋体" w:eastAsia="宋体" w:cs="宋体"/>
          <w:sz w:val="32"/>
          <w:szCs w:val="32"/>
          <w:lang w:eastAsia="zh-CN"/>
        </w:rPr>
        <w:t>实有人员</w:t>
      </w:r>
      <w:r>
        <w:rPr>
          <w:rFonts w:hint="eastAsia" w:ascii="宋体" w:hAnsi="宋体" w:eastAsia="宋体" w:cs="宋体"/>
          <w:sz w:val="32"/>
          <w:szCs w:val="32"/>
          <w:lang w:val="en-US" w:eastAsia="zh-CN"/>
        </w:rPr>
        <w:t>11人，其中在编在岗9人、借调1人、临聘人员1人</w:t>
      </w:r>
      <w:r>
        <w:rPr>
          <w:rFonts w:hint="eastAsia" w:ascii="宋体" w:hAnsi="宋体" w:eastAsia="宋体" w:cs="宋体"/>
          <w:sz w:val="32"/>
          <w:szCs w:val="32"/>
        </w:rPr>
        <w:t>。主要负责</w:t>
      </w:r>
      <w:r>
        <w:rPr>
          <w:rFonts w:hint="eastAsia" w:ascii="宋体" w:hAnsi="宋体" w:eastAsia="宋体" w:cs="宋体"/>
          <w:sz w:val="32"/>
          <w:szCs w:val="32"/>
          <w:lang w:val="en-US" w:eastAsia="zh-CN"/>
        </w:rPr>
        <w:t>:提供固体废物、化学品等环境管理方面的相关技术服务；参与制订固体废物、化学品等环境管理地方性法规、政策、标准、技术规范及规划、计划；组织对废弃电器电子产品处理企业拆解处理基金补贴的技术评审；承担电子废物环境管理其他相关技术支持工作；承担固体废物、化学品等污染防治工作的监督检查的技术服务工作，承担相关行政审批的技术审核；指导企事业单位开展固体废物申报登记；协助处理固体废物污染环境事故；协助查处固体废物、化学品等方面的环境违法违规行为等工作；建立完善全省固体废物和化学品环境管理信息系统工作；协助承担新化学物质、危险化学品、有毒化学品进出口、易制毒化学品及毒品销毁信息报送；持久性有机污染物、POPs国际项目合作履约；侵权与假冒伪劣、走私毒品无害化处理信息报送工作；承办厅党组及领导交办的其他事项。</w:t>
      </w:r>
    </w:p>
    <w:p>
      <w:pPr>
        <w:pStyle w:val="12"/>
        <w:keepNext w:val="0"/>
        <w:keepLines w:val="0"/>
        <w:pageBreakBefore w:val="0"/>
        <w:widowControl/>
        <w:kinsoku/>
        <w:wordWrap/>
        <w:overflowPunct/>
        <w:topLinePunct w:val="0"/>
        <w:autoSpaceDE/>
        <w:autoSpaceDN/>
        <w:bidi w:val="0"/>
        <w:adjustRightInd/>
        <w:spacing w:line="62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二、基本支出情况</w:t>
      </w:r>
    </w:p>
    <w:p>
      <w:pPr>
        <w:keepNext w:val="0"/>
        <w:keepLines w:val="0"/>
        <w:pageBreakBefore w:val="0"/>
        <w:kinsoku/>
        <w:wordWrap/>
        <w:overflowPunct/>
        <w:topLinePunct w:val="0"/>
        <w:autoSpaceDE/>
        <w:autoSpaceDN/>
        <w:bidi w:val="0"/>
        <w:adjustRightInd/>
        <w:snapToGrid w:val="0"/>
        <w:spacing w:line="620" w:lineRule="exact"/>
        <w:ind w:left="0" w:firstLine="640" w:firstLineChars="200"/>
        <w:textAlignment w:val="auto"/>
        <w:rPr>
          <w:rFonts w:hint="eastAsia" w:ascii="宋体" w:hAnsi="宋体" w:eastAsia="宋体" w:cs="宋体"/>
          <w:color w:val="auto"/>
          <w:sz w:val="32"/>
          <w:szCs w:val="32"/>
        </w:rPr>
      </w:pPr>
      <w:r>
        <w:rPr>
          <w:rFonts w:hint="eastAsia" w:ascii="宋体" w:hAnsi="宋体" w:eastAsia="宋体" w:cs="宋体"/>
          <w:sz w:val="32"/>
          <w:szCs w:val="32"/>
        </w:rPr>
        <w:t>20</w:t>
      </w:r>
      <w:r>
        <w:rPr>
          <w:rFonts w:hint="eastAsia" w:ascii="宋体" w:hAnsi="宋体" w:eastAsia="宋体" w:cs="宋体"/>
          <w:sz w:val="32"/>
          <w:szCs w:val="32"/>
          <w:lang w:val="en-US" w:eastAsia="zh-CN"/>
        </w:rPr>
        <w:t>20</w:t>
      </w:r>
      <w:r>
        <w:rPr>
          <w:rFonts w:hint="eastAsia" w:ascii="宋体" w:hAnsi="宋体" w:eastAsia="宋体" w:cs="宋体"/>
          <w:sz w:val="32"/>
          <w:szCs w:val="32"/>
        </w:rPr>
        <w:t>年度总支出为</w:t>
      </w:r>
      <w:r>
        <w:rPr>
          <w:rFonts w:hint="eastAsia" w:ascii="宋体" w:hAnsi="宋体" w:eastAsia="宋体" w:cs="宋体"/>
          <w:sz w:val="32"/>
          <w:szCs w:val="32"/>
          <w:lang w:val="en-US" w:eastAsia="zh-CN"/>
        </w:rPr>
        <w:t>405.78</w:t>
      </w:r>
      <w:r>
        <w:rPr>
          <w:rFonts w:hint="eastAsia" w:ascii="宋体" w:hAnsi="宋体" w:eastAsia="宋体" w:cs="宋体"/>
          <w:sz w:val="32"/>
          <w:szCs w:val="32"/>
        </w:rPr>
        <w:t>万元，结余</w:t>
      </w:r>
      <w:r>
        <w:rPr>
          <w:rFonts w:hint="eastAsia" w:ascii="宋体" w:hAnsi="宋体" w:eastAsia="宋体" w:cs="宋体"/>
          <w:sz w:val="32"/>
          <w:szCs w:val="32"/>
          <w:lang w:val="en-US" w:eastAsia="zh-CN"/>
        </w:rPr>
        <w:t>0</w:t>
      </w:r>
      <w:r>
        <w:rPr>
          <w:rFonts w:hint="eastAsia" w:ascii="宋体" w:hAnsi="宋体" w:eastAsia="宋体" w:cs="宋体"/>
          <w:sz w:val="32"/>
          <w:szCs w:val="32"/>
        </w:rPr>
        <w:t>万元，预算总执行率为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%。其中：基本支出和一般公用支出收入</w:t>
      </w:r>
      <w:r>
        <w:rPr>
          <w:rFonts w:hint="eastAsia" w:ascii="宋体" w:hAnsi="宋体" w:eastAsia="宋体" w:cs="宋体"/>
          <w:sz w:val="32"/>
          <w:szCs w:val="32"/>
          <w:lang w:val="en-US" w:eastAsia="zh-CN"/>
        </w:rPr>
        <w:t>49.78</w:t>
      </w:r>
      <w:r>
        <w:rPr>
          <w:rFonts w:hint="eastAsia" w:ascii="宋体" w:hAnsi="宋体" w:eastAsia="宋体" w:cs="宋体"/>
          <w:sz w:val="32"/>
          <w:szCs w:val="32"/>
        </w:rPr>
        <w:t>万元，基本支出和一般公用支出</w:t>
      </w:r>
      <w:r>
        <w:rPr>
          <w:rFonts w:hint="eastAsia" w:ascii="宋体" w:hAnsi="宋体" w:eastAsia="宋体" w:cs="宋体"/>
          <w:sz w:val="32"/>
          <w:szCs w:val="32"/>
          <w:lang w:val="en-US" w:eastAsia="zh-CN"/>
        </w:rPr>
        <w:t>49.78万元，</w:t>
      </w:r>
      <w:r>
        <w:rPr>
          <w:rFonts w:hint="eastAsia" w:ascii="宋体" w:hAnsi="宋体" w:eastAsia="宋体" w:cs="宋体"/>
          <w:sz w:val="32"/>
          <w:szCs w:val="32"/>
        </w:rPr>
        <w:t>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Fonts w:hint="eastAsia" w:ascii="宋体" w:hAnsi="宋体" w:eastAsia="宋体" w:cs="宋体"/>
          <w:color w:val="000000"/>
          <w:sz w:val="32"/>
          <w:szCs w:val="32"/>
        </w:rPr>
        <w:t>。</w:t>
      </w:r>
      <w:r>
        <w:rPr>
          <w:rFonts w:hint="eastAsia" w:ascii="宋体" w:hAnsi="宋体" w:eastAsia="宋体" w:cs="宋体"/>
          <w:color w:val="auto"/>
          <w:sz w:val="32"/>
          <w:szCs w:val="32"/>
        </w:rPr>
        <w:t>项目收入</w:t>
      </w:r>
      <w:r>
        <w:rPr>
          <w:rFonts w:hint="eastAsia" w:ascii="宋体" w:hAnsi="宋体" w:eastAsia="宋体" w:cs="宋体"/>
          <w:color w:val="auto"/>
          <w:sz w:val="32"/>
          <w:szCs w:val="32"/>
          <w:lang w:val="en-US" w:eastAsia="zh-CN"/>
        </w:rPr>
        <w:t>175</w:t>
      </w:r>
      <w:r>
        <w:rPr>
          <w:rFonts w:hint="eastAsia" w:ascii="宋体" w:hAnsi="宋体" w:eastAsia="宋体" w:cs="宋体"/>
          <w:color w:val="auto"/>
          <w:sz w:val="32"/>
          <w:szCs w:val="32"/>
        </w:rPr>
        <w:t>万元，项目支出</w:t>
      </w:r>
      <w:r>
        <w:rPr>
          <w:rFonts w:hint="eastAsia" w:ascii="宋体" w:hAnsi="宋体" w:eastAsia="宋体" w:cs="宋体"/>
          <w:color w:val="auto"/>
          <w:sz w:val="32"/>
          <w:szCs w:val="32"/>
          <w:lang w:val="en-US" w:eastAsia="zh-CN"/>
        </w:rPr>
        <w:t>175</w:t>
      </w:r>
      <w:r>
        <w:rPr>
          <w:rFonts w:hint="eastAsia" w:ascii="宋体" w:hAnsi="宋体" w:eastAsia="宋体" w:cs="宋体"/>
          <w:color w:val="auto"/>
          <w:sz w:val="32"/>
          <w:szCs w:val="32"/>
        </w:rPr>
        <w:t>万元，执行率为100%。</w:t>
      </w:r>
    </w:p>
    <w:p>
      <w:pPr>
        <w:keepNext w:val="0"/>
        <w:keepLines w:val="0"/>
        <w:pageBreakBefore w:val="0"/>
        <w:kinsoku/>
        <w:wordWrap/>
        <w:overflowPunct/>
        <w:topLinePunct w:val="0"/>
        <w:autoSpaceDE/>
        <w:autoSpaceDN/>
        <w:bidi w:val="0"/>
        <w:adjustRightInd/>
        <w:snapToGrid w:val="0"/>
        <w:spacing w:line="620" w:lineRule="exact"/>
        <w:ind w:left="0" w:firstLine="640" w:firstLineChars="200"/>
        <w:jc w:val="center"/>
        <w:textAlignment w:val="auto"/>
        <w:rPr>
          <w:rFonts w:hint="eastAsia" w:ascii="宋体" w:hAnsi="宋体" w:eastAsia="宋体" w:cs="宋体"/>
          <w:kern w:val="0"/>
          <w:sz w:val="32"/>
          <w:szCs w:val="32"/>
        </w:rPr>
      </w:pPr>
      <w:r>
        <w:rPr>
          <w:rFonts w:hint="eastAsia" w:ascii="宋体" w:hAnsi="宋体" w:eastAsia="宋体" w:cs="宋体"/>
          <w:b/>
          <w:bCs/>
          <w:kern w:val="0"/>
          <w:sz w:val="32"/>
          <w:szCs w:val="32"/>
        </w:rPr>
        <w:t>20</w:t>
      </w:r>
      <w:r>
        <w:rPr>
          <w:rFonts w:hint="eastAsia" w:ascii="宋体" w:hAnsi="宋体" w:eastAsia="宋体" w:cs="宋体"/>
          <w:b/>
          <w:bCs/>
          <w:kern w:val="0"/>
          <w:sz w:val="32"/>
          <w:szCs w:val="32"/>
          <w:lang w:val="en-US" w:eastAsia="zh-CN"/>
        </w:rPr>
        <w:t>20</w:t>
      </w:r>
      <w:r>
        <w:rPr>
          <w:rFonts w:hint="eastAsia" w:ascii="宋体" w:hAnsi="宋体" w:eastAsia="宋体" w:cs="宋体"/>
          <w:b/>
          <w:bCs/>
          <w:kern w:val="0"/>
          <w:sz w:val="32"/>
          <w:szCs w:val="32"/>
        </w:rPr>
        <w:t>年度预算资金及执行情况表</w:t>
      </w:r>
    </w:p>
    <w:p>
      <w:pPr>
        <w:keepNext w:val="0"/>
        <w:keepLines w:val="0"/>
        <w:pageBreakBefore w:val="0"/>
        <w:tabs>
          <w:tab w:val="left" w:pos="6700"/>
        </w:tabs>
        <w:kinsoku/>
        <w:wordWrap/>
        <w:overflowPunct/>
        <w:topLinePunct w:val="0"/>
        <w:autoSpaceDE/>
        <w:autoSpaceDN/>
        <w:bidi w:val="0"/>
        <w:adjustRightInd/>
        <w:spacing w:line="620" w:lineRule="exact"/>
        <w:ind w:left="0" w:firstLine="640" w:firstLineChars="200"/>
        <w:textAlignment w:val="auto"/>
        <w:outlineLvl w:val="0"/>
        <w:rPr>
          <w:rFonts w:hint="eastAsia" w:ascii="宋体" w:hAnsi="宋体" w:eastAsia="宋体" w:cs="宋体"/>
          <w:kern w:val="0"/>
          <w:sz w:val="24"/>
          <w:szCs w:val="24"/>
        </w:rPr>
      </w:pPr>
      <w:r>
        <w:rPr>
          <w:rFonts w:hint="eastAsia" w:ascii="宋体" w:hAnsi="宋体" w:eastAsia="宋体" w:cs="宋体"/>
          <w:kern w:val="0"/>
          <w:sz w:val="32"/>
          <w:szCs w:val="32"/>
        </w:rPr>
        <w:t xml:space="preserve">                             </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24"/>
          <w:szCs w:val="24"/>
        </w:rPr>
        <w:t>金额单位：万元</w:t>
      </w:r>
    </w:p>
    <w:tbl>
      <w:tblPr>
        <w:tblStyle w:val="8"/>
        <w:tblW w:w="10290" w:type="dxa"/>
        <w:tblInd w:w="-126" w:type="dxa"/>
        <w:tblLayout w:type="fixed"/>
        <w:tblCellMar>
          <w:top w:w="0" w:type="dxa"/>
          <w:left w:w="108" w:type="dxa"/>
          <w:bottom w:w="0" w:type="dxa"/>
          <w:right w:w="108" w:type="dxa"/>
        </w:tblCellMar>
      </w:tblPr>
      <w:tblGrid>
        <w:gridCol w:w="1875"/>
        <w:gridCol w:w="1485"/>
        <w:gridCol w:w="1110"/>
        <w:gridCol w:w="1530"/>
        <w:gridCol w:w="1395"/>
        <w:gridCol w:w="1380"/>
        <w:gridCol w:w="1515"/>
      </w:tblGrid>
      <w:tr>
        <w:tblPrEx>
          <w:tblLayout w:type="fixed"/>
          <w:tblCellMar>
            <w:top w:w="0" w:type="dxa"/>
            <w:left w:w="108" w:type="dxa"/>
            <w:bottom w:w="0" w:type="dxa"/>
            <w:right w:w="108" w:type="dxa"/>
          </w:tblCellMar>
        </w:tblPrEx>
        <w:trPr>
          <w:trHeight w:val="570" w:hRule="atLeast"/>
        </w:trPr>
        <w:tc>
          <w:tcPr>
            <w:tcW w:w="18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经费类别</w:t>
            </w:r>
          </w:p>
        </w:tc>
        <w:tc>
          <w:tcPr>
            <w:tcW w:w="14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年初部门预算</w:t>
            </w:r>
          </w:p>
        </w:tc>
        <w:tc>
          <w:tcPr>
            <w:tcW w:w="11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上年结转</w:t>
            </w:r>
          </w:p>
        </w:tc>
        <w:tc>
          <w:tcPr>
            <w:tcW w:w="15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年中追加预算</w:t>
            </w:r>
          </w:p>
        </w:tc>
        <w:tc>
          <w:tcPr>
            <w:tcW w:w="13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总预算资金</w:t>
            </w:r>
          </w:p>
        </w:tc>
        <w:tc>
          <w:tcPr>
            <w:tcW w:w="138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已执行预算</w:t>
            </w:r>
          </w:p>
        </w:tc>
        <w:tc>
          <w:tcPr>
            <w:tcW w:w="151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kern w:val="0"/>
                <w:sz w:val="21"/>
                <w:szCs w:val="21"/>
              </w:rPr>
            </w:pPr>
            <w:r>
              <w:rPr>
                <w:rFonts w:hint="eastAsia" w:ascii="宋体" w:hAnsi="宋体" w:eastAsia="宋体" w:cs="宋体"/>
                <w:b/>
                <w:bCs/>
                <w:kern w:val="0"/>
                <w:sz w:val="21"/>
                <w:szCs w:val="21"/>
              </w:rPr>
              <w:t>预算执行率</w:t>
            </w:r>
          </w:p>
        </w:tc>
      </w:tr>
      <w:tr>
        <w:tblPrEx>
          <w:tblLayout w:type="fixed"/>
          <w:tblCellMar>
            <w:top w:w="0" w:type="dxa"/>
            <w:left w:w="108" w:type="dxa"/>
            <w:bottom w:w="0" w:type="dxa"/>
            <w:right w:w="108" w:type="dxa"/>
          </w:tblCellMar>
        </w:tblPrEx>
        <w:trPr>
          <w:trHeight w:val="240" w:hRule="atLeast"/>
        </w:trPr>
        <w:tc>
          <w:tcPr>
            <w:tcW w:w="18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一、人员工资及一般公用支出</w:t>
            </w:r>
          </w:p>
        </w:tc>
        <w:tc>
          <w:tcPr>
            <w:tcW w:w="148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both"/>
              <w:textAlignment w:val="auto"/>
              <w:outlineLvl w:val="9"/>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198.58</w:t>
            </w:r>
          </w:p>
        </w:tc>
        <w:tc>
          <w:tcPr>
            <w:tcW w:w="11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10.70</w:t>
            </w:r>
          </w:p>
        </w:tc>
        <w:tc>
          <w:tcPr>
            <w:tcW w:w="15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21.50</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230.78</w:t>
            </w:r>
          </w:p>
        </w:tc>
        <w:tc>
          <w:tcPr>
            <w:tcW w:w="13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textAlignment w:val="auto"/>
              <w:outlineLvl w:val="9"/>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230.78</w:t>
            </w:r>
          </w:p>
        </w:tc>
        <w:tc>
          <w:tcPr>
            <w:tcW w:w="151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100</w:t>
            </w:r>
            <w:r>
              <w:rPr>
                <w:rFonts w:hint="eastAsia" w:ascii="宋体" w:hAnsi="宋体" w:eastAsia="宋体" w:cs="宋体"/>
                <w:kern w:val="0"/>
                <w:sz w:val="21"/>
                <w:szCs w:val="21"/>
              </w:rPr>
              <w:t>%</w:t>
            </w:r>
          </w:p>
        </w:tc>
      </w:tr>
      <w:tr>
        <w:tblPrEx>
          <w:tblLayout w:type="fixed"/>
          <w:tblCellMar>
            <w:top w:w="0" w:type="dxa"/>
            <w:left w:w="108" w:type="dxa"/>
            <w:bottom w:w="0" w:type="dxa"/>
            <w:right w:w="108" w:type="dxa"/>
          </w:tblCellMar>
        </w:tblPrEx>
        <w:trPr>
          <w:trHeight w:val="437" w:hRule="atLeast"/>
        </w:trPr>
        <w:tc>
          <w:tcPr>
            <w:tcW w:w="18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二、项目经费</w:t>
            </w:r>
          </w:p>
        </w:tc>
        <w:tc>
          <w:tcPr>
            <w:tcW w:w="148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175.00</w:t>
            </w:r>
          </w:p>
        </w:tc>
        <w:tc>
          <w:tcPr>
            <w:tcW w:w="11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p>
        </w:tc>
        <w:tc>
          <w:tcPr>
            <w:tcW w:w="15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p>
        </w:tc>
        <w:tc>
          <w:tcPr>
            <w:tcW w:w="13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175.00</w:t>
            </w:r>
          </w:p>
        </w:tc>
        <w:tc>
          <w:tcPr>
            <w:tcW w:w="13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175.00</w:t>
            </w:r>
          </w:p>
        </w:tc>
        <w:tc>
          <w:tcPr>
            <w:tcW w:w="151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100%</w:t>
            </w:r>
          </w:p>
        </w:tc>
      </w:tr>
      <w:tr>
        <w:tblPrEx>
          <w:tblLayout w:type="fixed"/>
          <w:tblCellMar>
            <w:top w:w="0" w:type="dxa"/>
            <w:left w:w="108" w:type="dxa"/>
            <w:bottom w:w="0" w:type="dxa"/>
            <w:right w:w="108" w:type="dxa"/>
          </w:tblCellMar>
        </w:tblPrEx>
        <w:trPr>
          <w:trHeight w:val="437" w:hRule="atLeast"/>
        </w:trPr>
        <w:tc>
          <w:tcPr>
            <w:tcW w:w="18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 计</w:t>
            </w:r>
          </w:p>
        </w:tc>
        <w:tc>
          <w:tcPr>
            <w:tcW w:w="148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373.58</w:t>
            </w:r>
          </w:p>
        </w:tc>
        <w:tc>
          <w:tcPr>
            <w:tcW w:w="11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10.70</w:t>
            </w:r>
          </w:p>
        </w:tc>
        <w:tc>
          <w:tcPr>
            <w:tcW w:w="153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21.50</w:t>
            </w:r>
          </w:p>
        </w:tc>
        <w:tc>
          <w:tcPr>
            <w:tcW w:w="13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405.78</w:t>
            </w:r>
          </w:p>
        </w:tc>
        <w:tc>
          <w:tcPr>
            <w:tcW w:w="13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405.78</w:t>
            </w:r>
          </w:p>
        </w:tc>
        <w:tc>
          <w:tcPr>
            <w:tcW w:w="151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firstLine="420" w:firstLineChars="20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100%</w:t>
            </w:r>
          </w:p>
        </w:tc>
      </w:tr>
    </w:tbl>
    <w:p>
      <w:pPr>
        <w:pStyle w:val="12"/>
        <w:keepNext w:val="0"/>
        <w:keepLines w:val="0"/>
        <w:pageBreakBefore w:val="0"/>
        <w:widowControl/>
        <w:kinsoku/>
        <w:wordWrap/>
        <w:overflowPunct/>
        <w:topLinePunct w:val="0"/>
        <w:autoSpaceDE/>
        <w:autoSpaceDN/>
        <w:bidi w:val="0"/>
        <w:adjustRightInd/>
        <w:spacing w:line="62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三、项目支出情况</w:t>
      </w:r>
    </w:p>
    <w:p>
      <w:pPr>
        <w:keepNext w:val="0"/>
        <w:keepLines w:val="0"/>
        <w:pageBreakBefore w:val="0"/>
        <w:widowControl/>
        <w:kinsoku/>
        <w:wordWrap/>
        <w:overflowPunct/>
        <w:topLinePunct w:val="0"/>
        <w:autoSpaceDE/>
        <w:autoSpaceDN/>
        <w:bidi w:val="0"/>
        <w:adjustRightInd/>
        <w:spacing w:line="620" w:lineRule="exact"/>
        <w:ind w:left="0" w:firstLine="640" w:firstLineChars="200"/>
        <w:jc w:val="left"/>
        <w:textAlignment w:val="auto"/>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2020年，</w:t>
      </w:r>
      <w:r>
        <w:rPr>
          <w:rFonts w:hint="eastAsia" w:ascii="宋体" w:hAnsi="宋体" w:eastAsia="宋体" w:cs="宋体"/>
          <w:kern w:val="0"/>
          <w:sz w:val="32"/>
          <w:szCs w:val="32"/>
          <w:lang w:eastAsia="zh-CN"/>
        </w:rPr>
        <w:t>我单位没有省级业务专项项目，只有</w:t>
      </w:r>
      <w:r>
        <w:rPr>
          <w:rFonts w:hint="eastAsia" w:ascii="宋体" w:hAnsi="宋体" w:eastAsia="宋体" w:cs="宋体"/>
          <w:kern w:val="0"/>
          <w:sz w:val="32"/>
          <w:szCs w:val="32"/>
        </w:rPr>
        <w:t>业务工作专项</w:t>
      </w:r>
      <w:r>
        <w:rPr>
          <w:rFonts w:hint="eastAsia" w:ascii="宋体" w:hAnsi="宋体" w:eastAsia="宋体" w:cs="宋体"/>
          <w:kern w:val="0"/>
          <w:sz w:val="32"/>
          <w:szCs w:val="32"/>
          <w:lang w:eastAsia="zh-CN"/>
        </w:rPr>
        <w:t>，项目年初预算</w:t>
      </w:r>
      <w:r>
        <w:rPr>
          <w:rFonts w:hint="eastAsia" w:ascii="宋体" w:hAnsi="宋体" w:eastAsia="宋体" w:cs="宋体"/>
          <w:kern w:val="0"/>
          <w:sz w:val="32"/>
          <w:szCs w:val="32"/>
          <w:lang w:val="en-US" w:eastAsia="zh-CN"/>
        </w:rPr>
        <w:t>200万元，其中危险废物环境风险防控175万、车辆购置费用25万，2020年度财政收回车辆购置费用25万元，预算总额为175万元。本年</w:t>
      </w:r>
      <w:r>
        <w:rPr>
          <w:rFonts w:hint="eastAsia" w:ascii="宋体" w:hAnsi="宋体" w:eastAsia="宋体" w:cs="宋体"/>
          <w:kern w:val="0"/>
          <w:sz w:val="32"/>
          <w:szCs w:val="32"/>
        </w:rPr>
        <w:t>度实际执行</w:t>
      </w:r>
      <w:r>
        <w:rPr>
          <w:rFonts w:hint="eastAsia" w:ascii="宋体" w:hAnsi="宋体" w:eastAsia="宋体" w:cs="宋体"/>
          <w:kern w:val="0"/>
          <w:sz w:val="32"/>
          <w:szCs w:val="32"/>
          <w:lang w:val="en-US" w:eastAsia="zh-CN"/>
        </w:rPr>
        <w:t>175</w:t>
      </w:r>
      <w:r>
        <w:rPr>
          <w:rFonts w:hint="eastAsia" w:ascii="宋体" w:hAnsi="宋体" w:eastAsia="宋体" w:cs="宋体"/>
          <w:kern w:val="0"/>
          <w:sz w:val="32"/>
          <w:szCs w:val="32"/>
        </w:rPr>
        <w:t>万元，执行率为</w:t>
      </w:r>
      <w:r>
        <w:rPr>
          <w:rFonts w:hint="eastAsia" w:ascii="宋体" w:hAnsi="宋体" w:eastAsia="宋体" w:cs="宋体"/>
          <w:kern w:val="0"/>
          <w:sz w:val="32"/>
          <w:szCs w:val="32"/>
          <w:lang w:val="en-US" w:eastAsia="zh-CN"/>
        </w:rPr>
        <w:t>100</w:t>
      </w:r>
      <w:r>
        <w:rPr>
          <w:rFonts w:hint="eastAsia" w:ascii="宋体" w:hAnsi="宋体" w:eastAsia="宋体" w:cs="宋体"/>
          <w:kern w:val="0"/>
          <w:sz w:val="32"/>
          <w:szCs w:val="32"/>
        </w:rPr>
        <w:t>%。</w:t>
      </w:r>
    </w:p>
    <w:p>
      <w:pPr>
        <w:keepNext w:val="0"/>
        <w:keepLines w:val="0"/>
        <w:pageBreakBefore w:val="0"/>
        <w:widowControl/>
        <w:kinsoku/>
        <w:wordWrap/>
        <w:overflowPunct/>
        <w:topLinePunct w:val="0"/>
        <w:autoSpaceDE/>
        <w:autoSpaceDN/>
        <w:bidi w:val="0"/>
        <w:adjustRightInd/>
        <w:spacing w:line="620" w:lineRule="exact"/>
        <w:ind w:left="0" w:firstLine="640" w:firstLineChars="200"/>
        <w:jc w:val="left"/>
        <w:textAlignment w:val="auto"/>
        <w:rPr>
          <w:rFonts w:hint="eastAsia" w:ascii="宋体" w:hAnsi="宋体" w:eastAsia="宋体" w:cs="宋体"/>
          <w:sz w:val="32"/>
          <w:szCs w:val="32"/>
          <w:u w:val="none"/>
          <w:lang w:eastAsia="zh-CN"/>
        </w:rPr>
      </w:pPr>
      <w:r>
        <w:rPr>
          <w:rFonts w:hint="eastAsia" w:ascii="宋体" w:hAnsi="宋体" w:eastAsia="宋体" w:cs="宋体"/>
          <w:sz w:val="32"/>
          <w:szCs w:val="32"/>
          <w:u w:val="none"/>
          <w:lang w:eastAsia="zh-CN"/>
        </w:rPr>
        <w:t>危险废物环境风险防控项目费用</w:t>
      </w:r>
      <w:r>
        <w:rPr>
          <w:rFonts w:hint="eastAsia" w:ascii="宋体" w:hAnsi="宋体" w:eastAsia="宋体" w:cs="宋体"/>
          <w:sz w:val="32"/>
          <w:szCs w:val="32"/>
          <w:u w:val="none"/>
        </w:rPr>
        <w:t>主要用于</w:t>
      </w:r>
      <w:r>
        <w:rPr>
          <w:rFonts w:hint="eastAsia" w:ascii="宋体" w:hAnsi="宋体" w:eastAsia="宋体" w:cs="宋体"/>
          <w:sz w:val="32"/>
          <w:szCs w:val="32"/>
          <w:u w:val="none"/>
          <w:lang w:eastAsia="zh-CN"/>
        </w:rPr>
        <w:t>我省</w:t>
      </w:r>
      <w:r>
        <w:rPr>
          <w:rFonts w:hint="eastAsia" w:ascii="宋体" w:hAnsi="宋体" w:eastAsia="宋体" w:cs="宋体"/>
          <w:sz w:val="32"/>
          <w:szCs w:val="32"/>
          <w:u w:val="none"/>
          <w:lang w:val="en-US" w:eastAsia="zh-CN"/>
        </w:rPr>
        <w:t>4家废弃电器电子产品拆解处理企业省级复审工作、危险废物规范化管理督查考核工作、2020年危险废物申报登记工作</w:t>
      </w:r>
      <w:r>
        <w:rPr>
          <w:rFonts w:hint="eastAsia" w:ascii="宋体" w:hAnsi="宋体" w:eastAsia="宋体" w:cs="宋体"/>
          <w:sz w:val="32"/>
          <w:szCs w:val="32"/>
          <w:u w:val="none"/>
        </w:rPr>
        <w:t>等</w:t>
      </w:r>
      <w:r>
        <w:rPr>
          <w:rFonts w:hint="eastAsia" w:ascii="宋体" w:hAnsi="宋体" w:eastAsia="宋体" w:cs="宋体"/>
          <w:sz w:val="32"/>
          <w:szCs w:val="32"/>
          <w:u w:val="none"/>
          <w:lang w:eastAsia="zh-CN"/>
        </w:rPr>
        <w:t>方面</w:t>
      </w:r>
      <w:r>
        <w:rPr>
          <w:rFonts w:hint="eastAsia" w:ascii="宋体" w:hAnsi="宋体" w:eastAsia="宋体" w:cs="宋体"/>
          <w:sz w:val="32"/>
          <w:szCs w:val="32"/>
          <w:u w:val="none"/>
        </w:rPr>
        <w:t>。</w:t>
      </w:r>
      <w:r>
        <w:rPr>
          <w:rFonts w:hint="eastAsia" w:ascii="宋体" w:hAnsi="宋体" w:eastAsia="宋体" w:cs="宋体"/>
          <w:sz w:val="32"/>
          <w:szCs w:val="32"/>
          <w:u w:val="none"/>
          <w:lang w:eastAsia="zh-CN"/>
        </w:rPr>
        <w:t>通过该项目实施，一是规范和指导了我省废弃电器电子回收拆解处理活动，促进废弃电器电子产品无害化处理，确保基金使用安全。二是提高了我省危险废物规范化管理水平，加强危险废物污染防治。三是为核发危险废物经营许可证提供技术支撑。四是加强对全省危险废物产生、收集、贮存、转移、利用、处置全过程监管，有效防范化解危险废物环境风险、保障生态安全。五是全面掌握我省固体废物基本情况，为科学制定固体废物环境监管计划，实现危险废物“源头严防、过程严管、后果严惩”的全过程监管提供数据支撑。</w:t>
      </w:r>
    </w:p>
    <w:p>
      <w:pPr>
        <w:keepNext w:val="0"/>
        <w:keepLines w:val="0"/>
        <w:pageBreakBefore w:val="0"/>
        <w:widowControl/>
        <w:kinsoku/>
        <w:wordWrap/>
        <w:overflowPunct/>
        <w:topLinePunct w:val="0"/>
        <w:autoSpaceDE/>
        <w:autoSpaceDN/>
        <w:bidi w:val="0"/>
        <w:adjustRightInd/>
        <w:spacing w:line="62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四、部门整体支出绩效情况</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1、助力企业复工复查。</w:t>
      </w:r>
      <w:r>
        <w:rPr>
          <w:rFonts w:hint="eastAsia" w:ascii="宋体" w:hAnsi="宋体" w:eastAsia="宋体" w:cs="宋体"/>
          <w:sz w:val="32"/>
          <w:szCs w:val="32"/>
          <w:lang w:val="en-US" w:eastAsia="zh-CN"/>
        </w:rPr>
        <w:t>年初受新冠疫情影响，固废站按照省委省政府“六稳六保”要求，积极配合省厅相继印发了《关于支持企业复工复产促进经济发展的意见》、《关于做好新冠肺炎疫情防控期间有关固体（危险）废物审批工作的通知》，优化各种流程，通过“网上办”等方式，全力支持企业应对疫情影响，加快复工复产，促进经济社会发展。</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2、严控新冠疫情期间医疗废物处置工作。</w:t>
      </w:r>
      <w:r>
        <w:rPr>
          <w:rFonts w:hint="eastAsia" w:ascii="宋体" w:hAnsi="宋体" w:eastAsia="宋体" w:cs="宋体"/>
          <w:sz w:val="32"/>
          <w:szCs w:val="32"/>
          <w:lang w:val="en-US" w:eastAsia="zh-CN"/>
        </w:rPr>
        <w:t>新冠肺炎疫情爆发后，根据厅防控工作领导小组任务部署，坚决落实“每日调度”机制，编制上报我省新型冠状病毒防控信息报告345天/期；同时调度各市州、各医疗废物处置中心针对可能存在的风险问题，进一步完善医疗废物处置专项应急预案。累计调度完成处置医疗废物52603.49吨，确保全省医疗废物做到“日产日清”。协调下达了医疗废物收集处置专项补助资金500万元用于疫情防控期间医疗废物收集处置单位补助。</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3、强化危险废物全过程环境管理。</w:t>
      </w:r>
      <w:r>
        <w:rPr>
          <w:rFonts w:hint="eastAsia" w:ascii="宋体" w:hAnsi="宋体" w:eastAsia="宋体" w:cs="宋体"/>
          <w:sz w:val="32"/>
          <w:szCs w:val="32"/>
          <w:lang w:val="en-US" w:eastAsia="zh-CN"/>
        </w:rPr>
        <w:t>制定《湖南省实验室危险废物管理指南》，填补了湖南省实验室危险废物的环境管理空白。全面开展废铅蓄电池跨区域收集和集中转运试点工作，针对废铅蓄电池环境管理难点，创新管理思路，有效遏制涉铅蓄电池环境违法行为。</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4、开展全省危险废物大调查大排查技术帮扶工作。</w:t>
      </w:r>
      <w:r>
        <w:rPr>
          <w:rFonts w:hint="eastAsia" w:ascii="宋体" w:hAnsi="宋体" w:eastAsia="宋体" w:cs="宋体"/>
          <w:sz w:val="32"/>
          <w:szCs w:val="32"/>
          <w:lang w:val="en-US" w:eastAsia="zh-CN"/>
        </w:rPr>
        <w:t>下发了《关于开展危险废物大调查大排查技术帮扶工作的通知》，组建60多人的技术帮扶队伍，深入全省152个县区，培训企业9989家，培训人数10580个，排查企业354家，现场交办案件25个，建立了危险废物管理九个清单，为危险废物大调查大排查工作夯实了基础。</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5、推动省固体废物管理平台建设。</w:t>
      </w:r>
      <w:r>
        <w:rPr>
          <w:rFonts w:hint="eastAsia" w:ascii="宋体" w:hAnsi="宋体" w:eastAsia="宋体" w:cs="宋体"/>
          <w:sz w:val="32"/>
          <w:szCs w:val="32"/>
          <w:lang w:val="en-US" w:eastAsia="zh-CN"/>
        </w:rPr>
        <w:t>从2019年底开始，省固废站经过多次调研、座谈、讨论会、书面征求意见等方式，编制了《湖南省固体废物管理平台建设方案》，经过厅网信领导小组和厅党组会通过，目前平台已开展建设，将为我省固体废物全过程精细化管理起到科学决策作用。</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宋体" w:hAnsi="宋体" w:eastAsia="宋体" w:cs="宋体"/>
          <w:kern w:val="2"/>
          <w:sz w:val="32"/>
          <w:szCs w:val="32"/>
          <w:lang w:val="en-US" w:eastAsia="zh-CN" w:bidi="ar-SA"/>
        </w:rPr>
      </w:pPr>
      <w:r>
        <w:rPr>
          <w:rFonts w:hint="eastAsia" w:ascii="宋体" w:hAnsi="宋体" w:eastAsia="宋体" w:cs="宋体"/>
          <w:b/>
          <w:bCs/>
          <w:sz w:val="32"/>
          <w:szCs w:val="32"/>
          <w:lang w:val="en-US" w:eastAsia="zh-CN"/>
        </w:rPr>
        <w:t>6、危险废物规范管理督查考核工作有序开展。</w:t>
      </w:r>
      <w:r>
        <w:rPr>
          <w:rFonts w:hint="eastAsia" w:ascii="宋体" w:hAnsi="宋体" w:eastAsia="宋体" w:cs="宋体"/>
          <w:kern w:val="2"/>
          <w:sz w:val="32"/>
          <w:szCs w:val="32"/>
          <w:lang w:val="en-US" w:eastAsia="zh-CN" w:bidi="ar-SA"/>
        </w:rPr>
        <w:t>编制并下发了《2020年湖南省危险废物规范化管理督查考核工作实施方案》，制定了《2020年市州危险废物规范化管理督查考核工作评级指标》，对全省危险废物规范化管理工作进行了部署和强化。全年共抽查158家危险废物产生单位和126家经营单位，超额完成了生态环境部规定的考核目标任务，相关情况已按要求上报生态环境部。</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7、规范危险废物许可证技术审查工作。</w:t>
      </w:r>
      <w:r>
        <w:rPr>
          <w:rFonts w:hint="eastAsia" w:ascii="宋体" w:hAnsi="宋体" w:eastAsia="宋体" w:cs="宋体"/>
          <w:sz w:val="32"/>
          <w:szCs w:val="32"/>
          <w:lang w:val="en-US" w:eastAsia="zh-CN"/>
        </w:rPr>
        <w:t>印发了《湖南省固体废物管理站危险废物经营许可审批事项技术审查规程（试行）》，从资料查看、专家选取、材料格式、时限要求等每一项工作都进行了规范。全年年我站共办理45家次企业申请危险废物经营许可证的换发、变更，临时生产证、临时生产证换发等许可技术审查工作，均做到了无差错。</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outlineLvl w:val="9"/>
        <w:rPr>
          <w:rFonts w:hint="eastAsia" w:ascii="宋体" w:hAnsi="宋体" w:eastAsia="宋体" w:cs="宋体"/>
          <w:kern w:val="2"/>
          <w:sz w:val="32"/>
          <w:szCs w:val="32"/>
          <w:lang w:val="en-US" w:eastAsia="zh-CN" w:bidi="ar-SA"/>
        </w:rPr>
      </w:pPr>
      <w:r>
        <w:rPr>
          <w:rFonts w:hint="eastAsia" w:ascii="宋体" w:hAnsi="宋体" w:eastAsia="宋体" w:cs="宋体"/>
          <w:b/>
          <w:bCs/>
          <w:sz w:val="32"/>
          <w:szCs w:val="32"/>
          <w:lang w:val="en-US" w:eastAsia="zh-CN"/>
        </w:rPr>
        <w:t>8、超标准完成全年申报登记工作任务。</w:t>
      </w:r>
      <w:r>
        <w:rPr>
          <w:rFonts w:hint="eastAsia" w:ascii="宋体" w:hAnsi="宋体" w:eastAsia="宋体" w:cs="宋体"/>
          <w:kern w:val="2"/>
          <w:sz w:val="32"/>
          <w:szCs w:val="32"/>
          <w:lang w:val="en-US" w:eastAsia="zh-CN" w:bidi="ar-SA"/>
        </w:rPr>
        <w:t>下发了《关于加强全省2020年固体废物申报登记管理工作的通知》，组建了申报登记帮扶队伍，举办了申报登记帮扶培训，强化了申报进度调度，在全国固体废物管理系统申报登记企业首次突破一万家，超额完成省厅2020年度业务建设考核重点工作的年度目标。建立了危险废物管理“四个清单”，初步掌握全省固体废物产生、转移、贮存、利用处置等情况。</w:t>
      </w:r>
    </w:p>
    <w:p>
      <w:pPr>
        <w:pStyle w:val="2"/>
        <w:keepNext w:val="0"/>
        <w:keepLines w:val="0"/>
        <w:pageBreakBefore w:val="0"/>
        <w:widowControl w:val="0"/>
        <w:kinsoku/>
        <w:wordWrap/>
        <w:overflowPunct/>
        <w:topLinePunct w:val="0"/>
        <w:autoSpaceDE/>
        <w:autoSpaceDN/>
        <w:bidi w:val="0"/>
        <w:adjustRightInd/>
        <w:snapToGrid/>
        <w:spacing w:after="0" w:afterLines="0" w:line="620" w:lineRule="exact"/>
        <w:ind w:left="0" w:leftChars="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9、废家电拆解处理管理水平大幅提升。</w:t>
      </w:r>
      <w:r>
        <w:rPr>
          <w:rFonts w:hint="eastAsia" w:ascii="宋体" w:hAnsi="宋体" w:eastAsia="宋体" w:cs="宋体"/>
          <w:sz w:val="32"/>
          <w:szCs w:val="32"/>
          <w:lang w:val="en-US" w:eastAsia="zh-CN"/>
        </w:rPr>
        <w:t>我省共有4家废家电拆解处理公司，今年有3家企业接受了国家抽查审核或调研，其中汨罗万容公司通过国家抽查审核并实现“零扣减”，株洲凯天公司自2017年第二季度暂停审核后今年正式恢复审核并顺利通过，湖南绿色公司践行生产者责任延伸制度和再生资源产业链延伸经验受到部固管中心领导调研肯定。</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color w:val="000000"/>
          <w:sz w:val="32"/>
          <w:szCs w:val="32"/>
        </w:rPr>
        <w:t>五、</w:t>
      </w:r>
      <w:r>
        <w:rPr>
          <w:rFonts w:hint="eastAsia" w:ascii="黑体" w:hAnsi="黑体" w:eastAsia="黑体" w:cs="黑体"/>
          <w:sz w:val="32"/>
          <w:szCs w:val="32"/>
        </w:rPr>
        <w:t>存在的主要问题及下一步改进措施</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业务工作专项中结余</w:t>
      </w:r>
      <w:r>
        <w:rPr>
          <w:rFonts w:hint="eastAsia" w:ascii="宋体" w:hAnsi="宋体" w:eastAsia="宋体" w:cs="宋体"/>
          <w:sz w:val="32"/>
          <w:szCs w:val="32"/>
          <w:lang w:val="en-US" w:eastAsia="zh-CN"/>
        </w:rPr>
        <w:t>25万车辆购置费，主要原因是车辆购置审批单中明确只能购置猎豹牌越野车，该车型排量小不能满足工作需要，且已停产后续的维保难以得到保障，因此本年度放弃购置车辆。</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六、绩效自评结果拟应用和公开情况</w:t>
      </w:r>
    </w:p>
    <w:p>
      <w:pPr>
        <w:keepNext w:val="0"/>
        <w:keepLines w:val="0"/>
        <w:pageBreakBefore w:val="0"/>
        <w:kinsoku/>
        <w:wordWrap/>
        <w:overflowPunct/>
        <w:topLinePunct w:val="0"/>
        <w:autoSpaceDE/>
        <w:autoSpaceDN/>
        <w:bidi w:val="0"/>
        <w:adjustRightInd/>
        <w:snapToGrid/>
        <w:spacing w:line="620" w:lineRule="exact"/>
        <w:ind w:left="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根据绩效自评结果，合理编制下一年度预算，保障各项工作正常开展，严格执行相关规定和制度。绩效自评结果将在省</w:t>
      </w:r>
      <w:r>
        <w:rPr>
          <w:rFonts w:hint="eastAsia" w:ascii="宋体" w:hAnsi="宋体" w:eastAsia="宋体" w:cs="宋体"/>
          <w:sz w:val="32"/>
          <w:szCs w:val="32"/>
          <w:lang w:eastAsia="zh-CN"/>
        </w:rPr>
        <w:t>生态环境</w:t>
      </w:r>
      <w:r>
        <w:rPr>
          <w:rFonts w:hint="eastAsia" w:ascii="宋体" w:hAnsi="宋体" w:eastAsia="宋体" w:cs="宋体"/>
          <w:sz w:val="32"/>
          <w:szCs w:val="32"/>
        </w:rPr>
        <w:t>厅公众网进行公开。</w:t>
      </w:r>
    </w:p>
    <w:p>
      <w:pPr>
        <w:keepNext w:val="0"/>
        <w:keepLines w:val="0"/>
        <w:pageBreakBefore w:val="0"/>
        <w:widowControl/>
        <w:kinsoku/>
        <w:wordWrap/>
        <w:overflowPunct/>
        <w:topLinePunct w:val="0"/>
        <w:autoSpaceDE/>
        <w:autoSpaceDN/>
        <w:bidi w:val="0"/>
        <w:adjustRightInd/>
        <w:snapToGrid/>
        <w:spacing w:line="620" w:lineRule="exact"/>
        <w:ind w:left="0" w:firstLine="640" w:firstLineChars="200"/>
        <w:jc w:val="left"/>
        <w:textAlignment w:val="auto"/>
        <w:rPr>
          <w:rFonts w:hint="eastAsia" w:ascii="宋体" w:hAnsi="宋体" w:eastAsia="宋体" w:cs="宋体"/>
          <w:b/>
          <w:bCs/>
          <w:sz w:val="32"/>
          <w:szCs w:val="32"/>
        </w:rPr>
      </w:pPr>
      <w:r>
        <w:rPr>
          <w:rFonts w:hint="eastAsia" w:ascii="宋体" w:hAnsi="宋体" w:eastAsia="宋体" w:cs="宋体"/>
          <w:b/>
          <w:bCs/>
          <w:sz w:val="32"/>
          <w:szCs w:val="32"/>
        </w:rPr>
        <w:t>七、其他需要说明的情况</w:t>
      </w:r>
    </w:p>
    <w:p>
      <w:pPr>
        <w:keepNext w:val="0"/>
        <w:keepLines w:val="0"/>
        <w:pageBreakBefore w:val="0"/>
        <w:kinsoku/>
        <w:wordWrap/>
        <w:overflowPunct/>
        <w:topLinePunct w:val="0"/>
        <w:autoSpaceDE/>
        <w:autoSpaceDN/>
        <w:bidi w:val="0"/>
        <w:adjustRightInd/>
        <w:snapToGrid/>
        <w:spacing w:line="620" w:lineRule="exact"/>
        <w:ind w:left="0"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无。</w:t>
      </w:r>
    </w:p>
    <w:p>
      <w:pPr>
        <w:ind w:firstLine="640" w:firstLineChars="200"/>
        <w:jc w:val="left"/>
        <w:rPr>
          <w:rFonts w:cs="黑体" w:asciiTheme="minorEastAsia" w:hAnsiTheme="minorEastAsia"/>
          <w:color w:val="000000"/>
          <w:kern w:val="0"/>
          <w:sz w:val="32"/>
          <w:szCs w:val="32"/>
        </w:r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1</w:t>
      </w:r>
      <w:r>
        <w:rPr>
          <w:rFonts w:hint="eastAsia" w:ascii="宋体" w:hAnsi="宋体" w:eastAsia="宋体" w:cs="宋体"/>
          <w:b/>
          <w:sz w:val="32"/>
          <w:lang w:eastAsia="zh-CN"/>
        </w:rPr>
        <w:t>、</w:t>
      </w:r>
      <w:r>
        <w:rPr>
          <w:rFonts w:hint="eastAsia" w:ascii="宋体" w:hAnsi="宋体" w:eastAsia="宋体" w:cs="宋体"/>
          <w:b/>
          <w:sz w:val="32"/>
        </w:rPr>
        <w:t>财政拨款收入</w:t>
      </w:r>
      <w:r>
        <w:rPr>
          <w:rFonts w:hint="eastAsia" w:ascii="宋体" w:hAnsi="宋体" w:eastAsia="宋体" w:cs="宋体"/>
          <w:sz w:val="32"/>
        </w:rPr>
        <w:t>：指财政当年拨付的资金。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rPr>
      </w:pPr>
      <w:r>
        <w:rPr>
          <w:rFonts w:hint="eastAsia" w:ascii="宋体" w:hAnsi="宋体" w:eastAsia="宋体" w:cs="宋体"/>
          <w:b/>
          <w:sz w:val="32"/>
          <w:lang w:val="en-US" w:eastAsia="zh-CN"/>
        </w:rPr>
        <w:t>2</w:t>
      </w:r>
      <w:r>
        <w:rPr>
          <w:rFonts w:hint="eastAsia" w:ascii="宋体" w:hAnsi="宋体" w:eastAsia="宋体" w:cs="宋体"/>
          <w:b/>
          <w:sz w:val="32"/>
          <w:lang w:eastAsia="zh-CN"/>
        </w:rPr>
        <w:t>、</w:t>
      </w:r>
      <w:r>
        <w:rPr>
          <w:rFonts w:hint="eastAsia" w:ascii="宋体" w:hAnsi="宋体" w:eastAsia="宋体" w:cs="宋体"/>
          <w:b/>
          <w:sz w:val="32"/>
        </w:rPr>
        <w:t>事业收入</w:t>
      </w:r>
      <w:r>
        <w:rPr>
          <w:rFonts w:hint="eastAsia" w:ascii="宋体" w:hAnsi="宋体" w:eastAsia="宋体" w:cs="宋体"/>
          <w:sz w:val="32"/>
        </w:rPr>
        <w:t>：指事业单位开展专业业务活动及辅助活动所取得的收入。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3、</w:t>
      </w:r>
      <w:r>
        <w:rPr>
          <w:rFonts w:hint="eastAsia" w:ascii="宋体" w:hAnsi="宋体" w:eastAsia="宋体" w:cs="宋体"/>
          <w:b/>
          <w:sz w:val="32"/>
        </w:rPr>
        <w:t>经营收入</w:t>
      </w:r>
      <w:r>
        <w:rPr>
          <w:rFonts w:hint="eastAsia" w:ascii="宋体" w:hAnsi="宋体" w:eastAsia="宋体" w:cs="宋体"/>
          <w:sz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4、</w:t>
      </w:r>
      <w:r>
        <w:rPr>
          <w:rFonts w:hint="eastAsia" w:ascii="宋体" w:hAnsi="宋体" w:eastAsia="宋体" w:cs="宋体"/>
          <w:b/>
          <w:sz w:val="32"/>
        </w:rPr>
        <w:t>其他收入</w:t>
      </w:r>
      <w:r>
        <w:rPr>
          <w:rFonts w:hint="eastAsia" w:ascii="宋体" w:hAnsi="宋体" w:eastAsia="宋体" w:cs="宋体"/>
          <w:sz w:val="32"/>
        </w:rPr>
        <w:t>：指除上述“财政拨款收入”、“事业收入”、“经营收入”等以外的收入。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5</w:t>
      </w:r>
      <w:r>
        <w:rPr>
          <w:rFonts w:hint="eastAsia" w:ascii="宋体" w:hAnsi="宋体" w:eastAsia="宋体" w:cs="宋体"/>
          <w:b/>
          <w:sz w:val="32"/>
        </w:rPr>
        <w:t>、用事业基金弥补收支差额</w:t>
      </w:r>
      <w:r>
        <w:rPr>
          <w:rFonts w:hint="eastAsia" w:ascii="宋体" w:hAnsi="宋体" w:eastAsia="宋体" w:cs="宋体"/>
          <w:sz w:val="32"/>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rPr>
      </w:pPr>
      <w:r>
        <w:rPr>
          <w:rFonts w:hint="eastAsia" w:ascii="宋体" w:hAnsi="宋体" w:eastAsia="宋体" w:cs="宋体"/>
          <w:b/>
          <w:sz w:val="32"/>
          <w:lang w:val="en-US" w:eastAsia="zh-CN"/>
        </w:rPr>
        <w:t>6</w:t>
      </w:r>
      <w:r>
        <w:rPr>
          <w:rFonts w:hint="eastAsia" w:ascii="宋体" w:hAnsi="宋体" w:eastAsia="宋体" w:cs="宋体"/>
          <w:b/>
          <w:sz w:val="32"/>
        </w:rPr>
        <w:t>、年初结转和结余</w:t>
      </w:r>
      <w:r>
        <w:rPr>
          <w:rFonts w:hint="eastAsia" w:ascii="宋体" w:hAnsi="宋体" w:eastAsia="宋体" w:cs="宋体"/>
          <w:sz w:val="32"/>
        </w:rPr>
        <w:t>：指以前年度尚未完成、结转到本年按有关规定继续使用的资金。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7</w:t>
      </w:r>
      <w:r>
        <w:rPr>
          <w:rFonts w:hint="eastAsia" w:ascii="宋体" w:hAnsi="宋体" w:eastAsia="宋体" w:cs="宋体"/>
          <w:b/>
          <w:sz w:val="32"/>
        </w:rPr>
        <w:t>、结余分配</w:t>
      </w:r>
      <w:r>
        <w:rPr>
          <w:rFonts w:hint="eastAsia" w:ascii="宋体" w:hAnsi="宋体" w:eastAsia="宋体" w:cs="宋体"/>
          <w:sz w:val="32"/>
        </w:rPr>
        <w:t>：指事业单位按规定提取的职工福利基金、事业基金和缴纳的所得税，以及建设单位按规定应交回的基本建设竣工项目结余资金。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rFonts w:hint="eastAsia" w:ascii="宋体" w:hAnsi="宋体" w:eastAsia="宋体" w:cs="宋体"/>
          <w:sz w:val="32"/>
        </w:rPr>
      </w:pPr>
      <w:r>
        <w:rPr>
          <w:rFonts w:hint="eastAsia" w:ascii="宋体" w:hAnsi="宋体" w:eastAsia="宋体" w:cs="宋体"/>
          <w:b/>
          <w:bCs w:val="0"/>
          <w:sz w:val="30"/>
          <w:lang w:val="en-US" w:eastAsia="zh-CN"/>
        </w:rPr>
        <w:t>8</w:t>
      </w:r>
      <w:r>
        <w:rPr>
          <w:rFonts w:hint="eastAsia" w:ascii="宋体" w:hAnsi="宋体" w:eastAsia="宋体" w:cs="宋体"/>
          <w:b/>
          <w:bCs w:val="0"/>
          <w:sz w:val="30"/>
        </w:rPr>
        <w:t>、年末结转和结余</w:t>
      </w:r>
      <w:r>
        <w:rPr>
          <w:rFonts w:hint="eastAsia" w:ascii="宋体" w:hAnsi="宋体" w:eastAsia="宋体" w:cs="宋体"/>
          <w:b/>
          <w:bCs w:val="0"/>
          <w:sz w:val="30"/>
          <w:lang w:eastAsia="zh-CN"/>
        </w:rPr>
        <w:t>：</w:t>
      </w:r>
      <w:r>
        <w:rPr>
          <w:rFonts w:hint="eastAsia" w:ascii="宋体" w:hAnsi="宋体" w:eastAsia="宋体" w:cs="宋体"/>
          <w:sz w:val="30"/>
        </w:rPr>
        <w:t>指本年度或以前年度预算安排、</w:t>
      </w:r>
      <w:r>
        <w:rPr>
          <w:rFonts w:hint="eastAsia" w:ascii="宋体" w:hAnsi="宋体" w:eastAsia="宋体" w:cs="宋体"/>
          <w:sz w:val="32"/>
        </w:rPr>
        <w:t>因客观条件发生变化无法按原计划实施，需延迟到以后年度按</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ascii="宋体" w:hAnsi="宋体" w:eastAsia="宋体" w:cs="宋体"/>
          <w:sz w:val="32"/>
        </w:rPr>
      </w:pPr>
      <w:r>
        <w:rPr>
          <w:rFonts w:hint="eastAsia" w:ascii="宋体" w:hAnsi="宋体" w:eastAsia="宋体" w:cs="宋体"/>
          <w:sz w:val="32"/>
        </w:rPr>
        <w:t>有关规定继续使用的资金。</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9</w:t>
      </w:r>
      <w:r>
        <w:rPr>
          <w:rFonts w:hint="eastAsia" w:ascii="宋体" w:hAnsi="宋体" w:eastAsia="宋体" w:cs="宋体"/>
          <w:b/>
          <w:sz w:val="32"/>
        </w:rPr>
        <w:t>、基本支出</w:t>
      </w:r>
      <w:r>
        <w:rPr>
          <w:rFonts w:hint="eastAsia" w:ascii="宋体" w:hAnsi="宋体" w:eastAsia="宋体" w:cs="宋体"/>
          <w:sz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bCs/>
          <w:sz w:val="32"/>
          <w:szCs w:val="32"/>
          <w:lang w:val="en-US" w:eastAsia="zh-CN"/>
        </w:rPr>
        <w:t>10</w:t>
      </w:r>
      <w:r>
        <w:rPr>
          <w:rFonts w:hint="eastAsia" w:ascii="宋体" w:hAnsi="宋体" w:eastAsia="宋体" w:cs="宋体"/>
          <w:b/>
          <w:bCs/>
          <w:sz w:val="32"/>
          <w:szCs w:val="32"/>
        </w:rPr>
        <w:t>、项目支出</w:t>
      </w:r>
      <w:r>
        <w:rPr>
          <w:rFonts w:hint="eastAsia" w:ascii="宋体" w:hAnsi="宋体" w:eastAsia="宋体" w:cs="宋体"/>
          <w:sz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bCs/>
          <w:sz w:val="32"/>
          <w:szCs w:val="32"/>
          <w:lang w:val="en-US" w:eastAsia="zh-CN"/>
        </w:rPr>
        <w:t>11</w:t>
      </w:r>
      <w:r>
        <w:rPr>
          <w:rFonts w:hint="eastAsia" w:ascii="宋体" w:hAnsi="宋体" w:eastAsia="宋体" w:cs="宋体"/>
          <w:b/>
          <w:bCs/>
          <w:sz w:val="32"/>
          <w:szCs w:val="32"/>
        </w:rPr>
        <w:t>、经营支出</w:t>
      </w:r>
      <w:r>
        <w:rPr>
          <w:rFonts w:hint="eastAsia" w:ascii="宋体" w:hAnsi="宋体" w:eastAsia="宋体" w:cs="宋体"/>
          <w:sz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宋体" w:hAnsi="宋体" w:eastAsia="宋体" w:cs="宋体"/>
          <w:sz w:val="32"/>
        </w:rPr>
      </w:pPr>
      <w:r>
        <w:rPr>
          <w:rFonts w:hint="eastAsia" w:ascii="宋体" w:hAnsi="宋体" w:eastAsia="宋体" w:cs="宋体"/>
          <w:b/>
          <w:sz w:val="32"/>
          <w:lang w:val="en-US" w:eastAsia="zh-CN"/>
        </w:rPr>
        <w:t>12、</w:t>
      </w:r>
      <w:r>
        <w:rPr>
          <w:rFonts w:hint="eastAsia" w:ascii="宋体" w:hAnsi="宋体" w:eastAsia="宋体" w:cs="宋体"/>
          <w:b/>
          <w:sz w:val="32"/>
        </w:rPr>
        <w:t>“三公”经费</w:t>
      </w:r>
      <w:r>
        <w:rPr>
          <w:rFonts w:hint="eastAsia" w:ascii="宋体" w:hAnsi="宋体" w:eastAsia="宋体" w:cs="宋体"/>
          <w:sz w:val="32"/>
        </w:rPr>
        <w:t>：纳入财政预决算管理的“三</w:t>
      </w:r>
      <w:r>
        <w:rPr>
          <w:rFonts w:hint="eastAsia" w:ascii="宋体" w:hAnsi="宋体" w:eastAsia="宋体" w:cs="宋体"/>
          <w:sz w:val="31"/>
        </w:rPr>
        <w:t>公”经费，是指部门用财政拨款安排的因公出国（境）费、</w:t>
      </w:r>
      <w:r>
        <w:rPr>
          <w:rFonts w:hint="eastAsia" w:ascii="宋体" w:hAnsi="宋体" w:eastAsia="宋体" w:cs="宋体"/>
          <w:sz w:val="32"/>
        </w:rPr>
        <w:t>公务用车购置及运行费和公务接待费。其中，因公出国（境）费反映单位公务出国（境）的国际旅费、国外城市间交通费</w:t>
      </w:r>
      <w:r>
        <w:rPr>
          <w:rFonts w:hint="eastAsia" w:ascii="宋体" w:hAnsi="宋体" w:eastAsia="宋体" w:cs="宋体"/>
          <w:sz w:val="32"/>
          <w:lang w:eastAsia="zh-CN"/>
        </w:rPr>
        <w:t>、</w:t>
      </w:r>
      <w:r>
        <w:rPr>
          <w:rFonts w:hint="eastAsia" w:ascii="宋体" w:hAnsi="宋体" w:eastAsia="宋体" w:cs="宋体"/>
          <w:sz w:val="32"/>
        </w:rPr>
        <w:t>住宿费、伙食费、培训费、公杂费等支出；公务用车购置及运</w:t>
      </w:r>
      <w:bookmarkStart w:id="3" w:name="page51"/>
      <w:bookmarkEnd w:id="3"/>
      <w:r>
        <w:rPr>
          <w:rFonts w:hint="eastAsia" w:ascii="宋体" w:hAnsi="宋体" w:eastAsia="宋体" w:cs="宋体"/>
          <w:sz w:val="31"/>
        </w:rPr>
        <w:t>行费反映单位公务用车车辆购置支出（含车辆购置税）及租用费、燃料费、维修费、过路过桥费、保险费、安全奖励费用等支出；公务接待费反映单位按规定开支的各类公务接待（含外</w:t>
      </w:r>
      <w:r>
        <w:rPr>
          <w:rFonts w:hint="eastAsia" w:ascii="宋体" w:hAnsi="宋体" w:eastAsia="宋体" w:cs="宋体"/>
          <w:sz w:val="32"/>
        </w:rPr>
        <w:t>宾接待）支出。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0" w:firstLineChars="200"/>
        <w:jc w:val="both"/>
        <w:textAlignment w:val="auto"/>
        <w:outlineLvl w:val="9"/>
        <w:rPr>
          <w:rFonts w:hint="eastAsia" w:ascii="宋体" w:hAnsi="宋体" w:eastAsia="宋体" w:cs="宋体"/>
          <w:sz w:val="32"/>
          <w:lang w:val="en-US" w:eastAsia="zh-CN"/>
        </w:rPr>
      </w:pPr>
      <w:r>
        <w:rPr>
          <w:rFonts w:hint="eastAsia" w:ascii="宋体" w:hAnsi="宋体" w:eastAsia="宋体" w:cs="宋体"/>
          <w:b/>
          <w:sz w:val="31"/>
          <w:lang w:val="en-US" w:eastAsia="zh-CN"/>
        </w:rPr>
        <w:t>13</w:t>
      </w:r>
      <w:r>
        <w:rPr>
          <w:rFonts w:hint="eastAsia" w:ascii="宋体" w:hAnsi="宋体" w:eastAsia="宋体" w:cs="宋体"/>
          <w:b/>
          <w:sz w:val="31"/>
        </w:rPr>
        <w:t>、机关运行经费</w:t>
      </w:r>
      <w:r>
        <w:rPr>
          <w:rFonts w:hint="eastAsia" w:ascii="宋体" w:hAnsi="宋体" w:eastAsia="宋体" w:cs="宋体"/>
          <w:sz w:val="3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hint="eastAsia" w:ascii="宋体" w:hAnsi="宋体" w:eastAsia="宋体" w:cs="宋体"/>
          <w:sz w:val="32"/>
        </w:rPr>
        <w:t>他费用。</w:t>
      </w:r>
    </w:p>
    <w:p>
      <w:pPr>
        <w:widowControl/>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373BB"/>
    <w:multiLevelType w:val="singleLevel"/>
    <w:tmpl w:val="1A3373BB"/>
    <w:lvl w:ilvl="0" w:tentative="0">
      <w:start w:val="2"/>
      <w:numFmt w:val="decimal"/>
      <w:suff w:val="nothing"/>
      <w:lvlText w:val="%1、"/>
      <w:lvlJc w:val="left"/>
    </w:lvl>
  </w:abstractNum>
  <w:abstractNum w:abstractNumId="1">
    <w:nsid w:val="52314B75"/>
    <w:multiLevelType w:val="singleLevel"/>
    <w:tmpl w:val="52314B7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70B29D3"/>
    <w:rsid w:val="07326285"/>
    <w:rsid w:val="08635596"/>
    <w:rsid w:val="092C4942"/>
    <w:rsid w:val="096B29FC"/>
    <w:rsid w:val="09BB2374"/>
    <w:rsid w:val="133F2C6A"/>
    <w:rsid w:val="14C30A0C"/>
    <w:rsid w:val="15710057"/>
    <w:rsid w:val="17033BC2"/>
    <w:rsid w:val="19C7538F"/>
    <w:rsid w:val="1DF254A7"/>
    <w:rsid w:val="202C72D4"/>
    <w:rsid w:val="23716638"/>
    <w:rsid w:val="258630A5"/>
    <w:rsid w:val="2AF855C1"/>
    <w:rsid w:val="2D4A7247"/>
    <w:rsid w:val="31711B85"/>
    <w:rsid w:val="32E972D0"/>
    <w:rsid w:val="3588398F"/>
    <w:rsid w:val="37453A40"/>
    <w:rsid w:val="37C96ED6"/>
    <w:rsid w:val="39D22DFD"/>
    <w:rsid w:val="3A6A1EF9"/>
    <w:rsid w:val="3C4A0F10"/>
    <w:rsid w:val="3F2D4491"/>
    <w:rsid w:val="4088441D"/>
    <w:rsid w:val="418906E0"/>
    <w:rsid w:val="4229115D"/>
    <w:rsid w:val="453A1996"/>
    <w:rsid w:val="45874F1C"/>
    <w:rsid w:val="484B4E22"/>
    <w:rsid w:val="4B1A2372"/>
    <w:rsid w:val="4C0411F0"/>
    <w:rsid w:val="4E6F30FE"/>
    <w:rsid w:val="50852AEB"/>
    <w:rsid w:val="51746226"/>
    <w:rsid w:val="51D11E0A"/>
    <w:rsid w:val="53284F06"/>
    <w:rsid w:val="53767BDB"/>
    <w:rsid w:val="54D92040"/>
    <w:rsid w:val="57272556"/>
    <w:rsid w:val="5F614665"/>
    <w:rsid w:val="5F672F86"/>
    <w:rsid w:val="5FE23902"/>
    <w:rsid w:val="612A7CC9"/>
    <w:rsid w:val="628B6457"/>
    <w:rsid w:val="646D0D24"/>
    <w:rsid w:val="64F40693"/>
    <w:rsid w:val="6561340A"/>
    <w:rsid w:val="66CB3B79"/>
    <w:rsid w:val="6825098A"/>
    <w:rsid w:val="69595D38"/>
    <w:rsid w:val="696331EA"/>
    <w:rsid w:val="6BE008C1"/>
    <w:rsid w:val="6D434067"/>
    <w:rsid w:val="6F75415D"/>
    <w:rsid w:val="705C3F46"/>
    <w:rsid w:val="712617F5"/>
    <w:rsid w:val="765A29A0"/>
    <w:rsid w:val="77771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overflowPunct w:val="0"/>
      <w:autoSpaceDE w:val="0"/>
      <w:autoSpaceDN w:val="0"/>
      <w:adjustRightInd w:val="0"/>
      <w:spacing w:line="360" w:lineRule="auto"/>
      <w:ind w:firstLine="539"/>
      <w:textAlignment w:val="baseline"/>
    </w:pPr>
    <w:rPr>
      <w:sz w:val="28"/>
    </w:rPr>
  </w:style>
  <w:style w:type="paragraph" w:styleId="3">
    <w:name w:val="Body Text"/>
    <w:basedOn w:val="1"/>
    <w:qFormat/>
    <w:uiPriority w:val="0"/>
    <w:pPr>
      <w:spacing w:after="120" w:afterLines="0"/>
    </w:pPr>
    <w:rPr>
      <w:kern w:val="2"/>
      <w:sz w:val="21"/>
      <w:szCs w:val="24"/>
    </w:r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7"/>
    <w:link w:val="6"/>
    <w:qFormat/>
    <w:uiPriority w:val="99"/>
    <w:rPr>
      <w:sz w:val="18"/>
      <w:szCs w:val="18"/>
    </w:rPr>
  </w:style>
  <w:style w:type="character" w:customStyle="1" w:styleId="10">
    <w:name w:val="页脚 Char"/>
    <w:basedOn w:val="7"/>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1300</Words>
  <Characters>7415</Characters>
  <Lines>61</Lines>
  <Paragraphs>17</Paragraphs>
  <TotalTime>32</TotalTime>
  <ScaleCrop>false</ScaleCrop>
  <LinksUpToDate>false</LinksUpToDate>
  <CharactersWithSpaces>8698</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刘锋</cp:lastModifiedBy>
  <cp:lastPrinted>2021-08-05T08:54:00Z</cp:lastPrinted>
  <dcterms:modified xsi:type="dcterms:W3CDTF">2021-08-25T09:21:01Z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y fmtid="{D5CDD505-2E9C-101B-9397-08002B2CF9AE}" pid="3" name="ICV">
    <vt:lpwstr>9C1319C23A944F37876CD40AB9D0FEFB</vt:lpwstr>
  </property>
</Properties>
</file>