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72"/>
          <w:szCs w:val="72"/>
        </w:rPr>
      </w:pPr>
      <w:r>
        <w:rPr>
          <w:rFonts w:hint="eastAsia"/>
          <w:sz w:val="72"/>
          <w:szCs w:val="72"/>
        </w:rPr>
        <w:t>2020年度</w:t>
      </w:r>
    </w:p>
    <w:p>
      <w:pPr>
        <w:pStyle w:val="12"/>
        <w:jc w:val="center"/>
        <w:rPr>
          <w:sz w:val="72"/>
          <w:szCs w:val="72"/>
        </w:rPr>
      </w:pPr>
      <w:r>
        <w:rPr>
          <w:rFonts w:hint="eastAsia"/>
          <w:sz w:val="72"/>
          <w:szCs w:val="72"/>
          <w:lang w:val="en-US" w:eastAsia="zh-CN"/>
        </w:rPr>
        <w:t>湖南省生态环境监测中心南岳站</w:t>
      </w:r>
      <w:r>
        <w:rPr>
          <w:rFonts w:hint="eastAsia"/>
          <w:sz w:val="72"/>
          <w:szCs w:val="72"/>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rFonts w:hint="eastAsia"/>
          <w:sz w:val="32"/>
          <w:szCs w:val="32"/>
        </w:rPr>
      </w:pPr>
    </w:p>
    <w:p>
      <w:pPr>
        <w:pStyle w:val="12"/>
        <w:jc w:val="center"/>
        <w:rPr>
          <w:rFonts w:hint="eastAsia"/>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center"/>
        <w:rPr>
          <w:b/>
          <w:sz w:val="36"/>
          <w:szCs w:val="28"/>
        </w:rPr>
      </w:pPr>
    </w:p>
    <w:p>
      <w:pPr>
        <w:pStyle w:val="12"/>
        <w:spacing w:line="500" w:lineRule="exact"/>
        <w:jc w:val="center"/>
        <w:rPr>
          <w:b/>
          <w:sz w:val="36"/>
          <w:szCs w:val="28"/>
        </w:rPr>
      </w:pPr>
    </w:p>
    <w:p>
      <w:pPr>
        <w:pStyle w:val="12"/>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第一部分单位概况</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72"/>
          <w:szCs w:val="72"/>
        </w:rPr>
      </w:pPr>
      <w:r>
        <w:rPr>
          <w:rFonts w:hint="eastAsia"/>
          <w:sz w:val="72"/>
          <w:szCs w:val="72"/>
        </w:rPr>
        <w:t>第一部分</w:t>
      </w:r>
      <w:r>
        <w:rPr>
          <w:sz w:val="72"/>
          <w:szCs w:val="72"/>
        </w:rPr>
        <w:t xml:space="preserve"> </w:t>
      </w:r>
    </w:p>
    <w:p>
      <w:pPr>
        <w:pStyle w:val="12"/>
        <w:jc w:val="center"/>
        <w:rPr>
          <w:sz w:val="72"/>
          <w:szCs w:val="72"/>
        </w:rPr>
      </w:pPr>
    </w:p>
    <w:p>
      <w:pPr>
        <w:pStyle w:val="12"/>
        <w:jc w:val="center"/>
        <w:rPr>
          <w:sz w:val="72"/>
          <w:szCs w:val="72"/>
        </w:rPr>
      </w:pPr>
      <w:r>
        <w:rPr>
          <w:rFonts w:hint="eastAsia"/>
          <w:sz w:val="72"/>
          <w:szCs w:val="72"/>
          <w:lang w:val="en-US" w:eastAsia="zh-CN"/>
        </w:rPr>
        <w:t>湖南省生态环境监测中心南岳站</w:t>
      </w:r>
      <w:r>
        <w:rPr>
          <w:rFonts w:hint="eastAsia"/>
          <w:sz w:val="72"/>
          <w:szCs w:val="72"/>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1、负责组织省域内国家背景站、区域站、农村站等运维、质控、数据审核与分析等工作。</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2、负责国家背景站酸雨、降尘监测工作；</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3、负责国家背景站运行基础条件保障和办公区域主体及附属建筑设备设施的养护、维修、消防、综治安全等工作。</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4、负责编制背景环境空气、区域环境空气质量月度报告、年度报告以及专题分析。</w:t>
      </w:r>
    </w:p>
    <w:p>
      <w:pPr>
        <w:widowControl/>
        <w:spacing w:line="600" w:lineRule="exact"/>
        <w:rPr>
          <w:rFonts w:hint="eastAsia"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湖南省</w:t>
      </w:r>
      <w:r>
        <w:rPr>
          <w:rFonts w:hint="eastAsia" w:ascii="宋体" w:hAnsi="宋体" w:eastAsia="宋体" w:cs="宋体"/>
          <w:sz w:val="28"/>
          <w:szCs w:val="28"/>
          <w:lang w:val="en-US" w:eastAsia="zh-CN"/>
        </w:rPr>
        <w:t>生态</w:t>
      </w:r>
      <w:r>
        <w:rPr>
          <w:rFonts w:hint="eastAsia" w:ascii="宋体" w:hAnsi="宋体" w:eastAsia="宋体" w:cs="宋体"/>
          <w:sz w:val="28"/>
          <w:szCs w:val="28"/>
        </w:rPr>
        <w:t>环境监测中心南岳站成立于1987年3月19日，作为</w:t>
      </w:r>
      <w:r>
        <w:rPr>
          <w:rFonts w:hint="eastAsia" w:ascii="宋体" w:hAnsi="宋体" w:eastAsia="宋体" w:cs="宋体"/>
          <w:sz w:val="28"/>
          <w:szCs w:val="28"/>
          <w:lang w:val="en-US" w:eastAsia="zh-CN"/>
        </w:rPr>
        <w:t>湖南省生态环境厅</w:t>
      </w:r>
      <w:r>
        <w:rPr>
          <w:rFonts w:hint="eastAsia" w:ascii="宋体" w:hAnsi="宋体" w:eastAsia="宋体" w:cs="宋体"/>
          <w:sz w:val="28"/>
          <w:szCs w:val="28"/>
        </w:rPr>
        <w:t>的二级机构</w:t>
      </w:r>
      <w:r>
        <w:rPr>
          <w:rFonts w:hint="eastAsia" w:ascii="宋体" w:hAnsi="宋体" w:eastAsia="宋体" w:cs="宋体"/>
          <w:sz w:val="28"/>
          <w:szCs w:val="28"/>
          <w:lang w:eastAsia="zh-CN"/>
        </w:rPr>
        <w:t>，</w:t>
      </w:r>
      <w:r>
        <w:rPr>
          <w:rFonts w:hint="eastAsia" w:ascii="宋体" w:hAnsi="宋体" w:eastAsia="宋体" w:cs="宋体"/>
          <w:sz w:val="28"/>
          <w:szCs w:val="28"/>
        </w:rPr>
        <w:t>属省财政全额拨款的事业单位。南岳站人员编制8人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其中实有人数7人，1人退休。由于单位人员少，未设置职能科室。本决算公开只包括</w:t>
      </w:r>
      <w:r>
        <w:rPr>
          <w:rFonts w:hint="eastAsia" w:ascii="宋体" w:hAnsi="宋体" w:eastAsia="宋体" w:cs="宋体"/>
          <w:sz w:val="28"/>
          <w:szCs w:val="28"/>
        </w:rPr>
        <w:t>湖南省</w:t>
      </w:r>
      <w:r>
        <w:rPr>
          <w:rFonts w:hint="eastAsia" w:ascii="宋体" w:hAnsi="宋体" w:eastAsia="宋体" w:cs="宋体"/>
          <w:sz w:val="28"/>
          <w:szCs w:val="28"/>
          <w:lang w:val="en-US" w:eastAsia="zh-CN"/>
        </w:rPr>
        <w:t>生态</w:t>
      </w:r>
      <w:r>
        <w:rPr>
          <w:rFonts w:hint="eastAsia" w:ascii="宋体" w:hAnsi="宋体" w:eastAsia="宋体" w:cs="宋体"/>
          <w:sz w:val="28"/>
          <w:szCs w:val="28"/>
        </w:rPr>
        <w:t>环境监测中心南岳站</w:t>
      </w:r>
      <w:r>
        <w:rPr>
          <w:rFonts w:hint="eastAsia" w:ascii="宋体" w:hAnsi="宋体" w:eastAsia="宋体" w:cs="宋体"/>
          <w:sz w:val="28"/>
          <w:szCs w:val="28"/>
          <w:lang w:val="en-US" w:eastAsia="zh-CN"/>
        </w:rPr>
        <w:t>决算公开，不包括所属单位决算在内的汇总决算公开。</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both"/>
        <w:rPr>
          <w:sz w:val="72"/>
          <w:szCs w:val="72"/>
        </w:rPr>
      </w:pPr>
    </w:p>
    <w:p>
      <w:pPr>
        <w:jc w:val="center"/>
        <w:rPr>
          <w:sz w:val="72"/>
          <w:szCs w:val="72"/>
        </w:rPr>
      </w:pPr>
    </w:p>
    <w:p>
      <w:pPr>
        <w:jc w:val="center"/>
        <w:rPr>
          <w:rFonts w:hint="eastAsia" w:ascii="黑体" w:hAnsi="黑体" w:eastAsia="黑体" w:cs="黑体"/>
          <w:b/>
          <w:bCs/>
          <w:sz w:val="72"/>
          <w:szCs w:val="72"/>
        </w:rPr>
      </w:pPr>
      <w:r>
        <w:rPr>
          <w:rFonts w:hint="eastAsia" w:ascii="黑体" w:hAnsi="黑体" w:eastAsia="黑体" w:cs="黑体"/>
          <w:b/>
          <w:bCs/>
          <w:sz w:val="72"/>
          <w:szCs w:val="72"/>
        </w:rPr>
        <w:t>第二部分</w:t>
      </w:r>
    </w:p>
    <w:p>
      <w:pPr>
        <w:jc w:val="center"/>
        <w:rPr>
          <w:rFonts w:hint="eastAsia" w:ascii="黑体" w:hAnsi="黑体" w:eastAsia="黑体" w:cs="黑体"/>
          <w:b/>
          <w:bCs/>
          <w:sz w:val="72"/>
          <w:szCs w:val="72"/>
        </w:rPr>
      </w:pPr>
    </w:p>
    <w:p>
      <w:pPr>
        <w:jc w:val="center"/>
        <w:rPr>
          <w:rFonts w:hint="eastAsia" w:ascii="黑体" w:hAnsi="黑体" w:eastAsia="黑体" w:cs="黑体"/>
          <w:b/>
          <w:bCs/>
          <w:sz w:val="72"/>
          <w:szCs w:val="72"/>
        </w:rPr>
      </w:pPr>
      <w:r>
        <w:rPr>
          <w:rFonts w:hint="eastAsia" w:ascii="黑体" w:hAnsi="黑体" w:eastAsia="黑体" w:cs="黑体"/>
          <w:b/>
          <w:bCs/>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4081" w:type="dxa"/>
        <w:tblInd w:w="93" w:type="dxa"/>
        <w:tblLayout w:type="fixed"/>
        <w:tblCellMar>
          <w:top w:w="0" w:type="dxa"/>
          <w:left w:w="108" w:type="dxa"/>
          <w:bottom w:w="0" w:type="dxa"/>
          <w:right w:w="108" w:type="dxa"/>
        </w:tblCellMar>
      </w:tblPr>
      <w:tblGrid>
        <w:gridCol w:w="14081"/>
      </w:tblGrid>
      <w:tr>
        <w:tblPrEx>
          <w:tblCellMar>
            <w:top w:w="0" w:type="dxa"/>
            <w:left w:w="108" w:type="dxa"/>
            <w:bottom w:w="0" w:type="dxa"/>
            <w:right w:w="108" w:type="dxa"/>
          </w:tblCellMar>
        </w:tblPrEx>
        <w:trPr>
          <w:trHeight w:val="1020" w:hRule="atLeast"/>
        </w:trPr>
        <w:tc>
          <w:tcPr>
            <w:tcW w:w="14081" w:type="dxa"/>
            <w:tcBorders>
              <w:top w:val="nil"/>
              <w:left w:val="nil"/>
              <w:bottom w:val="nil"/>
              <w:right w:val="nil"/>
            </w:tcBorders>
            <w:shd w:val="clear" w:color="auto" w:fill="auto"/>
            <w:vAlign w:val="center"/>
          </w:tcPr>
          <w:tbl>
            <w:tblPr>
              <w:tblStyle w:val="7"/>
              <w:tblW w:w="13777" w:type="dxa"/>
              <w:tblInd w:w="-20" w:type="dxa"/>
              <w:shd w:val="clear" w:color="auto" w:fill="auto"/>
              <w:tblLayout w:type="fixed"/>
              <w:tblCellMar>
                <w:top w:w="0" w:type="dxa"/>
                <w:left w:w="108" w:type="dxa"/>
                <w:bottom w:w="0" w:type="dxa"/>
                <w:right w:w="108" w:type="dxa"/>
              </w:tblCellMar>
            </w:tblPr>
            <w:tblGrid>
              <w:gridCol w:w="5"/>
              <w:gridCol w:w="3672"/>
              <w:gridCol w:w="5"/>
              <w:gridCol w:w="522"/>
              <w:gridCol w:w="731"/>
              <w:gridCol w:w="2208"/>
              <w:gridCol w:w="3349"/>
              <w:gridCol w:w="414"/>
              <w:gridCol w:w="625"/>
              <w:gridCol w:w="5"/>
              <w:gridCol w:w="2236"/>
              <w:gridCol w:w="5"/>
            </w:tblGrid>
            <w:tr>
              <w:tblPrEx>
                <w:shd w:val="clear" w:color="auto" w:fill="auto"/>
                <w:tblCellMar>
                  <w:top w:w="0" w:type="dxa"/>
                  <w:left w:w="108" w:type="dxa"/>
                  <w:bottom w:w="0" w:type="dxa"/>
                  <w:right w:w="108" w:type="dxa"/>
                </w:tblCellMar>
              </w:tblPrEx>
              <w:trPr>
                <w:gridBefore w:val="1"/>
                <w:wBefore w:w="5" w:type="dxa"/>
                <w:trHeight w:val="375" w:hRule="atLeast"/>
              </w:trPr>
              <w:tc>
                <w:tcPr>
                  <w:tcW w:w="13772" w:type="dxa"/>
                  <w:gridSpan w:val="11"/>
                  <w:tcBorders>
                    <w:top w:val="nil"/>
                    <w:left w:val="nil"/>
                    <w:bottom w:val="nil"/>
                    <w:right w:val="single" w:color="808080" w:sz="4" w:space="0"/>
                  </w:tcBorders>
                  <w:shd w:val="clear" w:color="auto" w:fill="auto"/>
                  <w:noWrap/>
                  <w:vAlign w:val="bottom"/>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收入支出决算总表</w:t>
                  </w:r>
                </w:p>
              </w:tc>
            </w:tr>
            <w:tr>
              <w:tblPrEx>
                <w:tblCellMar>
                  <w:top w:w="0" w:type="dxa"/>
                  <w:left w:w="108" w:type="dxa"/>
                  <w:bottom w:w="0" w:type="dxa"/>
                  <w:right w:w="108" w:type="dxa"/>
                </w:tblCellMar>
              </w:tblPrEx>
              <w:trPr>
                <w:gridBefore w:val="1"/>
                <w:wBefore w:w="5" w:type="dxa"/>
                <w:trHeight w:val="300" w:hRule="atLeast"/>
              </w:trPr>
              <w:tc>
                <w:tcPr>
                  <w:tcW w:w="3677"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522"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939"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34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44"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41" w:type="dxa"/>
                  <w:gridSpan w:val="2"/>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公开01表</w:t>
                  </w:r>
                </w:p>
              </w:tc>
            </w:tr>
            <w:tr>
              <w:tblPrEx>
                <w:shd w:val="clear" w:color="auto" w:fill="auto"/>
                <w:tblCellMar>
                  <w:top w:w="0" w:type="dxa"/>
                  <w:left w:w="108" w:type="dxa"/>
                  <w:bottom w:w="0" w:type="dxa"/>
                  <w:right w:w="108" w:type="dxa"/>
                </w:tblCellMar>
              </w:tblPrEx>
              <w:trPr>
                <w:gridBefore w:val="1"/>
                <w:wBefore w:w="5" w:type="dxa"/>
                <w:trHeight w:val="300" w:hRule="atLeast"/>
              </w:trPr>
              <w:tc>
                <w:tcPr>
                  <w:tcW w:w="3677" w:type="dxa"/>
                  <w:gridSpan w:val="2"/>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部门：湖南省生态环境监测中心南岳站</w:t>
                  </w:r>
                </w:p>
              </w:tc>
              <w:tc>
                <w:tcPr>
                  <w:tcW w:w="522"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939" w:type="dxa"/>
                  <w:gridSpan w:val="2"/>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2020年度</w:t>
                  </w:r>
                </w:p>
              </w:tc>
              <w:tc>
                <w:tcPr>
                  <w:tcW w:w="334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44" w:type="dxa"/>
                  <w:gridSpan w:val="3"/>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41" w:type="dxa"/>
                  <w:gridSpan w:val="2"/>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7143" w:type="dxa"/>
                  <w:gridSpan w:val="6"/>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w:t>
                  </w:r>
                </w:p>
              </w:tc>
              <w:tc>
                <w:tcPr>
                  <w:tcW w:w="6629" w:type="dxa"/>
                  <w:gridSpan w:val="5"/>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w:t>
                  </w: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220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224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258" w:type="dxa"/>
                  <w:gridSpan w:val="3"/>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20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25"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24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2,398,600.00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四、上级补助收入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六、经营收入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七、附属单位上缴收入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八、其他收入</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186,000.00</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2,852,611.66</w:t>
                  </w: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2,398,600.00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3,109,811.66</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使用非财政拨款结余</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结余分配</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2,023,597.86</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1,312,386.20</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258"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20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3" w:type="dxa"/>
                  <w:gridSpan w:val="2"/>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2241" w:type="dxa"/>
                  <w:gridSpan w:val="2"/>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3677"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1258" w:type="dxa"/>
                  <w:gridSpan w:val="3"/>
                  <w:tcBorders>
                    <w:top w:val="nil"/>
                    <w:left w:val="nil"/>
                    <w:bottom w:val="single" w:color="000000" w:sz="12"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220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4,422,197.86</w:t>
                  </w:r>
                </w:p>
              </w:tc>
              <w:tc>
                <w:tcPr>
                  <w:tcW w:w="376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2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2241"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4,422,197.86</w:t>
                  </w:r>
                </w:p>
              </w:tc>
            </w:tr>
          </w:tbl>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7008" w:h="11906" w:orient="landscape"/>
          <w:pgMar w:top="1797" w:right="1440" w:bottom="1797" w:left="1440" w:header="851" w:footer="992" w:gutter="0"/>
          <w:cols w:space="0" w:num="1"/>
          <w:rtlGutter w:val="0"/>
          <w:docGrid w:type="linesAndChars" w:linePitch="312" w:charSpace="0"/>
        </w:sectPr>
      </w:pPr>
    </w:p>
    <w:tbl>
      <w:tblPr>
        <w:tblStyle w:val="7"/>
        <w:tblW w:w="14402" w:type="dxa"/>
        <w:jc w:val="center"/>
        <w:tblLayout w:type="fixed"/>
        <w:tblCellMar>
          <w:top w:w="0" w:type="dxa"/>
          <w:left w:w="0" w:type="dxa"/>
          <w:bottom w:w="0" w:type="dxa"/>
          <w:right w:w="0" w:type="dxa"/>
        </w:tblCellMar>
      </w:tblPr>
      <w:tblGrid>
        <w:gridCol w:w="14402"/>
      </w:tblGrid>
      <w:tr>
        <w:tblPrEx>
          <w:tblCellMar>
            <w:top w:w="0" w:type="dxa"/>
            <w:left w:w="0" w:type="dxa"/>
            <w:bottom w:w="0" w:type="dxa"/>
            <w:right w:w="0" w:type="dxa"/>
          </w:tblCellMar>
        </w:tblPrEx>
        <w:trPr>
          <w:trHeight w:val="615" w:hRule="atLeast"/>
          <w:jc w:val="center"/>
        </w:trPr>
        <w:tc>
          <w:tcPr>
            <w:tcW w:w="14402" w:type="dxa"/>
            <w:tcBorders>
              <w:top w:val="nil"/>
              <w:left w:val="nil"/>
              <w:bottom w:val="nil"/>
              <w:right w:val="nil"/>
            </w:tcBorders>
            <w:shd w:val="clear" w:color="auto" w:fill="auto"/>
            <w:tcMar>
              <w:top w:w="15" w:type="dxa"/>
              <w:left w:w="15" w:type="dxa"/>
              <w:bottom w:w="0" w:type="dxa"/>
              <w:right w:w="15" w:type="dxa"/>
            </w:tcMar>
            <w:vAlign w:val="center"/>
          </w:tcPr>
          <w:tbl>
            <w:tblPr>
              <w:tblStyle w:val="7"/>
              <w:tblW w:w="14699" w:type="dxa"/>
              <w:jc w:val="center"/>
              <w:shd w:val="clear" w:color="auto" w:fill="auto"/>
              <w:tblLayout w:type="fixed"/>
              <w:tblCellMar>
                <w:top w:w="0" w:type="dxa"/>
                <w:left w:w="108" w:type="dxa"/>
                <w:bottom w:w="0" w:type="dxa"/>
                <w:right w:w="108" w:type="dxa"/>
              </w:tblCellMar>
            </w:tblPr>
            <w:tblGrid>
              <w:gridCol w:w="20"/>
              <w:gridCol w:w="3091"/>
              <w:gridCol w:w="284"/>
              <w:gridCol w:w="240"/>
              <w:gridCol w:w="2195"/>
              <w:gridCol w:w="431"/>
              <w:gridCol w:w="240"/>
              <w:gridCol w:w="769"/>
              <w:gridCol w:w="1755"/>
              <w:gridCol w:w="949"/>
              <w:gridCol w:w="154"/>
              <w:gridCol w:w="1003"/>
              <w:gridCol w:w="154"/>
              <w:gridCol w:w="1003"/>
              <w:gridCol w:w="154"/>
              <w:gridCol w:w="1011"/>
              <w:gridCol w:w="149"/>
              <w:gridCol w:w="933"/>
              <w:gridCol w:w="13"/>
              <w:gridCol w:w="151"/>
            </w:tblGrid>
            <w:tr>
              <w:tblPrEx>
                <w:shd w:val="clear" w:color="auto" w:fill="auto"/>
                <w:tblCellMar>
                  <w:top w:w="0" w:type="dxa"/>
                  <w:left w:w="108" w:type="dxa"/>
                  <w:bottom w:w="0" w:type="dxa"/>
                  <w:right w:w="108" w:type="dxa"/>
                </w:tblCellMar>
              </w:tblPrEx>
              <w:trPr>
                <w:gridBefore w:val="1"/>
                <w:gridAfter w:val="2"/>
                <w:wBefore w:w="20" w:type="dxa"/>
                <w:wAfter w:w="164" w:type="dxa"/>
                <w:trHeight w:val="375" w:hRule="atLeast"/>
                <w:jc w:val="center"/>
              </w:trPr>
              <w:tc>
                <w:tcPr>
                  <w:tcW w:w="14515" w:type="dxa"/>
                  <w:gridSpan w:val="17"/>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收入决算表</w:t>
                  </w:r>
                </w:p>
              </w:tc>
            </w:tr>
            <w:tr>
              <w:tblPrEx>
                <w:shd w:val="clear" w:color="auto" w:fill="auto"/>
                <w:tblCellMar>
                  <w:top w:w="0" w:type="dxa"/>
                  <w:left w:w="108" w:type="dxa"/>
                  <w:bottom w:w="0" w:type="dxa"/>
                  <w:right w:w="108" w:type="dxa"/>
                </w:tblCellMar>
              </w:tblPrEx>
              <w:trPr>
                <w:gridBefore w:val="1"/>
                <w:wBefore w:w="20" w:type="dxa"/>
                <w:trHeight w:val="300" w:hRule="atLeast"/>
                <w:jc w:val="center"/>
              </w:trPr>
              <w:tc>
                <w:tcPr>
                  <w:tcW w:w="3091"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84"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626"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24"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949"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57"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57"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65"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246" w:type="dxa"/>
                  <w:gridSpan w:val="4"/>
                  <w:tcBorders>
                    <w:top w:val="nil"/>
                    <w:left w:val="nil"/>
                    <w:bottom w:val="nil"/>
                    <w:right w:val="single" w:color="80808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公开02表</w:t>
                  </w:r>
                </w:p>
              </w:tc>
            </w:tr>
            <w:tr>
              <w:tblPrEx>
                <w:tblCellMar>
                  <w:top w:w="0" w:type="dxa"/>
                  <w:left w:w="108" w:type="dxa"/>
                  <w:bottom w:w="0" w:type="dxa"/>
                  <w:right w:w="108" w:type="dxa"/>
                </w:tblCellMar>
              </w:tblPrEx>
              <w:trPr>
                <w:gridBefore w:val="1"/>
                <w:wBefore w:w="20" w:type="dxa"/>
                <w:trHeight w:val="300" w:hRule="atLeast"/>
                <w:jc w:val="center"/>
              </w:trPr>
              <w:tc>
                <w:tcPr>
                  <w:tcW w:w="3091"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部门：湖南省生态环境监测中心南岳站</w:t>
                  </w:r>
                </w:p>
              </w:tc>
              <w:tc>
                <w:tcPr>
                  <w:tcW w:w="284"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626"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524" w:type="dxa"/>
                  <w:gridSpan w:val="2"/>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949"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57"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57"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65"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246" w:type="dxa"/>
                  <w:gridSpan w:val="4"/>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gridAfter w:val="1"/>
                <w:wAfter w:w="151" w:type="dxa"/>
                <w:trHeight w:val="300" w:hRule="atLeast"/>
                <w:jc w:val="center"/>
              </w:trPr>
              <w:tc>
                <w:tcPr>
                  <w:tcW w:w="5830"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440" w:type="dxa"/>
                  <w:gridSpan w:val="3"/>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75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财政拨款收入</w:t>
                  </w:r>
                </w:p>
              </w:tc>
              <w:tc>
                <w:tcPr>
                  <w:tcW w:w="1103"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1157"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1157"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经营收入</w:t>
                  </w:r>
                </w:p>
              </w:tc>
              <w:tc>
                <w:tcPr>
                  <w:tcW w:w="1160"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946"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2195"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440" w:type="dxa"/>
                  <w:gridSpan w:val="3"/>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03"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57"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57"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6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46"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9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40" w:type="dxa"/>
                  <w:gridSpan w:val="3"/>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03"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57"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57"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6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46"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9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40" w:type="dxa"/>
                  <w:gridSpan w:val="3"/>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03"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57"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57"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6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46"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51" w:type="dxa"/>
                <w:trHeight w:val="300" w:hRule="atLeast"/>
                <w:jc w:val="center"/>
              </w:trPr>
              <w:tc>
                <w:tcPr>
                  <w:tcW w:w="5830"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440"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5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03"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57"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57"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60"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46"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CellMar>
                  <w:top w:w="0" w:type="dxa"/>
                  <w:left w:w="108" w:type="dxa"/>
                  <w:bottom w:w="0" w:type="dxa"/>
                  <w:right w:w="108" w:type="dxa"/>
                </w:tblCellMar>
              </w:tblPrEx>
              <w:trPr>
                <w:gridAfter w:val="1"/>
                <w:wAfter w:w="151" w:type="dxa"/>
                <w:trHeight w:val="300" w:hRule="atLeast"/>
                <w:jc w:val="center"/>
              </w:trPr>
              <w:tc>
                <w:tcPr>
                  <w:tcW w:w="5830"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4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2,398,600.00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2,398,600.00</w:t>
                  </w:r>
                </w:p>
              </w:tc>
              <w:tc>
                <w:tcPr>
                  <w:tcW w:w="110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219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440" w:type="dxa"/>
                  <w:gridSpan w:val="3"/>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175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1103"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219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1440" w:type="dxa"/>
                  <w:gridSpan w:val="3"/>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175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1103"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2195" w:type="dxa"/>
                  <w:tcBorders>
                    <w:top w:val="nil"/>
                    <w:left w:val="nil"/>
                    <w:bottom w:val="single" w:color="000000" w:sz="4" w:space="0"/>
                    <w:right w:val="single" w:color="000000" w:sz="4" w:space="0"/>
                  </w:tcBorders>
                  <w:shd w:val="clear" w:color="auto" w:fill="AA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44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156,000.00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156,000.00</w:t>
                  </w:r>
                </w:p>
              </w:tc>
              <w:tc>
                <w:tcPr>
                  <w:tcW w:w="110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w:t>
                  </w:r>
                </w:p>
              </w:tc>
              <w:tc>
                <w:tcPr>
                  <w:tcW w:w="219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1440" w:type="dxa"/>
                  <w:gridSpan w:val="3"/>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2,171,400.00</w:t>
                  </w:r>
                </w:p>
              </w:tc>
              <w:tc>
                <w:tcPr>
                  <w:tcW w:w="175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2,171,400.00</w:t>
                  </w:r>
                </w:p>
              </w:tc>
              <w:tc>
                <w:tcPr>
                  <w:tcW w:w="1103"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21101</w:t>
                  </w:r>
                </w:p>
              </w:tc>
              <w:tc>
                <w:tcPr>
                  <w:tcW w:w="219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环境保护管理事务</w:t>
                  </w:r>
                </w:p>
              </w:tc>
              <w:tc>
                <w:tcPr>
                  <w:tcW w:w="1440" w:type="dxa"/>
                  <w:gridSpan w:val="3"/>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2,171,400.00</w:t>
                  </w:r>
                </w:p>
              </w:tc>
              <w:tc>
                <w:tcPr>
                  <w:tcW w:w="175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2,171,400.00</w:t>
                  </w:r>
                </w:p>
              </w:tc>
              <w:tc>
                <w:tcPr>
                  <w:tcW w:w="1103"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2110101</w:t>
                  </w:r>
                </w:p>
              </w:tc>
              <w:tc>
                <w:tcPr>
                  <w:tcW w:w="2195" w:type="dxa"/>
                  <w:tcBorders>
                    <w:top w:val="nil"/>
                    <w:left w:val="nil"/>
                    <w:bottom w:val="single" w:color="000000" w:sz="4" w:space="0"/>
                    <w:right w:val="single" w:color="000000" w:sz="4" w:space="0"/>
                  </w:tcBorders>
                  <w:shd w:val="clear" w:color="auto" w:fill="AA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144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1,171,400.00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1,171,400.00</w:t>
                  </w:r>
                </w:p>
              </w:tc>
              <w:tc>
                <w:tcPr>
                  <w:tcW w:w="110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2110199</w:t>
                  </w:r>
                </w:p>
              </w:tc>
              <w:tc>
                <w:tcPr>
                  <w:tcW w:w="2195" w:type="dxa"/>
                  <w:tcBorders>
                    <w:top w:val="nil"/>
                    <w:left w:val="nil"/>
                    <w:bottom w:val="single" w:color="000000" w:sz="4" w:space="0"/>
                    <w:right w:val="single" w:color="000000" w:sz="4" w:space="0"/>
                  </w:tcBorders>
                  <w:shd w:val="clear" w:color="auto" w:fill="AA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其他环境保护管理事务支出</w:t>
                  </w:r>
                </w:p>
              </w:tc>
              <w:tc>
                <w:tcPr>
                  <w:tcW w:w="144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w:t>
                  </w:r>
                </w:p>
              </w:tc>
              <w:tc>
                <w:tcPr>
                  <w:tcW w:w="110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219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440" w:type="dxa"/>
                  <w:gridSpan w:val="3"/>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75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103"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219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1440" w:type="dxa"/>
                  <w:gridSpan w:val="3"/>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755" w:type="dxa"/>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103"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CECDCE"/>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1" w:type="dxa"/>
                <w:trHeight w:val="300" w:hRule="atLeast"/>
                <w:jc w:val="center"/>
              </w:trPr>
              <w:tc>
                <w:tcPr>
                  <w:tcW w:w="3635"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2195" w:type="dxa"/>
                  <w:tcBorders>
                    <w:top w:val="nil"/>
                    <w:left w:val="nil"/>
                    <w:bottom w:val="single" w:color="000000" w:sz="4" w:space="0"/>
                    <w:right w:val="single" w:color="000000" w:sz="4" w:space="0"/>
                  </w:tcBorders>
                  <w:shd w:val="clear" w:color="auto" w:fill="AA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44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110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57"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6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bl>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方正小标宋_GBK" w:cs="Times New Roman"/>
          <w:color w:val="000000"/>
          <w:kern w:val="0"/>
          <w:sz w:val="36"/>
          <w:szCs w:val="36"/>
        </w:rPr>
      </w:pPr>
      <w:r>
        <w:rPr>
          <w:rFonts w:ascii="Times New Roman" w:hAnsi="Times New Roman" w:eastAsia="黑体" w:cs="Times New Roman"/>
          <w:bCs/>
          <w:kern w:val="0"/>
          <w:sz w:val="32"/>
          <w:szCs w:val="32"/>
        </w:rPr>
        <w:t xml:space="preserve"> </w:t>
      </w:r>
    </w:p>
    <w:tbl>
      <w:tblPr>
        <w:tblStyle w:val="7"/>
        <w:tblW w:w="13349" w:type="dxa"/>
        <w:tblInd w:w="93" w:type="dxa"/>
        <w:tblLayout w:type="fixed"/>
        <w:tblCellMar>
          <w:top w:w="0" w:type="dxa"/>
          <w:left w:w="108" w:type="dxa"/>
          <w:bottom w:w="0" w:type="dxa"/>
          <w:right w:w="108" w:type="dxa"/>
        </w:tblCellMar>
      </w:tblPr>
      <w:tblGrid>
        <w:gridCol w:w="13349"/>
      </w:tblGrid>
      <w:tr>
        <w:trPr>
          <w:trHeight w:val="630" w:hRule="atLeast"/>
        </w:trPr>
        <w:tc>
          <w:tcPr>
            <w:tcW w:w="13349" w:type="dxa"/>
            <w:tcBorders>
              <w:top w:val="nil"/>
              <w:left w:val="nil"/>
              <w:bottom w:val="nil"/>
              <w:right w:val="nil"/>
            </w:tcBorders>
            <w:shd w:val="clear" w:color="auto" w:fill="auto"/>
            <w:vAlign w:val="center"/>
          </w:tcPr>
          <w:tbl>
            <w:tblPr>
              <w:tblStyle w:val="7"/>
              <w:tblW w:w="12993" w:type="dxa"/>
              <w:jc w:val="right"/>
              <w:shd w:val="clear" w:color="auto" w:fill="auto"/>
              <w:tblLayout w:type="fixed"/>
              <w:tblCellMar>
                <w:top w:w="0" w:type="dxa"/>
                <w:left w:w="108" w:type="dxa"/>
                <w:bottom w:w="0" w:type="dxa"/>
                <w:right w:w="108" w:type="dxa"/>
              </w:tblCellMar>
            </w:tblPr>
            <w:tblGrid>
              <w:gridCol w:w="20"/>
              <w:gridCol w:w="2928"/>
              <w:gridCol w:w="240"/>
              <w:gridCol w:w="225"/>
              <w:gridCol w:w="15"/>
              <w:gridCol w:w="2125"/>
              <w:gridCol w:w="470"/>
              <w:gridCol w:w="1255"/>
              <w:gridCol w:w="320"/>
              <w:gridCol w:w="646"/>
              <w:gridCol w:w="929"/>
              <w:gridCol w:w="225"/>
              <w:gridCol w:w="1220"/>
              <w:gridCol w:w="15"/>
              <w:gridCol w:w="775"/>
              <w:gridCol w:w="675"/>
              <w:gridCol w:w="15"/>
              <w:gridCol w:w="880"/>
              <w:gridCol w:w="15"/>
            </w:tblGrid>
            <w:tr>
              <w:tblPrEx>
                <w:tblCellMar>
                  <w:top w:w="0" w:type="dxa"/>
                  <w:left w:w="108" w:type="dxa"/>
                  <w:bottom w:w="0" w:type="dxa"/>
                  <w:right w:w="108" w:type="dxa"/>
                </w:tblCellMar>
              </w:tblPrEx>
              <w:trPr>
                <w:gridBefore w:val="1"/>
                <w:wBefore w:w="20" w:type="dxa"/>
                <w:trHeight w:val="375" w:hRule="atLeast"/>
                <w:jc w:val="right"/>
              </w:trPr>
              <w:tc>
                <w:tcPr>
                  <w:tcW w:w="12973" w:type="dxa"/>
                  <w:gridSpan w:val="18"/>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支出决算表</w:t>
                  </w:r>
                </w:p>
              </w:tc>
            </w:tr>
            <w:tr>
              <w:tblPrEx>
                <w:shd w:val="clear" w:color="auto" w:fill="auto"/>
                <w:tblCellMar>
                  <w:top w:w="0" w:type="dxa"/>
                  <w:left w:w="108" w:type="dxa"/>
                  <w:bottom w:w="0" w:type="dxa"/>
                  <w:right w:w="108" w:type="dxa"/>
                </w:tblCellMar>
              </w:tblPrEx>
              <w:trPr>
                <w:gridBefore w:val="1"/>
                <w:wBefore w:w="20" w:type="dxa"/>
                <w:trHeight w:val="300" w:hRule="atLeast"/>
                <w:jc w:val="right"/>
              </w:trPr>
              <w:tc>
                <w:tcPr>
                  <w:tcW w:w="2928"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2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25"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966"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54"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235"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65"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95" w:type="dxa"/>
                  <w:gridSpan w:val="2"/>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公开03表</w:t>
                  </w:r>
                </w:p>
              </w:tc>
            </w:tr>
            <w:tr>
              <w:tblPrEx>
                <w:shd w:val="clear" w:color="auto" w:fill="auto"/>
                <w:tblCellMar>
                  <w:top w:w="0" w:type="dxa"/>
                  <w:left w:w="108" w:type="dxa"/>
                  <w:bottom w:w="0" w:type="dxa"/>
                  <w:right w:w="108" w:type="dxa"/>
                </w:tblCellMar>
              </w:tblPrEx>
              <w:trPr>
                <w:gridBefore w:val="1"/>
                <w:wBefore w:w="20" w:type="dxa"/>
                <w:trHeight w:val="300" w:hRule="atLeast"/>
                <w:jc w:val="right"/>
              </w:trPr>
              <w:tc>
                <w:tcPr>
                  <w:tcW w:w="2928"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部门：湖南省生态环境监测中心南岳站</w:t>
                  </w:r>
                </w:p>
              </w:tc>
              <w:tc>
                <w:tcPr>
                  <w:tcW w:w="24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2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25" w:type="dxa"/>
                  <w:gridSpan w:val="2"/>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966"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154"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235"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65" w:type="dxa"/>
                  <w:gridSpan w:val="3"/>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95" w:type="dxa"/>
                  <w:gridSpan w:val="2"/>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CellMar>
                  <w:top w:w="0" w:type="dxa"/>
                  <w:left w:w="108" w:type="dxa"/>
                  <w:bottom w:w="0" w:type="dxa"/>
                  <w:right w:w="108" w:type="dxa"/>
                </w:tblCellMar>
              </w:tblPrEx>
              <w:trPr>
                <w:gridAfter w:val="1"/>
                <w:wAfter w:w="15" w:type="dxa"/>
                <w:trHeight w:val="300" w:hRule="atLeast"/>
                <w:jc w:val="right"/>
              </w:trPr>
              <w:tc>
                <w:tcPr>
                  <w:tcW w:w="6023" w:type="dxa"/>
                  <w:gridSpan w:val="7"/>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575"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575"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445"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790"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67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经营支出</w:t>
                  </w:r>
                </w:p>
              </w:tc>
              <w:tc>
                <w:tcPr>
                  <w:tcW w:w="895"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2610" w:type="dxa"/>
                  <w:gridSpan w:val="3"/>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7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7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4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9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9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610" w:type="dxa"/>
                  <w:gridSpan w:val="3"/>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57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7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4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9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9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610" w:type="dxa"/>
                  <w:gridSpan w:val="3"/>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57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7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4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9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95"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5" w:type="dxa"/>
                <w:trHeight w:val="300" w:hRule="atLeast"/>
                <w:jc w:val="right"/>
              </w:trPr>
              <w:tc>
                <w:tcPr>
                  <w:tcW w:w="6023" w:type="dxa"/>
                  <w:gridSpan w:val="7"/>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575"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75"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45"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0"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7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5"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CellMar>
                  <w:top w:w="0" w:type="dxa"/>
                  <w:left w:w="108" w:type="dxa"/>
                  <w:bottom w:w="0" w:type="dxa"/>
                  <w:right w:w="108" w:type="dxa"/>
                </w:tblCellMar>
              </w:tblPrEx>
              <w:trPr>
                <w:gridAfter w:val="1"/>
                <w:wAfter w:w="15" w:type="dxa"/>
                <w:trHeight w:val="300" w:hRule="atLeast"/>
                <w:jc w:val="right"/>
              </w:trPr>
              <w:tc>
                <w:tcPr>
                  <w:tcW w:w="6023" w:type="dxa"/>
                  <w:gridSpan w:val="7"/>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3,109,811.66</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1,453,600.00</w:t>
                  </w:r>
                </w:p>
              </w:tc>
              <w:tc>
                <w:tcPr>
                  <w:tcW w:w="144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1,656,211.66</w:t>
                  </w:r>
                </w:p>
              </w:tc>
              <w:tc>
                <w:tcPr>
                  <w:tcW w:w="79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186,000.00</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144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30,000.00</w:t>
                  </w: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186,000.00</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144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30,000.00</w:t>
                  </w: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2610" w:type="dxa"/>
                  <w:gridSpan w:val="3"/>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186,000.00</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156,000.00</w:t>
                  </w:r>
                </w:p>
              </w:tc>
              <w:tc>
                <w:tcPr>
                  <w:tcW w:w="144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30,000.00</w:t>
                  </w:r>
                </w:p>
              </w:tc>
              <w:tc>
                <w:tcPr>
                  <w:tcW w:w="79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2,852,611.66</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1,226,400.00</w:t>
                  </w:r>
                </w:p>
              </w:tc>
              <w:tc>
                <w:tcPr>
                  <w:tcW w:w="144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1,626,211.66</w:t>
                  </w: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21101</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环境保护管理事务</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1,590,522.55</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1,226,400.00</w:t>
                  </w:r>
                </w:p>
              </w:tc>
              <w:tc>
                <w:tcPr>
                  <w:tcW w:w="144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364,122.55</w:t>
                  </w: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2110101</w:t>
                  </w:r>
                </w:p>
              </w:tc>
              <w:tc>
                <w:tcPr>
                  <w:tcW w:w="2610" w:type="dxa"/>
                  <w:gridSpan w:val="3"/>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1,376,400.00</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1,226,400.00</w:t>
                  </w:r>
                </w:p>
              </w:tc>
              <w:tc>
                <w:tcPr>
                  <w:tcW w:w="144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150,000.00</w:t>
                  </w:r>
                </w:p>
              </w:tc>
              <w:tc>
                <w:tcPr>
                  <w:tcW w:w="79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2110199</w:t>
                  </w:r>
                </w:p>
              </w:tc>
              <w:tc>
                <w:tcPr>
                  <w:tcW w:w="2610" w:type="dxa"/>
                  <w:gridSpan w:val="3"/>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其他环境保护管理事务支出</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214,122.55</w:t>
                  </w:r>
                </w:p>
              </w:tc>
              <w:tc>
                <w:tcPr>
                  <w:tcW w:w="1575"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4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214,122.55</w:t>
                  </w:r>
                </w:p>
              </w:tc>
              <w:tc>
                <w:tcPr>
                  <w:tcW w:w="79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21103</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污染防治</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1,262,089.11</w:t>
                  </w:r>
                </w:p>
              </w:tc>
              <w:tc>
                <w:tcPr>
                  <w:tcW w:w="1575"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144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1,262,089.11</w:t>
                  </w: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2110301</w:t>
                  </w:r>
                </w:p>
              </w:tc>
              <w:tc>
                <w:tcPr>
                  <w:tcW w:w="2610" w:type="dxa"/>
                  <w:gridSpan w:val="3"/>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大气</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1,262,089.11</w:t>
                  </w:r>
                </w:p>
              </w:tc>
              <w:tc>
                <w:tcPr>
                  <w:tcW w:w="1575"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4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1,262,089.11</w:t>
                  </w:r>
                </w:p>
              </w:tc>
              <w:tc>
                <w:tcPr>
                  <w:tcW w:w="79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21111</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污染减排</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575"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144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90"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2111101</w:t>
                  </w:r>
                </w:p>
              </w:tc>
              <w:tc>
                <w:tcPr>
                  <w:tcW w:w="2610" w:type="dxa"/>
                  <w:gridSpan w:val="3"/>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生态环境监测与信息</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75"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4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90"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445"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261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57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1445"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79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gridAfter w:val="1"/>
                <w:wAfter w:w="15" w:type="dxa"/>
                <w:trHeight w:val="300" w:hRule="atLeast"/>
                <w:jc w:val="right"/>
              </w:trPr>
              <w:tc>
                <w:tcPr>
                  <w:tcW w:w="3413" w:type="dxa"/>
                  <w:gridSpan w:val="4"/>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2610" w:type="dxa"/>
                  <w:gridSpan w:val="3"/>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157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1445"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79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895"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bl>
          <w:p>
            <w:pPr>
              <w:widowControl/>
              <w:ind w:firstLine="480" w:firstLineChars="200"/>
              <w:jc w:val="left"/>
              <w:rPr>
                <w:rFonts w:ascii="宋体" w:hAnsi="宋体" w:eastAsia="宋体" w:cs="宋体"/>
                <w:kern w:val="0"/>
                <w:sz w:val="24"/>
                <w:szCs w:val="24"/>
              </w:rPr>
            </w:pPr>
            <w:bookmarkStart w:id="3" w:name="_GoBack"/>
            <w:bookmarkEnd w:id="3"/>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7"/>
        <w:tblW w:w="15521" w:type="dxa"/>
        <w:jc w:val="center"/>
        <w:tblLayout w:type="fixed"/>
        <w:tblCellMar>
          <w:top w:w="0" w:type="dxa"/>
          <w:left w:w="108" w:type="dxa"/>
          <w:bottom w:w="0" w:type="dxa"/>
          <w:right w:w="108" w:type="dxa"/>
        </w:tblCellMar>
      </w:tblPr>
      <w:tblGrid>
        <w:gridCol w:w="15521"/>
      </w:tblGrid>
      <w:tr>
        <w:trPr>
          <w:trHeight w:val="585" w:hRule="atLeast"/>
          <w:jc w:val="center"/>
        </w:trPr>
        <w:tc>
          <w:tcPr>
            <w:tcW w:w="15521" w:type="dxa"/>
            <w:tcBorders>
              <w:top w:val="nil"/>
              <w:left w:val="nil"/>
              <w:bottom w:val="nil"/>
              <w:right w:val="nil"/>
            </w:tcBorders>
            <w:shd w:val="clear" w:color="auto" w:fill="auto"/>
            <w:vAlign w:val="center"/>
          </w:tcPr>
          <w:tbl>
            <w:tblPr>
              <w:tblStyle w:val="7"/>
              <w:tblW w:w="15305" w:type="dxa"/>
              <w:tblInd w:w="-20" w:type="dxa"/>
              <w:shd w:val="clear" w:color="auto" w:fill="auto"/>
              <w:tblLayout w:type="fixed"/>
              <w:tblCellMar>
                <w:top w:w="0" w:type="dxa"/>
                <w:left w:w="108" w:type="dxa"/>
                <w:bottom w:w="0" w:type="dxa"/>
                <w:right w:w="108" w:type="dxa"/>
              </w:tblCellMar>
            </w:tblPr>
            <w:tblGrid>
              <w:gridCol w:w="2885"/>
              <w:gridCol w:w="555"/>
              <w:gridCol w:w="1455"/>
              <w:gridCol w:w="969"/>
              <w:gridCol w:w="2211"/>
              <w:gridCol w:w="495"/>
              <w:gridCol w:w="1755"/>
              <w:gridCol w:w="2614"/>
              <w:gridCol w:w="460"/>
              <w:gridCol w:w="460"/>
              <w:gridCol w:w="1446"/>
            </w:tblGrid>
            <w:tr>
              <w:tblPrEx>
                <w:tblCellMar>
                  <w:top w:w="0" w:type="dxa"/>
                  <w:left w:w="108" w:type="dxa"/>
                  <w:bottom w:w="0" w:type="dxa"/>
                  <w:right w:w="108" w:type="dxa"/>
                </w:tblCellMar>
              </w:tblPrEx>
              <w:trPr>
                <w:trHeight w:val="375" w:hRule="atLeast"/>
              </w:trPr>
              <w:tc>
                <w:tcPr>
                  <w:tcW w:w="15305" w:type="dxa"/>
                  <w:gridSpan w:val="11"/>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bookmarkStart w:id="0" w:name="RANGE!A1:I22"/>
                  <w:bookmarkEnd w:id="0"/>
                  <w:bookmarkStart w:id="1" w:name="RANGE!A1:F16"/>
                  <w:r>
                    <w:rPr>
                      <w:rFonts w:hint="eastAsia" w:ascii="黑体" w:hAnsi="宋体" w:eastAsia="黑体" w:cs="黑体"/>
                      <w:i w:val="0"/>
                      <w:iCs w:val="0"/>
                      <w:color w:val="000000"/>
                      <w:kern w:val="0"/>
                      <w:sz w:val="30"/>
                      <w:szCs w:val="30"/>
                      <w:u w:val="none"/>
                      <w:lang w:val="en-US" w:eastAsia="zh-CN" w:bidi="ar"/>
                    </w:rPr>
                    <w:t>财政拨款收入支出决算总表</w:t>
                  </w:r>
                </w:p>
              </w:tc>
            </w:tr>
            <w:tr>
              <w:tblPrEx>
                <w:shd w:val="clear" w:color="auto" w:fill="auto"/>
                <w:tblCellMar>
                  <w:top w:w="0" w:type="dxa"/>
                  <w:left w:w="108" w:type="dxa"/>
                  <w:bottom w:w="0" w:type="dxa"/>
                  <w:right w:w="108" w:type="dxa"/>
                </w:tblCellMar>
              </w:tblPrEx>
              <w:trPr>
                <w:trHeight w:val="300" w:hRule="atLeast"/>
              </w:trPr>
              <w:tc>
                <w:tcPr>
                  <w:tcW w:w="288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5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24"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11"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9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55"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614"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920"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46" w:type="dxa"/>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公开04表</w:t>
                  </w:r>
                </w:p>
              </w:tc>
            </w:tr>
            <w:tr>
              <w:tblPrEx>
                <w:tblCellMar>
                  <w:top w:w="0" w:type="dxa"/>
                  <w:left w:w="108" w:type="dxa"/>
                  <w:bottom w:w="0" w:type="dxa"/>
                  <w:right w:w="108" w:type="dxa"/>
                </w:tblCellMar>
              </w:tblPrEx>
              <w:trPr>
                <w:trHeight w:val="300" w:hRule="atLeast"/>
              </w:trPr>
              <w:tc>
                <w:tcPr>
                  <w:tcW w:w="2885"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部门：湖南省生态环境监测中心南岳站</w:t>
                  </w:r>
                </w:p>
              </w:tc>
              <w:tc>
                <w:tcPr>
                  <w:tcW w:w="55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24"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11"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95"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1755"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614"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920"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446" w:type="dxa"/>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CellMar>
                  <w:top w:w="0" w:type="dxa"/>
                  <w:left w:w="108" w:type="dxa"/>
                  <w:bottom w:w="0" w:type="dxa"/>
                  <w:right w:w="108" w:type="dxa"/>
                </w:tblCellMar>
              </w:tblPrEx>
              <w:trPr>
                <w:gridAfter w:val="1"/>
                <w:wAfter w:w="1446" w:type="dxa"/>
                <w:trHeight w:val="300" w:hRule="atLeast"/>
              </w:trPr>
              <w:tc>
                <w:tcPr>
                  <w:tcW w:w="4895"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8964" w:type="dxa"/>
                  <w:gridSpan w:val="7"/>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shd w:val="clear" w:color="auto" w:fill="auto"/>
                <w:tblCellMar>
                  <w:top w:w="0" w:type="dxa"/>
                  <w:left w:w="108" w:type="dxa"/>
                  <w:bottom w:w="0" w:type="dxa"/>
                  <w:right w:w="108" w:type="dxa"/>
                </w:tblCellMar>
              </w:tblPrEx>
              <w:trPr>
                <w:gridAfter w:val="1"/>
                <w:wAfter w:w="1446" w:type="dxa"/>
                <w:trHeight w:val="285" w:hRule="atLeast"/>
              </w:trPr>
              <w:tc>
                <w:tcPr>
                  <w:tcW w:w="2885"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55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45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3180" w:type="dxa"/>
                  <w:gridSpan w:val="2"/>
                  <w:vMerge w:val="restart"/>
                  <w:tcBorders>
                    <w:top w:val="nil"/>
                    <w:left w:val="nil"/>
                    <w:bottom w:val="single" w:color="000000" w:sz="4" w:space="0"/>
                    <w:right w:val="single" w:color="000000" w:sz="4" w:space="0"/>
                  </w:tcBorders>
                  <w:shd w:val="clear" w:color="auto" w:fill="C0C0C0"/>
                  <w:vAlign w:val="bottom"/>
                </w:tcPr>
                <w:p>
                  <w:pPr>
                    <w:keepNext w:val="0"/>
                    <w:keepLines w:val="0"/>
                    <w:widowControl/>
                    <w:suppressLineNumbers w:val="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49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755"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614"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一般公共预算财政拨款</w:t>
                  </w:r>
                </w:p>
              </w:tc>
              <w:tc>
                <w:tcPr>
                  <w:tcW w:w="46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政府性基金预算财政拨款</w:t>
                  </w:r>
                </w:p>
              </w:tc>
              <w:tc>
                <w:tcPr>
                  <w:tcW w:w="46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国有资本经营预算财政拨款</w:t>
                  </w:r>
                </w:p>
              </w:tc>
            </w:tr>
            <w:tr>
              <w:tblPrEx>
                <w:shd w:val="clear" w:color="auto" w:fill="auto"/>
                <w:tblCellMar>
                  <w:top w:w="0" w:type="dxa"/>
                  <w:left w:w="108" w:type="dxa"/>
                  <w:bottom w:w="0" w:type="dxa"/>
                  <w:right w:w="108" w:type="dxa"/>
                </w:tblCellMar>
              </w:tblPrEx>
              <w:trPr>
                <w:gridAfter w:val="1"/>
                <w:wAfter w:w="1446" w:type="dxa"/>
                <w:trHeight w:val="600" w:hRule="atLeast"/>
              </w:trPr>
              <w:tc>
                <w:tcPr>
                  <w:tcW w:w="2885" w:type="dxa"/>
                  <w:vMerge w:val="continue"/>
                  <w:tcBorders>
                    <w:top w:val="nil"/>
                    <w:left w:val="single" w:color="000000" w:sz="4" w:space="0"/>
                    <w:bottom w:val="single" w:color="000000" w:sz="4" w:space="0"/>
                    <w:right w:val="single" w:color="000000" w:sz="4" w:space="0"/>
                  </w:tcBorders>
                  <w:shd w:val="clear" w:color="auto" w:fill="C0C0C0"/>
                  <w:vAlign w:val="center"/>
                </w:tcPr>
                <w:p>
                  <w:pPr>
                    <w:jc w:val="both"/>
                    <w:rPr>
                      <w:rFonts w:hint="eastAsia" w:ascii="宋体" w:hAnsi="宋体" w:eastAsia="宋体" w:cs="宋体"/>
                      <w:i w:val="0"/>
                      <w:iCs w:val="0"/>
                      <w:color w:val="000000"/>
                      <w:sz w:val="20"/>
                      <w:szCs w:val="20"/>
                      <w:u w:val="none"/>
                    </w:rPr>
                  </w:pPr>
                </w:p>
              </w:tc>
              <w:tc>
                <w:tcPr>
                  <w:tcW w:w="5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180" w:type="dxa"/>
                  <w:gridSpan w:val="2"/>
                  <w:vMerge w:val="continue"/>
                  <w:tcBorders>
                    <w:top w:val="nil"/>
                    <w:left w:val="nil"/>
                    <w:bottom w:val="single" w:color="000000" w:sz="4" w:space="0"/>
                    <w:right w:val="single" w:color="000000" w:sz="4" w:space="0"/>
                  </w:tcBorders>
                  <w:shd w:val="clear" w:color="auto" w:fill="C0C0C0"/>
                  <w:vAlign w:val="bottom"/>
                </w:tcPr>
                <w:p>
                  <w:pPr>
                    <w:jc w:val="both"/>
                    <w:rPr>
                      <w:rFonts w:hint="eastAsia" w:ascii="宋体" w:hAnsi="宋体" w:eastAsia="宋体" w:cs="宋体"/>
                      <w:i w:val="0"/>
                      <w:iCs w:val="0"/>
                      <w:color w:val="000000"/>
                      <w:sz w:val="20"/>
                      <w:szCs w:val="20"/>
                      <w:u w:val="none"/>
                    </w:rPr>
                  </w:pPr>
                </w:p>
              </w:tc>
              <w:tc>
                <w:tcPr>
                  <w:tcW w:w="49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75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614"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46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46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555"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180" w:type="dxa"/>
                  <w:gridSpan w:val="2"/>
                  <w:tcBorders>
                    <w:top w:val="nil"/>
                    <w:left w:val="nil"/>
                    <w:bottom w:val="single" w:color="000000" w:sz="4" w:space="0"/>
                    <w:right w:val="single" w:color="000000" w:sz="4" w:space="0"/>
                  </w:tcBorders>
                  <w:shd w:val="clear" w:color="auto" w:fill="C0C0C0"/>
                  <w:noWrap/>
                  <w:vAlign w:val="bottom"/>
                </w:tcPr>
                <w:p>
                  <w:pPr>
                    <w:keepNext w:val="0"/>
                    <w:keepLines w:val="0"/>
                    <w:widowControl/>
                    <w:suppressLineNumbers w:val="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495"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7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1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2,398,600.00</w:t>
                  </w: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三、国有资本经营财政拨款</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98"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186,000.00</w:t>
                  </w:r>
                </w:p>
              </w:tc>
              <w:tc>
                <w:tcPr>
                  <w:tcW w:w="261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186,000.00</w:t>
                  </w: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2,852,611.66</w:t>
                  </w:r>
                </w:p>
              </w:tc>
              <w:tc>
                <w:tcPr>
                  <w:tcW w:w="261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2,852,611.66</w:t>
                  </w: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261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2,398,600.00</w:t>
                  </w: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3,109,811.66</w:t>
                  </w:r>
                </w:p>
              </w:tc>
              <w:tc>
                <w:tcPr>
                  <w:tcW w:w="261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3,109,811.66</w:t>
                  </w: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年初财政拨款结转和结余</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1,885,000.00</w:t>
                  </w: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年末财政拨款结转和结余</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1,173,788.34</w:t>
                  </w:r>
                </w:p>
              </w:tc>
              <w:tc>
                <w:tcPr>
                  <w:tcW w:w="261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1,173,788.34</w:t>
                  </w: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一般公共预算财政拨款</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1,885,000.00</w:t>
                  </w:r>
                </w:p>
              </w:tc>
              <w:tc>
                <w:tcPr>
                  <w:tcW w:w="3180" w:type="dxa"/>
                  <w:gridSpan w:val="2"/>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政府性基金预算财政拨款</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国有资本经营预算财政拨款</w:t>
                  </w:r>
                </w:p>
              </w:tc>
              <w:tc>
                <w:tcPr>
                  <w:tcW w:w="5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180" w:type="dxa"/>
                  <w:gridSpan w:val="2"/>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7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614"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1446" w:type="dxa"/>
                <w:trHeight w:val="300" w:hRule="atLeast"/>
              </w:trPr>
              <w:tc>
                <w:tcPr>
                  <w:tcW w:w="2885"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555" w:type="dxa"/>
                  <w:tcBorders>
                    <w:top w:val="nil"/>
                    <w:left w:val="nil"/>
                    <w:bottom w:val="single" w:color="000000" w:sz="12"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4,283,600.00</w:t>
                  </w:r>
                </w:p>
              </w:tc>
              <w:tc>
                <w:tcPr>
                  <w:tcW w:w="318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49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7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4,283,600.00</w:t>
                  </w:r>
                </w:p>
              </w:tc>
              <w:tc>
                <w:tcPr>
                  <w:tcW w:w="2614"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4,283,600.00</w:t>
                  </w: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46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bl>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bookmarkEnd w:id="1"/>
    <w:tbl>
      <w:tblPr>
        <w:tblStyle w:val="7"/>
        <w:tblW w:w="14219" w:type="dxa"/>
        <w:jc w:val="center"/>
        <w:tblLayout w:type="fixed"/>
        <w:tblCellMar>
          <w:top w:w="0" w:type="dxa"/>
          <w:left w:w="108" w:type="dxa"/>
          <w:bottom w:w="0" w:type="dxa"/>
          <w:right w:w="108" w:type="dxa"/>
        </w:tblCellMar>
      </w:tblPr>
      <w:tblGrid>
        <w:gridCol w:w="14219"/>
      </w:tblGrid>
      <w:tr>
        <w:trPr>
          <w:trHeight w:val="645" w:hRule="atLeast"/>
          <w:jc w:val="center"/>
        </w:trPr>
        <w:tc>
          <w:tcPr>
            <w:tcW w:w="14219" w:type="dxa"/>
            <w:tcBorders>
              <w:top w:val="nil"/>
              <w:left w:val="nil"/>
              <w:bottom w:val="nil"/>
              <w:right w:val="nil"/>
            </w:tcBorders>
            <w:shd w:val="clear" w:color="auto" w:fill="auto"/>
            <w:vAlign w:val="center"/>
          </w:tcPr>
          <w:tbl>
            <w:tblPr>
              <w:tblStyle w:val="7"/>
              <w:tblW w:w="15310" w:type="dxa"/>
              <w:tblInd w:w="-20" w:type="dxa"/>
              <w:shd w:val="clear" w:color="auto" w:fill="auto"/>
              <w:tblLayout w:type="fixed"/>
              <w:tblCellMar>
                <w:top w:w="0" w:type="dxa"/>
                <w:left w:w="108" w:type="dxa"/>
                <w:bottom w:w="0" w:type="dxa"/>
                <w:right w:w="108" w:type="dxa"/>
              </w:tblCellMar>
            </w:tblPr>
            <w:tblGrid>
              <w:gridCol w:w="5"/>
              <w:gridCol w:w="4094"/>
              <w:gridCol w:w="302"/>
              <w:gridCol w:w="237"/>
              <w:gridCol w:w="795"/>
              <w:gridCol w:w="1781"/>
              <w:gridCol w:w="937"/>
              <w:gridCol w:w="1525"/>
              <w:gridCol w:w="5"/>
              <w:gridCol w:w="2257"/>
              <w:gridCol w:w="5"/>
              <w:gridCol w:w="1967"/>
              <w:gridCol w:w="5"/>
            </w:tblGrid>
            <w:tr>
              <w:tblPrEx>
                <w:shd w:val="clear" w:color="auto" w:fill="auto"/>
                <w:tblCellMar>
                  <w:top w:w="0" w:type="dxa"/>
                  <w:left w:w="108" w:type="dxa"/>
                  <w:bottom w:w="0" w:type="dxa"/>
                  <w:right w:w="108" w:type="dxa"/>
                </w:tblCellMar>
              </w:tblPrEx>
              <w:trPr>
                <w:gridBefore w:val="1"/>
                <w:wBefore w:w="5" w:type="dxa"/>
                <w:trHeight w:val="375" w:hRule="atLeast"/>
              </w:trPr>
              <w:tc>
                <w:tcPr>
                  <w:tcW w:w="15305" w:type="dxa"/>
                  <w:gridSpan w:val="12"/>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一般公共预算财政拨款支出决算表</w:t>
                  </w:r>
                </w:p>
              </w:tc>
            </w:tr>
            <w:tr>
              <w:tblPrEx>
                <w:shd w:val="clear" w:color="auto" w:fill="auto"/>
                <w:tblCellMar>
                  <w:top w:w="0" w:type="dxa"/>
                  <w:left w:w="108" w:type="dxa"/>
                  <w:bottom w:w="0" w:type="dxa"/>
                  <w:right w:w="108" w:type="dxa"/>
                </w:tblCellMar>
              </w:tblPrEx>
              <w:trPr>
                <w:gridBefore w:val="1"/>
                <w:wBefore w:w="5" w:type="dxa"/>
                <w:trHeight w:val="300" w:hRule="atLeast"/>
              </w:trPr>
              <w:tc>
                <w:tcPr>
                  <w:tcW w:w="4718"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316"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949"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36"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23"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3" w:type="dxa"/>
                  <w:gridSpan w:val="2"/>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公开05表</w:t>
                  </w:r>
                </w:p>
              </w:tc>
            </w:tr>
            <w:tr>
              <w:tblPrEx>
                <w:tblCellMar>
                  <w:top w:w="0" w:type="dxa"/>
                  <w:left w:w="108" w:type="dxa"/>
                  <w:bottom w:w="0" w:type="dxa"/>
                  <w:right w:w="108" w:type="dxa"/>
                </w:tblCellMar>
              </w:tblPrEx>
              <w:trPr>
                <w:gridBefore w:val="1"/>
                <w:wBefore w:w="5" w:type="dxa"/>
                <w:trHeight w:val="300" w:hRule="atLeast"/>
              </w:trPr>
              <w:tc>
                <w:tcPr>
                  <w:tcW w:w="4718" w:type="dxa"/>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部门：湖南省生态环境监测中心南岳站</w:t>
                  </w:r>
                </w:p>
              </w:tc>
              <w:tc>
                <w:tcPr>
                  <w:tcW w:w="316"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0" w:type="dxa"/>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949" w:type="dxa"/>
                  <w:gridSpan w:val="2"/>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2020年度</w:t>
                  </w:r>
                </w:p>
              </w:tc>
              <w:tc>
                <w:tcPr>
                  <w:tcW w:w="1736" w:type="dxa"/>
                  <w:gridSpan w:val="3"/>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23" w:type="dxa"/>
                  <w:gridSpan w:val="2"/>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53" w:type="dxa"/>
                  <w:gridSpan w:val="2"/>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CellMar>
                  <w:top w:w="0" w:type="dxa"/>
                  <w:left w:w="108" w:type="dxa"/>
                  <w:bottom w:w="0" w:type="dxa"/>
                  <w:right w:w="108" w:type="dxa"/>
                </w:tblCellMar>
              </w:tblPrEx>
              <w:trPr>
                <w:gridAfter w:val="1"/>
                <w:wAfter w:w="5" w:type="dxa"/>
                <w:trHeight w:val="300" w:hRule="atLeast"/>
              </w:trPr>
              <w:tc>
                <w:tcPr>
                  <w:tcW w:w="8893" w:type="dxa"/>
                  <w:gridSpan w:val="7"/>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5992" w:type="dxa"/>
                  <w:gridSpan w:val="5"/>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blPrEx>
                <w:tblCellMar>
                  <w:top w:w="0" w:type="dxa"/>
                  <w:left w:w="108" w:type="dxa"/>
                  <w:bottom w:w="0" w:type="dxa"/>
                  <w:right w:w="108" w:type="dxa"/>
                </w:tblCellMar>
              </w:tblPrEx>
              <w:trPr>
                <w:gridAfter w:val="1"/>
                <w:wAfter w:w="5" w:type="dxa"/>
                <w:trHeight w:val="300" w:hRule="atLeast"/>
              </w:trPr>
              <w:tc>
                <w:tcPr>
                  <w:tcW w:w="6192" w:type="dxa"/>
                  <w:gridSpan w:val="5"/>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功能分类科目编码</w:t>
                  </w:r>
                </w:p>
              </w:tc>
              <w:tc>
                <w:tcPr>
                  <w:tcW w:w="3121" w:type="dxa"/>
                  <w:gridSpan w:val="2"/>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20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2591"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196"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CellMar>
                  <w:top w:w="0" w:type="dxa"/>
                  <w:left w:w="108" w:type="dxa"/>
                  <w:bottom w:w="0" w:type="dxa"/>
                  <w:right w:w="108" w:type="dxa"/>
                </w:tblCellMar>
              </w:tblPrEx>
              <w:trPr>
                <w:gridAfter w:val="1"/>
                <w:wAfter w:w="5" w:type="dxa"/>
                <w:trHeight w:val="270" w:hRule="atLeast"/>
              </w:trPr>
              <w:tc>
                <w:tcPr>
                  <w:tcW w:w="6192" w:type="dxa"/>
                  <w:gridSpan w:val="5"/>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121" w:type="dxa"/>
                  <w:gridSpan w:val="2"/>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2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591"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96"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121" w:type="dxa"/>
                  <w:gridSpan w:val="2"/>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2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591"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96"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8893" w:type="dxa"/>
                  <w:gridSpan w:val="7"/>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25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8893" w:type="dxa"/>
                  <w:gridSpan w:val="7"/>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3,109,811.66</w:t>
                  </w:r>
                </w:p>
              </w:tc>
              <w:tc>
                <w:tcPr>
                  <w:tcW w:w="242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1,453,600.00</w:t>
                  </w:r>
                </w:p>
              </w:tc>
              <w:tc>
                <w:tcPr>
                  <w:tcW w:w="225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1,656,211.66</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186,000.00</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225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30,000.00</w:t>
                  </w:r>
                </w:p>
              </w:tc>
            </w:tr>
            <w:tr>
              <w:tblPrEx>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186,000.00</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156,000.00</w:t>
                  </w:r>
                </w:p>
              </w:tc>
              <w:tc>
                <w:tcPr>
                  <w:tcW w:w="225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30,000.00</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3121" w:type="dxa"/>
                  <w:gridSpan w:val="2"/>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7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186,000.00</w:t>
                  </w:r>
                </w:p>
              </w:tc>
              <w:tc>
                <w:tcPr>
                  <w:tcW w:w="242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156,000.00</w:t>
                  </w:r>
                </w:p>
              </w:tc>
              <w:tc>
                <w:tcPr>
                  <w:tcW w:w="225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30,000.00</w:t>
                  </w:r>
                </w:p>
              </w:tc>
            </w:tr>
            <w:tr>
              <w:tblPrEx>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2,852,611.66</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1,226,400.00</w:t>
                  </w:r>
                </w:p>
              </w:tc>
              <w:tc>
                <w:tcPr>
                  <w:tcW w:w="225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1,626,211.66</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21101</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环境保护管理事务</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1,590,522.55</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1,226,400.00</w:t>
                  </w:r>
                </w:p>
              </w:tc>
              <w:tc>
                <w:tcPr>
                  <w:tcW w:w="225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364,122.55</w:t>
                  </w:r>
                </w:p>
              </w:tc>
            </w:tr>
            <w:tr>
              <w:tblPrEx>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2110101</w:t>
                  </w:r>
                </w:p>
              </w:tc>
              <w:tc>
                <w:tcPr>
                  <w:tcW w:w="3121" w:type="dxa"/>
                  <w:gridSpan w:val="2"/>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17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1,376,400.00</w:t>
                  </w:r>
                </w:p>
              </w:tc>
              <w:tc>
                <w:tcPr>
                  <w:tcW w:w="242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1,226,400.00</w:t>
                  </w:r>
                </w:p>
              </w:tc>
              <w:tc>
                <w:tcPr>
                  <w:tcW w:w="225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150,000.00</w:t>
                  </w:r>
                </w:p>
              </w:tc>
            </w:tr>
            <w:tr>
              <w:tblPrEx>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2110199</w:t>
                  </w:r>
                </w:p>
              </w:tc>
              <w:tc>
                <w:tcPr>
                  <w:tcW w:w="3121" w:type="dxa"/>
                  <w:gridSpan w:val="2"/>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其他环境保护管理事务支出</w:t>
                  </w:r>
                </w:p>
              </w:tc>
              <w:tc>
                <w:tcPr>
                  <w:tcW w:w="17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214,122.55</w:t>
                  </w:r>
                </w:p>
              </w:tc>
              <w:tc>
                <w:tcPr>
                  <w:tcW w:w="2423"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5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214,122.55</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21103</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污染防治</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1,262,089.11</w:t>
                  </w:r>
                </w:p>
              </w:tc>
              <w:tc>
                <w:tcPr>
                  <w:tcW w:w="2423"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225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1,262,089.11</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2110301</w:t>
                  </w:r>
                </w:p>
              </w:tc>
              <w:tc>
                <w:tcPr>
                  <w:tcW w:w="3121" w:type="dxa"/>
                  <w:gridSpan w:val="2"/>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大气</w:t>
                  </w:r>
                </w:p>
              </w:tc>
              <w:tc>
                <w:tcPr>
                  <w:tcW w:w="17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1,262,089.11</w:t>
                  </w:r>
                </w:p>
              </w:tc>
              <w:tc>
                <w:tcPr>
                  <w:tcW w:w="2423"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5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1,262,089.11</w:t>
                  </w: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2253"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3121"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1736"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2423"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71,200.00</w:t>
                  </w:r>
                </w:p>
              </w:tc>
              <w:tc>
                <w:tcPr>
                  <w:tcW w:w="2253" w:type="dxa"/>
                  <w:gridSpan w:val="2"/>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shd w:val="clear" w:color="auto" w:fill="auto"/>
                <w:tblCellMar>
                  <w:top w:w="0" w:type="dxa"/>
                  <w:left w:w="108" w:type="dxa"/>
                  <w:bottom w:w="0" w:type="dxa"/>
                  <w:right w:w="108" w:type="dxa"/>
                </w:tblCellMar>
              </w:tblPrEx>
              <w:trPr>
                <w:gridAfter w:val="1"/>
                <w:wAfter w:w="5" w:type="dxa"/>
                <w:trHeight w:val="300" w:hRule="atLeast"/>
              </w:trPr>
              <w:tc>
                <w:tcPr>
                  <w:tcW w:w="6192" w:type="dxa"/>
                  <w:gridSpan w:val="5"/>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3121" w:type="dxa"/>
                  <w:gridSpan w:val="2"/>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73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2423"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2253"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bl>
          <w:p>
            <w:pPr>
              <w:widowControl/>
              <w:jc w:val="left"/>
              <w:rPr>
                <w:rFonts w:ascii="Times New Roman" w:hAnsi="Times New Roman" w:eastAsia="仿宋_GB2312" w:cs="Times New Roman"/>
                <w:kern w:val="0"/>
                <w:szCs w:val="21"/>
              </w:rPr>
            </w:pPr>
            <w:r>
              <w:rPr>
                <w:rFonts w:hint="eastAsia" w:ascii="宋体" w:hAnsi="宋体" w:eastAsia="宋体" w:cs="宋体"/>
                <w:kern w:val="0"/>
                <w:sz w:val="24"/>
                <w:szCs w:val="24"/>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tbl>
      <w:tblPr>
        <w:tblStyle w:val="7"/>
        <w:tblW w:w="19064" w:type="dxa"/>
        <w:tblInd w:w="93" w:type="dxa"/>
        <w:shd w:val="clear" w:color="auto" w:fill="auto"/>
        <w:tblLayout w:type="fixed"/>
        <w:tblCellMar>
          <w:top w:w="0" w:type="dxa"/>
          <w:left w:w="108" w:type="dxa"/>
          <w:bottom w:w="0" w:type="dxa"/>
          <w:right w:w="108" w:type="dxa"/>
        </w:tblCellMar>
      </w:tblPr>
      <w:tblGrid>
        <w:gridCol w:w="1904"/>
        <w:gridCol w:w="3255"/>
        <w:gridCol w:w="2145"/>
        <w:gridCol w:w="1335"/>
        <w:gridCol w:w="2445"/>
        <w:gridCol w:w="2145"/>
        <w:gridCol w:w="1005"/>
        <w:gridCol w:w="3000"/>
        <w:gridCol w:w="1830"/>
      </w:tblGrid>
      <w:tr>
        <w:tblPrEx>
          <w:shd w:val="clear" w:color="auto" w:fill="auto"/>
          <w:tblCellMar>
            <w:top w:w="0" w:type="dxa"/>
            <w:left w:w="108" w:type="dxa"/>
            <w:bottom w:w="0" w:type="dxa"/>
            <w:right w:w="108" w:type="dxa"/>
          </w:tblCellMar>
        </w:tblPrEx>
        <w:trPr>
          <w:trHeight w:val="375" w:hRule="atLeast"/>
        </w:trPr>
        <w:tc>
          <w:tcPr>
            <w:tcW w:w="19064" w:type="dxa"/>
            <w:gridSpan w:val="9"/>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30"/>
                <w:szCs w:val="30"/>
                <w:u w:val="none"/>
                <w:lang w:val="en-US" w:eastAsia="zh-CN" w:bidi="ar"/>
              </w:rPr>
              <w:t>一般公共预算财政拨款基本支出决算表</w:t>
            </w:r>
          </w:p>
        </w:tc>
      </w:tr>
      <w:tr>
        <w:tblPrEx>
          <w:shd w:val="clear" w:color="auto" w:fill="auto"/>
          <w:tblCellMar>
            <w:top w:w="0" w:type="dxa"/>
            <w:left w:w="108" w:type="dxa"/>
            <w:bottom w:w="0" w:type="dxa"/>
            <w:right w:w="108" w:type="dxa"/>
          </w:tblCellMar>
        </w:tblPrEx>
        <w:trPr>
          <w:trHeight w:val="432" w:hRule="atLeast"/>
        </w:trPr>
        <w:tc>
          <w:tcPr>
            <w:tcW w:w="19064" w:type="dxa"/>
            <w:gridSpan w:val="9"/>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shd w:val="clear" w:color="auto" w:fill="auto"/>
          <w:tblCellMar>
            <w:top w:w="0" w:type="dxa"/>
            <w:left w:w="108" w:type="dxa"/>
            <w:bottom w:w="0" w:type="dxa"/>
            <w:right w:w="108" w:type="dxa"/>
          </w:tblCellMar>
        </w:tblPrEx>
        <w:trPr>
          <w:trHeight w:val="300" w:hRule="atLeast"/>
        </w:trPr>
        <w:tc>
          <w:tcPr>
            <w:tcW w:w="19064" w:type="dxa"/>
            <w:gridSpan w:val="9"/>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部门：湖南省生态环境监测中心南岳站                                                                                                                                                </w:t>
            </w:r>
            <w:r>
              <w:rPr>
                <w:rFonts w:hint="eastAsia" w:ascii="宋体" w:hAnsi="宋体" w:eastAsia="宋体" w:cs="宋体"/>
                <w:i w:val="0"/>
                <w:iCs w:val="0"/>
                <w:color w:val="000000"/>
                <w:kern w:val="0"/>
                <w:sz w:val="18"/>
                <w:szCs w:val="18"/>
                <w:u w:val="none"/>
                <w:lang w:val="en-US" w:eastAsia="zh-CN" w:bidi="ar"/>
              </w:rPr>
              <w:t>金额单位：元</w:t>
            </w:r>
          </w:p>
        </w:tc>
      </w:tr>
      <w:tr>
        <w:tblPrEx>
          <w:shd w:val="clear" w:color="auto" w:fill="auto"/>
          <w:tblCellMar>
            <w:top w:w="0" w:type="dxa"/>
            <w:left w:w="108" w:type="dxa"/>
            <w:bottom w:w="0" w:type="dxa"/>
            <w:right w:w="108" w:type="dxa"/>
          </w:tblCellMar>
        </w:tblPrEx>
        <w:trPr>
          <w:trHeight w:val="300" w:hRule="atLeast"/>
        </w:trPr>
        <w:tc>
          <w:tcPr>
            <w:tcW w:w="7304"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1760" w:type="dxa"/>
            <w:gridSpan w:val="6"/>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shd w:val="clear" w:color="auto" w:fill="auto"/>
          <w:tblCellMar>
            <w:top w:w="0" w:type="dxa"/>
            <w:left w:w="108" w:type="dxa"/>
            <w:bottom w:w="0" w:type="dxa"/>
            <w:right w:w="108" w:type="dxa"/>
          </w:tblCellMar>
        </w:tblPrEx>
        <w:trPr>
          <w:trHeight w:val="300" w:hRule="atLeast"/>
        </w:trPr>
        <w:tc>
          <w:tcPr>
            <w:tcW w:w="1904"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25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14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133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44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14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100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300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83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tblCellMar>
            <w:top w:w="0" w:type="dxa"/>
            <w:left w:w="108" w:type="dxa"/>
            <w:bottom w:w="0" w:type="dxa"/>
            <w:right w:w="108" w:type="dxa"/>
          </w:tblCellMar>
        </w:tblPrEx>
        <w:trPr>
          <w:trHeight w:val="300" w:hRule="atLeast"/>
        </w:trPr>
        <w:tc>
          <w:tcPr>
            <w:tcW w:w="1904"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2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4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1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0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00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83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1,127,900.00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325,700.00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债务利息及费用支出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30101</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基本工资</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30201</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30701</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国内债务付息</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30102</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津贴补贴</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30202</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印刷费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30702</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国外债务付息</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30103</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奖金</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184,700.00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30203</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咨询费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伙食补助费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30204</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手续费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31001</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房屋建筑物购建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30107</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绩效工资</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30205</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31002</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办公设备购置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30108</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30206</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31003</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专用设备购置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30109</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职业年金缴费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30207</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邮电费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31005</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30110</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职工基本医疗保险缴费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30208</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取暖费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31006</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大型修缮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30111</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公务员医疗补助缴费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30209</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物业管理费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31007</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信息网络及软件购置更新</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30112</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其他社会保障缴费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30211</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差旅费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31008</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物资储备</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30113</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30212</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因公出国（境）费用</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31009</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土地补偿</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30114</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30213</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维修（护）费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31010</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安置补助</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30199</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其他工资福利支出</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30214</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租赁费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31011</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地上附着物和青苗补偿</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30215</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会议费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31012</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拆迁补偿</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30301</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离休费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30216</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培训费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31013</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公务用车购置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30302</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退休费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30217</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公务接待费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31019</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其他交通工具购置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30303</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退职（役）费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30218</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专用材料费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31021</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文物和陈列品购置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30304</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抚恤金</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30224</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被装购置费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31022</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无形资产购置</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30305</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生活补助</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30225</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专用燃料费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31099</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其他资本性支出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30306</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救济费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30226</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劳务费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30307</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医疗费补助</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30227</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委托业务费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39906</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赠与</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30308</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助学金</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30228</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工会经费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39907</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国家赔偿费用支出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30309</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奖励金</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30229</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39908</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对民间非营利组织和群众性自治组织补贴</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30310</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个人农业生产补贴</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30231</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公务用车运行维护费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10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39999</w:t>
            </w:r>
          </w:p>
        </w:tc>
        <w:tc>
          <w:tcPr>
            <w:tcW w:w="30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30311</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代缴社会保险费</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30239</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其他交通费用</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23,400.00</w:t>
            </w:r>
          </w:p>
        </w:tc>
        <w:tc>
          <w:tcPr>
            <w:tcW w:w="100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300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83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30399</w:t>
            </w:r>
          </w:p>
        </w:tc>
        <w:tc>
          <w:tcPr>
            <w:tcW w:w="32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其他对个人和家庭的补助</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30240</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税金及附加费用</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300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83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90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325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1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3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30299</w:t>
            </w:r>
          </w:p>
        </w:tc>
        <w:tc>
          <w:tcPr>
            <w:tcW w:w="24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其他商品和服务支出</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95,300.00</w:t>
            </w:r>
          </w:p>
        </w:tc>
        <w:tc>
          <w:tcPr>
            <w:tcW w:w="1005"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300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183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5159"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人员经费合计</w:t>
            </w:r>
          </w:p>
        </w:tc>
        <w:tc>
          <w:tcPr>
            <w:tcW w:w="214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1,127,900.00</w:t>
            </w:r>
          </w:p>
        </w:tc>
        <w:tc>
          <w:tcPr>
            <w:tcW w:w="9930" w:type="dxa"/>
            <w:gridSpan w:val="5"/>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公用经费合计</w:t>
            </w:r>
          </w:p>
        </w:tc>
        <w:tc>
          <w:tcPr>
            <w:tcW w:w="18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325,700.00</w:t>
            </w:r>
          </w:p>
        </w:tc>
      </w:tr>
    </w:tbl>
    <w:p>
      <w:pPr>
        <w:widowControl/>
        <w:jc w:val="left"/>
        <w:rPr>
          <w:rFonts w:ascii="Times New Roman" w:hAnsi="Times New Roman" w:eastAsia="仿宋_GB2312" w:cs="Times New Roman"/>
          <w:bCs/>
          <w:kern w:val="0"/>
          <w:szCs w:val="21"/>
        </w:rPr>
      </w:pPr>
    </w:p>
    <w:tbl>
      <w:tblPr>
        <w:tblStyle w:val="7"/>
        <w:tblW w:w="0" w:type="auto"/>
        <w:tblInd w:w="0" w:type="dxa"/>
        <w:tblLayout w:type="autofit"/>
        <w:tblCellMar>
          <w:top w:w="0" w:type="dxa"/>
          <w:left w:w="108" w:type="dxa"/>
          <w:bottom w:w="0" w:type="dxa"/>
          <w:right w:w="108" w:type="dxa"/>
        </w:tblCellMar>
      </w:tblPr>
      <w:tblGrid>
        <w:gridCol w:w="6516"/>
      </w:tblGrid>
      <w:tr>
        <w:trPr>
          <w:trHeight w:val="284" w:hRule="exact"/>
        </w:trPr>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p>
      <w:pPr>
        <w:widowControl/>
        <w:jc w:val="left"/>
        <w:rPr>
          <w:rFonts w:hint="eastAsia" w:ascii="宋体" w:eastAsia="宋体" w:cs="宋体"/>
          <w:kern w:val="0"/>
          <w:sz w:val="24"/>
          <w:szCs w:val="24"/>
        </w:rPr>
      </w:pPr>
    </w:p>
    <w:tbl>
      <w:tblPr>
        <w:tblStyle w:val="7"/>
        <w:tblW w:w="18219" w:type="dxa"/>
        <w:tblInd w:w="93" w:type="dxa"/>
        <w:shd w:val="clear" w:color="auto" w:fill="auto"/>
        <w:tblLayout w:type="autofit"/>
        <w:tblCellMar>
          <w:top w:w="0" w:type="dxa"/>
          <w:left w:w="108" w:type="dxa"/>
          <w:bottom w:w="0" w:type="dxa"/>
          <w:right w:w="108" w:type="dxa"/>
        </w:tblCellMar>
      </w:tblPr>
      <w:tblGrid>
        <w:gridCol w:w="3956"/>
        <w:gridCol w:w="1118"/>
        <w:gridCol w:w="1248"/>
        <w:gridCol w:w="890"/>
        <w:gridCol w:w="1248"/>
        <w:gridCol w:w="2471"/>
        <w:gridCol w:w="1248"/>
        <w:gridCol w:w="1118"/>
        <w:gridCol w:w="1248"/>
        <w:gridCol w:w="890"/>
        <w:gridCol w:w="1248"/>
        <w:gridCol w:w="1536"/>
      </w:tblGrid>
      <w:tr>
        <w:tblPrEx>
          <w:shd w:val="clear" w:color="auto" w:fill="auto"/>
          <w:tblCellMar>
            <w:top w:w="0" w:type="dxa"/>
            <w:left w:w="108" w:type="dxa"/>
            <w:bottom w:w="0" w:type="dxa"/>
            <w:right w:w="108" w:type="dxa"/>
          </w:tblCellMar>
        </w:tblPrEx>
        <w:trPr>
          <w:trHeight w:val="555" w:hRule="atLeast"/>
        </w:trPr>
        <w:tc>
          <w:tcPr>
            <w:tcW w:w="18219" w:type="dxa"/>
            <w:gridSpan w:val="12"/>
            <w:tcBorders>
              <w:top w:val="nil"/>
              <w:left w:val="nil"/>
              <w:bottom w:val="nil"/>
              <w:right w:val="single" w:color="80808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黑体" w:hAnsi="宋体" w:eastAsia="黑体" w:cs="黑体"/>
                <w:i w:val="0"/>
                <w:iCs w:val="0"/>
                <w:color w:val="000000"/>
                <w:kern w:val="0"/>
                <w:sz w:val="44"/>
                <w:szCs w:val="44"/>
                <w:u w:val="none"/>
                <w:lang w:val="en-US" w:eastAsia="zh-CN" w:bidi="ar"/>
              </w:rPr>
              <w:t>一般公共预算财政拨款“三公”经费支出决算表</w:t>
            </w:r>
          </w:p>
        </w:tc>
      </w:tr>
      <w:tr>
        <w:tblPrEx>
          <w:shd w:val="clear" w:color="auto" w:fill="auto"/>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预算代码：212003</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nil"/>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公开07表</w:t>
            </w:r>
          </w:p>
        </w:tc>
      </w:tr>
      <w:tr>
        <w:tblPrEx>
          <w:shd w:val="clear" w:color="auto" w:fill="auto"/>
          <w:tblCellMar>
            <w:top w:w="0" w:type="dxa"/>
            <w:left w:w="108" w:type="dxa"/>
            <w:bottom w:w="0" w:type="dxa"/>
            <w:right w:w="108" w:type="dxa"/>
          </w:tblCellMar>
        </w:tblPrEx>
        <w:trPr>
          <w:trHeight w:val="300" w:hRule="atLeast"/>
        </w:trPr>
        <w:tc>
          <w:tcPr>
            <w:tcW w:w="0" w:type="auto"/>
            <w:tcBorders>
              <w:top w:val="nil"/>
              <w:left w:val="nil"/>
              <w:bottom w:val="single" w:color="80808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部门：湖南省生态环境监测中心南岳站</w:t>
            </w: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制表日期：2016年3月</w:t>
            </w: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808080" w:sz="4" w:space="0"/>
              <w:right w:val="single" w:color="80808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shd w:val="clear" w:color="auto" w:fill="auto"/>
          <w:tblCellMar>
            <w:top w:w="0" w:type="dxa"/>
            <w:left w:w="108" w:type="dxa"/>
            <w:bottom w:w="0" w:type="dxa"/>
            <w:right w:w="108" w:type="dxa"/>
          </w:tblCellMar>
        </w:tblPrEx>
        <w:trPr>
          <w:trHeight w:val="300" w:hRule="atLeast"/>
        </w:trPr>
        <w:tc>
          <w:tcPr>
            <w:tcW w:w="10619" w:type="dxa"/>
            <w:gridSpan w:val="6"/>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7600" w:type="dxa"/>
            <w:gridSpan w:val="6"/>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tblCellMar>
            <w:top w:w="0" w:type="dxa"/>
            <w:left w:w="108" w:type="dxa"/>
            <w:bottom w:w="0" w:type="dxa"/>
            <w:right w:w="108" w:type="dxa"/>
          </w:tblCellMar>
        </w:tblPrEx>
        <w:trPr>
          <w:trHeight w:val="300" w:hRule="atLeast"/>
        </w:trPr>
        <w:tc>
          <w:tcPr>
            <w:tcW w:w="3457"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4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3744"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217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c>
          <w:tcPr>
            <w:tcW w:w="124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4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3744"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36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shd w:val="clear" w:color="auto" w:fill="auto"/>
          <w:tblCellMar>
            <w:top w:w="0" w:type="dxa"/>
            <w:left w:w="108" w:type="dxa"/>
            <w:bottom w:w="0" w:type="dxa"/>
            <w:right w:w="108" w:type="dxa"/>
          </w:tblCellMar>
        </w:tblPrEx>
        <w:trPr>
          <w:trHeight w:val="600" w:hRule="atLeast"/>
        </w:trPr>
        <w:tc>
          <w:tcPr>
            <w:tcW w:w="3457"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21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136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3457" w:type="dxa"/>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7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4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6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shd w:val="clear" w:color="auto" w:fill="auto"/>
          <w:tblCellMar>
            <w:top w:w="0" w:type="dxa"/>
            <w:left w:w="108" w:type="dxa"/>
            <w:bottom w:w="0" w:type="dxa"/>
            <w:right w:w="108"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00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nil"/>
              <w:left w:val="nil"/>
              <w:bottom w:val="single" w:color="000000" w:sz="4" w:space="0"/>
              <w:right w:val="single" w:color="000000" w:sz="4" w:space="0"/>
            </w:tcBorders>
            <w:shd w:val="clear" w:color="auto" w:fill="00FF00"/>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36,000.00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7"/>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ind w:firstLine="1890" w:firstLineChars="9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ind w:firstLine="1890" w:firstLineChars="9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7"/>
        <w:tblW w:w="14190" w:type="dxa"/>
        <w:jc w:val="center"/>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jc w:val="center"/>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jc w:val="center"/>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jc w:val="center"/>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jc w:val="center"/>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2"/>
        <w:rPr>
          <w:sz w:val="72"/>
          <w:szCs w:val="72"/>
        </w:rPr>
        <w:sectPr>
          <w:pgSz w:w="20976" w:h="11906" w:orient="landscape"/>
          <w:pgMar w:top="1797" w:right="1440" w:bottom="1797" w:left="1440" w:header="851" w:footer="992" w:gutter="0"/>
          <w:cols w:space="0" w:num="1"/>
          <w:rtlGutter w:val="0"/>
          <w:docGrid w:type="lines" w:linePitch="319" w:charSpace="0"/>
        </w:sectPr>
      </w:pPr>
    </w:p>
    <w:p>
      <w:pPr>
        <w:pStyle w:val="12"/>
        <w:rPr>
          <w:sz w:val="72"/>
          <w:szCs w:val="72"/>
        </w:rPr>
      </w:pPr>
    </w:p>
    <w:p>
      <w:pPr>
        <w:pStyle w:val="12"/>
        <w:rPr>
          <w:sz w:val="72"/>
          <w:szCs w:val="72"/>
        </w:r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2"/>
          <w:szCs w:val="72"/>
        </w:rPr>
      </w:pPr>
    </w:p>
    <w:p>
      <w:pPr>
        <w:pStyle w:val="12"/>
        <w:jc w:val="center"/>
        <w:rPr>
          <w:sz w:val="72"/>
          <w:szCs w:val="72"/>
        </w:rPr>
      </w:pPr>
      <w:r>
        <w:rPr>
          <w:sz w:val="72"/>
          <w:szCs w:val="72"/>
        </w:rPr>
        <w:t>20</w:t>
      </w:r>
      <w:r>
        <w:rPr>
          <w:rFonts w:hint="eastAsia"/>
          <w:sz w:val="72"/>
          <w:szCs w:val="72"/>
        </w:rPr>
        <w:t>20年度部门决算情况说明</w:t>
      </w:r>
    </w:p>
    <w:p>
      <w:pPr>
        <w:widowControl/>
        <w:jc w:val="left"/>
        <w:rPr>
          <w:rFonts w:ascii="黑体" w:eastAsia="黑体" w:cs="黑体"/>
          <w:color w:val="000000"/>
          <w:kern w:val="0"/>
          <w:sz w:val="72"/>
          <w:szCs w:val="72"/>
        </w:rPr>
      </w:pPr>
      <w:r>
        <w:rPr>
          <w:sz w:val="72"/>
          <w:szCs w:val="72"/>
        </w:rPr>
        <w:br w:type="page"/>
      </w:r>
    </w:p>
    <w:p>
      <w:pPr>
        <w:pStyle w:val="12"/>
        <w:rPr>
          <w:rFonts w:asciiTheme="minorEastAsia" w:hAnsiTheme="minorEastAsia" w:eastAsiaTheme="minorEastAsia"/>
          <w:sz w:val="32"/>
          <w:szCs w:val="32"/>
        </w:rPr>
      </w:pP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南岳站</w:t>
      </w:r>
      <w:r>
        <w:rPr>
          <w:rFonts w:hint="default"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default" w:asciiTheme="minorEastAsia" w:hAnsiTheme="minorEastAsia" w:eastAsiaTheme="minorEastAsia"/>
          <w:sz w:val="32"/>
          <w:szCs w:val="32"/>
        </w:rPr>
        <w:t>年度年初结转和结余</w:t>
      </w:r>
      <w:r>
        <w:rPr>
          <w:rFonts w:hint="eastAsia" w:asciiTheme="minorEastAsia" w:hAnsiTheme="minorEastAsia" w:eastAsiaTheme="minorEastAsia"/>
          <w:sz w:val="32"/>
          <w:szCs w:val="32"/>
          <w:lang w:val="en-US" w:eastAsia="zh-CN"/>
        </w:rPr>
        <w:t>202.36</w:t>
      </w:r>
      <w:r>
        <w:rPr>
          <w:rFonts w:hint="default" w:asciiTheme="minorEastAsia" w:hAnsiTheme="minorEastAsia" w:eastAsiaTheme="minorEastAsia"/>
          <w:sz w:val="32"/>
          <w:szCs w:val="32"/>
        </w:rPr>
        <w:t>万元，本年收入</w:t>
      </w:r>
      <w:r>
        <w:rPr>
          <w:rFonts w:hint="eastAsia" w:asciiTheme="minorEastAsia" w:hAnsiTheme="minorEastAsia" w:eastAsiaTheme="minorEastAsia"/>
          <w:sz w:val="32"/>
          <w:szCs w:val="32"/>
          <w:lang w:val="en-US" w:eastAsia="zh-CN"/>
        </w:rPr>
        <w:t>239.86</w:t>
      </w:r>
      <w:r>
        <w:rPr>
          <w:rFonts w:hint="default" w:asciiTheme="minorEastAsia" w:hAnsiTheme="minorEastAsia" w:eastAsiaTheme="minorEastAsia"/>
          <w:sz w:val="32"/>
          <w:szCs w:val="32"/>
        </w:rPr>
        <w:t>万元，本年支出</w:t>
      </w:r>
      <w:r>
        <w:rPr>
          <w:rFonts w:hint="eastAsia" w:asciiTheme="minorEastAsia" w:hAnsiTheme="minorEastAsia" w:eastAsiaTheme="minorEastAsia"/>
          <w:sz w:val="32"/>
          <w:szCs w:val="32"/>
          <w:lang w:val="en-US" w:eastAsia="zh-CN"/>
        </w:rPr>
        <w:t>310.98</w:t>
      </w:r>
      <w:r>
        <w:rPr>
          <w:rFonts w:hint="default"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131.24</w:t>
      </w:r>
      <w:r>
        <w:rPr>
          <w:rFonts w:hint="default"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。与2019年相比，南岳站增加37.94万元，增长幅度为9.38%,主要是追加</w:t>
      </w:r>
      <w:r>
        <w:rPr>
          <w:rFonts w:hint="eastAsia" w:asciiTheme="minorEastAsia" w:hAnsiTheme="minorEastAsia" w:eastAsiaTheme="minorEastAsia" w:cstheme="minorEastAsia"/>
          <w:sz w:val="32"/>
          <w:szCs w:val="32"/>
          <w:lang w:val="en-US" w:eastAsia="zh-CN"/>
        </w:rPr>
        <w:t>了</w:t>
      </w:r>
      <w:r>
        <w:rPr>
          <w:rFonts w:hint="eastAsia" w:asciiTheme="minorEastAsia" w:hAnsiTheme="minorEastAsia" w:eastAsiaTheme="minorEastAsia" w:cstheme="minorEastAsia"/>
          <w:kern w:val="0"/>
          <w:sz w:val="32"/>
          <w:szCs w:val="32"/>
        </w:rPr>
        <w:t>空气质量背景站自动化监测网络运行维护</w:t>
      </w:r>
      <w:r>
        <w:rPr>
          <w:rFonts w:hint="eastAsia" w:asciiTheme="minorEastAsia" w:hAnsiTheme="minorEastAsia" w:eastAsiaTheme="minorEastAsia"/>
          <w:sz w:val="32"/>
          <w:szCs w:val="32"/>
          <w:lang w:val="en-US" w:eastAsia="zh-CN"/>
        </w:rPr>
        <w:t>部分项目资金，由2019年的70万元增加到2020年的100万元。</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239.86</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239.86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310.98</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145.36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46.74</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165.62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53.26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2"/>
        <w:rPr>
          <w:rFonts w:hAnsi="黑体"/>
          <w:b/>
          <w:sz w:val="32"/>
          <w:szCs w:val="32"/>
        </w:rPr>
      </w:pPr>
      <w:r>
        <w:rPr>
          <w:rFonts w:hint="eastAsia" w:hAnsi="黑体"/>
          <w:b/>
          <w:sz w:val="32"/>
          <w:szCs w:val="32"/>
        </w:rPr>
        <w:t>四、财政拨款收入支出决算总体情况说明</w:t>
      </w:r>
    </w:p>
    <w:p>
      <w:pPr>
        <w:pStyle w:val="12"/>
        <w:ind w:firstLine="64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 xml:space="preserve"> 2019年度财政拨款收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lang w:val="en-US" w:eastAsia="zh-CN"/>
        </w:rPr>
        <w:t>239.86</w:t>
      </w:r>
      <w:r>
        <w:rPr>
          <w:rFonts w:hint="eastAsia" w:asciiTheme="minorEastAsia" w:hAnsiTheme="minorEastAsia" w:eastAsiaTheme="minorEastAsia"/>
          <w:sz w:val="32"/>
          <w:szCs w:val="32"/>
        </w:rPr>
        <w:t>万元，</w:t>
      </w:r>
      <w:r>
        <w:rPr>
          <w:rFonts w:hint="default" w:asciiTheme="minorEastAsia" w:hAnsiTheme="minorEastAsia" w:eastAsiaTheme="minorEastAsia"/>
          <w:sz w:val="32"/>
          <w:szCs w:val="32"/>
        </w:rPr>
        <w:t>年初结转和结余</w:t>
      </w:r>
      <w:r>
        <w:rPr>
          <w:rFonts w:hint="eastAsia" w:asciiTheme="minorEastAsia" w:hAnsiTheme="minorEastAsia" w:eastAsiaTheme="minorEastAsia"/>
          <w:sz w:val="32"/>
          <w:szCs w:val="32"/>
          <w:lang w:val="en-US" w:eastAsia="zh-CN"/>
        </w:rPr>
        <w:t>188.5万元，收入总计428.36万元，</w:t>
      </w:r>
      <w:r>
        <w:rPr>
          <w:rFonts w:hint="eastAsia" w:asciiTheme="minorEastAsia" w:hAnsiTheme="minorEastAsia" w:eastAsiaTheme="minorEastAsia"/>
          <w:sz w:val="32"/>
          <w:szCs w:val="32"/>
          <w:lang w:eastAsia="zh-CN"/>
        </w:rPr>
        <w:t>较</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val="en-US" w:eastAsia="zh-CN"/>
        </w:rPr>
        <w:t>增加了45.44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增长幅度11.87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财政拨款</w:t>
      </w:r>
      <w:r>
        <w:rPr>
          <w:rFonts w:hint="eastAsia" w:asciiTheme="minorEastAsia" w:hAnsiTheme="minorEastAsia" w:eastAsiaTheme="minorEastAsia"/>
          <w:sz w:val="32"/>
          <w:szCs w:val="32"/>
          <w:lang w:val="en-US" w:eastAsia="zh-CN"/>
        </w:rPr>
        <w:t>支出总计310.98万元，较2019年增加了116.56万元，增长幅度59.95%，收入增加的</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val="en-US" w:eastAsia="zh-CN"/>
        </w:rPr>
        <w:t>是追加了</w:t>
      </w:r>
      <w:r>
        <w:rPr>
          <w:rFonts w:hint="eastAsia" w:asciiTheme="minorEastAsia" w:hAnsiTheme="minorEastAsia" w:eastAsiaTheme="minorEastAsia" w:cstheme="minorEastAsia"/>
          <w:kern w:val="0"/>
          <w:sz w:val="32"/>
          <w:szCs w:val="32"/>
        </w:rPr>
        <w:t>空气质量背景站自动化监测网络运行维护</w:t>
      </w:r>
      <w:r>
        <w:rPr>
          <w:rFonts w:hint="eastAsia" w:asciiTheme="minorEastAsia" w:hAnsiTheme="minorEastAsia" w:eastAsiaTheme="minorEastAsia"/>
          <w:sz w:val="32"/>
          <w:szCs w:val="32"/>
          <w:lang w:val="en-US" w:eastAsia="zh-CN"/>
        </w:rPr>
        <w:t>部分项目资金，由2019年的70万元增加到2020年的100万元；支出增加的主要原因是支付了2019年结转和结余下来大气专项资金项目。</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310.98</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116.56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59.95</w:t>
      </w:r>
      <w:r>
        <w:rPr>
          <w:rFonts w:hint="eastAsia" w:asciiTheme="minorEastAsia" w:hAnsiTheme="minorEastAsia" w:eastAsiaTheme="minorEastAsia"/>
          <w:sz w:val="32"/>
          <w:szCs w:val="32"/>
        </w:rPr>
        <w:t>%，主要是</w:t>
      </w:r>
      <w:r>
        <w:rPr>
          <w:rFonts w:hint="eastAsia" w:asciiTheme="minorEastAsia" w:hAnsiTheme="minorEastAsia" w:eastAsiaTheme="minorEastAsia"/>
          <w:sz w:val="32"/>
          <w:szCs w:val="32"/>
          <w:lang w:val="en-US" w:eastAsia="zh-CN"/>
        </w:rPr>
        <w:t>支付了2019年结转和结余下来大气专项资金项目。</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310.98</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val="en-US" w:eastAsia="zh-CN"/>
        </w:rPr>
        <w:t>社会保障和就业支出18.6万元，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5.98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285.26万元，占91.73%；住房保障支出7.12万元，占2.29%。</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239.86</w:t>
      </w:r>
      <w:r>
        <w:rPr>
          <w:rFonts w:hint="eastAsia" w:asciiTheme="minorEastAsia" w:hAnsiTheme="minorEastAsia" w:eastAsiaTheme="minorEastAsia"/>
          <w:sz w:val="32"/>
          <w:szCs w:val="32"/>
        </w:rPr>
        <w:t>万元，</w:t>
      </w:r>
      <w:r>
        <w:rPr>
          <w:rFonts w:hint="default" w:asciiTheme="minorEastAsia" w:hAnsiTheme="minorEastAsia" w:eastAsiaTheme="minorEastAsia"/>
          <w:sz w:val="32"/>
          <w:szCs w:val="32"/>
        </w:rPr>
        <w:t>年初结转和结余</w:t>
      </w:r>
      <w:r>
        <w:rPr>
          <w:rFonts w:hint="eastAsia" w:asciiTheme="minorEastAsia" w:hAnsiTheme="minorEastAsia" w:eastAsiaTheme="minorEastAsia"/>
          <w:sz w:val="32"/>
          <w:szCs w:val="32"/>
          <w:lang w:val="en-US" w:eastAsia="zh-CN"/>
        </w:rPr>
        <w:t>188.5万元，</w:t>
      </w:r>
      <w:r>
        <w:rPr>
          <w:rFonts w:hint="eastAsia" w:asciiTheme="minorEastAsia" w:hAnsiTheme="minorEastAsia" w:eastAsiaTheme="minorEastAsia"/>
          <w:sz w:val="32"/>
          <w:szCs w:val="32"/>
        </w:rPr>
        <w:t>财政拨款支出</w:t>
      </w:r>
      <w:r>
        <w:rPr>
          <w:rFonts w:hint="eastAsia" w:asciiTheme="minorEastAsia" w:hAnsiTheme="minorEastAsia" w:eastAsiaTheme="minorEastAsia"/>
          <w:sz w:val="32"/>
          <w:szCs w:val="32"/>
          <w:lang w:val="en-US" w:eastAsia="zh-CN"/>
        </w:rPr>
        <w:t>总计428.36万元，</w:t>
      </w:r>
      <w:r>
        <w:rPr>
          <w:rFonts w:hint="eastAsia" w:asciiTheme="minorEastAsia" w:hAnsiTheme="minorEastAsia" w:eastAsiaTheme="minorEastAsia"/>
          <w:sz w:val="32"/>
          <w:szCs w:val="32"/>
        </w:rPr>
        <w:t>支出决算数为</w:t>
      </w:r>
      <w:r>
        <w:rPr>
          <w:rFonts w:hint="eastAsia" w:asciiTheme="minorEastAsia" w:hAnsiTheme="minorEastAsia" w:eastAsiaTheme="minorEastAsia"/>
          <w:sz w:val="32"/>
          <w:szCs w:val="32"/>
          <w:lang w:val="en-US" w:eastAsia="zh-CN"/>
        </w:rPr>
        <w:t>310.98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72.6</w:t>
      </w:r>
      <w:r>
        <w:rPr>
          <w:rFonts w:hint="eastAsia" w:asciiTheme="minorEastAsia" w:hAnsiTheme="minorEastAsia" w:eastAsiaTheme="minorEastAsia"/>
          <w:sz w:val="32"/>
          <w:szCs w:val="32"/>
        </w:rPr>
        <w:t>%，其中：</w:t>
      </w:r>
    </w:p>
    <w:p>
      <w:pPr>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Theme="minorEastAsia" w:hAnsiTheme="minorEastAsia" w:eastAsiaTheme="minorEastAsia" w:cstheme="minorEastAsia"/>
          <w:b/>
          <w:bCs/>
          <w:color w:val="000000"/>
          <w:kern w:val="0"/>
          <w:sz w:val="32"/>
          <w:szCs w:val="32"/>
          <w:lang w:val="en-US" w:eastAsia="zh-CN"/>
        </w:rPr>
      </w:pPr>
      <w:r>
        <w:rPr>
          <w:rFonts w:hint="eastAsia" w:asciiTheme="minorEastAsia" w:hAnsiTheme="minorEastAsia" w:eastAsiaTheme="minorEastAsia" w:cstheme="minorEastAsia"/>
          <w:b/>
          <w:bCs/>
          <w:color w:val="000000"/>
          <w:kern w:val="0"/>
          <w:sz w:val="32"/>
          <w:szCs w:val="32"/>
        </w:rPr>
        <w:t>社会保障和就业支出</w:t>
      </w:r>
      <w:r>
        <w:rPr>
          <w:rFonts w:hint="eastAsia" w:asciiTheme="minorEastAsia" w:hAnsiTheme="minorEastAsia" w:eastAsiaTheme="minorEastAsia" w:cstheme="minorEastAsia"/>
          <w:b/>
          <w:bCs/>
          <w:color w:val="000000"/>
          <w:kern w:val="0"/>
          <w:sz w:val="32"/>
          <w:szCs w:val="32"/>
          <w:lang w:val="en-US" w:eastAsia="zh-CN"/>
        </w:rPr>
        <w:t>（类）行政事业单位离退休（款）机关事业单位基本养老保险缴费支出（项）。</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960" w:firstLineChars="300"/>
        <w:jc w:val="left"/>
        <w:textAlignment w:val="auto"/>
        <w:outlineLvl w:val="9"/>
        <w:rPr>
          <w:rFonts w:hint="default" w:asciiTheme="minorEastAsia" w:hAnsiTheme="minorEastAsia" w:eastAsiaTheme="minorEastAsia" w:cstheme="minorEastAsia"/>
          <w:b w:val="0"/>
          <w:bCs w:val="0"/>
          <w:color w:val="000000"/>
          <w:kern w:val="0"/>
          <w:sz w:val="32"/>
          <w:szCs w:val="32"/>
          <w:lang w:val="en-US" w:eastAsia="zh-CN"/>
        </w:rPr>
      </w:pPr>
      <w:r>
        <w:rPr>
          <w:rFonts w:hint="eastAsia" w:asciiTheme="minorEastAsia" w:hAnsiTheme="minorEastAsia" w:cstheme="minorEastAsia"/>
          <w:b w:val="0"/>
          <w:bCs w:val="0"/>
          <w:color w:val="000000"/>
          <w:kern w:val="0"/>
          <w:sz w:val="32"/>
          <w:szCs w:val="32"/>
          <w:lang w:val="en-US" w:eastAsia="zh-CN"/>
        </w:rPr>
        <w:t>年初</w:t>
      </w:r>
      <w:r>
        <w:rPr>
          <w:rFonts w:hint="eastAsia" w:asciiTheme="minorEastAsia" w:hAnsiTheme="minorEastAsia" w:eastAsiaTheme="minorEastAsia" w:cstheme="minorEastAsia"/>
          <w:b w:val="0"/>
          <w:bCs w:val="0"/>
          <w:color w:val="000000"/>
          <w:kern w:val="0"/>
          <w:sz w:val="32"/>
          <w:szCs w:val="32"/>
          <w:lang w:val="en-US" w:eastAsia="zh-CN"/>
        </w:rPr>
        <w:t>预算</w:t>
      </w:r>
      <w:r>
        <w:rPr>
          <w:rFonts w:hint="eastAsia" w:asciiTheme="minorEastAsia" w:hAnsiTheme="minorEastAsia" w:cstheme="minorEastAsia"/>
          <w:b w:val="0"/>
          <w:bCs w:val="0"/>
          <w:color w:val="000000"/>
          <w:kern w:val="0"/>
          <w:sz w:val="32"/>
          <w:szCs w:val="32"/>
          <w:lang w:val="en-US" w:eastAsia="zh-CN"/>
        </w:rPr>
        <w:t>15.6</w:t>
      </w:r>
      <w:r>
        <w:rPr>
          <w:rFonts w:hint="eastAsia" w:asciiTheme="minorEastAsia" w:hAnsiTheme="minorEastAsia" w:eastAsiaTheme="minorEastAsia" w:cstheme="minorEastAsia"/>
          <w:b w:val="0"/>
          <w:bCs w:val="0"/>
          <w:color w:val="000000"/>
          <w:kern w:val="0"/>
          <w:sz w:val="32"/>
          <w:szCs w:val="32"/>
          <w:lang w:val="en-US" w:eastAsia="zh-CN"/>
        </w:rPr>
        <w:t>万元，本年支出</w:t>
      </w:r>
      <w:r>
        <w:rPr>
          <w:rFonts w:hint="eastAsia" w:asciiTheme="minorEastAsia" w:hAnsiTheme="minorEastAsia" w:cstheme="minorEastAsia"/>
          <w:b w:val="0"/>
          <w:bCs w:val="0"/>
          <w:color w:val="000000"/>
          <w:kern w:val="0"/>
          <w:sz w:val="32"/>
          <w:szCs w:val="32"/>
          <w:lang w:val="en-US" w:eastAsia="zh-CN"/>
        </w:rPr>
        <w:t>18.6</w:t>
      </w:r>
      <w:r>
        <w:rPr>
          <w:rFonts w:hint="eastAsia" w:asciiTheme="minorEastAsia" w:hAnsiTheme="minorEastAsia" w:eastAsiaTheme="minorEastAsia" w:cstheme="minorEastAsia"/>
          <w:b w:val="0"/>
          <w:bCs w:val="0"/>
          <w:color w:val="000000"/>
          <w:kern w:val="0"/>
          <w:sz w:val="32"/>
          <w:szCs w:val="32"/>
          <w:lang w:val="en-US" w:eastAsia="zh-CN"/>
        </w:rPr>
        <w:t>万元，</w:t>
      </w:r>
      <w:r>
        <w:rPr>
          <w:rFonts w:hint="eastAsia" w:asciiTheme="minorEastAsia" w:hAnsiTheme="minorEastAsia" w:cstheme="minorEastAsia"/>
          <w:b w:val="0"/>
          <w:bCs w:val="0"/>
          <w:color w:val="000000"/>
          <w:kern w:val="0"/>
          <w:sz w:val="32"/>
          <w:szCs w:val="32"/>
          <w:lang w:val="en-US" w:eastAsia="zh-CN"/>
        </w:rPr>
        <w:t>完成年初预算的100</w:t>
      </w:r>
      <w:r>
        <w:rPr>
          <w:rFonts w:hint="eastAsia" w:asciiTheme="minorEastAsia" w:hAnsiTheme="minorEastAsia" w:eastAsiaTheme="minorEastAsia" w:cstheme="minorEastAsia"/>
          <w:b w:val="0"/>
          <w:bCs w:val="0"/>
          <w:color w:val="000000"/>
          <w:kern w:val="0"/>
          <w:sz w:val="32"/>
          <w:szCs w:val="32"/>
          <w:lang w:val="en-US" w:eastAsia="zh-CN"/>
        </w:rPr>
        <w:t>%</w:t>
      </w:r>
      <w:r>
        <w:rPr>
          <w:rFonts w:hint="eastAsia" w:asciiTheme="minorEastAsia" w:hAnsiTheme="minorEastAsia" w:cstheme="minorEastAsia"/>
          <w:b w:val="0"/>
          <w:bCs w:val="0"/>
          <w:color w:val="000000"/>
          <w:kern w:val="0"/>
          <w:sz w:val="32"/>
          <w:szCs w:val="32"/>
          <w:lang w:val="en-US" w:eastAsia="zh-CN"/>
        </w:rPr>
        <w:t>，</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sz w:val="32"/>
          <w:szCs w:val="32"/>
          <w:lang w:val="en-US" w:eastAsia="zh-CN"/>
        </w:rPr>
        <w:t>有上年结转结余资金3万元。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cstheme="minorEastAsia"/>
          <w:b/>
          <w:bCs/>
          <w:color w:val="000000"/>
          <w:kern w:val="0"/>
          <w:sz w:val="32"/>
          <w:szCs w:val="32"/>
        </w:rPr>
        <w:t>节能环保支出</w:t>
      </w:r>
      <w:r>
        <w:rPr>
          <w:rFonts w:hint="eastAsia" w:asciiTheme="minorEastAsia" w:hAnsiTheme="minorEastAsia" w:eastAsiaTheme="minorEastAsia" w:cstheme="minorEastAsia"/>
          <w:b/>
          <w:bCs/>
          <w:color w:val="000000"/>
          <w:kern w:val="0"/>
          <w:sz w:val="32"/>
          <w:szCs w:val="32"/>
          <w:lang w:val="en-US" w:eastAsia="zh-CN"/>
        </w:rPr>
        <w:t>（类）环境保护管理事务（款）行政运行（项）</w:t>
      </w:r>
      <w:r>
        <w:rPr>
          <w:rFonts w:hint="eastAsia" w:asciiTheme="minorEastAsia" w:hAnsiTheme="minorEastAsia" w:eastAsiaTheme="minorEastAsia"/>
          <w:b/>
          <w:bCs/>
          <w:sz w:val="32"/>
          <w:szCs w:val="32"/>
        </w:rPr>
        <w:t>。</w:t>
      </w:r>
    </w:p>
    <w:p>
      <w:pPr>
        <w:pStyle w:val="12"/>
        <w:ind w:firstLine="960" w:firstLineChars="3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117.14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137.64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cstheme="minorEastAsia"/>
          <w:sz w:val="32"/>
          <w:szCs w:val="32"/>
          <w:lang w:val="en-US" w:eastAsia="zh-CN"/>
        </w:rPr>
        <w:t>有上年结转结余资金20.5万元。</w:t>
      </w:r>
    </w:p>
    <w:p>
      <w:pPr>
        <w:pStyle w:val="12"/>
        <w:numPr>
          <w:ilvl w:val="0"/>
          <w:numId w:val="0"/>
        </w:numPr>
        <w:ind w:leftChars="200" w:firstLine="320" w:firstLineChars="100"/>
        <w:rPr>
          <w:rFonts w:hint="eastAsia" w:asciiTheme="minorEastAsia" w:hAnsiTheme="minorEastAsia" w:eastAsiaTheme="minorEastAsia" w:cstheme="minorEastAsia"/>
          <w:b/>
          <w:bCs/>
          <w:color w:val="000000"/>
          <w:kern w:val="0"/>
          <w:sz w:val="32"/>
          <w:szCs w:val="32"/>
          <w:lang w:val="en-US" w:eastAsia="zh-CN"/>
        </w:rPr>
      </w:pPr>
      <w:r>
        <w:rPr>
          <w:rFonts w:hint="eastAsia" w:asciiTheme="minorEastAsia" w:hAnsiTheme="minorEastAsia" w:eastAsiaTheme="minorEastAsia" w:cstheme="minorEastAsia"/>
          <w:b w:val="0"/>
          <w:bCs w:val="0"/>
          <w:color w:val="000000"/>
          <w:kern w:val="0"/>
          <w:sz w:val="32"/>
          <w:szCs w:val="32"/>
          <w:lang w:val="en-US" w:eastAsia="zh-CN"/>
        </w:rPr>
        <w:t>3、</w:t>
      </w:r>
      <w:r>
        <w:rPr>
          <w:rFonts w:hint="eastAsia" w:asciiTheme="minorEastAsia" w:hAnsiTheme="minorEastAsia" w:eastAsiaTheme="minorEastAsia" w:cstheme="minorEastAsia"/>
          <w:b/>
          <w:bCs/>
          <w:color w:val="000000"/>
          <w:kern w:val="0"/>
          <w:sz w:val="32"/>
          <w:szCs w:val="32"/>
        </w:rPr>
        <w:t>节能环保支出</w:t>
      </w:r>
      <w:r>
        <w:rPr>
          <w:rFonts w:hint="eastAsia" w:asciiTheme="minorEastAsia" w:hAnsiTheme="minorEastAsia" w:eastAsiaTheme="minorEastAsia" w:cstheme="minorEastAsia"/>
          <w:b/>
          <w:bCs/>
          <w:color w:val="000000"/>
          <w:kern w:val="0"/>
          <w:sz w:val="32"/>
          <w:szCs w:val="32"/>
          <w:lang w:val="en-US" w:eastAsia="zh-CN"/>
        </w:rPr>
        <w:t>（类）环境保护管理事务（款）其他环境保护管理事务支出（项）。</w:t>
      </w:r>
    </w:p>
    <w:p>
      <w:pPr>
        <w:pStyle w:val="12"/>
        <w:numPr>
          <w:ilvl w:val="0"/>
          <w:numId w:val="0"/>
        </w:numPr>
        <w:ind w:leftChars="200" w:firstLine="320" w:firstLineChars="1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sz w:val="32"/>
          <w:szCs w:val="32"/>
        </w:rPr>
        <w:t>年初预算</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21.41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21.41</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2020年上半年受疫情影响，背景站房维修项目开展缓慢，导致经费不能及时支付，结转至下年</w:t>
      </w:r>
      <w:r>
        <w:rPr>
          <w:rFonts w:hint="eastAsia" w:asciiTheme="minorEastAsia" w:hAnsiTheme="minorEastAsia" w:eastAsiaTheme="minorEastAsia" w:cstheme="minorEastAsia"/>
          <w:sz w:val="32"/>
          <w:szCs w:val="32"/>
          <w:lang w:val="en-US" w:eastAsia="zh-CN"/>
        </w:rPr>
        <w:t>。</w:t>
      </w:r>
    </w:p>
    <w:p>
      <w:pPr>
        <w:pStyle w:val="12"/>
        <w:numPr>
          <w:ilvl w:val="0"/>
          <w:numId w:val="0"/>
        </w:numPr>
        <w:ind w:firstLine="640" w:firstLineChars="200"/>
        <w:rPr>
          <w:rFonts w:hint="eastAsia" w:asciiTheme="minorEastAsia" w:hAnsiTheme="minorEastAsia" w:eastAsiaTheme="minorEastAsia" w:cstheme="minorEastAsia"/>
          <w:b/>
          <w:bCs/>
          <w:color w:val="000000"/>
          <w:kern w:val="0"/>
          <w:sz w:val="32"/>
          <w:szCs w:val="32"/>
          <w:lang w:val="en-US" w:eastAsia="zh-CN"/>
        </w:rPr>
      </w:pPr>
      <w:r>
        <w:rPr>
          <w:rFonts w:hint="eastAsia" w:asciiTheme="minorEastAsia" w:hAnsiTheme="minorEastAsia" w:eastAsiaTheme="minorEastAsia" w:cstheme="minorEastAsia"/>
          <w:b w:val="0"/>
          <w:bCs w:val="0"/>
          <w:color w:val="000000"/>
          <w:kern w:val="0"/>
          <w:sz w:val="32"/>
          <w:szCs w:val="32"/>
          <w:lang w:val="en-US" w:eastAsia="zh-CN"/>
        </w:rPr>
        <w:t>4、</w:t>
      </w:r>
      <w:r>
        <w:rPr>
          <w:rFonts w:hint="eastAsia" w:asciiTheme="minorEastAsia" w:hAnsiTheme="minorEastAsia" w:eastAsiaTheme="minorEastAsia" w:cstheme="minorEastAsia"/>
          <w:b/>
          <w:bCs/>
          <w:color w:val="000000"/>
          <w:kern w:val="0"/>
          <w:sz w:val="32"/>
          <w:szCs w:val="32"/>
        </w:rPr>
        <w:t>节能环保支出</w:t>
      </w:r>
      <w:r>
        <w:rPr>
          <w:rFonts w:hint="eastAsia" w:asciiTheme="minorEastAsia" w:hAnsiTheme="minorEastAsia" w:eastAsiaTheme="minorEastAsia" w:cstheme="minorEastAsia"/>
          <w:b/>
          <w:bCs/>
          <w:color w:val="000000"/>
          <w:kern w:val="0"/>
          <w:sz w:val="32"/>
          <w:szCs w:val="32"/>
          <w:lang w:val="en-US" w:eastAsia="zh-CN"/>
        </w:rPr>
        <w:t>（类）污染防治（款）大气（项）。</w:t>
      </w:r>
    </w:p>
    <w:p>
      <w:pPr>
        <w:pStyle w:val="12"/>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上年结转165万元，本年</w:t>
      </w:r>
      <w:r>
        <w:rPr>
          <w:rFonts w:hint="eastAsia" w:asciiTheme="minorEastAsia" w:hAnsiTheme="minorEastAsia" w:eastAsiaTheme="minorEastAsia"/>
          <w:sz w:val="32"/>
          <w:szCs w:val="32"/>
        </w:rPr>
        <w:t>年初预算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126.21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76.49</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val="en-US" w:eastAsia="zh-CN"/>
        </w:rPr>
        <w:t>大气项目尾款由于财评资料问题导致无法支付，财政将以收回。</w:t>
      </w:r>
    </w:p>
    <w:p>
      <w:pPr>
        <w:pStyle w:val="12"/>
        <w:numPr>
          <w:ilvl w:val="0"/>
          <w:numId w:val="0"/>
        </w:numPr>
        <w:ind w:firstLine="640" w:firstLineChars="200"/>
        <w:rPr>
          <w:rFonts w:hint="eastAsia" w:asciiTheme="minorEastAsia" w:hAnsiTheme="minorEastAsia" w:eastAsiaTheme="minorEastAsia" w:cstheme="minorEastAsia"/>
          <w:b/>
          <w:bCs/>
          <w:color w:val="000000"/>
          <w:kern w:val="0"/>
          <w:sz w:val="32"/>
          <w:szCs w:val="32"/>
          <w:lang w:val="en-US" w:eastAsia="zh-CN"/>
        </w:rPr>
      </w:pPr>
      <w:r>
        <w:rPr>
          <w:rFonts w:hint="eastAsia" w:asciiTheme="minorEastAsia" w:hAnsiTheme="minorEastAsia" w:eastAsiaTheme="minorEastAsia" w:cstheme="minorEastAsia"/>
          <w:b/>
          <w:bCs/>
          <w:color w:val="000000"/>
          <w:kern w:val="0"/>
          <w:sz w:val="32"/>
          <w:szCs w:val="32"/>
          <w:lang w:val="en-US" w:eastAsia="zh-CN"/>
        </w:rPr>
        <w:t>5、</w:t>
      </w:r>
      <w:r>
        <w:rPr>
          <w:rFonts w:hint="eastAsia" w:asciiTheme="minorEastAsia" w:hAnsiTheme="minorEastAsia" w:eastAsiaTheme="minorEastAsia" w:cstheme="minorEastAsia"/>
          <w:b/>
          <w:bCs/>
          <w:color w:val="000000"/>
          <w:kern w:val="0"/>
          <w:sz w:val="32"/>
          <w:szCs w:val="32"/>
        </w:rPr>
        <w:t>住房保障支出</w:t>
      </w:r>
      <w:r>
        <w:rPr>
          <w:rFonts w:hint="eastAsia" w:asciiTheme="minorEastAsia" w:hAnsiTheme="minorEastAsia" w:eastAsiaTheme="minorEastAsia" w:cstheme="minorEastAsia"/>
          <w:b/>
          <w:bCs/>
          <w:color w:val="000000"/>
          <w:kern w:val="0"/>
          <w:sz w:val="32"/>
          <w:szCs w:val="32"/>
          <w:lang w:val="en-US" w:eastAsia="zh-CN"/>
        </w:rPr>
        <w:t>（类）住房改革支出（款）住房公积金（项）。</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960" w:firstLineChars="300"/>
        <w:jc w:val="left"/>
        <w:textAlignment w:val="auto"/>
        <w:outlineLvl w:val="9"/>
        <w:rPr>
          <w:rFonts w:hint="default" w:asciiTheme="minorEastAsia" w:hAnsiTheme="minorEastAsia" w:eastAsiaTheme="minorEastAsia" w:cstheme="minorEastAsia"/>
          <w:b w:val="0"/>
          <w:bCs w:val="0"/>
          <w:color w:val="000000"/>
          <w:kern w:val="0"/>
          <w:sz w:val="32"/>
          <w:szCs w:val="32"/>
          <w:lang w:val="en-US" w:eastAsia="zh-CN"/>
        </w:rPr>
      </w:pPr>
      <w:r>
        <w:rPr>
          <w:rFonts w:hint="eastAsia" w:asciiTheme="minorEastAsia" w:hAnsiTheme="minorEastAsia" w:cstheme="minorEastAsia"/>
          <w:b w:val="0"/>
          <w:bCs w:val="0"/>
          <w:color w:val="000000"/>
          <w:kern w:val="0"/>
          <w:sz w:val="32"/>
          <w:szCs w:val="32"/>
          <w:lang w:val="en-US" w:eastAsia="zh-CN"/>
        </w:rPr>
        <w:t>年初</w:t>
      </w:r>
      <w:r>
        <w:rPr>
          <w:rFonts w:hint="eastAsia" w:asciiTheme="minorEastAsia" w:hAnsiTheme="minorEastAsia" w:eastAsiaTheme="minorEastAsia" w:cstheme="minorEastAsia"/>
          <w:b w:val="0"/>
          <w:bCs w:val="0"/>
          <w:color w:val="000000"/>
          <w:kern w:val="0"/>
          <w:sz w:val="32"/>
          <w:szCs w:val="32"/>
          <w:lang w:val="en-US" w:eastAsia="zh-CN"/>
        </w:rPr>
        <w:t>预算</w:t>
      </w:r>
      <w:r>
        <w:rPr>
          <w:rFonts w:hint="eastAsia" w:asciiTheme="minorEastAsia" w:hAnsiTheme="minorEastAsia" w:cstheme="minorEastAsia"/>
          <w:b w:val="0"/>
          <w:bCs w:val="0"/>
          <w:color w:val="000000"/>
          <w:kern w:val="0"/>
          <w:sz w:val="32"/>
          <w:szCs w:val="32"/>
          <w:lang w:val="en-US" w:eastAsia="zh-CN"/>
        </w:rPr>
        <w:t>7.12</w:t>
      </w:r>
      <w:r>
        <w:rPr>
          <w:rFonts w:hint="eastAsia" w:asciiTheme="minorEastAsia" w:hAnsiTheme="minorEastAsia" w:eastAsiaTheme="minorEastAsia" w:cstheme="minorEastAsia"/>
          <w:b w:val="0"/>
          <w:bCs w:val="0"/>
          <w:color w:val="000000"/>
          <w:kern w:val="0"/>
          <w:sz w:val="32"/>
          <w:szCs w:val="32"/>
          <w:lang w:val="en-US" w:eastAsia="zh-CN"/>
        </w:rPr>
        <w:t>万元，本年支出</w:t>
      </w:r>
      <w:r>
        <w:rPr>
          <w:rFonts w:hint="eastAsia" w:asciiTheme="minorEastAsia" w:hAnsiTheme="minorEastAsia" w:cstheme="minorEastAsia"/>
          <w:b w:val="0"/>
          <w:bCs w:val="0"/>
          <w:color w:val="000000"/>
          <w:kern w:val="0"/>
          <w:sz w:val="32"/>
          <w:szCs w:val="32"/>
          <w:lang w:val="en-US" w:eastAsia="zh-CN"/>
        </w:rPr>
        <w:t>7.12</w:t>
      </w:r>
      <w:r>
        <w:rPr>
          <w:rFonts w:hint="eastAsia" w:asciiTheme="minorEastAsia" w:hAnsiTheme="minorEastAsia" w:eastAsiaTheme="minorEastAsia" w:cstheme="minorEastAsia"/>
          <w:b w:val="0"/>
          <w:bCs w:val="0"/>
          <w:color w:val="000000"/>
          <w:kern w:val="0"/>
          <w:sz w:val="32"/>
          <w:szCs w:val="32"/>
          <w:lang w:val="en-US" w:eastAsia="zh-CN"/>
        </w:rPr>
        <w:t>万元，</w:t>
      </w:r>
      <w:r>
        <w:rPr>
          <w:rFonts w:hint="eastAsia" w:asciiTheme="minorEastAsia" w:hAnsiTheme="minorEastAsia" w:cstheme="minorEastAsia"/>
          <w:b w:val="0"/>
          <w:bCs w:val="0"/>
          <w:color w:val="000000"/>
          <w:kern w:val="0"/>
          <w:sz w:val="32"/>
          <w:szCs w:val="32"/>
          <w:lang w:val="en-US" w:eastAsia="zh-CN"/>
        </w:rPr>
        <w:t>完成年初预算的100</w:t>
      </w:r>
      <w:r>
        <w:rPr>
          <w:rFonts w:hint="eastAsia" w:asciiTheme="minorEastAsia" w:hAnsiTheme="minorEastAsia" w:eastAsiaTheme="minorEastAsia" w:cstheme="minorEastAsia"/>
          <w:b w:val="0"/>
          <w:bCs w:val="0"/>
          <w:color w:val="000000"/>
          <w:kern w:val="0"/>
          <w:sz w:val="32"/>
          <w:szCs w:val="32"/>
          <w:lang w:val="en-US" w:eastAsia="zh-CN"/>
        </w:rPr>
        <w:t>%</w:t>
      </w:r>
      <w:r>
        <w:rPr>
          <w:rFonts w:hint="eastAsia" w:asciiTheme="minorEastAsia" w:hAnsiTheme="minorEastAsia" w:cstheme="minorEastAsia"/>
          <w:b w:val="0"/>
          <w:bCs w:val="0"/>
          <w:color w:val="000000"/>
          <w:kern w:val="0"/>
          <w:sz w:val="32"/>
          <w:szCs w:val="32"/>
          <w:lang w:val="en-US" w:eastAsia="zh-CN"/>
        </w:rPr>
        <w:t>。</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145.36</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112.79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77.59</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val="en-US" w:eastAsia="zh-CN"/>
        </w:rPr>
        <w:t>等人员经费支出</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32.57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22.41</w:t>
      </w:r>
      <w:r>
        <w:rPr>
          <w:rFonts w:hint="eastAsia" w:asciiTheme="minorEastAsia" w:hAnsiTheme="minorEastAsia" w:eastAsiaTheme="minorEastAsia"/>
          <w:sz w:val="32"/>
          <w:szCs w:val="32"/>
        </w:rPr>
        <w:t>%，主要包括办公费、印刷费、</w:t>
      </w:r>
      <w:r>
        <w:rPr>
          <w:rFonts w:hint="eastAsia" w:asciiTheme="minorEastAsia" w:hAnsiTheme="minorEastAsia" w:eastAsiaTheme="minorEastAsia"/>
          <w:sz w:val="32"/>
          <w:szCs w:val="32"/>
          <w:lang w:val="en-US" w:eastAsia="zh-CN"/>
        </w:rPr>
        <w:t>电费、邮电费、差旅</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val="en-US" w:eastAsia="zh-CN"/>
        </w:rPr>
        <w:t>维修（护）</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val="en-US" w:eastAsia="zh-CN"/>
        </w:rPr>
        <w:t>等公用经费支出</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4.1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12.2</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87.8</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、公务接待费支出决算为</w:t>
      </w:r>
      <w:r>
        <w:rPr>
          <w:rFonts w:hint="eastAsia" w:asciiTheme="minorEastAsia" w:hAnsiTheme="minorEastAsia" w:eastAsiaTheme="minorEastAsia"/>
          <w:sz w:val="32"/>
          <w:szCs w:val="32"/>
          <w:lang w:val="en-US" w:eastAsia="zh-CN"/>
        </w:rPr>
        <w:t>0.5</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en-US" w:eastAsia="zh-CN"/>
        </w:rPr>
        <w:t>公务接待</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lang w:val="en-US" w:eastAsia="zh-CN"/>
        </w:rPr>
        <w:t>2</w:t>
      </w:r>
      <w:r>
        <w:rPr>
          <w:rFonts w:hint="eastAsia" w:asciiTheme="minorEastAsia" w:hAnsiTheme="minorEastAsia"/>
          <w:sz w:val="32"/>
          <w:szCs w:val="32"/>
        </w:rPr>
        <w:t>、公务用车购置费及运行维护费支出决算为</w:t>
      </w:r>
      <w:r>
        <w:rPr>
          <w:rFonts w:hint="eastAsia" w:asciiTheme="minorEastAsia" w:hAnsiTheme="minorEastAsia"/>
          <w:sz w:val="32"/>
          <w:szCs w:val="32"/>
          <w:lang w:val="en-US" w:eastAsia="zh-CN"/>
        </w:rPr>
        <w:t>3.6</w:t>
      </w:r>
      <w:r>
        <w:rPr>
          <w:rFonts w:hint="eastAsia" w:asciiTheme="minorEastAsia" w:hAnsiTheme="minorEastAsia"/>
          <w:sz w:val="32"/>
          <w:szCs w:val="32"/>
        </w:rPr>
        <w:t>万元，其中：公务用车运行维护费</w:t>
      </w:r>
      <w:r>
        <w:rPr>
          <w:rFonts w:hint="eastAsia" w:asciiTheme="minorEastAsia" w:hAnsiTheme="minorEastAsia"/>
          <w:sz w:val="32"/>
          <w:szCs w:val="32"/>
          <w:lang w:val="en-US" w:eastAsia="zh-CN"/>
        </w:rPr>
        <w:t>3.6</w:t>
      </w:r>
      <w:r>
        <w:rPr>
          <w:rFonts w:hint="eastAsia" w:asciiTheme="minorEastAsia" w:hAnsiTheme="minorEastAsia"/>
          <w:sz w:val="32"/>
          <w:szCs w:val="32"/>
        </w:rPr>
        <w:t>万元，主要是</w:t>
      </w:r>
      <w:r>
        <w:rPr>
          <w:rFonts w:hint="eastAsia" w:asciiTheme="minorEastAsia" w:hAnsiTheme="minorEastAsia"/>
          <w:sz w:val="32"/>
          <w:szCs w:val="32"/>
          <w:lang w:val="en-US" w:eastAsia="zh-CN"/>
        </w:rPr>
        <w:t>车辆燃料费、车辆保险费等</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12"/>
        <w:rPr>
          <w:rFonts w:hAnsi="黑体"/>
          <w:b/>
          <w:sz w:val="32"/>
          <w:szCs w:val="32"/>
        </w:rPr>
      </w:pPr>
      <w:r>
        <w:rPr>
          <w:rFonts w:hint="eastAsia" w:hAnsi="黑体"/>
          <w:b/>
          <w:sz w:val="32"/>
          <w:szCs w:val="32"/>
        </w:rPr>
        <w:t>八、政府性基金预算收入支出决算情况</w:t>
      </w:r>
    </w:p>
    <w:p>
      <w:pPr>
        <w:pStyle w:val="12"/>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sz w:val="32"/>
          <w:szCs w:val="32"/>
          <w:lang w:val="en-US" w:eastAsia="zh-CN"/>
        </w:rPr>
        <w:t>我单位无</w:t>
      </w:r>
      <w:r>
        <w:rPr>
          <w:rFonts w:hint="eastAsia" w:asciiTheme="minorEastAsia" w:hAnsiTheme="minorEastAsia" w:eastAsiaTheme="minorEastAsia"/>
          <w:sz w:val="32"/>
          <w:szCs w:val="32"/>
        </w:rPr>
        <w:t>政府性基金预算收</w:t>
      </w:r>
      <w:r>
        <w:rPr>
          <w:rFonts w:hint="eastAsia" w:asciiTheme="minorEastAsia" w:hAnsiTheme="minorEastAsia" w:eastAsiaTheme="minorEastAsia"/>
          <w:sz w:val="32"/>
          <w:szCs w:val="32"/>
          <w:lang w:val="en-US" w:eastAsia="zh-CN"/>
        </w:rPr>
        <w:t>支。</w:t>
      </w:r>
    </w:p>
    <w:p>
      <w:pPr>
        <w:pStyle w:val="12"/>
        <w:rPr>
          <w:rFonts w:hAnsi="黑体"/>
          <w:b/>
          <w:sz w:val="32"/>
          <w:szCs w:val="32"/>
        </w:rPr>
      </w:pPr>
      <w:r>
        <w:rPr>
          <w:rFonts w:hint="eastAsia" w:hAnsi="黑体"/>
          <w:b/>
          <w:sz w:val="32"/>
          <w:szCs w:val="32"/>
        </w:rPr>
        <w:t>九、关于机关运行经费支出说明</w:t>
      </w:r>
    </w:p>
    <w:p>
      <w:pPr>
        <w:pStyle w:val="12"/>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15.52</w:t>
      </w:r>
      <w:r>
        <w:rPr>
          <w:rFonts w:hint="eastAsia" w:asciiTheme="minorEastAsia" w:hAnsiTheme="minorEastAsia" w:eastAsiaTheme="minorEastAsia"/>
          <w:sz w:val="32"/>
          <w:szCs w:val="32"/>
        </w:rPr>
        <w:t>万元，比上年决算数增加</w:t>
      </w:r>
      <w:r>
        <w:rPr>
          <w:rFonts w:hint="eastAsia" w:asciiTheme="minorEastAsia" w:hAnsiTheme="minorEastAsia" w:eastAsiaTheme="minorEastAsia"/>
          <w:sz w:val="32"/>
          <w:szCs w:val="32"/>
          <w:lang w:val="en-US" w:eastAsia="zh-CN"/>
        </w:rPr>
        <w:t>3.21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26.08</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增加了财政专网的安装调试和设施设备维修费用。</w:t>
      </w:r>
    </w:p>
    <w:p>
      <w:pPr>
        <w:pStyle w:val="12"/>
        <w:rPr>
          <w:rFonts w:hAnsi="黑体"/>
          <w:b/>
          <w:sz w:val="32"/>
          <w:szCs w:val="32"/>
        </w:rPr>
      </w:pPr>
      <w:r>
        <w:rPr>
          <w:rFonts w:hint="eastAsia" w:hAnsi="黑体"/>
          <w:b/>
          <w:sz w:val="32"/>
          <w:szCs w:val="32"/>
        </w:rPr>
        <w:t>十、一般性支出情况</w:t>
      </w:r>
    </w:p>
    <w:p>
      <w:pPr>
        <w:pStyle w:val="12"/>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2020年本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开支</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会议费；开支培训费</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万元，用于</w:t>
      </w:r>
      <w:r>
        <w:rPr>
          <w:rFonts w:hint="eastAsia" w:asciiTheme="minorEastAsia" w:hAnsiTheme="minorEastAsia" w:eastAsiaTheme="minorEastAsia" w:cstheme="minorEastAsia"/>
          <w:kern w:val="0"/>
          <w:sz w:val="32"/>
          <w:szCs w:val="32"/>
          <w:lang w:val="en-US" w:eastAsia="zh-CN" w:bidi="ar"/>
        </w:rPr>
        <w:t>提升在职人员的专业知识水平</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财务和人事方面的培训</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2020年未</w:t>
      </w:r>
      <w:r>
        <w:rPr>
          <w:rFonts w:hint="eastAsia" w:asciiTheme="minorEastAsia" w:hAnsiTheme="minorEastAsia" w:eastAsiaTheme="minorEastAsia"/>
          <w:sz w:val="32"/>
          <w:szCs w:val="32"/>
        </w:rPr>
        <w:t>举办节庆、晚会、论坛</w:t>
      </w:r>
      <w:r>
        <w:rPr>
          <w:rFonts w:hint="eastAsia" w:asciiTheme="minorEastAsia" w:hAnsiTheme="minorEastAsia" w:eastAsiaTheme="minorEastAsia"/>
          <w:sz w:val="32"/>
          <w:szCs w:val="32"/>
          <w:lang w:val="en-US" w:eastAsia="zh-CN"/>
        </w:rPr>
        <w:t>等活动。</w:t>
      </w:r>
    </w:p>
    <w:p>
      <w:pPr>
        <w:pStyle w:val="12"/>
        <w:rPr>
          <w:rFonts w:hAnsi="黑体"/>
          <w:b/>
          <w:sz w:val="32"/>
          <w:szCs w:val="32"/>
        </w:rPr>
      </w:pPr>
      <w:r>
        <w:rPr>
          <w:rFonts w:hint="eastAsia" w:hAnsi="黑体"/>
          <w:b/>
          <w:sz w:val="32"/>
          <w:szCs w:val="32"/>
        </w:rPr>
        <w:t>十一、关于政府采购支出说明</w:t>
      </w:r>
    </w:p>
    <w:p>
      <w:pPr>
        <w:pStyle w:val="12"/>
        <w:ind w:firstLine="640" w:firstLineChars="200"/>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2020年度</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政府采购支出</w:t>
      </w:r>
      <w:r>
        <w:rPr>
          <w:rFonts w:hint="eastAsia" w:asciiTheme="minorEastAsia" w:hAnsiTheme="minorEastAsia" w:eastAsiaTheme="minorEastAsia"/>
          <w:sz w:val="32"/>
          <w:szCs w:val="32"/>
          <w:lang w:eastAsia="zh-CN"/>
        </w:rPr>
        <w:t>。</w:t>
      </w:r>
    </w:p>
    <w:p>
      <w:pPr>
        <w:pStyle w:val="12"/>
        <w:rPr>
          <w:rFonts w:hAnsi="黑体"/>
          <w:b/>
          <w:sz w:val="32"/>
          <w:szCs w:val="32"/>
        </w:rPr>
      </w:pPr>
      <w:r>
        <w:rPr>
          <w:rFonts w:hint="eastAsia" w:hAnsi="黑体"/>
          <w:b/>
          <w:sz w:val="32"/>
          <w:szCs w:val="32"/>
        </w:rPr>
        <w:t>十二、关于国有资产占用情况说明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val="en-US" w:eastAsia="zh-CN"/>
        </w:rPr>
        <w:t>属于公务用车。我</w:t>
      </w:r>
      <w:r>
        <w:rPr>
          <w:rFonts w:hint="eastAsia" w:asciiTheme="minorEastAsia" w:hAnsiTheme="minorEastAsia" w:eastAsiaTheme="minorEastAsia"/>
          <w:sz w:val="32"/>
          <w:szCs w:val="32"/>
        </w:rPr>
        <w:t>单位</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价值50万元以上通用设备</w:t>
      </w:r>
      <w:r>
        <w:rPr>
          <w:rFonts w:hint="eastAsia" w:asciiTheme="minorEastAsia" w:hAnsiTheme="minorEastAsia" w:eastAsiaTheme="minorEastAsia"/>
          <w:sz w:val="32"/>
          <w:szCs w:val="32"/>
          <w:lang w:val="en-US" w:eastAsia="zh-CN"/>
        </w:rPr>
        <w:t>和</w:t>
      </w:r>
      <w:r>
        <w:rPr>
          <w:rFonts w:hint="eastAsia" w:asciiTheme="minorEastAsia" w:hAnsiTheme="minorEastAsia" w:eastAsiaTheme="minorEastAsia"/>
          <w:sz w:val="32"/>
          <w:szCs w:val="32"/>
        </w:rPr>
        <w:t>100万元以上专用设备。</w:t>
      </w:r>
    </w:p>
    <w:p>
      <w:pPr>
        <w:pStyle w:val="12"/>
        <w:rPr>
          <w:rFonts w:hAnsi="黑体"/>
          <w:b/>
          <w:sz w:val="32"/>
          <w:szCs w:val="32"/>
        </w:rPr>
      </w:pPr>
      <w:r>
        <w:rPr>
          <w:rFonts w:hint="eastAsia" w:hAnsi="黑体"/>
          <w:b/>
          <w:sz w:val="32"/>
          <w:szCs w:val="32"/>
        </w:rPr>
        <w:t>十三、关于2020年度预算绩效情况的说明</w:t>
      </w:r>
    </w:p>
    <w:p>
      <w:pPr>
        <w:pStyle w:val="12"/>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根据财政预算管理要求，</w:t>
      </w:r>
      <w:r>
        <w:rPr>
          <w:rFonts w:hint="eastAsia" w:asciiTheme="minorEastAsia" w:hAnsiTheme="minorEastAsia" w:eastAsiaTheme="minorEastAsia"/>
          <w:sz w:val="32"/>
          <w:szCs w:val="32"/>
          <w:lang w:val="en-US" w:eastAsia="zh-CN"/>
        </w:rPr>
        <w:t>南岳站</w:t>
      </w:r>
      <w:r>
        <w:rPr>
          <w:rFonts w:hint="eastAsia" w:asciiTheme="minorEastAsia" w:hAnsiTheme="minorEastAsia" w:eastAsiaTheme="minorEastAsia"/>
          <w:sz w:val="32"/>
          <w:szCs w:val="32"/>
          <w:lang w:eastAsia="zh-CN"/>
        </w:rPr>
        <w:t>组织对20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lang w:eastAsia="zh-CN"/>
        </w:rPr>
        <w:t>年度部门整体支出全面开展了绩效自评，</w:t>
      </w:r>
      <w:r>
        <w:rPr>
          <w:rFonts w:hint="eastAsia" w:asciiTheme="minorEastAsia" w:hAnsiTheme="minorEastAsia" w:eastAsiaTheme="minorEastAsia"/>
          <w:sz w:val="32"/>
          <w:szCs w:val="32"/>
          <w:lang w:val="en-US" w:eastAsia="zh-CN"/>
        </w:rPr>
        <w:t>自评价</w:t>
      </w:r>
      <w:r>
        <w:rPr>
          <w:rFonts w:hint="eastAsia" w:asciiTheme="minorEastAsia" w:hAnsiTheme="minorEastAsia" w:eastAsiaTheme="minorEastAsia"/>
          <w:sz w:val="32"/>
          <w:szCs w:val="32"/>
          <w:lang w:eastAsia="zh-CN"/>
        </w:rPr>
        <w:t>结果已按时报送省</w:t>
      </w:r>
      <w:r>
        <w:rPr>
          <w:rFonts w:hint="eastAsia" w:asciiTheme="minorEastAsia" w:hAnsiTheme="minorEastAsia" w:eastAsiaTheme="minorEastAsia"/>
          <w:sz w:val="32"/>
          <w:szCs w:val="32"/>
          <w:lang w:val="en-US" w:eastAsia="zh-CN"/>
        </w:rPr>
        <w:t>生态环境</w:t>
      </w:r>
      <w:r>
        <w:rPr>
          <w:rFonts w:hint="eastAsia" w:asciiTheme="minorEastAsia" w:hAnsiTheme="minorEastAsia" w:eastAsiaTheme="minorEastAsia"/>
          <w:sz w:val="32"/>
          <w:szCs w:val="32"/>
          <w:lang w:eastAsia="zh-CN"/>
        </w:rPr>
        <w:t>厅，</w:t>
      </w:r>
      <w:r>
        <w:rPr>
          <w:rFonts w:hint="eastAsia" w:asciiTheme="minorEastAsia" w:hAnsiTheme="minorEastAsia" w:eastAsiaTheme="minorEastAsia"/>
          <w:sz w:val="32"/>
          <w:szCs w:val="32"/>
          <w:lang w:val="en-US" w:eastAsia="zh-CN"/>
        </w:rPr>
        <w:t>并由</w:t>
      </w:r>
      <w:r>
        <w:rPr>
          <w:rFonts w:hint="eastAsia" w:asciiTheme="minorEastAsia" w:hAnsiTheme="minorEastAsia" w:eastAsiaTheme="minorEastAsia"/>
          <w:sz w:val="32"/>
          <w:szCs w:val="32"/>
          <w:lang w:eastAsia="zh-CN"/>
        </w:rPr>
        <w:t>省</w:t>
      </w:r>
      <w:r>
        <w:rPr>
          <w:rFonts w:hint="eastAsia" w:asciiTheme="minorEastAsia" w:hAnsiTheme="minorEastAsia" w:eastAsiaTheme="minorEastAsia"/>
          <w:sz w:val="32"/>
          <w:szCs w:val="32"/>
          <w:lang w:val="en-US" w:eastAsia="zh-CN"/>
        </w:rPr>
        <w:t>生态环境</w:t>
      </w:r>
      <w:r>
        <w:rPr>
          <w:rFonts w:hint="eastAsia" w:asciiTheme="minorEastAsia" w:hAnsiTheme="minorEastAsia" w:eastAsiaTheme="minorEastAsia"/>
          <w:sz w:val="32"/>
          <w:szCs w:val="32"/>
          <w:lang w:eastAsia="zh-CN"/>
        </w:rPr>
        <w:t>厅</w:t>
      </w:r>
      <w:r>
        <w:rPr>
          <w:rFonts w:hint="eastAsia" w:asciiTheme="minorEastAsia" w:hAnsiTheme="minorEastAsia" w:eastAsiaTheme="minorEastAsia"/>
          <w:sz w:val="32"/>
          <w:szCs w:val="32"/>
          <w:lang w:val="en-US" w:eastAsia="zh-CN"/>
        </w:rPr>
        <w:t>在相关网站上进行公开。</w:t>
      </w:r>
    </w:p>
    <w:p>
      <w:pPr>
        <w:pStyle w:val="12"/>
        <w:rPr>
          <w:rFonts w:hAnsi="黑体"/>
          <w:b/>
          <w:sz w:val="32"/>
          <w:szCs w:val="3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2"/>
          <w:szCs w:val="72"/>
        </w:rPr>
      </w:pPr>
    </w:p>
    <w:p>
      <w:pPr>
        <w:jc w:val="center"/>
        <w:rPr>
          <w:rFonts w:ascii="黑体" w:eastAsia="黑体" w:cs="黑体"/>
          <w:color w:val="000000"/>
          <w:kern w:val="0"/>
          <w:sz w:val="72"/>
          <w:szCs w:val="72"/>
        </w:rPr>
      </w:pPr>
      <w:r>
        <w:rPr>
          <w:rFonts w:hint="eastAsia" w:ascii="黑体" w:eastAsia="黑体" w:cs="黑体"/>
          <w:color w:val="000000"/>
          <w:kern w:val="0"/>
          <w:sz w:val="72"/>
          <w:szCs w:val="72"/>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w:t>
      </w:r>
      <w:r>
        <w:rPr>
          <w:rFonts w:hint="eastAsia" w:ascii="仿宋_GB2312" w:hAnsi="仿宋_GB2312" w:eastAsia="仿宋_GB2312"/>
          <w:b/>
          <w:sz w:val="32"/>
          <w:lang w:eastAsia="zh-CN"/>
        </w:rPr>
        <w:t>、</w:t>
      </w:r>
      <w:r>
        <w:rPr>
          <w:rFonts w:ascii="仿宋_GB2312" w:hAnsi="仿宋_GB2312" w:eastAsia="仿宋_GB2312"/>
          <w:b/>
          <w:sz w:val="32"/>
        </w:rPr>
        <w:t>财政拨款收入</w:t>
      </w:r>
      <w:r>
        <w:rPr>
          <w:rFonts w:ascii="仿宋_GB2312" w:hAnsi="仿宋_GB2312" w:eastAsia="仿宋_GB2312"/>
          <w:sz w:val="32"/>
        </w:rPr>
        <w:t>：指财政当年拨付的资金。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2</w:t>
      </w:r>
      <w:r>
        <w:rPr>
          <w:rFonts w:ascii="仿宋_GB2312" w:hAnsi="仿宋_GB2312" w:eastAsia="仿宋_GB2312"/>
          <w:b/>
          <w:sz w:val="32"/>
        </w:rPr>
        <w:t>、年初结转和结余</w:t>
      </w:r>
      <w:r>
        <w:rPr>
          <w:rFonts w:ascii="仿宋_GB2312" w:hAnsi="仿宋_GB2312" w:eastAsia="仿宋_GB2312"/>
          <w:sz w:val="32"/>
        </w:rPr>
        <w:t>：指以前年度尚未完成、结转到本年按有关规定继续使用的资金。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9"/>
        <w:rPr>
          <w:rFonts w:ascii="仿宋_GB2312" w:hAnsi="仿宋_GB2312" w:eastAsia="仿宋_GB2312"/>
          <w:sz w:val="32"/>
        </w:rPr>
      </w:pPr>
      <w:r>
        <w:rPr>
          <w:rFonts w:hint="eastAsia" w:ascii="仿宋_GB2312" w:hAnsi="仿宋_GB2312" w:eastAsia="仿宋_GB2312"/>
          <w:b/>
          <w:bCs w:val="0"/>
          <w:sz w:val="30"/>
          <w:lang w:val="en-US" w:eastAsia="zh-CN"/>
        </w:rPr>
        <w:t>3</w:t>
      </w:r>
      <w:r>
        <w:rPr>
          <w:rFonts w:ascii="仿宋_GB2312" w:hAnsi="仿宋_GB2312" w:eastAsia="仿宋_GB2312"/>
          <w:b/>
          <w:bCs w:val="0"/>
          <w:sz w:val="30"/>
        </w:rPr>
        <w:t>、年末结转和结余</w:t>
      </w:r>
      <w:r>
        <w:rPr>
          <w:rFonts w:hint="eastAsia" w:ascii="仿宋_GB2312" w:hAnsi="仿宋_GB2312" w:eastAsia="仿宋_GB2312"/>
          <w:b/>
          <w:bCs w:val="0"/>
          <w:sz w:val="30"/>
          <w:lang w:eastAsia="zh-CN"/>
        </w:rPr>
        <w:t>：</w:t>
      </w:r>
      <w:r>
        <w:rPr>
          <w:rFonts w:ascii="仿宋_GB2312" w:hAnsi="仿宋_GB2312" w:eastAsia="仿宋_GB2312"/>
          <w:sz w:val="30"/>
        </w:rPr>
        <w:t>指本年度或以前年度预算安排、</w:t>
      </w:r>
      <w:r>
        <w:rPr>
          <w:rFonts w:ascii="仿宋_GB2312" w:hAnsi="仿宋_GB2312" w:eastAsia="仿宋_GB2312"/>
          <w:sz w:val="32"/>
        </w:rPr>
        <w:t>因客观条件发生变化无法按原计划实施，需延迟到以后年度按有关规定继续使用的资金。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4</w:t>
      </w:r>
      <w:r>
        <w:rPr>
          <w:rFonts w:ascii="仿宋_GB2312" w:hAnsi="仿宋_GB2312" w:eastAsia="仿宋_GB2312"/>
          <w:b/>
          <w:sz w:val="32"/>
        </w:rPr>
        <w:t>、基本支出</w:t>
      </w:r>
      <w:r>
        <w:rPr>
          <w:rFonts w:ascii="仿宋_GB2312" w:hAnsi="仿宋_GB2312" w:eastAsia="仿宋_GB2312"/>
          <w:sz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、项目支出</w:t>
      </w:r>
      <w:r>
        <w:rPr>
          <w:rFonts w:ascii="仿宋_GB2312" w:hAnsi="仿宋_GB2312" w:eastAsia="仿宋_GB2312"/>
          <w:sz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6、</w:t>
      </w:r>
      <w:r>
        <w:rPr>
          <w:rFonts w:ascii="Arial" w:hAnsi="Arial" w:eastAsia="Arial"/>
          <w:b/>
          <w:sz w:val="32"/>
        </w:rPr>
        <w:t>“</w:t>
      </w:r>
      <w:r>
        <w:rPr>
          <w:rFonts w:ascii="仿宋_GB2312" w:hAnsi="仿宋_GB2312" w:eastAsia="仿宋_GB2312"/>
          <w:b/>
          <w:sz w:val="32"/>
        </w:rPr>
        <w:t>三公</w:t>
      </w:r>
      <w:r>
        <w:rPr>
          <w:rFonts w:ascii="Arial" w:hAnsi="Arial" w:eastAsia="Arial"/>
          <w:b/>
          <w:sz w:val="32"/>
        </w:rPr>
        <w:t>”</w:t>
      </w:r>
      <w:r>
        <w:rPr>
          <w:rFonts w:ascii="仿宋_GB2312" w:hAnsi="仿宋_GB2312" w:eastAsia="仿宋_GB2312"/>
          <w:b/>
          <w:sz w:val="32"/>
        </w:rPr>
        <w:t>经费</w:t>
      </w:r>
      <w:r>
        <w:rPr>
          <w:rFonts w:ascii="仿宋_GB2312" w:hAnsi="仿宋_GB2312" w:eastAsia="仿宋_GB2312"/>
          <w:sz w:val="32"/>
        </w:rPr>
        <w:t>：纳入财政预决算管理的</w:t>
      </w:r>
      <w:r>
        <w:rPr>
          <w:rFonts w:ascii="Arial" w:hAnsi="Arial" w:eastAsia="Arial"/>
          <w:sz w:val="32"/>
        </w:rPr>
        <w:t>“</w:t>
      </w:r>
      <w:r>
        <w:rPr>
          <w:rFonts w:ascii="仿宋_GB2312" w:hAnsi="仿宋_GB2312" w:eastAsia="仿宋_GB2312"/>
          <w:sz w:val="32"/>
        </w:rPr>
        <w:t>三</w:t>
      </w:r>
      <w:r>
        <w:rPr>
          <w:rFonts w:ascii="仿宋_GB2312" w:hAnsi="仿宋_GB2312" w:eastAsia="仿宋_GB2312"/>
          <w:sz w:val="31"/>
        </w:rPr>
        <w:t>公</w:t>
      </w:r>
      <w:r>
        <w:rPr>
          <w:rFonts w:ascii="Arial" w:hAnsi="Arial" w:eastAsia="Arial"/>
          <w:sz w:val="31"/>
        </w:rPr>
        <w:t>”</w:t>
      </w:r>
      <w:r>
        <w:rPr>
          <w:rFonts w:ascii="仿宋_GB2312" w:hAnsi="仿宋_GB2312" w:eastAsia="仿宋_GB2312"/>
          <w:sz w:val="31"/>
        </w:rPr>
        <w:t>经费，是指部门用财政拨款安排的因公出国（境）费、</w:t>
      </w:r>
      <w:r>
        <w:rPr>
          <w:rFonts w:ascii="仿宋_GB2312" w:hAnsi="仿宋_GB2312" w:eastAsia="仿宋_GB2312"/>
          <w:sz w:val="32"/>
        </w:rPr>
        <w:t>公务用车购置及运行费和公务接待费。其中，因公出国（境）费反映单位公务出国（境）的国际旅费、国外城市间交通费</w:t>
      </w:r>
      <w:r>
        <w:rPr>
          <w:rFonts w:hint="eastAsia" w:ascii="仿宋_GB2312" w:hAnsi="仿宋_GB2312" w:eastAsia="仿宋_GB2312"/>
          <w:sz w:val="32"/>
          <w:lang w:eastAsia="zh-CN"/>
        </w:rPr>
        <w:t>、</w:t>
      </w:r>
      <w:r>
        <w:rPr>
          <w:rFonts w:ascii="仿宋_GB2312" w:hAnsi="仿宋_GB2312" w:eastAsia="仿宋_GB2312"/>
          <w:sz w:val="32"/>
        </w:rPr>
        <w:t>住宿费、伙食费、培训费、公杂费等支出；公务用车购置及运</w:t>
      </w:r>
      <w:bookmarkStart w:id="2" w:name="page51"/>
      <w:bookmarkEnd w:id="2"/>
      <w:r>
        <w:rPr>
          <w:rFonts w:ascii="仿宋_GB2312" w:hAnsi="仿宋_GB2312" w:eastAsia="仿宋_GB2312"/>
          <w:sz w:val="31"/>
        </w:rPr>
        <w:t>行费反映单位公务用车车辆购置支出（含车辆购置税）及租用费、燃料费、维修费、过路过桥费、保险费、安全奖励费用等支出；公务接待费反映单位按规定开支的各类公务接待（含外</w:t>
      </w:r>
      <w:r>
        <w:rPr>
          <w:rFonts w:ascii="仿宋_GB2312" w:hAnsi="仿宋_GB2312" w:eastAsia="仿宋_GB2312"/>
          <w:sz w:val="32"/>
        </w:rPr>
        <w:t>宾接待）支出。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0" w:firstLineChars="200"/>
        <w:jc w:val="both"/>
        <w:textAlignment w:val="auto"/>
        <w:outlineLvl w:val="9"/>
        <w:rPr>
          <w:rFonts w:hint="eastAsia" w:ascii="仿宋_GB2312" w:hAnsi="仿宋_GB2312" w:eastAsia="仿宋_GB2312"/>
          <w:sz w:val="32"/>
          <w:lang w:val="en-US" w:eastAsia="zh-CN"/>
        </w:rPr>
      </w:pPr>
      <w:r>
        <w:rPr>
          <w:rFonts w:hint="eastAsia" w:ascii="仿宋_GB2312" w:hAnsi="仿宋_GB2312" w:eastAsia="仿宋_GB2312"/>
          <w:b/>
          <w:sz w:val="31"/>
          <w:lang w:val="en-US" w:eastAsia="zh-CN"/>
        </w:rPr>
        <w:t>7</w:t>
      </w:r>
      <w:r>
        <w:rPr>
          <w:rFonts w:ascii="仿宋_GB2312" w:hAnsi="仿宋_GB2312" w:eastAsia="仿宋_GB2312"/>
          <w:b/>
          <w:sz w:val="31"/>
        </w:rPr>
        <w:t>、机关运行经费</w:t>
      </w:r>
      <w:r>
        <w:rPr>
          <w:rFonts w:ascii="仿宋_GB2312" w:hAnsi="仿宋_GB2312" w:eastAsia="仿宋_GB2312"/>
          <w:sz w:val="3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w:t>
      </w:r>
      <w:r>
        <w:rPr>
          <w:rFonts w:ascii="仿宋_GB2312" w:hAnsi="仿宋_GB2312" w:eastAsia="仿宋_GB2312"/>
          <w:sz w:val="32"/>
        </w:rPr>
        <w:t>他费用。</w:t>
      </w:r>
    </w:p>
    <w:p>
      <w:pPr>
        <w:widowControl/>
        <w:jc w:val="left"/>
        <w:rPr>
          <w:sz w:val="72"/>
          <w:szCs w:val="72"/>
        </w:rPr>
      </w:pPr>
      <w:r>
        <w:rPr>
          <w:rFonts w:asciiTheme="minorEastAsia" w:hAnsiTheme="minorEastAsia"/>
          <w:i/>
          <w:color w:val="FF0000"/>
          <w:sz w:val="32"/>
          <w:szCs w:val="32"/>
        </w:rPr>
        <w:br w:type="page"/>
      </w:r>
    </w:p>
    <w:p>
      <w:pPr>
        <w:pStyle w:val="12"/>
        <w:jc w:val="center"/>
        <w:rPr>
          <w:sz w:val="72"/>
          <w:szCs w:val="72"/>
        </w:rPr>
      </w:pPr>
    </w:p>
    <w:p>
      <w:pPr>
        <w:pStyle w:val="12"/>
        <w:jc w:val="center"/>
        <w:rPr>
          <w:sz w:val="72"/>
          <w:szCs w:val="72"/>
        </w:rPr>
      </w:pPr>
    </w:p>
    <w:p>
      <w:pPr>
        <w:pStyle w:val="12"/>
        <w:jc w:val="both"/>
        <w:rPr>
          <w:rFonts w:hint="eastAsia"/>
          <w:sz w:val="72"/>
          <w:szCs w:val="72"/>
        </w:rPr>
      </w:pPr>
    </w:p>
    <w:p>
      <w:pPr>
        <w:pStyle w:val="12"/>
        <w:jc w:val="both"/>
        <w:rPr>
          <w:rFonts w:hint="eastAsia"/>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2"/>
          <w:szCs w:val="72"/>
        </w:rPr>
      </w:pPr>
    </w:p>
    <w:p>
      <w:pPr>
        <w:jc w:val="center"/>
        <w:rPr>
          <w:rFonts w:ascii="黑体" w:eastAsia="黑体" w:cs="黑体"/>
          <w:color w:val="000000"/>
          <w:kern w:val="0"/>
          <w:sz w:val="72"/>
          <w:szCs w:val="72"/>
        </w:rPr>
      </w:pPr>
      <w:r>
        <w:rPr>
          <w:rFonts w:hint="eastAsia" w:ascii="黑体" w:eastAsia="黑体" w:cs="黑体"/>
          <w:color w:val="000000"/>
          <w:kern w:val="0"/>
          <w:sz w:val="72"/>
          <w:szCs w:val="72"/>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jc w:val="center"/>
        <w:rPr>
          <w:rFonts w:eastAsia="方正小标宋_GBK"/>
          <w:sz w:val="48"/>
          <w:szCs w:val="48"/>
        </w:rPr>
      </w:pPr>
      <w:r>
        <w:rPr>
          <w:rFonts w:hint="eastAsia" w:eastAsia="方正小标宋_GBK"/>
          <w:sz w:val="48"/>
          <w:szCs w:val="48"/>
        </w:rPr>
        <w:t>20</w:t>
      </w:r>
      <w:r>
        <w:rPr>
          <w:rFonts w:hint="eastAsia" w:eastAsia="方正小标宋_GBK"/>
          <w:sz w:val="48"/>
          <w:szCs w:val="48"/>
          <w:lang w:val="en-US" w:eastAsia="zh-CN"/>
        </w:rPr>
        <w:t>20</w:t>
      </w:r>
      <w:r>
        <w:rPr>
          <w:rFonts w:eastAsia="方正小标宋_GBK"/>
          <w:sz w:val="48"/>
          <w:szCs w:val="48"/>
        </w:rPr>
        <w:t>年度湖南省生态环境监测中心南岳站整体支出绩效自评报告</w:t>
      </w:r>
    </w:p>
    <w:p>
      <w:pPr>
        <w:jc w:val="center"/>
        <w:rPr>
          <w:rFonts w:eastAsia="楷体_GB2312"/>
          <w:b/>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hint="eastAsia" w:eastAsia="黑体"/>
          <w:sz w:val="32"/>
          <w:szCs w:val="32"/>
        </w:rPr>
      </w:pPr>
    </w:p>
    <w:p>
      <w:pPr>
        <w:jc w:val="center"/>
        <w:rPr>
          <w:rFonts w:hint="eastAsia" w:eastAsia="黑体"/>
          <w:sz w:val="32"/>
          <w:szCs w:val="32"/>
        </w:rPr>
      </w:pPr>
    </w:p>
    <w:p>
      <w:pPr>
        <w:jc w:val="center"/>
        <w:rPr>
          <w:rFonts w:hint="eastAsia" w:eastAsia="黑体"/>
          <w:sz w:val="32"/>
          <w:szCs w:val="32"/>
        </w:rPr>
      </w:pPr>
    </w:p>
    <w:p>
      <w:pPr>
        <w:jc w:val="center"/>
        <w:rPr>
          <w:rFonts w:hint="eastAsia" w:eastAsia="黑体"/>
          <w:sz w:val="32"/>
          <w:szCs w:val="32"/>
        </w:rPr>
      </w:pPr>
    </w:p>
    <w:p>
      <w:pPr>
        <w:jc w:val="center"/>
        <w:rPr>
          <w:rFonts w:hint="eastAsia" w:eastAsia="黑体"/>
          <w:sz w:val="32"/>
          <w:szCs w:val="32"/>
        </w:rPr>
      </w:pPr>
    </w:p>
    <w:p>
      <w:pPr>
        <w:ind w:firstLine="1440" w:firstLineChars="300"/>
        <w:jc w:val="both"/>
        <w:rPr>
          <w:rFonts w:hint="eastAsia" w:eastAsia="方正小标宋_GBK"/>
          <w:sz w:val="48"/>
          <w:szCs w:val="48"/>
        </w:rPr>
      </w:pPr>
      <w:r>
        <w:rPr>
          <w:rFonts w:eastAsia="方正小标宋_GBK"/>
          <w:sz w:val="48"/>
          <w:szCs w:val="48"/>
        </w:rPr>
        <w:t>湖南省生态环境监测中心南岳站</w:t>
      </w:r>
    </w:p>
    <w:p>
      <w:pPr>
        <w:jc w:val="center"/>
        <w:rPr>
          <w:rFonts w:eastAsia="黑体"/>
          <w:sz w:val="44"/>
          <w:szCs w:val="44"/>
        </w:rPr>
      </w:pPr>
      <w:r>
        <w:rPr>
          <w:rFonts w:eastAsia="黑体"/>
          <w:sz w:val="44"/>
          <w:szCs w:val="44"/>
        </w:rPr>
        <w:t>（盖章）</w:t>
      </w:r>
    </w:p>
    <w:p>
      <w:pPr>
        <w:pStyle w:val="2"/>
        <w:rPr>
          <w:rFonts w:eastAsia="黑体"/>
          <w:sz w:val="44"/>
          <w:szCs w:val="44"/>
        </w:rPr>
      </w:pPr>
    </w:p>
    <w:p>
      <w:pPr>
        <w:pStyle w:val="2"/>
        <w:rPr>
          <w:rFonts w:eastAsia="黑体"/>
          <w:sz w:val="44"/>
          <w:szCs w:val="44"/>
        </w:rPr>
      </w:pPr>
    </w:p>
    <w:p>
      <w:pPr>
        <w:pStyle w:val="13"/>
        <w:widowControl/>
        <w:numPr>
          <w:ilvl w:val="0"/>
          <w:numId w:val="3"/>
        </w:numPr>
        <w:spacing w:line="600" w:lineRule="exact"/>
        <w:ind w:firstLineChars="0"/>
        <w:rPr>
          <w:rFonts w:hint="eastAsia" w:ascii="宋体" w:hAnsi="宋体"/>
          <w:b/>
          <w:sz w:val="28"/>
          <w:szCs w:val="28"/>
        </w:rPr>
      </w:pPr>
      <w:r>
        <w:rPr>
          <w:rFonts w:ascii="宋体" w:hAnsi="宋体"/>
          <w:b/>
          <w:sz w:val="28"/>
          <w:szCs w:val="28"/>
        </w:rPr>
        <w:t>部门基本情况</w:t>
      </w:r>
    </w:p>
    <w:p>
      <w:pPr>
        <w:snapToGrid w:val="0"/>
        <w:spacing w:line="580" w:lineRule="exact"/>
        <w:ind w:firstLine="560" w:firstLineChars="200"/>
        <w:rPr>
          <w:rFonts w:hint="eastAsia" w:ascii="宋体" w:hAnsi="宋体"/>
          <w:sz w:val="28"/>
          <w:szCs w:val="28"/>
        </w:rPr>
      </w:pPr>
      <w:r>
        <w:rPr>
          <w:rFonts w:hint="eastAsia" w:ascii="宋体" w:hAnsi="宋体"/>
          <w:sz w:val="28"/>
          <w:szCs w:val="28"/>
        </w:rPr>
        <w:t>（一）主要职能</w:t>
      </w:r>
    </w:p>
    <w:p>
      <w:pPr>
        <w:spacing w:line="580" w:lineRule="exact"/>
        <w:ind w:firstLine="560" w:firstLineChars="200"/>
        <w:rPr>
          <w:rFonts w:hint="eastAsia" w:ascii="宋体" w:hAnsi="宋体"/>
          <w:sz w:val="28"/>
          <w:szCs w:val="28"/>
        </w:rPr>
      </w:pPr>
      <w:r>
        <w:rPr>
          <w:rFonts w:hint="eastAsia" w:ascii="宋体" w:hAnsi="宋体"/>
          <w:sz w:val="28"/>
          <w:szCs w:val="28"/>
        </w:rPr>
        <w:t>1、负责组织省域内国家背景站、区域站、农村站等运维、质控、数据审核与分析等工作。</w:t>
      </w:r>
    </w:p>
    <w:p>
      <w:pPr>
        <w:spacing w:line="580" w:lineRule="exact"/>
        <w:ind w:firstLine="560" w:firstLineChars="200"/>
        <w:rPr>
          <w:rFonts w:hint="eastAsia" w:ascii="宋体" w:hAnsi="宋体"/>
          <w:sz w:val="28"/>
          <w:szCs w:val="28"/>
        </w:rPr>
      </w:pPr>
      <w:r>
        <w:rPr>
          <w:rFonts w:hint="eastAsia" w:ascii="宋体" w:hAnsi="宋体"/>
          <w:sz w:val="28"/>
          <w:szCs w:val="28"/>
        </w:rPr>
        <w:t>2、负责国家背景站酸雨、降尘监测工作；</w:t>
      </w:r>
    </w:p>
    <w:p>
      <w:pPr>
        <w:spacing w:line="580" w:lineRule="exact"/>
        <w:ind w:firstLine="560" w:firstLineChars="200"/>
        <w:rPr>
          <w:rFonts w:hint="eastAsia" w:ascii="宋体" w:hAnsi="宋体"/>
          <w:sz w:val="28"/>
          <w:szCs w:val="28"/>
        </w:rPr>
      </w:pPr>
      <w:r>
        <w:rPr>
          <w:rFonts w:hint="eastAsia" w:ascii="宋体" w:hAnsi="宋体"/>
          <w:sz w:val="28"/>
          <w:szCs w:val="28"/>
        </w:rPr>
        <w:t>3、负责国家背景站运行基础条件保障和办公区域主体及附属建筑设备设施的养护、维修、消防、综治安全等工作。</w:t>
      </w:r>
    </w:p>
    <w:p>
      <w:pPr>
        <w:spacing w:line="580" w:lineRule="exact"/>
        <w:ind w:firstLine="560" w:firstLineChars="200"/>
        <w:rPr>
          <w:rFonts w:hint="eastAsia" w:ascii="宋体" w:hAnsi="宋体"/>
          <w:sz w:val="28"/>
          <w:szCs w:val="28"/>
        </w:rPr>
      </w:pPr>
      <w:r>
        <w:rPr>
          <w:rFonts w:hint="eastAsia" w:ascii="宋体" w:hAnsi="宋体"/>
          <w:sz w:val="28"/>
          <w:szCs w:val="28"/>
        </w:rPr>
        <w:t>4、负责编制背景环境空气、区域环境空气质量月度报告、年度报告以及专题分析。</w:t>
      </w:r>
    </w:p>
    <w:p>
      <w:pPr>
        <w:spacing w:line="580" w:lineRule="exact"/>
        <w:ind w:firstLine="560" w:firstLineChars="200"/>
        <w:rPr>
          <w:rFonts w:hint="eastAsia" w:ascii="宋体" w:hAnsi="宋体"/>
          <w:sz w:val="28"/>
          <w:szCs w:val="28"/>
        </w:rPr>
      </w:pPr>
      <w:r>
        <w:rPr>
          <w:rFonts w:hint="eastAsia" w:ascii="宋体" w:hAnsi="宋体"/>
          <w:sz w:val="28"/>
          <w:szCs w:val="28"/>
        </w:rPr>
        <w:t>5、承担国家总站组织的在衡山背景站开展的培训、会议等工作的组织、策划、接待、后勤保障等工作。</w:t>
      </w:r>
    </w:p>
    <w:p>
      <w:pPr>
        <w:pStyle w:val="2"/>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二）机构情况</w:t>
      </w:r>
    </w:p>
    <w:p>
      <w:pPr>
        <w:snapToGrid w:val="0"/>
        <w:spacing w:line="580" w:lineRule="exact"/>
        <w:ind w:firstLine="840" w:firstLineChars="300"/>
        <w:rPr>
          <w:rFonts w:hint="eastAsia" w:ascii="宋体" w:hAnsi="宋体"/>
          <w:color w:val="000000"/>
          <w:kern w:val="21"/>
          <w:sz w:val="28"/>
          <w:szCs w:val="28"/>
        </w:rPr>
      </w:pPr>
      <w:r>
        <w:rPr>
          <w:rFonts w:hint="eastAsia" w:ascii="宋体" w:hAnsi="宋体" w:cs="仿宋_GB2312"/>
          <w:color w:val="000000"/>
          <w:sz w:val="28"/>
          <w:szCs w:val="28"/>
        </w:rPr>
        <w:t>纳入本部门决算汇编范围的独立核算单位共 1 个，为执行事业单位会计制度的二级预算事业单位，属于</w:t>
      </w:r>
      <w:r>
        <w:rPr>
          <w:rFonts w:ascii="宋体" w:hAnsi="宋体"/>
          <w:color w:val="000000"/>
          <w:kern w:val="21"/>
          <w:sz w:val="28"/>
          <w:szCs w:val="28"/>
        </w:rPr>
        <w:t>财政全额拨款</w:t>
      </w:r>
      <w:r>
        <w:rPr>
          <w:rFonts w:hint="eastAsia" w:ascii="宋体" w:hAnsi="宋体"/>
          <w:color w:val="000000"/>
          <w:kern w:val="21"/>
          <w:sz w:val="28"/>
          <w:szCs w:val="28"/>
        </w:rPr>
        <w:t>。</w:t>
      </w:r>
    </w:p>
    <w:p>
      <w:pPr>
        <w:snapToGrid w:val="0"/>
        <w:spacing w:line="580" w:lineRule="exact"/>
        <w:ind w:firstLine="560" w:firstLineChars="200"/>
        <w:rPr>
          <w:rFonts w:hint="eastAsia" w:ascii="宋体" w:hAnsi="宋体" w:cs="仿宋_GB2312"/>
          <w:sz w:val="28"/>
          <w:szCs w:val="28"/>
        </w:rPr>
      </w:pPr>
      <w:r>
        <w:rPr>
          <w:rFonts w:hint="eastAsia" w:ascii="宋体" w:hAnsi="宋体" w:cs="仿宋_GB2312"/>
          <w:sz w:val="28"/>
          <w:szCs w:val="28"/>
        </w:rPr>
        <w:t>（三）人员情况</w:t>
      </w:r>
    </w:p>
    <w:p>
      <w:pPr>
        <w:snapToGrid w:val="0"/>
        <w:spacing w:line="580" w:lineRule="exact"/>
        <w:ind w:firstLine="700" w:firstLineChars="250"/>
        <w:rPr>
          <w:rFonts w:hint="eastAsia" w:ascii="宋体" w:hAnsi="宋体"/>
          <w:sz w:val="28"/>
          <w:szCs w:val="28"/>
        </w:rPr>
      </w:pPr>
      <w:r>
        <w:rPr>
          <w:rFonts w:hint="eastAsia" w:ascii="宋体" w:hAnsi="宋体" w:cs="仿宋_GB2312"/>
          <w:sz w:val="28"/>
          <w:szCs w:val="28"/>
        </w:rPr>
        <w:t>本年编制数8人，20</w:t>
      </w:r>
      <w:r>
        <w:rPr>
          <w:rFonts w:hint="eastAsia" w:ascii="宋体" w:hAnsi="宋体" w:cs="仿宋_GB2312"/>
          <w:sz w:val="28"/>
          <w:szCs w:val="28"/>
          <w:lang w:val="en-US" w:eastAsia="zh-CN"/>
        </w:rPr>
        <w:t>20</w:t>
      </w:r>
      <w:r>
        <w:rPr>
          <w:rFonts w:hint="eastAsia" w:ascii="宋体" w:hAnsi="宋体" w:cs="仿宋_GB2312"/>
          <w:sz w:val="28"/>
          <w:szCs w:val="28"/>
        </w:rPr>
        <w:t>年末实有人数</w:t>
      </w:r>
      <w:r>
        <w:rPr>
          <w:rFonts w:hint="eastAsia" w:ascii="宋体" w:hAnsi="宋体" w:cs="仿宋_GB2312"/>
          <w:sz w:val="28"/>
          <w:szCs w:val="28"/>
          <w:lang w:val="en-US" w:eastAsia="zh-CN"/>
        </w:rPr>
        <w:t>7</w:t>
      </w:r>
      <w:r>
        <w:rPr>
          <w:rFonts w:hint="eastAsia" w:ascii="宋体" w:hAnsi="宋体" w:cs="仿宋_GB2312"/>
          <w:sz w:val="28"/>
          <w:szCs w:val="28"/>
        </w:rPr>
        <w:t>人，</w:t>
      </w:r>
      <w:r>
        <w:rPr>
          <w:rFonts w:ascii="宋体" w:hAnsi="宋体"/>
          <w:color w:val="000000"/>
          <w:kern w:val="21"/>
          <w:sz w:val="28"/>
          <w:szCs w:val="28"/>
        </w:rPr>
        <w:t>退休人数1人。</w:t>
      </w:r>
    </w:p>
    <w:p>
      <w:pPr>
        <w:pStyle w:val="13"/>
        <w:widowControl/>
        <w:spacing w:line="580" w:lineRule="exact"/>
        <w:ind w:left="1360" w:firstLine="0" w:firstLineChars="0"/>
        <w:rPr>
          <w:rFonts w:ascii="宋体" w:hAnsi="宋体"/>
          <w:sz w:val="28"/>
          <w:szCs w:val="28"/>
        </w:rPr>
      </w:pPr>
    </w:p>
    <w:p>
      <w:pPr>
        <w:pStyle w:val="13"/>
        <w:widowControl/>
        <w:numPr>
          <w:ilvl w:val="0"/>
          <w:numId w:val="3"/>
        </w:numPr>
        <w:spacing w:line="580" w:lineRule="exact"/>
        <w:ind w:firstLineChars="0"/>
        <w:rPr>
          <w:rFonts w:ascii="宋体" w:hAnsi="宋体"/>
          <w:b/>
          <w:sz w:val="28"/>
          <w:szCs w:val="28"/>
        </w:rPr>
      </w:pPr>
      <w:r>
        <w:rPr>
          <w:rFonts w:hint="eastAsia" w:ascii="宋体" w:hAnsi="宋体"/>
          <w:b/>
          <w:sz w:val="28"/>
          <w:szCs w:val="28"/>
          <w:lang w:val="en-US" w:eastAsia="zh-CN"/>
        </w:rPr>
        <w:t>部门整体支出管理及使用情况</w:t>
      </w:r>
    </w:p>
    <w:p>
      <w:pPr>
        <w:pStyle w:val="13"/>
        <w:widowControl/>
        <w:numPr>
          <w:ilvl w:val="0"/>
          <w:numId w:val="4"/>
        </w:numPr>
        <w:spacing w:line="580" w:lineRule="exact"/>
        <w:ind w:firstLineChars="0"/>
        <w:rPr>
          <w:rFonts w:hint="eastAsia" w:ascii="宋体" w:hAnsi="宋体"/>
          <w:sz w:val="28"/>
          <w:szCs w:val="28"/>
        </w:rPr>
      </w:pPr>
      <w:r>
        <w:rPr>
          <w:rFonts w:ascii="宋体" w:hAnsi="宋体"/>
          <w:sz w:val="28"/>
          <w:szCs w:val="28"/>
        </w:rPr>
        <w:t>基本支出情况</w:t>
      </w:r>
      <w:r>
        <w:rPr>
          <w:rFonts w:ascii="Arial Narrow" w:hAnsi="Arial Narrow"/>
          <w:sz w:val="28"/>
          <w:szCs w:val="28"/>
        </w:rPr>
        <w:t>（除特别说明，以</w:t>
      </w:r>
      <w:r>
        <w:rPr>
          <w:rFonts w:hint="eastAsia" w:ascii="Arial Narrow" w:hAnsi="Arial Narrow"/>
          <w:sz w:val="28"/>
          <w:szCs w:val="28"/>
          <w:lang w:val="en-US" w:eastAsia="zh-CN"/>
        </w:rPr>
        <w:t>万</w:t>
      </w:r>
      <w:r>
        <w:rPr>
          <w:rFonts w:ascii="Arial Narrow" w:hAnsi="Arial Narrow"/>
          <w:sz w:val="28"/>
          <w:szCs w:val="28"/>
        </w:rPr>
        <w:t>元表述）</w:t>
      </w:r>
    </w:p>
    <w:p>
      <w:pPr>
        <w:kinsoku w:val="0"/>
        <w:overflowPunct w:val="0"/>
        <w:spacing w:line="580" w:lineRule="exact"/>
        <w:ind w:left="281" w:leftChars="134" w:firstLine="560" w:firstLineChars="200"/>
        <w:rPr>
          <w:rFonts w:hint="eastAsia" w:ascii="宋体" w:hAnsi="宋体"/>
          <w:color w:val="000000"/>
          <w:kern w:val="21"/>
          <w:sz w:val="28"/>
          <w:szCs w:val="28"/>
        </w:rPr>
      </w:pPr>
      <w:r>
        <w:rPr>
          <w:rFonts w:hint="eastAsia" w:ascii="宋体" w:hAnsi="宋体"/>
          <w:color w:val="000000"/>
          <w:kern w:val="21"/>
          <w:sz w:val="28"/>
          <w:szCs w:val="28"/>
          <w:lang w:val="en-US" w:eastAsia="zh-CN"/>
        </w:rPr>
        <w:t>如下表，</w:t>
      </w:r>
      <w:r>
        <w:rPr>
          <w:rFonts w:ascii="宋体" w:hAnsi="宋体"/>
          <w:color w:val="000000"/>
          <w:kern w:val="21"/>
          <w:sz w:val="28"/>
          <w:szCs w:val="28"/>
        </w:rPr>
        <w:t>20</w:t>
      </w:r>
      <w:r>
        <w:rPr>
          <w:rFonts w:hint="eastAsia" w:ascii="宋体" w:hAnsi="宋体"/>
          <w:color w:val="000000"/>
          <w:kern w:val="21"/>
          <w:sz w:val="28"/>
          <w:szCs w:val="28"/>
          <w:lang w:val="en-US" w:eastAsia="zh-CN"/>
        </w:rPr>
        <w:t>20</w:t>
      </w:r>
      <w:r>
        <w:rPr>
          <w:rFonts w:ascii="宋体" w:hAnsi="宋体"/>
          <w:color w:val="000000"/>
          <w:kern w:val="21"/>
          <w:sz w:val="28"/>
          <w:szCs w:val="28"/>
        </w:rPr>
        <w:t>年我站全年预算收入数为</w:t>
      </w:r>
      <w:r>
        <w:rPr>
          <w:rFonts w:hint="eastAsia" w:ascii="宋体" w:hAnsi="宋体"/>
          <w:color w:val="000000"/>
          <w:kern w:val="21"/>
          <w:sz w:val="28"/>
          <w:szCs w:val="28"/>
          <w:lang w:val="en-US" w:eastAsia="zh-CN"/>
        </w:rPr>
        <w:t>428.39</w:t>
      </w:r>
      <w:r>
        <w:rPr>
          <w:rFonts w:ascii="宋体" w:hAnsi="宋体"/>
          <w:color w:val="000000"/>
          <w:kern w:val="21"/>
          <w:sz w:val="28"/>
          <w:szCs w:val="28"/>
        </w:rPr>
        <w:t>万元，</w:t>
      </w:r>
      <w:r>
        <w:rPr>
          <w:rFonts w:hint="eastAsia" w:ascii="宋体" w:hAnsi="宋体"/>
          <w:color w:val="000000"/>
          <w:kern w:val="21"/>
          <w:sz w:val="28"/>
          <w:szCs w:val="28"/>
          <w:lang w:val="en-US" w:eastAsia="zh-CN"/>
        </w:rPr>
        <w:t>其中：</w:t>
      </w:r>
      <w:r>
        <w:rPr>
          <w:rFonts w:ascii="宋体" w:hAnsi="宋体"/>
          <w:color w:val="000000"/>
          <w:kern w:val="21"/>
          <w:sz w:val="28"/>
          <w:szCs w:val="28"/>
        </w:rPr>
        <w:t>年初预算数为</w:t>
      </w:r>
      <w:r>
        <w:rPr>
          <w:rFonts w:hint="eastAsia" w:ascii="宋体" w:hAnsi="宋体"/>
          <w:color w:val="000000"/>
          <w:kern w:val="21"/>
          <w:sz w:val="28"/>
          <w:szCs w:val="28"/>
          <w:lang w:val="en-US" w:eastAsia="zh-CN"/>
        </w:rPr>
        <w:t>234.66</w:t>
      </w:r>
      <w:r>
        <w:rPr>
          <w:rFonts w:ascii="宋体" w:hAnsi="宋体"/>
          <w:color w:val="000000"/>
          <w:kern w:val="21"/>
          <w:sz w:val="28"/>
          <w:szCs w:val="28"/>
        </w:rPr>
        <w:t>万元，年中追加数为5.</w:t>
      </w:r>
      <w:r>
        <w:rPr>
          <w:rFonts w:hint="eastAsia" w:ascii="宋体" w:hAnsi="宋体"/>
          <w:color w:val="000000"/>
          <w:kern w:val="21"/>
          <w:sz w:val="28"/>
          <w:szCs w:val="28"/>
          <w:lang w:val="en-US" w:eastAsia="zh-CN"/>
        </w:rPr>
        <w:t>2</w:t>
      </w:r>
      <w:r>
        <w:rPr>
          <w:rFonts w:ascii="宋体" w:hAnsi="宋体"/>
          <w:color w:val="000000"/>
          <w:kern w:val="21"/>
          <w:sz w:val="28"/>
          <w:szCs w:val="28"/>
        </w:rPr>
        <w:t>万元</w:t>
      </w:r>
      <w:r>
        <w:rPr>
          <w:rFonts w:hint="eastAsia" w:ascii="宋体" w:hAnsi="宋体"/>
          <w:color w:val="000000"/>
          <w:kern w:val="21"/>
          <w:sz w:val="28"/>
          <w:szCs w:val="28"/>
          <w:lang w:eastAsia="zh-CN"/>
        </w:rPr>
        <w:t>，</w:t>
      </w:r>
      <w:r>
        <w:rPr>
          <w:rFonts w:hint="eastAsia" w:ascii="宋体" w:hAnsi="宋体"/>
          <w:color w:val="000000"/>
          <w:kern w:val="21"/>
          <w:sz w:val="28"/>
          <w:szCs w:val="28"/>
          <w:lang w:val="en-US" w:eastAsia="zh-CN"/>
        </w:rPr>
        <w:t>上年度结转结余188.5万元</w:t>
      </w:r>
      <w:r>
        <w:rPr>
          <w:rFonts w:hint="eastAsia" w:ascii="宋体" w:hAnsi="宋体"/>
          <w:color w:val="000000"/>
          <w:kern w:val="21"/>
          <w:sz w:val="28"/>
          <w:szCs w:val="28"/>
        </w:rPr>
        <w:t>。</w:t>
      </w:r>
    </w:p>
    <w:p>
      <w:pPr>
        <w:spacing w:line="580" w:lineRule="exact"/>
        <w:ind w:firstLine="980" w:firstLineChars="350"/>
        <w:rPr>
          <w:rFonts w:hint="default" w:ascii="宋体" w:hAnsi="宋体" w:cs="宋体"/>
          <w:color w:val="000000"/>
          <w:kern w:val="0"/>
          <w:sz w:val="28"/>
          <w:szCs w:val="28"/>
          <w:lang w:val="en-US"/>
        </w:rPr>
      </w:pPr>
      <w:r>
        <w:rPr>
          <w:rFonts w:hint="eastAsia" w:ascii="宋体" w:hAnsi="宋体"/>
          <w:color w:val="000000"/>
          <w:kern w:val="21"/>
          <w:sz w:val="28"/>
          <w:szCs w:val="28"/>
          <w:lang w:val="en-US" w:eastAsia="zh-CN"/>
        </w:rPr>
        <w:t>基本支出中，</w:t>
      </w:r>
      <w:r>
        <w:rPr>
          <w:rFonts w:ascii="宋体" w:hAnsi="宋体"/>
          <w:color w:val="000000"/>
          <w:kern w:val="21"/>
          <w:sz w:val="28"/>
          <w:szCs w:val="28"/>
        </w:rPr>
        <w:t>我站20</w:t>
      </w:r>
      <w:r>
        <w:rPr>
          <w:rFonts w:hint="eastAsia" w:ascii="宋体" w:hAnsi="宋体"/>
          <w:color w:val="000000"/>
          <w:kern w:val="21"/>
          <w:sz w:val="28"/>
          <w:szCs w:val="28"/>
          <w:lang w:val="en-US" w:eastAsia="zh-CN"/>
        </w:rPr>
        <w:t>20</w:t>
      </w:r>
      <w:r>
        <w:rPr>
          <w:rFonts w:ascii="宋体" w:hAnsi="宋体"/>
          <w:color w:val="000000"/>
          <w:kern w:val="21"/>
          <w:sz w:val="28"/>
          <w:szCs w:val="28"/>
        </w:rPr>
        <w:t>年人员经费支出数为</w:t>
      </w:r>
      <w:r>
        <w:rPr>
          <w:rFonts w:hint="eastAsia" w:ascii="宋体" w:hAnsi="宋体"/>
          <w:color w:val="000000"/>
          <w:kern w:val="21"/>
          <w:sz w:val="28"/>
          <w:szCs w:val="28"/>
        </w:rPr>
        <w:t>1</w:t>
      </w:r>
      <w:r>
        <w:rPr>
          <w:rFonts w:hint="eastAsia" w:ascii="宋体" w:hAnsi="宋体"/>
          <w:color w:val="000000"/>
          <w:kern w:val="21"/>
          <w:sz w:val="28"/>
          <w:szCs w:val="28"/>
          <w:lang w:val="en-US" w:eastAsia="zh-CN"/>
        </w:rPr>
        <w:t>12.79</w:t>
      </w:r>
      <w:r>
        <w:rPr>
          <w:rFonts w:ascii="宋体" w:hAnsi="宋体"/>
          <w:color w:val="000000"/>
          <w:kern w:val="21"/>
          <w:sz w:val="28"/>
          <w:szCs w:val="28"/>
        </w:rPr>
        <w:t>万元，</w:t>
      </w:r>
      <w:r>
        <w:rPr>
          <w:rFonts w:hint="eastAsia" w:ascii="宋体" w:hAnsi="宋体"/>
          <w:color w:val="000000"/>
          <w:kern w:val="21"/>
          <w:sz w:val="28"/>
          <w:szCs w:val="28"/>
          <w:lang w:val="en-US" w:eastAsia="zh-CN"/>
        </w:rPr>
        <w:t>其中包含了上年度结转结余5.5万元的综治奖和今年追加的5.2万元的综治奖；</w:t>
      </w:r>
      <w:r>
        <w:rPr>
          <w:rFonts w:ascii="宋体" w:hAnsi="宋体"/>
          <w:color w:val="000000"/>
          <w:kern w:val="21"/>
          <w:sz w:val="28"/>
          <w:szCs w:val="28"/>
        </w:rPr>
        <w:t>公用经费支出数为</w:t>
      </w:r>
      <w:r>
        <w:rPr>
          <w:rFonts w:hint="eastAsia" w:ascii="宋体" w:hAnsi="宋体"/>
          <w:color w:val="000000"/>
          <w:kern w:val="21"/>
          <w:sz w:val="28"/>
          <w:szCs w:val="28"/>
          <w:lang w:val="en-US" w:eastAsia="zh-CN"/>
        </w:rPr>
        <w:t>32.57</w:t>
      </w:r>
      <w:r>
        <w:rPr>
          <w:rFonts w:ascii="宋体" w:hAnsi="宋体"/>
          <w:color w:val="000000"/>
          <w:kern w:val="21"/>
          <w:sz w:val="28"/>
          <w:szCs w:val="28"/>
        </w:rPr>
        <w:t>万元</w:t>
      </w:r>
      <w:r>
        <w:rPr>
          <w:rFonts w:hint="eastAsia" w:ascii="宋体" w:hAnsi="宋体"/>
          <w:color w:val="000000"/>
          <w:kern w:val="21"/>
          <w:sz w:val="28"/>
          <w:szCs w:val="28"/>
        </w:rPr>
        <w:t>，</w:t>
      </w:r>
      <w:r>
        <w:rPr>
          <w:rFonts w:hint="eastAsia" w:ascii="宋体" w:hAnsi="宋体"/>
          <w:color w:val="000000"/>
          <w:kern w:val="21"/>
          <w:sz w:val="28"/>
          <w:szCs w:val="28"/>
          <w:lang w:val="en-US" w:eastAsia="zh-CN"/>
        </w:rPr>
        <w:t>基本支出</w:t>
      </w:r>
      <w:r>
        <w:rPr>
          <w:rFonts w:ascii="宋体" w:hAnsi="宋体"/>
          <w:color w:val="000000"/>
          <w:kern w:val="21"/>
          <w:sz w:val="28"/>
          <w:szCs w:val="28"/>
        </w:rPr>
        <w:t>合计为</w:t>
      </w:r>
      <w:r>
        <w:rPr>
          <w:rFonts w:hint="eastAsia" w:ascii="宋体" w:hAnsi="宋体"/>
          <w:color w:val="000000"/>
          <w:kern w:val="21"/>
          <w:sz w:val="28"/>
          <w:szCs w:val="28"/>
          <w:lang w:val="en-US" w:eastAsia="zh-CN"/>
        </w:rPr>
        <w:t>145.36</w:t>
      </w:r>
      <w:r>
        <w:rPr>
          <w:rFonts w:ascii="宋体" w:hAnsi="宋体"/>
          <w:color w:val="000000"/>
          <w:kern w:val="21"/>
          <w:sz w:val="28"/>
          <w:szCs w:val="28"/>
        </w:rPr>
        <w:t>万元，根据实际支出情况可见</w:t>
      </w:r>
      <w:r>
        <w:rPr>
          <w:rFonts w:hint="eastAsia" w:ascii="宋体" w:hAnsi="宋体"/>
          <w:color w:val="000000"/>
          <w:kern w:val="21"/>
          <w:sz w:val="28"/>
          <w:szCs w:val="28"/>
          <w:lang w:eastAsia="zh-CN"/>
        </w:rPr>
        <w:t>，</w:t>
      </w:r>
      <w:r>
        <w:rPr>
          <w:rFonts w:hint="eastAsia" w:ascii="宋体" w:hAnsi="宋体"/>
          <w:color w:val="000000"/>
          <w:kern w:val="21"/>
          <w:sz w:val="28"/>
          <w:szCs w:val="28"/>
          <w:lang w:val="en-US" w:eastAsia="zh-CN"/>
        </w:rPr>
        <w:t>基本支出</w:t>
      </w:r>
      <w:r>
        <w:rPr>
          <w:rFonts w:ascii="宋体" w:hAnsi="宋体"/>
          <w:color w:val="000000"/>
          <w:kern w:val="21"/>
          <w:sz w:val="28"/>
          <w:szCs w:val="28"/>
        </w:rPr>
        <w:t>预算执行率</w:t>
      </w:r>
      <w:r>
        <w:rPr>
          <w:rFonts w:ascii="宋体" w:hAnsi="宋体"/>
          <w:kern w:val="21"/>
          <w:sz w:val="28"/>
          <w:szCs w:val="28"/>
        </w:rPr>
        <w:t>为</w:t>
      </w:r>
      <w:r>
        <w:rPr>
          <w:rFonts w:hint="eastAsia" w:ascii="宋体" w:hAnsi="宋体"/>
          <w:kern w:val="21"/>
          <w:sz w:val="28"/>
          <w:szCs w:val="28"/>
          <w:lang w:val="en-US" w:eastAsia="zh-CN"/>
        </w:rPr>
        <w:t>100</w:t>
      </w:r>
      <w:r>
        <w:rPr>
          <w:rFonts w:ascii="宋体" w:hAnsi="宋体"/>
          <w:kern w:val="21"/>
          <w:sz w:val="28"/>
          <w:szCs w:val="28"/>
        </w:rPr>
        <w:t>%</w:t>
      </w:r>
      <w:r>
        <w:rPr>
          <w:rFonts w:hint="eastAsia" w:ascii="宋体" w:hAnsi="宋体"/>
          <w:color w:val="000000"/>
          <w:kern w:val="21"/>
          <w:sz w:val="28"/>
          <w:szCs w:val="28"/>
        </w:rPr>
        <w:t>。</w:t>
      </w:r>
      <w:r>
        <w:rPr>
          <w:rFonts w:ascii="宋体" w:hAnsi="宋体"/>
          <w:color w:val="000000"/>
          <w:kern w:val="21"/>
          <w:sz w:val="28"/>
          <w:szCs w:val="28"/>
        </w:rPr>
        <w:t>另外，三公经费中的预算收入安排了公务用车运行维护费和公务接待费，这两项经费的预算执行率为</w:t>
      </w:r>
      <w:r>
        <w:rPr>
          <w:rFonts w:hint="eastAsia" w:ascii="宋体" w:hAnsi="宋体"/>
          <w:color w:val="000000"/>
          <w:kern w:val="21"/>
          <w:sz w:val="28"/>
          <w:szCs w:val="28"/>
          <w:lang w:val="en-US" w:eastAsia="zh-CN"/>
        </w:rPr>
        <w:t>100</w:t>
      </w:r>
      <w:r>
        <w:rPr>
          <w:rFonts w:ascii="宋体" w:hAnsi="宋体"/>
          <w:color w:val="000000"/>
          <w:kern w:val="21"/>
          <w:sz w:val="28"/>
          <w:szCs w:val="28"/>
        </w:rPr>
        <w:t>%</w:t>
      </w:r>
      <w:r>
        <w:rPr>
          <w:rFonts w:hint="eastAsia" w:ascii="宋体" w:hAnsi="宋体"/>
          <w:color w:val="000000"/>
          <w:kern w:val="21"/>
          <w:sz w:val="28"/>
          <w:szCs w:val="28"/>
          <w:lang w:eastAsia="zh-CN"/>
        </w:rPr>
        <w:t>。</w:t>
      </w:r>
      <w:r>
        <w:rPr>
          <w:rFonts w:hint="eastAsia" w:ascii="宋体" w:hAnsi="宋体"/>
          <w:color w:val="000000"/>
          <w:kern w:val="21"/>
          <w:sz w:val="28"/>
          <w:szCs w:val="28"/>
          <w:lang w:val="en-US" w:eastAsia="zh-CN"/>
        </w:rPr>
        <w:t>我站公务用车1台，与去年相比，</w:t>
      </w:r>
      <w:r>
        <w:rPr>
          <w:rFonts w:ascii="宋体" w:hAnsi="宋体"/>
          <w:color w:val="000000"/>
          <w:kern w:val="21"/>
          <w:sz w:val="28"/>
          <w:szCs w:val="28"/>
        </w:rPr>
        <w:t>公务用车运行维护费</w:t>
      </w:r>
      <w:r>
        <w:rPr>
          <w:rFonts w:hint="eastAsia" w:ascii="宋体" w:hAnsi="宋体"/>
          <w:color w:val="000000"/>
          <w:kern w:val="21"/>
          <w:sz w:val="28"/>
          <w:szCs w:val="28"/>
          <w:lang w:val="en-US" w:eastAsia="zh-CN"/>
        </w:rPr>
        <w:t>保持稳定；公务接待费中，</w:t>
      </w:r>
      <w:r>
        <w:rPr>
          <w:rFonts w:hint="eastAsia" w:ascii="宋体" w:hAnsi="宋体" w:cs="仿宋_GB2312"/>
          <w:kern w:val="0"/>
          <w:sz w:val="28"/>
          <w:szCs w:val="28"/>
          <w:lang w:bidi="ar"/>
        </w:rPr>
        <w:t>根据</w:t>
      </w:r>
      <w:r>
        <w:rPr>
          <w:rFonts w:hint="eastAsia" w:ascii="宋体" w:hAnsi="宋体" w:cs="仿宋_GB2312"/>
          <w:kern w:val="0"/>
          <w:sz w:val="28"/>
          <w:szCs w:val="28"/>
          <w:lang w:val="en-US" w:eastAsia="zh-CN" w:bidi="ar"/>
        </w:rPr>
        <w:t>湘财行【2018】62号</w:t>
      </w:r>
      <w:r>
        <w:rPr>
          <w:rFonts w:hint="eastAsia" w:ascii="宋体" w:hAnsi="宋体" w:cs="仿宋_GB2312"/>
          <w:kern w:val="0"/>
          <w:sz w:val="28"/>
          <w:szCs w:val="28"/>
          <w:lang w:bidi="ar"/>
        </w:rPr>
        <w:t>文件精神，</w:t>
      </w:r>
      <w:r>
        <w:rPr>
          <w:rFonts w:hint="eastAsia" w:ascii="宋体" w:hAnsi="宋体" w:cs="仿宋_GB2312"/>
          <w:kern w:val="0"/>
          <w:sz w:val="28"/>
          <w:szCs w:val="28"/>
          <w:lang w:val="en-US" w:eastAsia="zh-CN" w:bidi="ar"/>
        </w:rPr>
        <w:t>我站从2020年接待标准有所提高</w:t>
      </w:r>
      <w:r>
        <w:rPr>
          <w:rFonts w:hint="eastAsia" w:ascii="宋体" w:hAnsi="宋体"/>
          <w:sz w:val="28"/>
          <w:szCs w:val="28"/>
          <w:lang w:eastAsia="zh-CN"/>
        </w:rPr>
        <w:t>，</w:t>
      </w:r>
      <w:r>
        <w:rPr>
          <w:rFonts w:hint="eastAsia" w:ascii="宋体" w:hAnsi="宋体"/>
          <w:sz w:val="28"/>
          <w:szCs w:val="28"/>
          <w:lang w:val="en-US" w:eastAsia="zh-CN"/>
        </w:rPr>
        <w:t>导致支出稍有增加，但也控制在预算范围内，去年接待次数8批次，接待人数56人，无因公国（境）团组数和人数。</w:t>
      </w:r>
    </w:p>
    <w:p>
      <w:pPr>
        <w:pStyle w:val="2"/>
        <w:rPr>
          <w:rFonts w:hint="eastAsia"/>
        </w:rPr>
      </w:pPr>
    </w:p>
    <w:p>
      <w:pPr>
        <w:kinsoku w:val="0"/>
        <w:overflowPunct w:val="0"/>
        <w:spacing w:line="580" w:lineRule="exact"/>
        <w:ind w:left="280" w:leftChars="67" w:hanging="140" w:hangingChars="50"/>
        <w:rPr>
          <w:rFonts w:ascii="宋体" w:hAnsi="宋体"/>
          <w:color w:val="000000"/>
          <w:kern w:val="21"/>
          <w:sz w:val="28"/>
          <w:szCs w:val="28"/>
        </w:rPr>
      </w:pPr>
    </w:p>
    <w:tbl>
      <w:tblPr>
        <w:tblStyle w:val="7"/>
        <w:tblW w:w="10268" w:type="dxa"/>
        <w:jc w:val="center"/>
        <w:tblLayout w:type="fixed"/>
        <w:tblCellMar>
          <w:top w:w="0" w:type="dxa"/>
          <w:left w:w="108" w:type="dxa"/>
          <w:bottom w:w="0" w:type="dxa"/>
          <w:right w:w="108" w:type="dxa"/>
        </w:tblCellMar>
      </w:tblPr>
      <w:tblGrid>
        <w:gridCol w:w="1994"/>
        <w:gridCol w:w="1140"/>
        <w:gridCol w:w="1140"/>
        <w:gridCol w:w="1015"/>
        <w:gridCol w:w="1165"/>
        <w:gridCol w:w="1288"/>
        <w:gridCol w:w="1263"/>
        <w:gridCol w:w="1263"/>
      </w:tblGrid>
      <w:tr>
        <w:tblPrEx>
          <w:tblCellMar>
            <w:top w:w="0" w:type="dxa"/>
            <w:left w:w="108" w:type="dxa"/>
            <w:bottom w:w="0" w:type="dxa"/>
            <w:right w:w="108" w:type="dxa"/>
          </w:tblCellMar>
        </w:tblPrEx>
        <w:trPr>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hint="eastAsia" w:ascii="宋体" w:hAnsi="宋体"/>
                <w:b/>
                <w:bCs/>
                <w:color w:val="000000"/>
                <w:kern w:val="21"/>
                <w:sz w:val="24"/>
              </w:rPr>
            </w:pPr>
          </w:p>
          <w:p>
            <w:pPr>
              <w:kinsoku w:val="0"/>
              <w:overflowPunct w:val="0"/>
              <w:jc w:val="center"/>
              <w:rPr>
                <w:rFonts w:ascii="宋体" w:hAnsi="宋体"/>
                <w:b/>
                <w:bCs/>
                <w:color w:val="000000"/>
                <w:kern w:val="21"/>
                <w:sz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b/>
                <w:bCs/>
                <w:color w:val="000000"/>
                <w:kern w:val="21"/>
                <w:sz w:val="24"/>
                <w:lang w:val="en-US" w:eastAsia="zh-CN"/>
              </w:rPr>
            </w:pPr>
            <w:r>
              <w:rPr>
                <w:rFonts w:hint="eastAsia" w:ascii="宋体" w:hAnsi="宋体"/>
                <w:b/>
                <w:bCs/>
                <w:color w:val="000000"/>
                <w:kern w:val="21"/>
                <w:sz w:val="24"/>
                <w:lang w:val="en-US" w:eastAsia="zh-CN"/>
              </w:rPr>
              <w:t>上年结转结余</w:t>
            </w:r>
          </w:p>
        </w:tc>
        <w:tc>
          <w:tcPr>
            <w:tcW w:w="1140"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b/>
                <w:bCs/>
                <w:color w:val="000000"/>
                <w:kern w:val="21"/>
                <w:sz w:val="24"/>
              </w:rPr>
            </w:pPr>
            <w:r>
              <w:rPr>
                <w:rFonts w:ascii="宋体" w:hAnsi="宋体"/>
                <w:b/>
                <w:bCs/>
                <w:color w:val="000000"/>
                <w:kern w:val="21"/>
                <w:sz w:val="24"/>
              </w:rPr>
              <w:t>年初部门预算</w:t>
            </w:r>
          </w:p>
        </w:tc>
        <w:tc>
          <w:tcPr>
            <w:tcW w:w="1015" w:type="dxa"/>
            <w:tcBorders>
              <w:top w:val="single" w:color="auto" w:sz="4" w:space="0"/>
              <w:left w:val="nil"/>
              <w:bottom w:val="single" w:color="auto" w:sz="4" w:space="0"/>
              <w:right w:val="single" w:color="auto" w:sz="4" w:space="0"/>
            </w:tcBorders>
            <w:noWrap w:val="0"/>
            <w:vAlign w:val="center"/>
          </w:tcPr>
          <w:p>
            <w:pPr>
              <w:kinsoku w:val="0"/>
              <w:overflowPunct w:val="0"/>
              <w:jc w:val="center"/>
              <w:rPr>
                <w:rFonts w:ascii="宋体" w:hAnsi="宋体"/>
                <w:b/>
                <w:bCs/>
                <w:color w:val="000000"/>
                <w:kern w:val="21"/>
                <w:sz w:val="24"/>
              </w:rPr>
            </w:pPr>
            <w:r>
              <w:rPr>
                <w:rFonts w:ascii="宋体" w:hAnsi="宋体"/>
                <w:b/>
                <w:bCs/>
                <w:color w:val="000000"/>
                <w:kern w:val="21"/>
                <w:sz w:val="24"/>
              </w:rPr>
              <w:t>年中追加</w:t>
            </w:r>
          </w:p>
          <w:p>
            <w:pPr>
              <w:kinsoku w:val="0"/>
              <w:overflowPunct w:val="0"/>
              <w:jc w:val="center"/>
              <w:rPr>
                <w:rFonts w:ascii="宋体" w:hAnsi="宋体"/>
                <w:b/>
                <w:bCs/>
                <w:color w:val="000000"/>
                <w:kern w:val="21"/>
                <w:sz w:val="24"/>
              </w:rPr>
            </w:pPr>
            <w:r>
              <w:rPr>
                <w:rFonts w:ascii="宋体" w:hAnsi="宋体"/>
                <w:b/>
                <w:bCs/>
                <w:color w:val="000000"/>
                <w:kern w:val="21"/>
                <w:sz w:val="24"/>
              </w:rPr>
              <w:t>预算</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b/>
                <w:bCs/>
                <w:color w:val="000000"/>
                <w:kern w:val="21"/>
                <w:sz w:val="24"/>
              </w:rPr>
            </w:pPr>
            <w:r>
              <w:rPr>
                <w:rFonts w:ascii="宋体" w:hAnsi="宋体"/>
                <w:b/>
                <w:bCs/>
                <w:color w:val="000000"/>
                <w:kern w:val="21"/>
                <w:sz w:val="24"/>
              </w:rPr>
              <w:t>总预算资金</w:t>
            </w:r>
          </w:p>
        </w:tc>
        <w:tc>
          <w:tcPr>
            <w:tcW w:w="1288" w:type="dxa"/>
            <w:tcBorders>
              <w:top w:val="single" w:color="auto" w:sz="4" w:space="0"/>
              <w:left w:val="nil"/>
              <w:bottom w:val="single" w:color="auto" w:sz="4" w:space="0"/>
              <w:right w:val="single" w:color="auto" w:sz="4" w:space="0"/>
            </w:tcBorders>
            <w:noWrap w:val="0"/>
            <w:vAlign w:val="center"/>
          </w:tcPr>
          <w:p>
            <w:pPr>
              <w:kinsoku w:val="0"/>
              <w:overflowPunct w:val="0"/>
              <w:jc w:val="center"/>
              <w:rPr>
                <w:rFonts w:ascii="宋体" w:hAnsi="宋体"/>
                <w:b/>
                <w:bCs/>
                <w:color w:val="000000"/>
                <w:kern w:val="21"/>
                <w:sz w:val="24"/>
              </w:rPr>
            </w:pPr>
            <w:r>
              <w:rPr>
                <w:rFonts w:ascii="宋体" w:hAnsi="宋体"/>
                <w:b/>
                <w:bCs/>
                <w:color w:val="000000"/>
                <w:kern w:val="21"/>
                <w:sz w:val="24"/>
              </w:rPr>
              <w:t>已执行预算</w:t>
            </w:r>
          </w:p>
        </w:tc>
        <w:tc>
          <w:tcPr>
            <w:tcW w:w="1263" w:type="dxa"/>
            <w:tcBorders>
              <w:top w:val="single" w:color="auto" w:sz="4" w:space="0"/>
              <w:left w:val="nil"/>
              <w:bottom w:val="single" w:color="auto" w:sz="4" w:space="0"/>
              <w:right w:val="single" w:color="auto" w:sz="4" w:space="0"/>
            </w:tcBorders>
            <w:noWrap w:val="0"/>
            <w:vAlign w:val="center"/>
          </w:tcPr>
          <w:p>
            <w:pPr>
              <w:kinsoku w:val="0"/>
              <w:overflowPunct w:val="0"/>
              <w:jc w:val="center"/>
              <w:rPr>
                <w:rFonts w:hint="default" w:ascii="宋体" w:hAnsi="宋体" w:eastAsia="宋体"/>
                <w:b/>
                <w:bCs/>
                <w:color w:val="000000"/>
                <w:kern w:val="21"/>
                <w:sz w:val="24"/>
                <w:lang w:val="en-US" w:eastAsia="zh-CN"/>
              </w:rPr>
            </w:pPr>
            <w:r>
              <w:rPr>
                <w:rFonts w:hint="eastAsia" w:ascii="宋体" w:hAnsi="宋体"/>
                <w:b/>
                <w:bCs/>
                <w:color w:val="000000"/>
                <w:kern w:val="21"/>
                <w:sz w:val="24"/>
                <w:lang w:val="en-US" w:eastAsia="zh-CN"/>
              </w:rPr>
              <w:t>年末结转结余</w:t>
            </w:r>
          </w:p>
        </w:tc>
        <w:tc>
          <w:tcPr>
            <w:tcW w:w="1263" w:type="dxa"/>
            <w:tcBorders>
              <w:top w:val="single" w:color="auto" w:sz="4" w:space="0"/>
              <w:left w:val="nil"/>
              <w:bottom w:val="single" w:color="auto" w:sz="4" w:space="0"/>
              <w:right w:val="single" w:color="auto" w:sz="4" w:space="0"/>
            </w:tcBorders>
            <w:noWrap w:val="0"/>
            <w:vAlign w:val="center"/>
          </w:tcPr>
          <w:p>
            <w:pPr>
              <w:kinsoku w:val="0"/>
              <w:overflowPunct w:val="0"/>
              <w:jc w:val="center"/>
              <w:rPr>
                <w:rFonts w:ascii="宋体" w:hAnsi="宋体"/>
                <w:b/>
                <w:bCs/>
                <w:color w:val="000000"/>
                <w:kern w:val="21"/>
                <w:sz w:val="24"/>
              </w:rPr>
            </w:pPr>
            <w:r>
              <w:rPr>
                <w:rFonts w:ascii="宋体" w:hAnsi="宋体"/>
                <w:b/>
                <w:bCs/>
                <w:color w:val="000000"/>
                <w:kern w:val="21"/>
                <w:sz w:val="24"/>
              </w:rPr>
              <w:t>预算执行率</w:t>
            </w:r>
          </w:p>
        </w:tc>
      </w:tr>
      <w:tr>
        <w:tblPrEx>
          <w:tblCellMar>
            <w:top w:w="0" w:type="dxa"/>
            <w:left w:w="108" w:type="dxa"/>
            <w:bottom w:w="0" w:type="dxa"/>
            <w:right w:w="108" w:type="dxa"/>
          </w:tblCellMar>
        </w:tblPrEx>
        <w:trPr>
          <w:trHeight w:val="459"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Cs w:val="21"/>
              </w:rPr>
            </w:pPr>
            <w:r>
              <w:rPr>
                <w:rFonts w:ascii="宋体" w:hAnsi="宋体"/>
                <w:color w:val="000000"/>
                <w:kern w:val="21"/>
                <w:szCs w:val="21"/>
              </w:rPr>
              <w:t>一、人员经费支出</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5.5</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102.09</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eastAsia="宋体"/>
                <w:color w:val="000000"/>
                <w:kern w:val="21"/>
                <w:sz w:val="24"/>
                <w:lang w:val="en-US" w:eastAsia="zh-CN"/>
              </w:rPr>
            </w:pPr>
            <w:r>
              <w:rPr>
                <w:rFonts w:ascii="宋体" w:hAnsi="宋体"/>
                <w:color w:val="000000"/>
                <w:kern w:val="21"/>
                <w:sz w:val="24"/>
              </w:rPr>
              <w:t>5.</w:t>
            </w:r>
            <w:r>
              <w:rPr>
                <w:rFonts w:hint="eastAsia" w:ascii="宋体" w:hAnsi="宋体"/>
                <w:color w:val="000000"/>
                <w:kern w:val="21"/>
                <w:sz w:val="24"/>
                <w:lang w:val="en-US" w:eastAsia="zh-CN"/>
              </w:rPr>
              <w:t>2</w:t>
            </w: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112.79</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112.79</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rPr>
            </w:pP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lang w:val="en-US" w:eastAsia="zh-CN"/>
              </w:rPr>
              <w:t>100</w:t>
            </w:r>
            <w:r>
              <w:rPr>
                <w:rFonts w:ascii="宋体" w:hAnsi="宋体"/>
                <w:color w:val="000000"/>
                <w:kern w:val="21"/>
                <w:sz w:val="24"/>
              </w:rPr>
              <w:t xml:space="preserve"> %</w:t>
            </w:r>
          </w:p>
        </w:tc>
      </w:tr>
      <w:tr>
        <w:tblPrEx>
          <w:tblCellMar>
            <w:top w:w="0" w:type="dxa"/>
            <w:left w:w="108" w:type="dxa"/>
            <w:bottom w:w="0" w:type="dxa"/>
            <w:right w:w="108" w:type="dxa"/>
          </w:tblCellMar>
        </w:tblPrEx>
        <w:trPr>
          <w:trHeight w:val="409"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Cs w:val="21"/>
              </w:rPr>
            </w:pPr>
            <w:r>
              <w:rPr>
                <w:rFonts w:ascii="宋体" w:hAnsi="宋体"/>
                <w:color w:val="000000"/>
                <w:kern w:val="21"/>
                <w:szCs w:val="21"/>
              </w:rPr>
              <w:t>二、公用经费支出</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lang w:val="en-US" w:eastAsia="zh-CN"/>
              </w:rPr>
            </w:pP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32.57</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32.57</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32.57</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lang w:val="en-US" w:eastAsia="zh-CN"/>
              </w:rPr>
            </w:pP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lang w:val="en-US" w:eastAsia="zh-CN"/>
              </w:rPr>
              <w:t>100</w:t>
            </w:r>
            <w:r>
              <w:rPr>
                <w:rFonts w:ascii="宋体" w:hAnsi="宋体"/>
                <w:color w:val="000000"/>
                <w:kern w:val="21"/>
                <w:sz w:val="24"/>
              </w:rPr>
              <w:t>%</w:t>
            </w:r>
          </w:p>
        </w:tc>
      </w:tr>
      <w:tr>
        <w:tblPrEx>
          <w:tblCellMar>
            <w:top w:w="0" w:type="dxa"/>
            <w:left w:w="108" w:type="dxa"/>
            <w:bottom w:w="0" w:type="dxa"/>
            <w:right w:w="108" w:type="dxa"/>
          </w:tblCellMar>
        </w:tblPrEx>
        <w:trPr>
          <w:trHeight w:val="407"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rPr>
                <w:rFonts w:ascii="宋体" w:hAnsi="宋体"/>
                <w:color w:val="000000"/>
                <w:kern w:val="21"/>
                <w:sz w:val="24"/>
              </w:rPr>
            </w:pPr>
            <w:r>
              <w:rPr>
                <w:rFonts w:ascii="宋体" w:hAnsi="宋体"/>
                <w:color w:val="000000"/>
                <w:kern w:val="21"/>
                <w:sz w:val="24"/>
              </w:rPr>
              <w:t>三</w:t>
            </w:r>
            <w:r>
              <w:rPr>
                <w:rFonts w:hint="eastAsia" w:ascii="宋体" w:hAnsi="宋体"/>
                <w:color w:val="000000"/>
                <w:kern w:val="21"/>
                <w:sz w:val="24"/>
              </w:rPr>
              <w:t>、</w:t>
            </w:r>
            <w:r>
              <w:rPr>
                <w:rFonts w:ascii="宋体" w:hAnsi="宋体"/>
                <w:color w:val="000000"/>
                <w:kern w:val="21"/>
                <w:sz w:val="24"/>
              </w:rPr>
              <w:t>项目支出</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18</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100</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118</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39.41</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78.59</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lang w:val="en-US" w:eastAsia="zh-CN"/>
              </w:rPr>
              <w:t>33.4</w:t>
            </w:r>
            <w:r>
              <w:rPr>
                <w:rFonts w:hint="eastAsia" w:ascii="宋体" w:hAnsi="宋体"/>
                <w:color w:val="000000"/>
                <w:kern w:val="21"/>
                <w:sz w:val="24"/>
              </w:rPr>
              <w:t>%</w:t>
            </w:r>
          </w:p>
        </w:tc>
      </w:tr>
      <w:tr>
        <w:tblPrEx>
          <w:tblCellMar>
            <w:top w:w="0" w:type="dxa"/>
            <w:left w:w="108" w:type="dxa"/>
            <w:bottom w:w="0" w:type="dxa"/>
            <w:right w:w="108" w:type="dxa"/>
          </w:tblCellMar>
        </w:tblPrEx>
        <w:trPr>
          <w:trHeight w:val="421"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1"/>
                <w:szCs w:val="21"/>
                <w:lang w:val="en-US" w:eastAsia="zh-CN"/>
              </w:rPr>
              <w:t>四、其他项目支出</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165</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lang w:val="en-US" w:eastAsia="zh-CN"/>
              </w:rPr>
            </w:pP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165</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126.21</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38.79</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76.49%</w:t>
            </w:r>
          </w:p>
        </w:tc>
      </w:tr>
      <w:tr>
        <w:tblPrEx>
          <w:tblCellMar>
            <w:top w:w="0" w:type="dxa"/>
            <w:left w:w="108" w:type="dxa"/>
            <w:bottom w:w="0" w:type="dxa"/>
            <w:right w:w="108" w:type="dxa"/>
          </w:tblCellMar>
        </w:tblPrEx>
        <w:trPr>
          <w:trHeight w:val="421"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ascii="宋体" w:hAnsi="宋体"/>
                <w:color w:val="000000"/>
                <w:kern w:val="21"/>
                <w:sz w:val="24"/>
              </w:rPr>
              <w:t>合 计</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188.5</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234.66</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eastAsia="宋体"/>
                <w:color w:val="000000"/>
                <w:kern w:val="21"/>
                <w:sz w:val="24"/>
                <w:lang w:val="en-US" w:eastAsia="zh-CN"/>
              </w:rPr>
            </w:pPr>
            <w:r>
              <w:rPr>
                <w:rFonts w:ascii="宋体" w:hAnsi="宋体"/>
                <w:color w:val="000000"/>
                <w:kern w:val="21"/>
                <w:sz w:val="24"/>
              </w:rPr>
              <w:t>5.</w:t>
            </w:r>
            <w:r>
              <w:rPr>
                <w:rFonts w:hint="eastAsia" w:ascii="宋体" w:hAnsi="宋体"/>
                <w:color w:val="000000"/>
                <w:kern w:val="21"/>
                <w:sz w:val="24"/>
                <w:lang w:val="en-US" w:eastAsia="zh-CN"/>
              </w:rPr>
              <w:t>2</w:t>
            </w: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428.39</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310.98</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color w:val="000000"/>
                <w:kern w:val="21"/>
                <w:sz w:val="24"/>
                <w:lang w:val="en-US" w:eastAsia="zh-CN"/>
              </w:rPr>
            </w:pPr>
            <w:r>
              <w:rPr>
                <w:rFonts w:hint="eastAsia" w:ascii="宋体" w:hAnsi="宋体"/>
                <w:color w:val="000000"/>
                <w:kern w:val="21"/>
                <w:sz w:val="24"/>
                <w:lang w:val="en-US" w:eastAsia="zh-CN"/>
              </w:rPr>
              <w:t>117.38</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lang w:val="en-US" w:eastAsia="zh-CN"/>
              </w:rPr>
              <w:t>72.59</w:t>
            </w:r>
            <w:r>
              <w:rPr>
                <w:rFonts w:ascii="宋体" w:hAnsi="宋体"/>
                <w:color w:val="000000"/>
                <w:kern w:val="21"/>
                <w:sz w:val="24"/>
              </w:rPr>
              <w:t>%</w:t>
            </w:r>
          </w:p>
        </w:tc>
      </w:tr>
      <w:tr>
        <w:tblPrEx>
          <w:tblCellMar>
            <w:top w:w="0" w:type="dxa"/>
            <w:left w:w="108" w:type="dxa"/>
            <w:bottom w:w="0" w:type="dxa"/>
            <w:right w:w="108" w:type="dxa"/>
          </w:tblCellMar>
        </w:tblPrEx>
        <w:trPr>
          <w:trHeight w:val="413"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rPr>
                <w:rFonts w:ascii="宋体" w:hAnsi="宋体"/>
                <w:color w:val="000000"/>
                <w:kern w:val="21"/>
                <w:sz w:val="24"/>
              </w:rPr>
            </w:pPr>
            <w:r>
              <w:rPr>
                <w:rFonts w:hint="eastAsia" w:ascii="宋体" w:hAnsi="宋体"/>
                <w:color w:val="000000"/>
                <w:kern w:val="21"/>
                <w:sz w:val="24"/>
              </w:rPr>
              <w:t>四</w:t>
            </w:r>
            <w:r>
              <w:rPr>
                <w:rFonts w:ascii="宋体" w:hAnsi="宋体"/>
                <w:color w:val="000000"/>
                <w:kern w:val="21"/>
                <w:sz w:val="24"/>
              </w:rPr>
              <w:t>、三公经费</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rPr>
            </w:pP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rPr>
              <w:t>4.1</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rPr>
              <w:t>4.1</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default" w:ascii="宋体" w:hAnsi="宋体" w:eastAsia="宋体"/>
                <w:color w:val="000000"/>
                <w:kern w:val="21"/>
                <w:sz w:val="24"/>
                <w:lang w:val="en-US" w:eastAsia="zh-CN"/>
              </w:rPr>
            </w:pPr>
            <w:r>
              <w:rPr>
                <w:rFonts w:hint="eastAsia" w:ascii="宋体" w:hAnsi="宋体"/>
                <w:color w:val="000000"/>
                <w:kern w:val="21"/>
                <w:sz w:val="24"/>
                <w:lang w:val="en-US" w:eastAsia="zh-CN"/>
              </w:rPr>
              <w:t>4.1</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lang w:val="en-US" w:eastAsia="zh-CN"/>
              </w:rPr>
            </w:pP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lang w:val="en-US" w:eastAsia="zh-CN"/>
              </w:rPr>
              <w:t>100</w:t>
            </w:r>
            <w:r>
              <w:rPr>
                <w:rFonts w:ascii="宋体" w:hAnsi="宋体"/>
                <w:color w:val="000000"/>
                <w:kern w:val="21"/>
                <w:sz w:val="24"/>
              </w:rPr>
              <w:t>%</w:t>
            </w:r>
          </w:p>
        </w:tc>
      </w:tr>
      <w:tr>
        <w:tblPrEx>
          <w:tblCellMar>
            <w:top w:w="0" w:type="dxa"/>
            <w:left w:w="108" w:type="dxa"/>
            <w:bottom w:w="0" w:type="dxa"/>
            <w:right w:w="108" w:type="dxa"/>
          </w:tblCellMar>
        </w:tblPrEx>
        <w:trPr>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ascii="宋体" w:hAnsi="宋体"/>
                <w:color w:val="000000"/>
                <w:kern w:val="21"/>
                <w:sz w:val="24"/>
              </w:rPr>
              <w:t>其中：1、公务用车运行维护费</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ascii="宋体" w:hAnsi="宋体"/>
                <w:color w:val="000000"/>
                <w:kern w:val="21"/>
                <w:sz w:val="24"/>
              </w:rPr>
              <w:t>3.</w:t>
            </w:r>
            <w:r>
              <w:rPr>
                <w:rFonts w:hint="eastAsia" w:ascii="宋体" w:hAnsi="宋体"/>
                <w:color w:val="000000"/>
                <w:kern w:val="21"/>
                <w:sz w:val="24"/>
              </w:rPr>
              <w:t>6</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rPr>
              <w:t>3.6</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rPr>
              <w:t>3.6</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rPr>
            </w:pP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ascii="宋体" w:hAnsi="宋体"/>
                <w:color w:val="000000"/>
                <w:kern w:val="21"/>
                <w:sz w:val="24"/>
              </w:rPr>
              <w:t>100%</w:t>
            </w:r>
          </w:p>
        </w:tc>
      </w:tr>
      <w:tr>
        <w:tblPrEx>
          <w:tblCellMar>
            <w:top w:w="0" w:type="dxa"/>
            <w:left w:w="108" w:type="dxa"/>
            <w:bottom w:w="0" w:type="dxa"/>
            <w:right w:w="108" w:type="dxa"/>
          </w:tblCellMar>
        </w:tblPrEx>
        <w:trPr>
          <w:trHeight w:val="527" w:hRule="atLeast"/>
          <w:jc w:val="center"/>
        </w:trPr>
        <w:tc>
          <w:tcPr>
            <w:tcW w:w="1994" w:type="dxa"/>
            <w:tcBorders>
              <w:top w:val="single" w:color="auto" w:sz="4" w:space="0"/>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ascii="宋体" w:hAnsi="宋体"/>
                <w:color w:val="000000"/>
                <w:kern w:val="21"/>
                <w:sz w:val="24"/>
              </w:rPr>
              <w:t>2、公务接待费</w:t>
            </w: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rPr>
            </w:pPr>
          </w:p>
        </w:tc>
        <w:tc>
          <w:tcPr>
            <w:tcW w:w="1140"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rPr>
              <w:t>0.5</w:t>
            </w:r>
          </w:p>
        </w:tc>
        <w:tc>
          <w:tcPr>
            <w:tcW w:w="1015"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p>
        </w:tc>
        <w:tc>
          <w:tcPr>
            <w:tcW w:w="1165" w:type="dxa"/>
            <w:tcBorders>
              <w:top w:val="nil"/>
              <w:left w:val="single" w:color="auto" w:sz="4" w:space="0"/>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rPr>
              <w:t>0.5</w:t>
            </w:r>
          </w:p>
        </w:tc>
        <w:tc>
          <w:tcPr>
            <w:tcW w:w="1288"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eastAsia="宋体"/>
                <w:color w:val="000000"/>
                <w:kern w:val="21"/>
                <w:sz w:val="24"/>
                <w:lang w:val="en-US" w:eastAsia="zh-CN"/>
              </w:rPr>
            </w:pPr>
            <w:r>
              <w:rPr>
                <w:rFonts w:hint="eastAsia" w:ascii="宋体" w:hAnsi="宋体"/>
                <w:color w:val="000000"/>
                <w:kern w:val="21"/>
                <w:sz w:val="24"/>
              </w:rPr>
              <w:t>0.</w:t>
            </w:r>
            <w:r>
              <w:rPr>
                <w:rFonts w:hint="eastAsia" w:ascii="宋体" w:hAnsi="宋体"/>
                <w:color w:val="000000"/>
                <w:kern w:val="21"/>
                <w:sz w:val="24"/>
                <w:lang w:val="en-US" w:eastAsia="zh-CN"/>
              </w:rPr>
              <w:t>5</w:t>
            </w: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hint="eastAsia" w:ascii="宋体" w:hAnsi="宋体"/>
                <w:color w:val="000000"/>
                <w:kern w:val="21"/>
                <w:sz w:val="24"/>
              </w:rPr>
            </w:pPr>
          </w:p>
        </w:tc>
        <w:tc>
          <w:tcPr>
            <w:tcW w:w="1263" w:type="dxa"/>
            <w:tcBorders>
              <w:top w:val="nil"/>
              <w:left w:val="nil"/>
              <w:bottom w:val="single" w:color="auto" w:sz="4" w:space="0"/>
              <w:right w:val="single" w:color="auto" w:sz="4" w:space="0"/>
            </w:tcBorders>
            <w:noWrap w:val="0"/>
            <w:vAlign w:val="center"/>
          </w:tcPr>
          <w:p>
            <w:pPr>
              <w:kinsoku w:val="0"/>
              <w:overflowPunct w:val="0"/>
              <w:jc w:val="center"/>
              <w:rPr>
                <w:rFonts w:ascii="宋体" w:hAnsi="宋体"/>
                <w:color w:val="000000"/>
                <w:kern w:val="21"/>
                <w:sz w:val="24"/>
              </w:rPr>
            </w:pPr>
            <w:r>
              <w:rPr>
                <w:rFonts w:hint="eastAsia" w:ascii="宋体" w:hAnsi="宋体"/>
                <w:color w:val="000000"/>
                <w:kern w:val="21"/>
                <w:sz w:val="24"/>
                <w:lang w:val="en-US" w:eastAsia="zh-CN"/>
              </w:rPr>
              <w:t>100</w:t>
            </w:r>
            <w:r>
              <w:rPr>
                <w:rFonts w:ascii="宋体" w:hAnsi="宋体"/>
                <w:color w:val="000000"/>
                <w:kern w:val="21"/>
                <w:sz w:val="24"/>
              </w:rPr>
              <w:t>%</w:t>
            </w:r>
          </w:p>
        </w:tc>
      </w:tr>
    </w:tbl>
    <w:p>
      <w:pPr>
        <w:spacing w:line="580" w:lineRule="exact"/>
        <w:rPr>
          <w:rFonts w:ascii="宋体" w:hAnsi="宋体" w:cs="宋体"/>
          <w:color w:val="000000"/>
          <w:kern w:val="0"/>
          <w:sz w:val="28"/>
          <w:szCs w:val="28"/>
        </w:rPr>
      </w:pPr>
    </w:p>
    <w:p>
      <w:pPr>
        <w:pStyle w:val="13"/>
        <w:widowControl/>
        <w:spacing w:line="580" w:lineRule="exact"/>
        <w:ind w:left="640" w:firstLine="0" w:firstLineChars="0"/>
        <w:rPr>
          <w:rFonts w:hint="eastAsia" w:ascii="宋体" w:hAnsi="宋体"/>
          <w:sz w:val="28"/>
          <w:szCs w:val="28"/>
        </w:rPr>
      </w:pPr>
      <w:r>
        <w:rPr>
          <w:rFonts w:hint="eastAsia" w:ascii="宋体" w:hAnsi="宋体"/>
          <w:sz w:val="28"/>
          <w:szCs w:val="28"/>
        </w:rPr>
        <w:t xml:space="preserve">(二)  </w:t>
      </w:r>
      <w:r>
        <w:rPr>
          <w:rFonts w:ascii="宋体" w:hAnsi="宋体"/>
          <w:sz w:val="28"/>
          <w:szCs w:val="28"/>
        </w:rPr>
        <w:t>项目支出情况</w:t>
      </w:r>
    </w:p>
    <w:p>
      <w:pPr>
        <w:pStyle w:val="13"/>
        <w:widowControl/>
        <w:spacing w:line="580" w:lineRule="exact"/>
        <w:ind w:firstLine="560"/>
        <w:rPr>
          <w:rFonts w:hint="eastAsia" w:ascii="宋体" w:hAnsi="宋体"/>
          <w:sz w:val="28"/>
          <w:szCs w:val="28"/>
          <w:lang w:val="en-US" w:eastAsia="zh-CN"/>
        </w:rPr>
      </w:pPr>
      <w:r>
        <w:rPr>
          <w:rFonts w:ascii="宋体" w:hAnsi="宋体"/>
          <w:color w:val="000000"/>
          <w:kern w:val="21"/>
          <w:sz w:val="28"/>
          <w:szCs w:val="28"/>
        </w:rPr>
        <w:t>如上表，</w:t>
      </w:r>
      <w:r>
        <w:rPr>
          <w:rFonts w:hint="eastAsia" w:ascii="宋体" w:hAnsi="宋体"/>
          <w:sz w:val="28"/>
          <w:szCs w:val="28"/>
        </w:rPr>
        <w:t>项目支出为</w:t>
      </w:r>
      <w:r>
        <w:rPr>
          <w:rFonts w:hint="eastAsia" w:ascii="宋体" w:hAnsi="宋体"/>
          <w:sz w:val="28"/>
          <w:szCs w:val="28"/>
          <w:lang w:val="en-US" w:eastAsia="zh-CN"/>
        </w:rPr>
        <w:t>100</w:t>
      </w:r>
      <w:r>
        <w:rPr>
          <w:rFonts w:hint="eastAsia" w:ascii="宋体" w:hAnsi="宋体"/>
          <w:sz w:val="28"/>
          <w:szCs w:val="28"/>
        </w:rPr>
        <w:t>万元，该项目为业务工作专项，项目名称为空气质量背景站自动化监测网络运行维护，是往年连续性项目。</w:t>
      </w:r>
      <w:r>
        <w:rPr>
          <w:rFonts w:hint="eastAsia" w:ascii="宋体" w:hAnsi="宋体"/>
          <w:sz w:val="28"/>
          <w:szCs w:val="28"/>
          <w:lang w:val="en-US" w:eastAsia="zh-CN"/>
        </w:rPr>
        <w:t>2020年项目支出预算执行率33.4%，预算执行率偏底主要原因是空气背景站房维修项目启动晚，资金未及时支付出去，导致资金结转至下年。</w:t>
      </w:r>
    </w:p>
    <w:p>
      <w:pPr>
        <w:pStyle w:val="13"/>
        <w:widowControl/>
        <w:spacing w:line="580" w:lineRule="exact"/>
        <w:ind w:firstLine="560"/>
        <w:rPr>
          <w:rFonts w:hint="eastAsia" w:ascii="宋体" w:hAnsi="宋体" w:eastAsia="宋体" w:cs="宋体"/>
          <w:sz w:val="28"/>
          <w:szCs w:val="28"/>
          <w:lang w:val="en-US" w:eastAsia="zh-CN"/>
        </w:rPr>
      </w:pPr>
      <w:r>
        <w:rPr>
          <w:rFonts w:hint="eastAsia" w:ascii="宋体" w:hAnsi="宋体"/>
          <w:sz w:val="28"/>
          <w:szCs w:val="28"/>
          <w:lang w:val="en-US" w:eastAsia="zh-CN"/>
        </w:rPr>
        <w:t>其他项目支出，</w:t>
      </w:r>
      <w:r>
        <w:rPr>
          <w:rFonts w:hint="eastAsia" w:ascii="宋体" w:hAnsi="宋体" w:eastAsia="宋体" w:cs="宋体"/>
          <w:kern w:val="0"/>
          <w:sz w:val="28"/>
          <w:szCs w:val="28"/>
          <w:lang w:val="en-US" w:eastAsia="zh-CN"/>
        </w:rPr>
        <w:t>属于</w:t>
      </w:r>
      <w:r>
        <w:rPr>
          <w:rFonts w:hint="eastAsia" w:ascii="宋体" w:hAnsi="宋体" w:cs="宋体"/>
          <w:kern w:val="0"/>
          <w:sz w:val="28"/>
          <w:szCs w:val="28"/>
          <w:lang w:val="en-US" w:eastAsia="zh-CN"/>
        </w:rPr>
        <w:t>其他资本性支出，是大气项目，是</w:t>
      </w:r>
      <w:r>
        <w:rPr>
          <w:rFonts w:hint="eastAsia" w:ascii="宋体" w:hAnsi="宋体" w:eastAsia="宋体" w:cs="宋体"/>
          <w:kern w:val="0"/>
          <w:sz w:val="28"/>
          <w:szCs w:val="28"/>
          <w:lang w:val="en-US" w:eastAsia="zh-CN"/>
        </w:rPr>
        <w:t>两年以上中央专项资金</w:t>
      </w:r>
      <w:r>
        <w:rPr>
          <w:rFonts w:hint="eastAsia" w:ascii="宋体" w:hAnsi="宋体" w:cs="宋体"/>
          <w:kern w:val="0"/>
          <w:sz w:val="28"/>
          <w:szCs w:val="28"/>
          <w:lang w:val="en-US" w:eastAsia="zh-CN"/>
        </w:rPr>
        <w:t>，为空气背景站电力改造项目165万元，年底</w:t>
      </w:r>
      <w:r>
        <w:rPr>
          <w:rFonts w:hint="eastAsia" w:ascii="宋体" w:hAnsi="宋体" w:eastAsia="宋体" w:cs="宋体"/>
          <w:kern w:val="0"/>
          <w:sz w:val="28"/>
          <w:szCs w:val="28"/>
          <w:lang w:val="en-US" w:eastAsia="zh-CN"/>
        </w:rPr>
        <w:t>未用完的尾款</w:t>
      </w:r>
      <w:r>
        <w:rPr>
          <w:rFonts w:hint="eastAsia" w:ascii="宋体" w:hAnsi="宋体" w:cs="宋体"/>
          <w:kern w:val="0"/>
          <w:sz w:val="28"/>
          <w:szCs w:val="28"/>
          <w:lang w:val="en-US" w:eastAsia="zh-CN"/>
        </w:rPr>
        <w:t>38.79万元</w:t>
      </w:r>
      <w:r>
        <w:rPr>
          <w:rFonts w:hint="eastAsia" w:ascii="宋体" w:hAnsi="宋体" w:eastAsia="宋体" w:cs="宋体"/>
          <w:kern w:val="0"/>
          <w:sz w:val="28"/>
          <w:szCs w:val="28"/>
          <w:lang w:val="en-US" w:eastAsia="zh-CN"/>
        </w:rPr>
        <w:t>，由于</w:t>
      </w:r>
      <w:r>
        <w:rPr>
          <w:rFonts w:hint="eastAsia" w:ascii="宋体" w:hAnsi="宋体" w:cs="宋体"/>
          <w:kern w:val="0"/>
          <w:sz w:val="28"/>
          <w:szCs w:val="28"/>
          <w:lang w:val="en-US" w:eastAsia="zh-CN"/>
        </w:rPr>
        <w:t>项目</w:t>
      </w:r>
      <w:r>
        <w:rPr>
          <w:rFonts w:hint="eastAsia" w:ascii="宋体" w:hAnsi="宋体" w:eastAsia="宋体" w:cs="宋体"/>
          <w:kern w:val="0"/>
          <w:sz w:val="28"/>
          <w:szCs w:val="28"/>
          <w:lang w:val="en-US" w:eastAsia="zh-CN"/>
        </w:rPr>
        <w:t>财评资料出现问题</w:t>
      </w:r>
      <w:r>
        <w:rPr>
          <w:rFonts w:hint="eastAsia" w:ascii="宋体" w:hAnsi="宋体" w:cs="宋体"/>
          <w:kern w:val="0"/>
          <w:sz w:val="28"/>
          <w:szCs w:val="28"/>
          <w:lang w:val="en-US" w:eastAsia="zh-CN"/>
        </w:rPr>
        <w:t>，资金未支付出去</w:t>
      </w:r>
      <w:r>
        <w:rPr>
          <w:rFonts w:hint="eastAsia" w:ascii="宋体" w:hAnsi="宋体" w:eastAsia="宋体" w:cs="宋体"/>
          <w:kern w:val="0"/>
          <w:sz w:val="28"/>
          <w:szCs w:val="28"/>
          <w:lang w:val="en-US" w:eastAsia="zh-CN"/>
        </w:rPr>
        <w:t>导致，财政</w:t>
      </w:r>
      <w:r>
        <w:rPr>
          <w:rFonts w:hint="eastAsia" w:ascii="宋体" w:hAnsi="宋体" w:cs="宋体"/>
          <w:kern w:val="0"/>
          <w:sz w:val="28"/>
          <w:szCs w:val="28"/>
          <w:lang w:val="en-US" w:eastAsia="zh-CN"/>
        </w:rPr>
        <w:t>已</w:t>
      </w:r>
      <w:r>
        <w:rPr>
          <w:rFonts w:hint="eastAsia" w:ascii="宋体" w:hAnsi="宋体" w:eastAsia="宋体" w:cs="宋体"/>
          <w:kern w:val="0"/>
          <w:sz w:val="28"/>
          <w:szCs w:val="28"/>
          <w:lang w:val="en-US" w:eastAsia="zh-CN"/>
        </w:rPr>
        <w:t>收回</w:t>
      </w:r>
      <w:r>
        <w:rPr>
          <w:rFonts w:hint="eastAsia" w:ascii="宋体" w:hAnsi="宋体" w:cs="宋体"/>
          <w:kern w:val="0"/>
          <w:sz w:val="28"/>
          <w:szCs w:val="28"/>
          <w:lang w:val="en-US" w:eastAsia="zh-CN"/>
        </w:rPr>
        <w:t>。</w:t>
      </w:r>
    </w:p>
    <w:p>
      <w:pPr>
        <w:pStyle w:val="13"/>
        <w:widowControl/>
        <w:spacing w:line="580" w:lineRule="exact"/>
        <w:ind w:left="1360" w:firstLine="0" w:firstLineChars="0"/>
        <w:rPr>
          <w:rFonts w:ascii="宋体" w:hAnsi="宋体"/>
          <w:sz w:val="28"/>
          <w:szCs w:val="28"/>
        </w:rPr>
      </w:pPr>
    </w:p>
    <w:p>
      <w:pPr>
        <w:keepNext w:val="0"/>
        <w:keepLines w:val="0"/>
        <w:pageBreakBefore w:val="0"/>
        <w:widowControl/>
        <w:numPr>
          <w:ilvl w:val="0"/>
          <w:numId w:val="3"/>
        </w:numPr>
        <w:wordWrap/>
        <w:topLinePunct w:val="0"/>
        <w:autoSpaceDE/>
        <w:autoSpaceDN/>
        <w:bidi w:val="0"/>
        <w:adjustRightInd/>
        <w:snapToGrid/>
        <w:spacing w:line="580" w:lineRule="exact"/>
        <w:jc w:val="left"/>
        <w:textAlignment w:val="auto"/>
        <w:rPr>
          <w:rFonts w:hint="eastAsia" w:ascii="宋体" w:hAnsi="宋体"/>
          <w:b/>
          <w:sz w:val="28"/>
          <w:szCs w:val="28"/>
        </w:rPr>
      </w:pPr>
      <w:r>
        <w:rPr>
          <w:rFonts w:ascii="宋体" w:hAnsi="宋体"/>
          <w:b/>
          <w:sz w:val="28"/>
          <w:szCs w:val="28"/>
        </w:rPr>
        <w:t>部门整体支出绩效情况</w:t>
      </w:r>
    </w:p>
    <w:p>
      <w:pPr>
        <w:keepNext w:val="0"/>
        <w:keepLines w:val="0"/>
        <w:pageBreakBefore w:val="0"/>
        <w:widowControl w:val="0"/>
        <w:numPr>
          <w:ilvl w:val="0"/>
          <w:numId w:val="0"/>
        </w:numPr>
        <w:kinsoku w:val="0"/>
        <w:wordWrap/>
        <w:overflowPunct w:val="0"/>
        <w:topLinePunct w:val="0"/>
        <w:autoSpaceDE/>
        <w:autoSpaceDN/>
        <w:bidi w:val="0"/>
        <w:adjustRightInd/>
        <w:snapToGrid/>
        <w:spacing w:line="580" w:lineRule="exact"/>
        <w:ind w:leftChars="200" w:right="0" w:rightChars="0"/>
        <w:jc w:val="both"/>
        <w:textAlignment w:val="auto"/>
        <w:outlineLvl w:val="9"/>
        <w:rPr>
          <w:rFonts w:hint="eastAsia" w:ascii="宋体" w:hAnsi="宋体" w:eastAsia="宋体" w:cs="宋体"/>
          <w:bCs/>
          <w:color w:val="auto"/>
          <w:kern w:val="21"/>
          <w:sz w:val="28"/>
          <w:szCs w:val="28"/>
          <w:lang w:eastAsia="zh-CN"/>
        </w:rPr>
      </w:pP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一</w:t>
      </w:r>
      <w:r>
        <w:rPr>
          <w:rFonts w:hint="eastAsia" w:ascii="宋体" w:hAnsi="宋体" w:eastAsia="宋体" w:cs="宋体"/>
          <w:b/>
          <w:sz w:val="28"/>
          <w:szCs w:val="28"/>
          <w:lang w:eastAsia="zh-CN"/>
        </w:rPr>
        <w:t>）</w:t>
      </w:r>
      <w:r>
        <w:rPr>
          <w:rFonts w:hint="eastAsia" w:ascii="宋体" w:hAnsi="宋体" w:eastAsia="宋体" w:cs="宋体"/>
          <w:bCs/>
          <w:color w:val="auto"/>
          <w:kern w:val="21"/>
          <w:sz w:val="28"/>
          <w:szCs w:val="28"/>
          <w:lang w:eastAsia="zh-CN"/>
        </w:rPr>
        <w:t>管理制度及执行情况</w:t>
      </w:r>
    </w:p>
    <w:p>
      <w:pPr>
        <w:keepNext w:val="0"/>
        <w:keepLines w:val="0"/>
        <w:pageBreakBefore w:val="0"/>
        <w:widowControl w:val="0"/>
        <w:numPr>
          <w:ilvl w:val="0"/>
          <w:numId w:val="0"/>
        </w:numPr>
        <w:kinsoku w:val="0"/>
        <w:wordWrap/>
        <w:overflowPunct w:val="0"/>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b w:val="0"/>
          <w:bCs w:val="0"/>
          <w:color w:val="000000"/>
          <w:kern w:val="21"/>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b w:val="0"/>
          <w:bCs w:val="0"/>
          <w:color w:val="000000"/>
          <w:kern w:val="21"/>
          <w:sz w:val="28"/>
          <w:szCs w:val="28"/>
          <w:lang w:val="en-US" w:eastAsia="zh-CN"/>
        </w:rPr>
        <w:t>为了加强财务管理，结合站内财务管理制度和经济业务管理的实际情况，</w:t>
      </w:r>
      <w:r>
        <w:rPr>
          <w:rFonts w:hint="eastAsia" w:ascii="宋体" w:hAnsi="宋体" w:cs="宋体"/>
          <w:b w:val="0"/>
          <w:bCs w:val="0"/>
          <w:color w:val="000000"/>
          <w:kern w:val="21"/>
          <w:sz w:val="28"/>
          <w:szCs w:val="28"/>
          <w:lang w:val="en-US" w:eastAsia="zh-CN"/>
        </w:rPr>
        <w:t>完善</w:t>
      </w:r>
      <w:r>
        <w:rPr>
          <w:rFonts w:hint="eastAsia" w:ascii="宋体" w:hAnsi="宋体" w:eastAsia="宋体" w:cs="宋体"/>
          <w:b w:val="0"/>
          <w:bCs w:val="0"/>
          <w:color w:val="000000"/>
          <w:kern w:val="21"/>
          <w:sz w:val="28"/>
          <w:szCs w:val="28"/>
          <w:lang w:val="en-US" w:eastAsia="zh-CN"/>
        </w:rPr>
        <w:t>了内部控制手册，对预决算管理、收支管理 、政府采购管理、合同管理、资产管理和建设项目管理等各个业务层面加强了控制。我站在履行职能的过程中，各项经济业务活动严格遵守国家法律法规和站内财务管理制度、内部控制手册的规定，并接受主管部门的检查和监督，对业务活动的风险防范和管控有显著成效。</w:t>
      </w:r>
    </w:p>
    <w:p>
      <w:pPr>
        <w:keepNext w:val="0"/>
        <w:keepLines w:val="0"/>
        <w:pageBreakBefore w:val="0"/>
        <w:widowControl w:val="0"/>
        <w:kinsoku w:val="0"/>
        <w:wordWrap/>
        <w:overflowPunct w:val="0"/>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黑体" w:hAnsi="黑体" w:eastAsia="黑体" w:cs="黑体"/>
          <w:b w:val="0"/>
          <w:bCs w:val="0"/>
          <w:color w:val="auto"/>
          <w:kern w:val="21"/>
          <w:sz w:val="28"/>
          <w:szCs w:val="28"/>
        </w:rPr>
      </w:pPr>
      <w:r>
        <w:rPr>
          <w:rFonts w:hint="eastAsia" w:ascii="黑体" w:hAnsi="黑体" w:eastAsia="黑体" w:cs="黑体"/>
          <w:b w:val="0"/>
          <w:bCs w:val="0"/>
          <w:color w:val="auto"/>
          <w:kern w:val="21"/>
          <w:sz w:val="28"/>
          <w:szCs w:val="28"/>
          <w:lang w:eastAsia="zh-CN"/>
        </w:rPr>
        <w:t>（</w:t>
      </w:r>
      <w:r>
        <w:rPr>
          <w:rFonts w:hint="eastAsia" w:ascii="黑体" w:hAnsi="黑体" w:eastAsia="黑体" w:cs="黑体"/>
          <w:b w:val="0"/>
          <w:bCs w:val="0"/>
          <w:color w:val="auto"/>
          <w:kern w:val="21"/>
          <w:sz w:val="28"/>
          <w:szCs w:val="28"/>
          <w:lang w:val="en-US" w:eastAsia="zh-CN"/>
        </w:rPr>
        <w:t>二</w:t>
      </w:r>
      <w:r>
        <w:rPr>
          <w:rFonts w:hint="eastAsia" w:ascii="黑体" w:hAnsi="黑体" w:eastAsia="黑体" w:cs="黑体"/>
          <w:b w:val="0"/>
          <w:bCs w:val="0"/>
          <w:color w:val="auto"/>
          <w:kern w:val="21"/>
          <w:sz w:val="28"/>
          <w:szCs w:val="28"/>
          <w:lang w:eastAsia="zh-CN"/>
        </w:rPr>
        <w:t>）</w:t>
      </w:r>
      <w:r>
        <w:rPr>
          <w:rFonts w:hint="eastAsia" w:ascii="黑体" w:hAnsi="黑体" w:eastAsia="黑体" w:cs="黑体"/>
          <w:b w:val="0"/>
          <w:bCs w:val="0"/>
          <w:color w:val="auto"/>
          <w:kern w:val="21"/>
          <w:sz w:val="28"/>
          <w:szCs w:val="28"/>
          <w:lang w:val="en-US" w:eastAsia="zh-CN"/>
        </w:rPr>
        <w:t>主要业务工作</w:t>
      </w:r>
      <w:r>
        <w:rPr>
          <w:rFonts w:hint="eastAsia" w:ascii="黑体" w:hAnsi="黑体" w:eastAsia="黑体" w:cs="黑体"/>
          <w:b w:val="0"/>
          <w:bCs w:val="0"/>
          <w:color w:val="auto"/>
          <w:kern w:val="21"/>
          <w:sz w:val="28"/>
          <w:szCs w:val="28"/>
          <w:lang w:eastAsia="zh-CN"/>
        </w:rPr>
        <w:t>绩效</w:t>
      </w:r>
      <w:r>
        <w:rPr>
          <w:rFonts w:hint="eastAsia" w:ascii="黑体" w:hAnsi="黑体" w:eastAsia="黑体" w:cs="黑体"/>
          <w:b w:val="0"/>
          <w:bCs w:val="0"/>
          <w:color w:val="auto"/>
          <w:kern w:val="21"/>
          <w:sz w:val="28"/>
          <w:szCs w:val="28"/>
        </w:rPr>
        <w:t>情况</w:t>
      </w:r>
    </w:p>
    <w:p>
      <w:pPr>
        <w:keepNext w:val="0"/>
        <w:keepLines w:val="0"/>
        <w:pageBreakBefore w:val="0"/>
        <w:widowControl w:val="0"/>
        <w:kinsoku w:val="0"/>
        <w:wordWrap/>
        <w:overflowPunct w:val="0"/>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bCs/>
          <w:color w:val="000000"/>
          <w:kern w:val="21"/>
          <w:sz w:val="28"/>
          <w:szCs w:val="28"/>
          <w:lang w:val="en-US" w:eastAsia="zh-CN"/>
        </w:rPr>
      </w:pPr>
      <w:r>
        <w:rPr>
          <w:rFonts w:hint="eastAsia" w:ascii="宋体" w:hAnsi="宋体" w:eastAsia="宋体" w:cs="宋体"/>
          <w:bCs/>
          <w:color w:val="000000"/>
          <w:kern w:val="21"/>
          <w:sz w:val="28"/>
          <w:szCs w:val="28"/>
          <w:lang w:eastAsia="zh-CN"/>
        </w:rPr>
        <w:t>即部门实际完成工作的实现程度与完成的及时性情况</w:t>
      </w:r>
      <w:r>
        <w:rPr>
          <w:rFonts w:hint="eastAsia" w:ascii="宋体" w:hAnsi="宋体" w:eastAsia="宋体" w:cs="宋体"/>
          <w:bCs/>
          <w:color w:val="000000"/>
          <w:kern w:val="21"/>
          <w:sz w:val="28"/>
          <w:szCs w:val="28"/>
          <w:lang w:val="en-US" w:eastAsia="zh-CN"/>
        </w:rPr>
        <w:t xml:space="preserve"> 。</w:t>
      </w:r>
    </w:p>
    <w:p>
      <w:pPr>
        <w:numPr>
          <w:ilvl w:val="0"/>
          <w:numId w:val="0"/>
        </w:numPr>
        <w:snapToGrid/>
        <w:spacing w:before="0" w:beforeAutospacing="0" w:after="0" w:afterAutospacing="0" w:line="240" w:lineRule="auto"/>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1、按照省厅、省站综治要求和规定开展各项综治工作，全力以赴做好疫情防控工作</w:t>
      </w:r>
    </w:p>
    <w:p>
      <w:pPr>
        <w:numPr>
          <w:ilvl w:val="0"/>
          <w:numId w:val="0"/>
        </w:numPr>
        <w:snapToGrid/>
        <w:spacing w:before="0" w:beforeAutospacing="0" w:after="0" w:afterAutospacing="0" w:line="240" w:lineRule="auto"/>
        <w:ind w:firstLine="560" w:firstLineChars="200"/>
        <w:jc w:val="left"/>
        <w:textAlignment w:val="baseline"/>
        <w:rPr>
          <w:rFonts w:hint="eastAsia"/>
          <w:b w:val="0"/>
          <w:i w:val="0"/>
          <w:caps w:val="0"/>
          <w:spacing w:val="0"/>
          <w:w w:val="100"/>
          <w:sz w:val="28"/>
          <w:szCs w:val="28"/>
          <w:lang w:val="en-US" w:eastAsia="zh-CN"/>
        </w:rPr>
      </w:pPr>
      <w:r>
        <w:rPr>
          <w:rFonts w:hint="eastAsia"/>
          <w:b w:val="0"/>
          <w:i w:val="0"/>
          <w:caps w:val="0"/>
          <w:spacing w:val="0"/>
          <w:w w:val="100"/>
          <w:sz w:val="28"/>
          <w:szCs w:val="28"/>
          <w:lang w:val="en-US" w:eastAsia="zh-CN"/>
        </w:rPr>
        <w:t>新冠疫情发生以后，南岳站将疫情防控作为当前最重要的工作，通过各种方式采购防疫物品，及时配发到职工手中。并对所有职工进行摸底排查、登记，实行每日报告制度，在工作群内宣传疫情防控知识，落实各项防疫工作。参与了地方安全文明联防联动工作，参加责任小区的安全、卫生宣传及综治巡查。</w:t>
      </w:r>
    </w:p>
    <w:p>
      <w:pPr>
        <w:numPr>
          <w:ilvl w:val="0"/>
          <w:numId w:val="0"/>
        </w:numPr>
        <w:snapToGrid/>
        <w:spacing w:before="0" w:beforeAutospacing="0" w:after="0" w:afterAutospacing="0" w:line="240" w:lineRule="auto"/>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2、与实训中心联合开展消防培训和演练</w:t>
      </w:r>
    </w:p>
    <w:p>
      <w:pPr>
        <w:numPr>
          <w:ilvl w:val="0"/>
          <w:numId w:val="0"/>
        </w:numPr>
        <w:snapToGrid/>
        <w:spacing w:before="0" w:beforeAutospacing="0" w:after="0" w:afterAutospacing="0" w:line="240" w:lineRule="auto"/>
        <w:ind w:firstLine="560" w:firstLineChars="200"/>
        <w:jc w:val="left"/>
        <w:textAlignment w:val="baseline"/>
        <w:rPr>
          <w:rFonts w:hint="default"/>
          <w:b w:val="0"/>
          <w:i w:val="0"/>
          <w:caps w:val="0"/>
          <w:spacing w:val="0"/>
          <w:w w:val="100"/>
          <w:sz w:val="28"/>
          <w:szCs w:val="28"/>
          <w:lang w:val="en-US" w:eastAsia="zh-CN"/>
        </w:rPr>
      </w:pPr>
      <w:r>
        <w:rPr>
          <w:rFonts w:hint="eastAsia"/>
          <w:b w:val="0"/>
          <w:bCs w:val="0"/>
          <w:i w:val="0"/>
          <w:caps w:val="0"/>
          <w:spacing w:val="0"/>
          <w:w w:val="100"/>
          <w:sz w:val="28"/>
          <w:szCs w:val="28"/>
          <w:lang w:val="en-US" w:eastAsia="zh-CN"/>
        </w:rPr>
        <w:t>邀请消防和治安主管部门现场指导并联合进行安全检</w:t>
      </w:r>
      <w:r>
        <w:rPr>
          <w:rFonts w:hint="eastAsia"/>
          <w:b w:val="0"/>
          <w:i w:val="0"/>
          <w:caps w:val="0"/>
          <w:spacing w:val="0"/>
          <w:w w:val="100"/>
          <w:sz w:val="28"/>
          <w:szCs w:val="28"/>
          <w:lang w:val="en-US" w:eastAsia="zh-CN"/>
        </w:rPr>
        <w:t>查，对发现的问题立行立改，对消防监控设备进行了检修，更换了有问题的应急灯和灭火器，增加了监控点位摄像头，按照综治要求对监控盲区进行补充覆盖。安装了一部分防高空坠物的挡板，消除安全隐患。</w:t>
      </w:r>
    </w:p>
    <w:p>
      <w:pPr>
        <w:numPr>
          <w:ilvl w:val="0"/>
          <w:numId w:val="0"/>
        </w:numPr>
        <w:snapToGrid/>
        <w:spacing w:before="0" w:beforeAutospacing="0" w:after="0" w:afterAutospacing="0" w:line="240" w:lineRule="auto"/>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3、完成背景站电力改造项目</w:t>
      </w:r>
    </w:p>
    <w:p>
      <w:pPr>
        <w:numPr>
          <w:ilvl w:val="0"/>
          <w:numId w:val="0"/>
        </w:numPr>
        <w:snapToGrid/>
        <w:spacing w:before="0" w:beforeAutospacing="0" w:after="0" w:afterAutospacing="0" w:line="240" w:lineRule="auto"/>
        <w:ind w:firstLine="560" w:firstLineChars="200"/>
        <w:jc w:val="left"/>
        <w:textAlignment w:val="baseline"/>
        <w:rPr>
          <w:rFonts w:hint="default"/>
          <w:b w:val="0"/>
          <w:i w:val="0"/>
          <w:caps w:val="0"/>
          <w:spacing w:val="0"/>
          <w:w w:val="100"/>
          <w:sz w:val="28"/>
          <w:szCs w:val="28"/>
          <w:lang w:val="en-US" w:eastAsia="zh-CN"/>
        </w:rPr>
      </w:pPr>
      <w:r>
        <w:rPr>
          <w:rFonts w:hint="eastAsia"/>
          <w:b w:val="0"/>
          <w:i w:val="0"/>
          <w:caps w:val="0"/>
          <w:spacing w:val="0"/>
          <w:w w:val="100"/>
          <w:sz w:val="28"/>
          <w:szCs w:val="28"/>
          <w:lang w:val="en-US" w:eastAsia="zh-CN"/>
        </w:rPr>
        <w:t>自背景站电力改造项目立项以来，南岳站积极与地方部门协调沟通，解决项目人员、车辆及施工材料的进山问题，协调施工过程中的林地损坏补偿问题。每月对项目进展情况进行总结和推进，该项目于2020年12月14日竣工验收。该项目的完成能够保障背景站的电力安全、稳定。</w:t>
      </w:r>
    </w:p>
    <w:p>
      <w:pPr>
        <w:numPr>
          <w:ilvl w:val="0"/>
          <w:numId w:val="0"/>
        </w:numPr>
        <w:snapToGrid/>
        <w:spacing w:before="0" w:beforeAutospacing="0" w:after="0" w:afterAutospacing="0" w:line="240" w:lineRule="auto"/>
        <w:jc w:val="left"/>
        <w:textAlignment w:val="baseline"/>
        <w:rPr>
          <w:rFonts w:hint="default"/>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4、综合区的维护保养工作</w:t>
      </w:r>
    </w:p>
    <w:p>
      <w:pPr>
        <w:keepLines w:val="0"/>
        <w:widowControl w:val="0"/>
        <w:snapToGrid/>
        <w:spacing w:before="0" w:beforeAutospacing="0" w:after="0" w:afterAutospacing="0" w:line="240" w:lineRule="atLeast"/>
        <w:ind w:firstLine="560" w:firstLineChars="200"/>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a.完成南岳站生活污水处理设备的年度检查维修。更换了有问题的污水泵，确保污水处理设备的正常运转。</w:t>
      </w:r>
    </w:p>
    <w:p>
      <w:pPr>
        <w:keepLines w:val="0"/>
        <w:widowControl w:val="0"/>
        <w:snapToGrid/>
        <w:spacing w:before="0" w:beforeAutospacing="0" w:after="0" w:afterAutospacing="0" w:line="240" w:lineRule="atLeast"/>
        <w:ind w:firstLine="560" w:firstLineChars="200"/>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b.对综合区内的防腐木进行油漆保养。</w:t>
      </w:r>
    </w:p>
    <w:p>
      <w:pPr>
        <w:keepLines w:val="0"/>
        <w:widowControl w:val="0"/>
        <w:snapToGrid/>
        <w:spacing w:before="0" w:beforeAutospacing="0" w:after="0" w:afterAutospacing="0" w:line="240" w:lineRule="atLeast"/>
        <w:ind w:firstLine="560" w:firstLineChars="200"/>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c.对综合区内的绿化进行了定期的养护。</w:t>
      </w:r>
    </w:p>
    <w:p>
      <w:pPr>
        <w:keepLines w:val="0"/>
        <w:widowControl w:val="0"/>
        <w:snapToGrid/>
        <w:spacing w:before="0" w:beforeAutospacing="0" w:after="0" w:afterAutospacing="0" w:line="240" w:lineRule="atLeast"/>
        <w:ind w:firstLine="560" w:firstLineChars="200"/>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d.进行了防蚁、灭鼠工作，避免办公区域的设备、设施和线路遭受损坏。</w:t>
      </w:r>
    </w:p>
    <w:p>
      <w:pPr>
        <w:keepLines w:val="0"/>
        <w:widowControl w:val="0"/>
        <w:snapToGrid/>
        <w:spacing w:before="0" w:beforeAutospacing="0" w:after="0" w:afterAutospacing="0" w:line="240" w:lineRule="atLeast"/>
        <w:ind w:firstLine="560" w:firstLineChars="200"/>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e.对外围石护栏进行了修复和加固，及时消除安全隐患。</w:t>
      </w:r>
    </w:p>
    <w:p>
      <w:pPr>
        <w:keepLines w:val="0"/>
        <w:widowControl w:val="0"/>
        <w:snapToGrid/>
        <w:spacing w:before="0" w:beforeAutospacing="0" w:after="0" w:afterAutospacing="0" w:line="240" w:lineRule="atLeast"/>
        <w:ind w:firstLine="560" w:firstLineChars="200"/>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f.对综合区的石材、地毯、玻璃进行了定期的维护保养。</w:t>
      </w:r>
    </w:p>
    <w:p>
      <w:pPr>
        <w:keepLines w:val="0"/>
        <w:widowControl w:val="0"/>
        <w:snapToGrid/>
        <w:spacing w:before="0" w:beforeAutospacing="0" w:after="0" w:afterAutospacing="0" w:line="240" w:lineRule="atLeast"/>
        <w:jc w:val="left"/>
        <w:textAlignment w:val="baseline"/>
        <w:rPr>
          <w:rFonts w:hint="eastAsia"/>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5、背景站的维修维护</w:t>
      </w:r>
    </w:p>
    <w:p>
      <w:pPr>
        <w:keepLines w:val="0"/>
        <w:widowControl w:val="0"/>
        <w:snapToGrid/>
        <w:spacing w:before="0" w:beforeAutospacing="0" w:after="0" w:afterAutospacing="0" w:line="240" w:lineRule="atLeast"/>
        <w:ind w:firstLine="560" w:firstLineChars="200"/>
        <w:jc w:val="left"/>
        <w:textAlignment w:val="baseline"/>
        <w:rPr>
          <w:rFonts w:hint="default"/>
          <w:b w:val="0"/>
          <w:bCs w:val="0"/>
          <w:i w:val="0"/>
          <w:caps w:val="0"/>
          <w:spacing w:val="0"/>
          <w:w w:val="100"/>
          <w:sz w:val="28"/>
          <w:szCs w:val="28"/>
          <w:lang w:val="en-US" w:eastAsia="zh-CN"/>
        </w:rPr>
      </w:pPr>
      <w:r>
        <w:rPr>
          <w:rFonts w:hint="eastAsia"/>
          <w:b w:val="0"/>
          <w:bCs w:val="0"/>
          <w:i w:val="0"/>
          <w:caps w:val="0"/>
          <w:spacing w:val="0"/>
          <w:w w:val="100"/>
          <w:sz w:val="28"/>
          <w:szCs w:val="28"/>
          <w:lang w:val="en-US" w:eastAsia="zh-CN"/>
        </w:rPr>
        <w:t>针对背景站漏水和内墙面剥落等问题，现已对背景站房维修装修进行了重新设计，该项目合同签订及景区内施工手续办理已完成。</w:t>
      </w:r>
    </w:p>
    <w:p>
      <w:pPr>
        <w:keepLines w:val="0"/>
        <w:widowControl w:val="0"/>
        <w:numPr>
          <w:ilvl w:val="0"/>
          <w:numId w:val="0"/>
        </w:numPr>
        <w:snapToGrid/>
        <w:spacing w:before="0" w:beforeAutospacing="0" w:after="0" w:afterAutospacing="0" w:line="240" w:lineRule="atLeast"/>
        <w:jc w:val="left"/>
        <w:textAlignment w:val="baseline"/>
        <w:rPr>
          <w:rFonts w:hint="eastAsia" w:ascii="新宋体" w:hAnsi="新宋体" w:eastAsia="新宋体" w:cs="新宋体"/>
          <w:b w:val="0"/>
          <w:bCs w:val="0"/>
          <w:i w:val="0"/>
          <w:caps w:val="0"/>
          <w:color w:val="000000"/>
          <w:spacing w:val="0"/>
          <w:w w:val="100"/>
          <w:sz w:val="28"/>
          <w:szCs w:val="28"/>
        </w:rPr>
      </w:pPr>
      <w:r>
        <w:rPr>
          <w:rFonts w:hint="eastAsia" w:ascii="新宋体" w:hAnsi="新宋体" w:eastAsia="新宋体" w:cs="新宋体"/>
          <w:b w:val="0"/>
          <w:bCs w:val="0"/>
          <w:i w:val="0"/>
          <w:caps w:val="0"/>
          <w:color w:val="000000"/>
          <w:spacing w:val="0"/>
          <w:w w:val="100"/>
          <w:sz w:val="28"/>
          <w:szCs w:val="28"/>
          <w:lang w:val="en-US" w:eastAsia="zh-CN"/>
        </w:rPr>
        <w:t>6、</w:t>
      </w:r>
      <w:r>
        <w:rPr>
          <w:rFonts w:hint="eastAsia" w:ascii="新宋体" w:hAnsi="新宋体" w:eastAsia="新宋体" w:cs="新宋体"/>
          <w:b w:val="0"/>
          <w:bCs w:val="0"/>
          <w:i w:val="0"/>
          <w:caps w:val="0"/>
          <w:color w:val="000000"/>
          <w:spacing w:val="0"/>
          <w:w w:val="100"/>
          <w:sz w:val="28"/>
          <w:szCs w:val="28"/>
        </w:rPr>
        <w:t>按</w:t>
      </w:r>
      <w:r>
        <w:rPr>
          <w:rFonts w:hint="eastAsia" w:ascii="新宋体" w:hAnsi="新宋体" w:eastAsia="新宋体" w:cs="新宋体"/>
          <w:b w:val="0"/>
          <w:bCs w:val="0"/>
          <w:i w:val="0"/>
          <w:caps w:val="0"/>
          <w:color w:val="000000"/>
          <w:spacing w:val="0"/>
          <w:w w:val="100"/>
          <w:sz w:val="28"/>
          <w:szCs w:val="28"/>
          <w:lang w:val="en-US" w:eastAsia="zh-CN"/>
        </w:rPr>
        <w:t>中心</w:t>
      </w:r>
      <w:r>
        <w:rPr>
          <w:rFonts w:hint="eastAsia" w:ascii="新宋体" w:hAnsi="新宋体" w:eastAsia="新宋体" w:cs="新宋体"/>
          <w:b w:val="0"/>
          <w:bCs w:val="0"/>
          <w:i w:val="0"/>
          <w:caps w:val="0"/>
          <w:color w:val="000000"/>
          <w:spacing w:val="0"/>
          <w:w w:val="100"/>
          <w:sz w:val="28"/>
          <w:szCs w:val="28"/>
        </w:rPr>
        <w:t>要求完成背景站房的周边安全维护及相关工作的后勤保障</w:t>
      </w:r>
    </w:p>
    <w:p>
      <w:pPr>
        <w:keepLines w:val="0"/>
        <w:widowControl w:val="0"/>
        <w:numPr>
          <w:ilvl w:val="0"/>
          <w:numId w:val="0"/>
        </w:numPr>
        <w:snapToGrid/>
        <w:spacing w:before="0" w:beforeAutospacing="0" w:after="0" w:afterAutospacing="0" w:line="240" w:lineRule="atLeast"/>
        <w:ind w:firstLine="560" w:firstLineChars="200"/>
        <w:jc w:val="left"/>
        <w:textAlignment w:val="baseline"/>
        <w:rPr>
          <w:rFonts w:hint="eastAsia" w:ascii="新宋体" w:hAnsi="新宋体" w:eastAsia="新宋体" w:cs="新宋体"/>
          <w:b w:val="0"/>
          <w:i w:val="0"/>
          <w:caps w:val="0"/>
          <w:color w:val="000000"/>
          <w:spacing w:val="0"/>
          <w:w w:val="100"/>
          <w:sz w:val="28"/>
          <w:szCs w:val="28"/>
        </w:rPr>
      </w:pPr>
      <w:r>
        <w:rPr>
          <w:rFonts w:hint="eastAsia" w:ascii="新宋体" w:hAnsi="新宋体" w:eastAsia="新宋体" w:cs="新宋体"/>
          <w:b w:val="0"/>
          <w:i w:val="0"/>
          <w:caps w:val="0"/>
          <w:color w:val="000000"/>
          <w:spacing w:val="0"/>
          <w:w w:val="100"/>
          <w:sz w:val="28"/>
          <w:szCs w:val="28"/>
        </w:rPr>
        <w:t>定期对背景站房及变压器房进行巡检，排除安全隐患。</w:t>
      </w:r>
    </w:p>
    <w:p>
      <w:pPr>
        <w:keepLines w:val="0"/>
        <w:widowControl w:val="0"/>
        <w:numPr>
          <w:ilvl w:val="0"/>
          <w:numId w:val="0"/>
        </w:numPr>
        <w:snapToGrid/>
        <w:spacing w:before="0" w:beforeAutospacing="0" w:after="0" w:afterAutospacing="0" w:line="240" w:lineRule="atLeast"/>
        <w:jc w:val="left"/>
        <w:textAlignment w:val="baseline"/>
        <w:rPr>
          <w:rFonts w:hint="eastAsia" w:ascii="新宋体" w:hAnsi="新宋体" w:eastAsia="新宋体" w:cs="新宋体"/>
          <w:b w:val="0"/>
          <w:bCs w:val="0"/>
          <w:i w:val="0"/>
          <w:caps w:val="0"/>
          <w:color w:val="000000"/>
          <w:spacing w:val="0"/>
          <w:w w:val="100"/>
          <w:sz w:val="28"/>
          <w:szCs w:val="28"/>
          <w:lang w:val="en-US" w:eastAsia="zh-CN"/>
        </w:rPr>
      </w:pPr>
      <w:r>
        <w:rPr>
          <w:rFonts w:hint="eastAsia" w:ascii="新宋体" w:hAnsi="新宋体" w:eastAsia="新宋体" w:cs="新宋体"/>
          <w:b w:val="0"/>
          <w:bCs w:val="0"/>
          <w:i w:val="0"/>
          <w:caps w:val="0"/>
          <w:color w:val="000000"/>
          <w:spacing w:val="0"/>
          <w:w w:val="100"/>
          <w:sz w:val="28"/>
          <w:szCs w:val="28"/>
          <w:lang w:val="en-US" w:eastAsia="zh-CN"/>
        </w:rPr>
        <w:t>7、开展能力素质提升系列活动</w:t>
      </w:r>
    </w:p>
    <w:p>
      <w:pPr>
        <w:keepLines w:val="0"/>
        <w:widowControl w:val="0"/>
        <w:numPr>
          <w:ilvl w:val="0"/>
          <w:numId w:val="0"/>
        </w:numPr>
        <w:snapToGrid/>
        <w:spacing w:before="0" w:beforeAutospacing="0" w:after="0" w:afterAutospacing="0" w:line="240" w:lineRule="atLeast"/>
        <w:ind w:firstLine="560" w:firstLineChars="200"/>
        <w:jc w:val="left"/>
        <w:textAlignment w:val="baseline"/>
        <w:rPr>
          <w:rFonts w:hint="eastAsia" w:ascii="新宋体" w:hAnsi="新宋体" w:eastAsia="新宋体" w:cs="新宋体"/>
          <w:b w:val="0"/>
          <w:i w:val="0"/>
          <w:caps w:val="0"/>
          <w:color w:val="000000"/>
          <w:spacing w:val="0"/>
          <w:w w:val="100"/>
          <w:sz w:val="28"/>
          <w:szCs w:val="28"/>
          <w:lang w:val="en-US" w:eastAsia="zh-CN"/>
        </w:rPr>
      </w:pPr>
      <w:r>
        <w:rPr>
          <w:rFonts w:hint="eastAsia" w:ascii="新宋体" w:hAnsi="新宋体" w:eastAsia="新宋体" w:cs="新宋体"/>
          <w:b w:val="0"/>
          <w:bCs w:val="0"/>
          <w:i w:val="0"/>
          <w:caps w:val="0"/>
          <w:color w:val="000000"/>
          <w:spacing w:val="0"/>
          <w:w w:val="100"/>
          <w:sz w:val="28"/>
          <w:szCs w:val="28"/>
          <w:lang w:val="en-US" w:eastAsia="zh-CN"/>
        </w:rPr>
        <w:t>2020年12月份</w:t>
      </w:r>
      <w:r>
        <w:rPr>
          <w:rFonts w:hint="eastAsia" w:ascii="新宋体" w:hAnsi="新宋体" w:eastAsia="新宋体" w:cs="新宋体"/>
          <w:b w:val="0"/>
          <w:i w:val="0"/>
          <w:caps w:val="0"/>
          <w:color w:val="000000"/>
          <w:spacing w:val="0"/>
          <w:w w:val="100"/>
          <w:sz w:val="28"/>
          <w:szCs w:val="28"/>
          <w:lang w:val="en-US" w:eastAsia="zh-CN"/>
        </w:rPr>
        <w:t>组织开展冬季登山比赛活动，提升凝聚力。</w:t>
      </w:r>
    </w:p>
    <w:p>
      <w:pPr>
        <w:keepNext w:val="0"/>
        <w:keepLines w:val="0"/>
        <w:pageBreakBefore w:val="0"/>
        <w:widowControl w:val="0"/>
        <w:numPr>
          <w:ilvl w:val="0"/>
          <w:numId w:val="0"/>
        </w:numPr>
        <w:kinsoku w:val="0"/>
        <w:wordWrap/>
        <w:overflowPunct w:val="0"/>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黑体" w:hAnsi="黑体" w:eastAsia="黑体" w:cs="黑体"/>
          <w:b w:val="0"/>
          <w:bCs w:val="0"/>
          <w:color w:val="000000"/>
          <w:kern w:val="21"/>
          <w:sz w:val="28"/>
          <w:szCs w:val="28"/>
        </w:rPr>
      </w:pPr>
      <w:r>
        <w:rPr>
          <w:rFonts w:hint="eastAsia" w:ascii="黑体" w:hAnsi="黑体" w:eastAsia="黑体" w:cs="黑体"/>
          <w:b w:val="0"/>
          <w:bCs w:val="0"/>
          <w:color w:val="000000"/>
          <w:kern w:val="21"/>
          <w:sz w:val="28"/>
          <w:szCs w:val="28"/>
          <w:lang w:eastAsia="zh-CN"/>
        </w:rPr>
        <w:t>（</w:t>
      </w:r>
      <w:r>
        <w:rPr>
          <w:rFonts w:hint="eastAsia" w:ascii="黑体" w:hAnsi="黑体" w:eastAsia="黑体" w:cs="黑体"/>
          <w:b w:val="0"/>
          <w:bCs w:val="0"/>
          <w:color w:val="000000"/>
          <w:kern w:val="21"/>
          <w:sz w:val="28"/>
          <w:szCs w:val="28"/>
          <w:lang w:val="en-US" w:eastAsia="zh-CN"/>
        </w:rPr>
        <w:t>三</w:t>
      </w:r>
      <w:r>
        <w:rPr>
          <w:rFonts w:hint="eastAsia" w:ascii="黑体" w:hAnsi="黑体" w:eastAsia="黑体" w:cs="黑体"/>
          <w:b w:val="0"/>
          <w:bCs w:val="0"/>
          <w:color w:val="000000"/>
          <w:kern w:val="21"/>
          <w:sz w:val="28"/>
          <w:szCs w:val="28"/>
          <w:lang w:eastAsia="zh-CN"/>
        </w:rPr>
        <w:t>）部门效果</w:t>
      </w:r>
      <w:r>
        <w:rPr>
          <w:rFonts w:hint="eastAsia" w:ascii="黑体" w:hAnsi="黑体" w:eastAsia="黑体" w:cs="黑体"/>
          <w:b w:val="0"/>
          <w:bCs w:val="0"/>
          <w:color w:val="000000"/>
          <w:kern w:val="21"/>
          <w:sz w:val="28"/>
          <w:szCs w:val="28"/>
        </w:rPr>
        <w:t>情况</w:t>
      </w:r>
    </w:p>
    <w:p>
      <w:pPr>
        <w:keepNext w:val="0"/>
        <w:keepLines w:val="0"/>
        <w:pageBreakBefore w:val="0"/>
        <w:kinsoku w:val="0"/>
        <w:wordWrap/>
        <w:overflowPunct w:val="0"/>
        <w:topLinePunct w:val="0"/>
        <w:autoSpaceDE/>
        <w:autoSpaceDN/>
        <w:bidi w:val="0"/>
        <w:adjustRightInd/>
        <w:snapToGrid/>
        <w:spacing w:line="580" w:lineRule="exact"/>
        <w:ind w:firstLine="560" w:firstLineChars="200"/>
        <w:textAlignment w:val="auto"/>
        <w:rPr>
          <w:rFonts w:ascii="宋体" w:hAnsi="宋体"/>
          <w:sz w:val="28"/>
          <w:szCs w:val="28"/>
        </w:rPr>
      </w:pPr>
      <w:r>
        <w:rPr>
          <w:rFonts w:hint="eastAsia" w:ascii="宋体" w:hAnsi="宋体"/>
          <w:sz w:val="28"/>
          <w:szCs w:val="28"/>
        </w:rPr>
        <w:t>我站本年度</w:t>
      </w:r>
      <w:r>
        <w:rPr>
          <w:rFonts w:ascii="宋体" w:hAnsi="宋体"/>
          <w:sz w:val="28"/>
          <w:szCs w:val="28"/>
        </w:rPr>
        <w:t>绩效目标</w:t>
      </w:r>
      <w:r>
        <w:rPr>
          <w:rFonts w:hint="eastAsia" w:ascii="宋体" w:hAnsi="宋体"/>
          <w:sz w:val="28"/>
          <w:szCs w:val="28"/>
        </w:rPr>
        <w:t>完成较好</w:t>
      </w:r>
      <w:r>
        <w:rPr>
          <w:rFonts w:ascii="宋体" w:hAnsi="宋体"/>
          <w:sz w:val="28"/>
          <w:szCs w:val="28"/>
        </w:rPr>
        <w:t>，既确保了监测数据上报的及时性、科学性，能及时向上级部门上交数据，汇报监测工作情况；并且按照省财政厅要求严格控制预算执行率，严加把关预决算的连贯性、相通性。</w:t>
      </w:r>
    </w:p>
    <w:p>
      <w:pPr>
        <w:widowControl/>
        <w:spacing w:line="580" w:lineRule="exact"/>
        <w:jc w:val="left"/>
        <w:rPr>
          <w:rFonts w:ascii="宋体" w:hAnsi="宋体"/>
          <w:sz w:val="28"/>
          <w:szCs w:val="28"/>
        </w:rPr>
      </w:pPr>
    </w:p>
    <w:p>
      <w:pPr>
        <w:pStyle w:val="13"/>
        <w:widowControl/>
        <w:numPr>
          <w:ilvl w:val="0"/>
          <w:numId w:val="3"/>
        </w:numPr>
        <w:spacing w:line="580" w:lineRule="exact"/>
        <w:ind w:firstLineChars="0"/>
        <w:jc w:val="left"/>
        <w:rPr>
          <w:rFonts w:ascii="宋体" w:hAnsi="宋体"/>
          <w:b/>
          <w:sz w:val="28"/>
          <w:szCs w:val="28"/>
        </w:rPr>
      </w:pPr>
      <w:r>
        <w:rPr>
          <w:rFonts w:ascii="宋体" w:hAnsi="宋体"/>
          <w:b/>
          <w:sz w:val="28"/>
          <w:szCs w:val="28"/>
        </w:rPr>
        <w:t>存在的问题及</w:t>
      </w:r>
      <w:r>
        <w:rPr>
          <w:rFonts w:hint="eastAsia" w:ascii="宋体" w:hAnsi="宋体"/>
          <w:b/>
          <w:sz w:val="28"/>
          <w:szCs w:val="28"/>
        </w:rPr>
        <w:t>原因分析</w:t>
      </w:r>
    </w:p>
    <w:p>
      <w:pPr>
        <w:pStyle w:val="13"/>
        <w:widowControl/>
        <w:spacing w:line="580" w:lineRule="exact"/>
        <w:ind w:firstLine="560"/>
        <w:rPr>
          <w:rFonts w:hint="eastAsia" w:ascii="宋体" w:hAnsi="宋体" w:eastAsia="宋体" w:cs="宋体"/>
          <w:sz w:val="28"/>
          <w:szCs w:val="28"/>
          <w:lang w:val="en-US" w:eastAsia="zh-CN"/>
        </w:rPr>
      </w:pPr>
      <w:r>
        <w:rPr>
          <w:rFonts w:hint="eastAsia" w:ascii="宋体" w:hAnsi="宋体"/>
          <w:kern w:val="21"/>
          <w:sz w:val="28"/>
          <w:szCs w:val="28"/>
          <w:lang w:val="en-US" w:eastAsia="zh-CN"/>
        </w:rPr>
        <w:t>对于两年以上和当年的项目经费未重视，对下达的中央专项资金的审批流程和相关办理手续未及时了解清楚，导致了部分资金被财政收回和部分资金结转至下年度。其中：1、</w:t>
      </w:r>
      <w:r>
        <w:rPr>
          <w:rFonts w:hint="eastAsia" w:ascii="宋体" w:hAnsi="宋体"/>
          <w:sz w:val="28"/>
          <w:szCs w:val="28"/>
        </w:rPr>
        <w:t>空气质量背景站自动化监测网络运行维护</w:t>
      </w:r>
      <w:r>
        <w:rPr>
          <w:rFonts w:hint="eastAsia" w:ascii="宋体" w:hAnsi="宋体"/>
          <w:sz w:val="28"/>
          <w:szCs w:val="28"/>
          <w:lang w:val="en-US" w:eastAsia="zh-CN"/>
        </w:rPr>
        <w:t>结转结余的78.59万元，主要原因空气背景站房维修项目启动晚，导致资金结转至下年；2、</w:t>
      </w:r>
      <w:r>
        <w:rPr>
          <w:rFonts w:hint="eastAsia" w:ascii="宋体" w:hAnsi="宋体" w:cs="宋体"/>
          <w:kern w:val="0"/>
          <w:sz w:val="28"/>
          <w:szCs w:val="28"/>
          <w:lang w:val="en-US" w:eastAsia="zh-CN"/>
        </w:rPr>
        <w:t>空气背景站电力改造项目165万元，年底</w:t>
      </w:r>
      <w:r>
        <w:rPr>
          <w:rFonts w:hint="eastAsia" w:ascii="宋体" w:hAnsi="宋体" w:eastAsia="宋体" w:cs="宋体"/>
          <w:kern w:val="0"/>
          <w:sz w:val="28"/>
          <w:szCs w:val="28"/>
          <w:lang w:val="en-US" w:eastAsia="zh-CN"/>
        </w:rPr>
        <w:t>未用完的尾款</w:t>
      </w:r>
      <w:r>
        <w:rPr>
          <w:rFonts w:hint="eastAsia" w:ascii="宋体" w:hAnsi="宋体" w:cs="宋体"/>
          <w:kern w:val="0"/>
          <w:sz w:val="28"/>
          <w:szCs w:val="28"/>
          <w:lang w:val="en-US" w:eastAsia="zh-CN"/>
        </w:rPr>
        <w:t>38.79万元</w:t>
      </w:r>
      <w:r>
        <w:rPr>
          <w:rFonts w:hint="eastAsia" w:ascii="宋体" w:hAnsi="宋体" w:eastAsia="宋体" w:cs="宋体"/>
          <w:kern w:val="0"/>
          <w:sz w:val="28"/>
          <w:szCs w:val="28"/>
          <w:lang w:val="en-US" w:eastAsia="zh-CN"/>
        </w:rPr>
        <w:t>，由于</w:t>
      </w:r>
      <w:r>
        <w:rPr>
          <w:rFonts w:hint="eastAsia" w:ascii="宋体" w:hAnsi="宋体" w:cs="宋体"/>
          <w:kern w:val="0"/>
          <w:sz w:val="28"/>
          <w:szCs w:val="28"/>
          <w:lang w:val="en-US" w:eastAsia="zh-CN"/>
        </w:rPr>
        <w:t>项目</w:t>
      </w:r>
      <w:r>
        <w:rPr>
          <w:rFonts w:hint="eastAsia" w:ascii="宋体" w:hAnsi="宋体" w:eastAsia="宋体" w:cs="宋体"/>
          <w:kern w:val="0"/>
          <w:sz w:val="28"/>
          <w:szCs w:val="28"/>
          <w:lang w:val="en-US" w:eastAsia="zh-CN"/>
        </w:rPr>
        <w:t>财评资料出现问题</w:t>
      </w:r>
      <w:r>
        <w:rPr>
          <w:rFonts w:hint="eastAsia" w:ascii="宋体" w:hAnsi="宋体" w:cs="宋体"/>
          <w:kern w:val="0"/>
          <w:sz w:val="28"/>
          <w:szCs w:val="28"/>
          <w:lang w:val="en-US" w:eastAsia="zh-CN"/>
        </w:rPr>
        <w:t>，资金未支付出去</w:t>
      </w:r>
      <w:r>
        <w:rPr>
          <w:rFonts w:hint="eastAsia" w:ascii="宋体" w:hAnsi="宋体" w:eastAsia="宋体" w:cs="宋体"/>
          <w:kern w:val="0"/>
          <w:sz w:val="28"/>
          <w:szCs w:val="28"/>
          <w:lang w:val="en-US" w:eastAsia="zh-CN"/>
        </w:rPr>
        <w:t>导致，财政</w:t>
      </w:r>
      <w:r>
        <w:rPr>
          <w:rFonts w:hint="eastAsia" w:ascii="宋体" w:hAnsi="宋体" w:cs="宋体"/>
          <w:kern w:val="0"/>
          <w:sz w:val="28"/>
          <w:szCs w:val="28"/>
          <w:lang w:val="en-US" w:eastAsia="zh-CN"/>
        </w:rPr>
        <w:t>已</w:t>
      </w:r>
      <w:r>
        <w:rPr>
          <w:rFonts w:hint="eastAsia" w:ascii="宋体" w:hAnsi="宋体" w:eastAsia="宋体" w:cs="宋体"/>
          <w:kern w:val="0"/>
          <w:sz w:val="28"/>
          <w:szCs w:val="28"/>
          <w:lang w:val="en-US" w:eastAsia="zh-CN"/>
        </w:rPr>
        <w:t>收回</w:t>
      </w:r>
      <w:r>
        <w:rPr>
          <w:rFonts w:hint="eastAsia" w:ascii="宋体" w:hAnsi="宋体" w:cs="宋体"/>
          <w:kern w:val="0"/>
          <w:sz w:val="28"/>
          <w:szCs w:val="28"/>
          <w:lang w:val="en-US" w:eastAsia="zh-CN"/>
        </w:rPr>
        <w:t>。</w:t>
      </w:r>
    </w:p>
    <w:p>
      <w:pPr>
        <w:widowControl/>
        <w:numPr>
          <w:ilvl w:val="0"/>
          <w:numId w:val="0"/>
        </w:numPr>
        <w:spacing w:line="580" w:lineRule="exact"/>
        <w:ind w:firstLine="840" w:firstLineChars="300"/>
        <w:jc w:val="left"/>
        <w:rPr>
          <w:rFonts w:hint="eastAsia" w:ascii="宋体" w:hAnsi="宋体"/>
          <w:sz w:val="28"/>
          <w:szCs w:val="28"/>
          <w:lang w:val="en-US" w:eastAsia="zh-CN"/>
        </w:rPr>
      </w:pPr>
    </w:p>
    <w:p>
      <w:pPr>
        <w:widowControl/>
        <w:spacing w:line="580" w:lineRule="exact"/>
        <w:ind w:firstLine="560" w:firstLineChars="200"/>
        <w:jc w:val="left"/>
        <w:rPr>
          <w:rFonts w:hint="eastAsia" w:ascii="宋体" w:hAnsi="宋体"/>
          <w:b/>
          <w:sz w:val="28"/>
          <w:szCs w:val="28"/>
        </w:rPr>
      </w:pPr>
      <w:r>
        <w:rPr>
          <w:rFonts w:hint="eastAsia" w:ascii="宋体" w:hAnsi="宋体"/>
          <w:b/>
          <w:sz w:val="28"/>
          <w:szCs w:val="28"/>
        </w:rPr>
        <w:t>五、</w:t>
      </w:r>
      <w:r>
        <w:rPr>
          <w:rFonts w:ascii="宋体" w:hAnsi="宋体"/>
          <w:b/>
          <w:sz w:val="28"/>
          <w:szCs w:val="28"/>
        </w:rPr>
        <w:t>下一步改进措施</w:t>
      </w:r>
    </w:p>
    <w:p>
      <w:pPr>
        <w:spacing w:line="480" w:lineRule="auto"/>
        <w:ind w:firstLine="560" w:firstLineChars="200"/>
        <w:rPr>
          <w:rFonts w:hint="eastAsia" w:ascii="宋体" w:hAnsi="宋体" w:cs="宋体"/>
          <w:sz w:val="28"/>
          <w:szCs w:val="28"/>
        </w:rPr>
      </w:pPr>
      <w:r>
        <w:rPr>
          <w:rFonts w:hint="eastAsia" w:ascii="宋体" w:hAnsi="宋体" w:eastAsia="宋体" w:cs="宋体"/>
          <w:sz w:val="28"/>
          <w:szCs w:val="28"/>
        </w:rPr>
        <w:t>下年度将</w:t>
      </w:r>
      <w:r>
        <w:rPr>
          <w:rFonts w:hint="eastAsia" w:cs="宋体"/>
          <w:bCs/>
          <w:sz w:val="28"/>
          <w:szCs w:val="28"/>
        </w:rPr>
        <w:t>加强对专项资金支付的审批流程，严格按照规章制度去执行相关手续，</w:t>
      </w:r>
      <w:r>
        <w:rPr>
          <w:rStyle w:val="9"/>
          <w:rFonts w:hint="eastAsia" w:ascii="宋体" w:hAnsi="宋体" w:cs="宋体"/>
          <w:sz w:val="28"/>
          <w:szCs w:val="28"/>
        </w:rPr>
        <w:t>定期对专项资金进行抽查及全面核对，以核实资金的使用对象合规性以及资金使用的合法性。</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560" w:firstLineChars="2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sz w:val="28"/>
          <w:szCs w:val="28"/>
        </w:rPr>
        <w:t>继续按照中央八项规定精神等上级相关文件、精神的要求，厉行节约，严控‘三公经费’的使用，加强财务管理。</w:t>
      </w:r>
      <w:r>
        <w:rPr>
          <w:rFonts w:hint="eastAsia" w:ascii="宋体" w:hAnsi="宋体" w:eastAsia="宋体" w:cs="宋体"/>
          <w:sz w:val="28"/>
          <w:szCs w:val="28"/>
          <w:lang w:val="en-US" w:eastAsia="zh-CN"/>
        </w:rPr>
        <w:t>同时</w:t>
      </w:r>
      <w:r>
        <w:rPr>
          <w:rFonts w:hint="eastAsia" w:ascii="宋体" w:hAnsi="宋体" w:eastAsia="宋体" w:cs="宋体"/>
          <w:color w:val="auto"/>
          <w:sz w:val="28"/>
          <w:szCs w:val="28"/>
          <w:lang w:val="en-US" w:eastAsia="zh-CN"/>
        </w:rPr>
        <w:t>将继续加强资金支付管理，部门之间的沟通与协调，提高资金支付执行率。</w:t>
      </w:r>
    </w:p>
    <w:p>
      <w:pPr>
        <w:pStyle w:val="2"/>
        <w:rPr>
          <w:rFonts w:hint="eastAsia" w:ascii="宋体" w:hAnsi="宋体" w:eastAsia="宋体" w:cs="宋体"/>
          <w:b w:val="0"/>
          <w:bCs w:val="0"/>
          <w:sz w:val="28"/>
          <w:szCs w:val="28"/>
          <w:lang w:val="en-US" w:eastAsia="zh-CN"/>
        </w:rPr>
      </w:pPr>
    </w:p>
    <w:p>
      <w:pPr>
        <w:pStyle w:val="2"/>
        <w:ind w:firstLine="4760" w:firstLineChars="170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湖南省生态环境监测中心南岳站</w:t>
      </w:r>
    </w:p>
    <w:p>
      <w:pPr>
        <w:ind w:firstLine="640" w:firstLineChars="200"/>
        <w:jc w:val="left"/>
        <w:rPr>
          <w:rFonts w:hint="default" w:cs="黑体" w:asciiTheme="minorEastAsia" w:hAnsiTheme="minorEastAsia" w:eastAsia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 xml:space="preserve">                                  2021年4月25日</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Narrow">
    <w:altName w:val="Arial"/>
    <w:panose1 w:val="00000000000000000000"/>
    <w:charset w:val="00"/>
    <w:family w:val="swiss"/>
    <w:pitch w:val="default"/>
    <w:sig w:usb0="00000000" w:usb1="00000000" w:usb2="00000000" w:usb3="00000000" w:csb0="0000009F"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DD7DCD"/>
    <w:multiLevelType w:val="singleLevel"/>
    <w:tmpl w:val="A5DD7DCD"/>
    <w:lvl w:ilvl="0" w:tentative="0">
      <w:start w:val="1"/>
      <w:numFmt w:val="decimal"/>
      <w:suff w:val="nothing"/>
      <w:lvlText w:val="%1、"/>
      <w:lvlJc w:val="left"/>
    </w:lvl>
  </w:abstractNum>
  <w:abstractNum w:abstractNumId="1">
    <w:nsid w:val="318206AD"/>
    <w:multiLevelType w:val="multilevel"/>
    <w:tmpl w:val="318206AD"/>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AC1E24"/>
    <w:multiLevelType w:val="multilevel"/>
    <w:tmpl w:val="79AC1E24"/>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11C503F"/>
    <w:rsid w:val="026235E8"/>
    <w:rsid w:val="041A4FD1"/>
    <w:rsid w:val="058B5AE9"/>
    <w:rsid w:val="05962DD5"/>
    <w:rsid w:val="0918257D"/>
    <w:rsid w:val="097056C5"/>
    <w:rsid w:val="107A507C"/>
    <w:rsid w:val="11CE239E"/>
    <w:rsid w:val="127925E9"/>
    <w:rsid w:val="12A7080A"/>
    <w:rsid w:val="135B765A"/>
    <w:rsid w:val="13CE3C9F"/>
    <w:rsid w:val="15306F30"/>
    <w:rsid w:val="16473E40"/>
    <w:rsid w:val="185C1A39"/>
    <w:rsid w:val="18F62F56"/>
    <w:rsid w:val="190421E1"/>
    <w:rsid w:val="1A1649E7"/>
    <w:rsid w:val="1B4A21A3"/>
    <w:rsid w:val="1C3F0D7A"/>
    <w:rsid w:val="1F04268D"/>
    <w:rsid w:val="1FFB4FD1"/>
    <w:rsid w:val="220C64B1"/>
    <w:rsid w:val="249E5066"/>
    <w:rsid w:val="25AF038D"/>
    <w:rsid w:val="277C6ED7"/>
    <w:rsid w:val="28FD65CE"/>
    <w:rsid w:val="2DB34E26"/>
    <w:rsid w:val="2F4465FB"/>
    <w:rsid w:val="341E7692"/>
    <w:rsid w:val="35DB3E02"/>
    <w:rsid w:val="368D3C45"/>
    <w:rsid w:val="37D46ECB"/>
    <w:rsid w:val="37FA614E"/>
    <w:rsid w:val="37FA689E"/>
    <w:rsid w:val="3A891DE5"/>
    <w:rsid w:val="3FC20620"/>
    <w:rsid w:val="40D62429"/>
    <w:rsid w:val="4214221E"/>
    <w:rsid w:val="46A12063"/>
    <w:rsid w:val="46A95163"/>
    <w:rsid w:val="47C14D27"/>
    <w:rsid w:val="480279CE"/>
    <w:rsid w:val="494D177F"/>
    <w:rsid w:val="49810C11"/>
    <w:rsid w:val="4996233E"/>
    <w:rsid w:val="4B1E4895"/>
    <w:rsid w:val="4EC43152"/>
    <w:rsid w:val="50147A0E"/>
    <w:rsid w:val="50E033B1"/>
    <w:rsid w:val="519E0576"/>
    <w:rsid w:val="51D25F1E"/>
    <w:rsid w:val="521C2B9D"/>
    <w:rsid w:val="525E575A"/>
    <w:rsid w:val="526A15FC"/>
    <w:rsid w:val="5539007E"/>
    <w:rsid w:val="56871BEF"/>
    <w:rsid w:val="59674EC6"/>
    <w:rsid w:val="5E6D29BF"/>
    <w:rsid w:val="5EA84531"/>
    <w:rsid w:val="5EB36809"/>
    <w:rsid w:val="5FA76AA4"/>
    <w:rsid w:val="60363D49"/>
    <w:rsid w:val="61C63762"/>
    <w:rsid w:val="64A95847"/>
    <w:rsid w:val="65AA32A0"/>
    <w:rsid w:val="65EE49A8"/>
    <w:rsid w:val="66BE33CC"/>
    <w:rsid w:val="6826229F"/>
    <w:rsid w:val="6893798A"/>
    <w:rsid w:val="6B746B1B"/>
    <w:rsid w:val="70AF4389"/>
    <w:rsid w:val="71585632"/>
    <w:rsid w:val="726532D1"/>
    <w:rsid w:val="76575C95"/>
    <w:rsid w:val="7A0652FC"/>
    <w:rsid w:val="7A225D2C"/>
    <w:rsid w:val="7A5C18BD"/>
    <w:rsid w:val="7B6E6EB9"/>
    <w:rsid w:val="7BE35A96"/>
    <w:rsid w:val="7E165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autoSpaceDE w:val="0"/>
      <w:autoSpaceDN w:val="0"/>
      <w:adjustRightInd w:val="0"/>
      <w:ind w:firstLine="420"/>
      <w:jc w:val="left"/>
    </w:pPr>
    <w:rPr>
      <w:rFonts w:ascii="Calibri" w:hAnsi="Calibri" w:eastAsia="仿宋_GB2312"/>
      <w:kern w:val="0"/>
    </w:rPr>
  </w:style>
  <w:style w:type="paragraph" w:styleId="3">
    <w:name w:val="Body Text Indent"/>
    <w:basedOn w:val="1"/>
    <w:unhideWhenUsed/>
    <w:qFormat/>
    <w:uiPriority w:val="99"/>
    <w:pPr>
      <w:ind w:left="420" w:leftChars="200"/>
    </w:pPr>
  </w:style>
  <w:style w:type="paragraph" w:styleId="4">
    <w:name w:val="Balloon Text"/>
    <w:basedOn w:val="1"/>
    <w:link w:val="14"/>
    <w:semiHidden/>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unhideWhenUsed/>
    <w:qFormat/>
    <w:uiPriority w:val="99"/>
    <w:rPr>
      <w:sz w:val="21"/>
      <w:szCs w:val="21"/>
    </w:rPr>
  </w:style>
  <w:style w:type="character" w:customStyle="1" w:styleId="10">
    <w:name w:val="页眉 Char"/>
    <w:basedOn w:val="8"/>
    <w:link w:val="6"/>
    <w:uiPriority w:val="99"/>
    <w:rPr>
      <w:sz w:val="18"/>
      <w:szCs w:val="18"/>
    </w:rPr>
  </w:style>
  <w:style w:type="character" w:customStyle="1" w:styleId="11">
    <w:name w:val="页脚 Char"/>
    <w:basedOn w:val="8"/>
    <w:link w:val="5"/>
    <w:uiPriority w:val="99"/>
    <w:rPr>
      <w:sz w:val="18"/>
      <w:szCs w:val="18"/>
    </w:rPr>
  </w:style>
  <w:style w:type="paragraph" w:customStyle="1" w:styleId="12">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8"/>
    <w:link w:val="4"/>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203</TotalTime>
  <ScaleCrop>false</ScaleCrop>
  <LinksUpToDate>false</LinksUpToDate>
  <CharactersWithSpaces>8698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2021-08-05T08:54:00Z</cp:lastPrinted>
  <dcterms:modified xsi:type="dcterms:W3CDTF">2021-08-27T02:29:59Z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AAC76FF2A5C34C29826BD3348BD4AAAB</vt:lpwstr>
  </property>
</Properties>
</file>